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6236A" w:rsidRDefault="008A5BAE">
      <w:pPr>
        <w:jc w:val="both"/>
        <w:rPr>
          <w:rFonts w:ascii="Times New Roman" w:eastAsia="Times New Roman" w:hAnsi="Times New Roman" w:cs="Times New Roman"/>
          <w:b/>
          <w:bCs/>
        </w:rPr>
      </w:pPr>
      <w:r>
        <w:rPr>
          <w:rFonts w:ascii="Times New Roman" w:eastAsia="Times New Roman" w:hAnsi="Times New Roman" w:cs="Times New Roman"/>
          <w:b/>
          <w:bCs/>
        </w:rPr>
        <w:t>Multi-stakeholder conflicts, subjective games, and prospects for cooperation and new institutional arrangements in the Great Bear Rainforest</w:t>
      </w:r>
    </w:p>
    <w:p w14:paraId="00000002" w14:textId="77777777" w:rsidR="0056236A" w:rsidRDefault="008A5BAE">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Sara Lorenzini, </w:t>
      </w:r>
      <w:hyperlink r:id="rId8">
        <w:r w:rsidR="0056236A">
          <w:rPr>
            <w:rFonts w:ascii="Times New Roman" w:eastAsia="Times New Roman" w:hAnsi="Times New Roman" w:cs="Times New Roman"/>
            <w:b/>
            <w:bCs/>
            <w:color w:val="467886"/>
            <w:u w:val="single"/>
          </w:rPr>
          <w:t>sara.lorenzini-1@unitn.it</w:t>
        </w:r>
      </w:hyperlink>
    </w:p>
    <w:p w14:paraId="00000003" w14:textId="77777777" w:rsidR="0056236A" w:rsidRDefault="008A5BAE">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Virginia Cecchini Manara, </w:t>
      </w:r>
      <w:hyperlink r:id="rId9">
        <w:r w:rsidR="0056236A">
          <w:rPr>
            <w:rFonts w:ascii="Times New Roman" w:eastAsia="Times New Roman" w:hAnsi="Times New Roman" w:cs="Times New Roman"/>
            <w:b/>
            <w:bCs/>
            <w:color w:val="467886"/>
            <w:u w:val="single"/>
          </w:rPr>
          <w:t>virginia.cecchini@unimi.it</w:t>
        </w:r>
      </w:hyperlink>
    </w:p>
    <w:p w14:paraId="00000004" w14:textId="77777777" w:rsidR="0056236A" w:rsidRDefault="0056236A">
      <w:pPr>
        <w:rPr>
          <w:rFonts w:ascii="Times New Roman" w:eastAsia="Times New Roman" w:hAnsi="Times New Roman" w:cs="Times New Roman"/>
          <w:b/>
          <w:bCs/>
        </w:rPr>
      </w:pPr>
    </w:p>
    <w:p w14:paraId="00000005" w14:textId="77777777" w:rsidR="0056236A" w:rsidRDefault="0056236A">
      <w:pPr>
        <w:rPr>
          <w:rFonts w:ascii="Times New Roman" w:eastAsia="Times New Roman" w:hAnsi="Times New Roman" w:cs="Times New Roman"/>
          <w:b/>
          <w:bCs/>
        </w:rPr>
      </w:pPr>
    </w:p>
    <w:p w14:paraId="00000006" w14:textId="77777777" w:rsidR="0056236A" w:rsidRDefault="008A5BAE">
      <w:pPr>
        <w:rPr>
          <w:rFonts w:ascii="Times New Roman" w:eastAsia="Times New Roman" w:hAnsi="Times New Roman" w:cs="Times New Roman"/>
          <w:b/>
          <w:bCs/>
        </w:rPr>
      </w:pPr>
      <w:r>
        <w:rPr>
          <w:rFonts w:ascii="Times New Roman" w:eastAsia="Times New Roman" w:hAnsi="Times New Roman" w:cs="Times New Roman"/>
          <w:b/>
          <w:bCs/>
        </w:rPr>
        <w:t>Abstract</w:t>
      </w:r>
    </w:p>
    <w:p w14:paraId="00000007" w14:textId="77777777" w:rsidR="0056236A" w:rsidRDefault="008A5BAE">
      <w:pPr>
        <w:jc w:val="both"/>
        <w:rPr>
          <w:rFonts w:ascii="Times New Roman" w:eastAsia="Times New Roman" w:hAnsi="Times New Roman" w:cs="Times New Roman"/>
        </w:rPr>
      </w:pPr>
      <w:r>
        <w:rPr>
          <w:rFonts w:ascii="Times New Roman" w:eastAsia="Times New Roman" w:hAnsi="Times New Roman" w:cs="Times New Roman"/>
        </w:rPr>
        <w:t xml:space="preserve">Forest governance is often at the root of multiple-level conflicts, which involve a diverse array of costs and risks in terms of both efficiency and justice. However, if properly managed, conflicts can be a positive force for institutional change and innovation, allowing for the coordination of multiple cross-scale interests, the development of progressive policy reforms, and the formation of new social and power relationships. This study uses game theory modelling to investigate the process leading to the </w:t>
      </w:r>
      <w:r>
        <w:rPr>
          <w:rFonts w:ascii="Times New Roman" w:eastAsia="Times New Roman" w:hAnsi="Times New Roman" w:cs="Times New Roman"/>
        </w:rPr>
        <w:t>historical agreement over the Great Bear Rainforest, after decades of contestation among various collectivities. The paper departs from the standard game theory approach by applying Aoki’s subjective games model, to analyse the changing interactions between diverse stakeholders and the transformation of conflict into prospects for cooperation and agreement. The model allows for an interpretation of the crucial role of mobilization and boycotting in changing players’ framing of the game, from one in which un</w:t>
      </w:r>
      <w:r>
        <w:rPr>
          <w:rFonts w:ascii="Times New Roman" w:eastAsia="Times New Roman" w:hAnsi="Times New Roman" w:cs="Times New Roman"/>
        </w:rPr>
        <w:t>ilateral defection is feasible and payoff dominant, to one where this strategy is less prominent and cooperation becomes a possible equilibrium of the game. Overall, the analysis proves that incorporating cognitive elements, namely how players see the game and how their view can change, is crucial when dealing with conflicts, especially with apparently intractable cases.</w:t>
      </w:r>
    </w:p>
    <w:p w14:paraId="00000008" w14:textId="77777777" w:rsidR="0056236A" w:rsidRDefault="0056236A">
      <w:pPr>
        <w:jc w:val="both"/>
        <w:rPr>
          <w:rFonts w:ascii="Times New Roman" w:eastAsia="Times New Roman" w:hAnsi="Times New Roman" w:cs="Times New Roman"/>
        </w:rPr>
      </w:pPr>
    </w:p>
    <w:p w14:paraId="00000009" w14:textId="77777777" w:rsidR="0056236A" w:rsidRDefault="008A5BAE">
      <w:pPr>
        <w:rPr>
          <w:rFonts w:ascii="Times New Roman" w:eastAsia="Times New Roman" w:hAnsi="Times New Roman" w:cs="Times New Roman"/>
        </w:rPr>
      </w:pPr>
      <w:r>
        <w:rPr>
          <w:rFonts w:ascii="Times New Roman" w:eastAsia="Times New Roman" w:hAnsi="Times New Roman" w:cs="Times New Roman"/>
        </w:rPr>
        <w:t xml:space="preserve">Keywords: subjective games, forests, conflict, cooperation, defection, mobilization, </w:t>
      </w:r>
    </w:p>
    <w:p w14:paraId="0000000A" w14:textId="77777777" w:rsidR="0056236A" w:rsidRDefault="008A5BAE">
      <w:pPr>
        <w:rPr>
          <w:rFonts w:ascii="Times New Roman" w:eastAsia="Times New Roman" w:hAnsi="Times New Roman" w:cs="Times New Roman"/>
        </w:rPr>
      </w:pPr>
      <w:r>
        <w:br w:type="page"/>
      </w:r>
    </w:p>
    <w:p w14:paraId="0000000B" w14:textId="77777777" w:rsidR="0056236A" w:rsidRDefault="008A5BAE">
      <w:pPr>
        <w:numPr>
          <w:ilvl w:val="0"/>
          <w:numId w:val="3"/>
        </w:numPr>
        <w:pBdr>
          <w:top w:val="nil"/>
          <w:left w:val="nil"/>
          <w:bottom w:val="nil"/>
          <w:right w:val="nil"/>
          <w:between w:val="nil"/>
        </w:pBdr>
        <w:rPr>
          <w:b/>
          <w:bCs/>
          <w:color w:val="000000"/>
        </w:rPr>
      </w:pPr>
      <w:r>
        <w:rPr>
          <w:rFonts w:ascii="Times New Roman" w:eastAsia="Times New Roman" w:hAnsi="Times New Roman" w:cs="Times New Roman"/>
          <w:b/>
          <w:bCs/>
          <w:color w:val="000000"/>
        </w:rPr>
        <w:lastRenderedPageBreak/>
        <w:t>Introduction</w:t>
      </w:r>
    </w:p>
    <w:p w14:paraId="0000000C" w14:textId="77777777" w:rsidR="0056236A" w:rsidRDefault="008A5BAE">
      <w:pPr>
        <w:spacing w:after="0" w:line="360" w:lineRule="auto"/>
        <w:ind w:firstLine="708"/>
        <w:jc w:val="both"/>
        <w:rPr>
          <w:rFonts w:ascii="Times New Roman" w:eastAsia="Times New Roman" w:hAnsi="Times New Roman" w:cs="Times New Roman"/>
        </w:rPr>
      </w:pPr>
      <w:r>
        <w:rPr>
          <w:rFonts w:ascii="Times New Roman" w:eastAsia="Times New Roman" w:hAnsi="Times New Roman" w:cs="Times New Roman"/>
        </w:rPr>
        <w:t>Forests are at the root of many claims (</w:t>
      </w:r>
      <w:sdt>
        <w:sdtPr>
          <w:tag w:val="goog_rdk_0"/>
          <w:id w:val="-1527775766"/>
        </w:sdtPr>
        <w:sdtEndPr/>
        <w:sdtContent/>
      </w:sdt>
      <w:r>
        <w:rPr>
          <w:rFonts w:ascii="Times New Roman" w:eastAsia="Times New Roman" w:hAnsi="Times New Roman" w:cs="Times New Roman"/>
        </w:rPr>
        <w:t>Lorenzini and von Jacobi, 2024; Oldekop et al., 2020), being them source of livelihoods and spiritual places for many Indigenous populations and local communities around the world, source of raw materials, environmental resources more and more valued for its mitigation and adaptation effects with respect to climate change, hotspots of biodiversity, and recreational places. As ecosystems, forest use(r)s also show a high degree of interdependence, both in terms of choices and outcomes (Paavola and Adger, 2005</w:t>
      </w:r>
      <w:r>
        <w:rPr>
          <w:rFonts w:ascii="Times New Roman" w:eastAsia="Times New Roman" w:hAnsi="Times New Roman" w:cs="Times New Roman"/>
        </w:rPr>
        <w:t xml:space="preserve">; Elster, 1998). Indeed, how an agent or group of agents decides to use the forest influences what other agents will choose, as well as what an agent achieves depends on the choice and achievements of the others. Because of this, forests often become hotspots for conflicts between several interested parties (Mola-Yudego and Gritten, 2010). </w:t>
      </w:r>
    </w:p>
    <w:p w14:paraId="0000000D" w14:textId="77777777" w:rsidR="0056236A" w:rsidRDefault="008A5BAE">
      <w:pPr>
        <w:spacing w:after="0" w:line="36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While conflicts are often at the root of institutional change (Knight, 1999), the outcome can take many disparate forms, from consistently benefitting one group over the other(s) to bringing prospects for cooperation and agreement for fairer </w:t>
      </w:r>
      <w:sdt>
        <w:sdtPr>
          <w:tag w:val="goog_rdk_1"/>
          <w:id w:val="-1630227093"/>
        </w:sdtPr>
        <w:sdtEndPr/>
        <w:sdtContent/>
      </w:sdt>
      <w:r>
        <w:rPr>
          <w:rFonts w:ascii="Times New Roman" w:eastAsia="Times New Roman" w:hAnsi="Times New Roman" w:cs="Times New Roman"/>
        </w:rPr>
        <w:t>outcomes. The emergence of one or another governance arrangement is often the result of interactions and bargaining between diverse organized collectivities and interest groups, shaped by socio-economic and political power relationship (</w:t>
      </w:r>
      <w:sdt>
        <w:sdtPr>
          <w:tag w:val="goog_rdk_2"/>
          <w:id w:val="1609370122"/>
        </w:sdtPr>
        <w:sdtEndPr/>
        <w:sdtContent/>
      </w:sdt>
      <w:r>
        <w:rPr>
          <w:rFonts w:ascii="Times New Roman" w:eastAsia="Times New Roman" w:hAnsi="Times New Roman" w:cs="Times New Roman"/>
        </w:rPr>
        <w:t xml:space="preserve">Dikstra BR, 1999; Endres, 2004; Lorenzini and von Jacobi, 2024). In other instances, conflicts can even appear </w:t>
      </w:r>
      <w:sdt>
        <w:sdtPr>
          <w:tag w:val="goog_rdk_3"/>
          <w:id w:val="1383296668"/>
        </w:sdtPr>
        <w:sdtEndPr/>
        <w:sdtContent/>
      </w:sdt>
      <w:r>
        <w:rPr>
          <w:rFonts w:ascii="Times New Roman" w:eastAsia="Times New Roman" w:hAnsi="Times New Roman" w:cs="Times New Roman"/>
        </w:rPr>
        <w:t xml:space="preserve">intractable, with no way out of them. </w:t>
      </w:r>
    </w:p>
    <w:p w14:paraId="0000000E" w14:textId="77777777" w:rsidR="0056236A" w:rsidRDefault="008A5BAE">
      <w:pPr>
        <w:spacing w:after="0" w:line="360" w:lineRule="auto"/>
        <w:ind w:firstLine="708"/>
        <w:jc w:val="both"/>
        <w:rPr>
          <w:rFonts w:ascii="Times New Roman" w:eastAsia="Times New Roman" w:hAnsi="Times New Roman" w:cs="Times New Roman"/>
        </w:rPr>
      </w:pPr>
      <w:r>
        <w:rPr>
          <w:rFonts w:ascii="Times New Roman" w:eastAsia="Times New Roman" w:hAnsi="Times New Roman" w:cs="Times New Roman"/>
        </w:rPr>
        <w:t>Game theory has so far been extensively used to provide an analytical understanding of these conflicts as instances of strategic interactions (</w:t>
      </w:r>
      <w:sdt>
        <w:sdtPr>
          <w:tag w:val="goog_rdk_4"/>
          <w:id w:val="-470777768"/>
        </w:sdtPr>
        <w:sdtEndPr/>
        <w:sdtContent/>
      </w:sdt>
      <w:r>
        <w:rPr>
          <w:rFonts w:ascii="Times New Roman" w:eastAsia="Times New Roman" w:hAnsi="Times New Roman" w:cs="Times New Roman"/>
        </w:rPr>
        <w:t xml:space="preserve">Halevy et al., 2011). However, classical game theory assumes that rational and self-interested players interact and choose their strategies within fixed games </w:t>
      </w:r>
      <w:sdt>
        <w:sdtPr>
          <w:tag w:val="goog_rdk_5"/>
          <w:id w:val="-1463244555"/>
        </w:sdtPr>
        <w:sdtEndPr/>
        <w:sdtContent/>
      </w:sdt>
      <w:r>
        <w:rPr>
          <w:rFonts w:ascii="Times New Roman" w:eastAsia="Times New Roman" w:hAnsi="Times New Roman" w:cs="Times New Roman"/>
          <w:highlight w:val="white"/>
        </w:rPr>
        <w:t>(Luce and Raiffa, 1989).</w:t>
      </w:r>
      <w:r>
        <w:rPr>
          <w:rFonts w:ascii="Times New Roman" w:eastAsia="Times New Roman" w:hAnsi="Times New Roman" w:cs="Times New Roman"/>
        </w:rPr>
        <w:t xml:space="preserve"> Thus, if defection is the dominant strategy – as in a Prisoner Dilemma – there might be no explanation for the possibility to exit the conflictual scenario and cooperate for new social outcomes. If, instead, we assume that agents are boundedly rational players (Kahneman &amp; Tversky, 1974; Simon, 1986), who can only have a compressed view of the game and their possible strategies and can change their perception of the game in response to endogenous or exogenous cues, we might expect di</w:t>
      </w:r>
      <w:r>
        <w:rPr>
          <w:rFonts w:ascii="Times New Roman" w:eastAsia="Times New Roman" w:hAnsi="Times New Roman" w:cs="Times New Roman"/>
        </w:rPr>
        <w:t xml:space="preserve">fferent conflict outcomes. </w:t>
      </w:r>
    </w:p>
    <w:p w14:paraId="0000000F" w14:textId="77777777" w:rsidR="0056236A" w:rsidRDefault="008A5BAE">
      <w:pPr>
        <w:spacing w:after="0" w:line="360" w:lineRule="auto"/>
        <w:ind w:firstLine="708"/>
        <w:jc w:val="both"/>
        <w:rPr>
          <w:rFonts w:ascii="Times New Roman" w:eastAsia="Times New Roman" w:hAnsi="Times New Roman" w:cs="Times New Roman"/>
        </w:rPr>
      </w:pPr>
      <w:r>
        <w:rPr>
          <w:rFonts w:ascii="Times New Roman" w:eastAsia="Times New Roman" w:hAnsi="Times New Roman" w:cs="Times New Roman"/>
        </w:rPr>
        <w:t>In this paper, we follow this second path, by applying the subjective games and framed games models (Aoki, 2001; Cecchini Manara and Sacconi, 2019) to the transition from a conflictual scenario into prospects for an agreement. In particular, we study the Great Bear Rainforest case in British Columbia, as one of the most studied cases of forest-related conflicts, which resulted in a multi-stakeholder agreement for Ecological Based Management (EBM) of the forest. This principle aims at combining environmental</w:t>
      </w:r>
      <w:r>
        <w:rPr>
          <w:rFonts w:ascii="Times New Roman" w:eastAsia="Times New Roman" w:hAnsi="Times New Roman" w:cs="Times New Roman"/>
        </w:rPr>
        <w:t xml:space="preserve">, economic, and social equity outcomes. </w:t>
      </w:r>
    </w:p>
    <w:p w14:paraId="00000010" w14:textId="77777777" w:rsidR="0056236A" w:rsidRDefault="008A5BAE">
      <w:pPr>
        <w:spacing w:after="0" w:line="360" w:lineRule="auto"/>
        <w:ind w:firstLine="708"/>
        <w:jc w:val="both"/>
        <w:rPr>
          <w:rFonts w:ascii="Times New Roman" w:eastAsia="Times New Roman" w:hAnsi="Times New Roman" w:cs="Times New Roman"/>
        </w:rPr>
      </w:pPr>
      <w:r w:rsidRPr="00F71989">
        <w:rPr>
          <w:rFonts w:ascii="Times New Roman" w:eastAsia="Times New Roman" w:hAnsi="Times New Roman" w:cs="Times New Roman"/>
        </w:rPr>
        <w:lastRenderedPageBreak/>
        <w:t>We begin by anticipating that, starting from an extremely</w:t>
      </w:r>
      <w:r>
        <w:rPr>
          <w:rFonts w:ascii="Times New Roman" w:eastAsia="Times New Roman" w:hAnsi="Times New Roman" w:cs="Times New Roman"/>
        </w:rPr>
        <w:t xml:space="preserve"> conflictual scenario, participants' subjective models of the game can evolve because of collective actions, environmental changes, and institutional </w:t>
      </w:r>
      <w:r>
        <w:rPr>
          <w:rFonts w:ascii="Times New Roman" w:eastAsia="Times New Roman" w:hAnsi="Times New Roman" w:cs="Times New Roman"/>
        </w:rPr>
        <w:t>complementarity (Aoki, 2001). Specifically, in the case at stake, mobilization and lobbying campaigns in the international market contributed to shape a new psychologically prominent repertoire of actions. While players witness new non-cooperative strategies aimed at assuring a certain level of security for each agent, unilateral defection becomes less prominent. Instead, cooperating for an agreement becomes a possible equilibrium outcome in the updated framed game - a Stag Hunt game. This change in cogniti</w:t>
      </w:r>
      <w:r>
        <w:rPr>
          <w:rFonts w:ascii="Times New Roman" w:eastAsia="Times New Roman" w:hAnsi="Times New Roman" w:cs="Times New Roman"/>
        </w:rPr>
        <w:t>ons alters the character of stakeholders' interactions, possibly shaping their motivations (Kruglanski et al., 2002; Lindenberg and Foss, 2011),</w:t>
      </w:r>
    </w:p>
    <w:p w14:paraId="00000011" w14:textId="77777777" w:rsidR="0056236A" w:rsidRDefault="008A5BAE">
      <w:pPr>
        <w:spacing w:after="0" w:line="360" w:lineRule="auto"/>
        <w:ind w:firstLine="708"/>
        <w:jc w:val="both"/>
        <w:rPr>
          <w:rFonts w:ascii="Times New Roman" w:eastAsia="Times New Roman" w:hAnsi="Times New Roman" w:cs="Times New Roman"/>
        </w:rPr>
      </w:pPr>
      <w:r>
        <w:rPr>
          <w:rFonts w:ascii="Times New Roman" w:eastAsia="Times New Roman" w:hAnsi="Times New Roman" w:cs="Times New Roman"/>
        </w:rPr>
        <w:t>The rest of the paper is structured as follows. In Section 2, we describe the Great Bear Rainforest case study, specifically focusing on the initial and final stages of the conflict. In Section 3 we introduce the analytical framework, applying the subjective game models (Aoki, 2001; Cecchini Manara and Sacconi, 2019) to the transformation of the conflict into prospects for multi-stakeholder cooperation and agreement. Here, we also include a more detailed explanation of the conflict’s evolution. In Section 4</w:t>
      </w:r>
      <w:r>
        <w:rPr>
          <w:rFonts w:ascii="Times New Roman" w:eastAsia="Times New Roman" w:hAnsi="Times New Roman" w:cs="Times New Roman"/>
        </w:rPr>
        <w:t xml:space="preserve">, we conclude with an overall discussion on the implications of this analysis, suggesting avenues for further research. </w:t>
      </w:r>
    </w:p>
    <w:p w14:paraId="00000012" w14:textId="77777777" w:rsidR="0056236A" w:rsidRDefault="0056236A">
      <w:pPr>
        <w:spacing w:after="0" w:line="360" w:lineRule="auto"/>
        <w:ind w:firstLine="708"/>
        <w:jc w:val="both"/>
        <w:rPr>
          <w:rFonts w:ascii="Times New Roman" w:eastAsia="Times New Roman" w:hAnsi="Times New Roman" w:cs="Times New Roman"/>
        </w:rPr>
      </w:pPr>
    </w:p>
    <w:p w14:paraId="00000013" w14:textId="77777777" w:rsidR="0056236A" w:rsidRDefault="008A5BAE">
      <w:pPr>
        <w:numPr>
          <w:ilvl w:val="0"/>
          <w:numId w:val="3"/>
        </w:numPr>
        <w:jc w:val="both"/>
        <w:rPr>
          <w:b/>
          <w:bCs/>
        </w:rPr>
      </w:pPr>
      <w:r>
        <w:rPr>
          <w:rFonts w:ascii="Times New Roman" w:eastAsia="Times New Roman" w:hAnsi="Times New Roman" w:cs="Times New Roman"/>
          <w:b/>
          <w:bCs/>
        </w:rPr>
        <w:t>The Great Bear Rainforest case-study</w:t>
      </w:r>
    </w:p>
    <w:p w14:paraId="00000014" w14:textId="77777777" w:rsidR="0056236A" w:rsidRDefault="008A5BAE">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 Great Bear Rainforest (GBR) is a temperate rainforest on the Pacific coast of British Columbia, the westernmost province of Canada. It comprises 6.4 million hectares and it exhibits unique </w:t>
      </w:r>
      <w:r>
        <w:rPr>
          <w:rFonts w:ascii="Times New Roman" w:eastAsia="Times New Roman" w:hAnsi="Times New Roman" w:cs="Times New Roman"/>
        </w:rPr>
        <w:t xml:space="preserve">ecological </w:t>
      </w:r>
      <w:sdt>
        <w:sdtPr>
          <w:tag w:val="goog_rdk_6"/>
          <w:id w:val="-943035415"/>
        </w:sdtPr>
        <w:sdtEndPr/>
        <w:sdtContent/>
      </w:sdt>
      <w:r>
        <w:rPr>
          <w:rFonts w:ascii="Times New Roman" w:eastAsia="Times New Roman" w:hAnsi="Times New Roman" w:cs="Times New Roman"/>
        </w:rPr>
        <w:t>features. Moreover, it is home to many First Natio</w:t>
      </w:r>
      <w:r>
        <w:rPr>
          <w:rFonts w:ascii="Times New Roman" w:eastAsia="Times New Roman" w:hAnsi="Times New Roman" w:cs="Times New Roman"/>
          <w:highlight w:val="white"/>
        </w:rPr>
        <w:t>ns (FNs) communities and it constitutes an incredible hotspot of biodiversity and wildlife: it was renamed the “Great Bear Rainforest” (GBR) after the white-coated Kermode Bear endemic to the region (Raitio and Saakiroski, 2012).</w:t>
      </w:r>
      <w:r>
        <w:rPr>
          <w:rFonts w:ascii="Times New Roman" w:eastAsia="Times New Roman" w:hAnsi="Times New Roman" w:cs="Times New Roman"/>
          <w:highlight w:val="white"/>
        </w:rPr>
        <w:br/>
      </w:r>
      <w:r>
        <w:rPr>
          <w:rFonts w:ascii="Times New Roman" w:eastAsia="Times New Roman" w:hAnsi="Times New Roman" w:cs="Times New Roman"/>
        </w:rPr>
        <w:tab/>
        <w:t xml:space="preserve">However, the GBR has been a territory of conflict for more than 20 years; in the 1980s, some environmental movements and organisations (ENGOs) together with some FNs, started protesting against BC timber industries for the logging </w:t>
      </w:r>
      <w:r>
        <w:rPr>
          <w:rFonts w:ascii="Times New Roman" w:eastAsia="Times New Roman" w:hAnsi="Times New Roman" w:cs="Times New Roman"/>
        </w:rPr>
        <w:t>activities carried out in the forests (Armstrong, 2009; Affolderbach, 2011; Raitio and Saakiroski, 2012; Saakiroski et al., 2013). Notably, despite fighting for the same ultimate goal, namely greater conservation of the GBR, the ENGOs and the FNs were doing it for quite different reasons. Indeed, while the ENGOs were mostly defending the forest as an environmental resource and a home for biodiversity and wildlife, the FNs were mostly advocating that logging was impairing their livelihoods and socio-economic</w:t>
      </w:r>
      <w:r>
        <w:rPr>
          <w:rFonts w:ascii="Times New Roman" w:eastAsia="Times New Roman" w:hAnsi="Times New Roman" w:cs="Times New Roman"/>
        </w:rPr>
        <w:t xml:space="preserve"> development, and argued that they had not given consent to the industries’ operations (Raitio and Saakiroski, 2012). Thus, the former campaigned for the creation of protected areas, while FNs did not look favourably upon these, as </w:t>
      </w:r>
      <w:r>
        <w:rPr>
          <w:rFonts w:ascii="Times New Roman" w:eastAsia="Times New Roman" w:hAnsi="Times New Roman" w:cs="Times New Roman"/>
        </w:rPr>
        <w:lastRenderedPageBreak/>
        <w:t>restricting all human activities in the forest would have compromised their rights to hunt, harvest, and take ceremonial logs (IPCAs, 2018). On their side, the logging industries were initially completely reluctant to reduce their timber supply, also invoking the important contri</w:t>
      </w:r>
      <w:r>
        <w:rPr>
          <w:rFonts w:ascii="Times New Roman" w:eastAsia="Times New Roman" w:hAnsi="Times New Roman" w:cs="Times New Roman"/>
        </w:rPr>
        <w:t xml:space="preserve">bution of their operations to the regional economy and employment (Armstrong, 2009; </w:t>
      </w:r>
      <w:sdt>
        <w:sdtPr>
          <w:tag w:val="goog_rdk_7"/>
          <w:id w:val="1855596005"/>
        </w:sdtPr>
        <w:sdtEndPr/>
        <w:sdtContent/>
      </w:sdt>
      <w:r>
        <w:rPr>
          <w:rFonts w:ascii="Times New Roman" w:eastAsia="Times New Roman" w:hAnsi="Times New Roman" w:cs="Times New Roman"/>
        </w:rPr>
        <w:t xml:space="preserve">Cashore et al., 2011). </w:t>
      </w:r>
    </w:p>
    <w:p w14:paraId="00000015" w14:textId="77777777" w:rsidR="0056236A" w:rsidRDefault="008A5BAE">
      <w:pPr>
        <w:spacing w:line="360" w:lineRule="auto"/>
        <w:ind w:firstLine="720"/>
        <w:jc w:val="both"/>
        <w:rPr>
          <w:rFonts w:ascii="Times New Roman" w:eastAsia="Times New Roman" w:hAnsi="Times New Roman" w:cs="Times New Roman"/>
          <w:highlight w:val="white"/>
        </w:rPr>
      </w:pPr>
      <w:r>
        <w:rPr>
          <w:rFonts w:ascii="Times New Roman" w:eastAsia="Times New Roman" w:hAnsi="Times New Roman" w:cs="Times New Roman"/>
        </w:rPr>
        <w:t>Facing such a conflictual scenario, the Pro</w:t>
      </w:r>
      <w:r w:rsidRPr="00F71989">
        <w:rPr>
          <w:rFonts w:ascii="Times New Roman" w:eastAsia="Times New Roman" w:hAnsi="Times New Roman" w:cs="Times New Roman"/>
        </w:rPr>
        <w:t xml:space="preserve">vincial Government (ProvGov) showed to be mostly permissive with the industries, as it was also receiving economic benefits from logging, which was the main economic driver of the region at the time. However, the ProvGov also made an attempt to introduce the Land and Resource Management Planning (LRMP), a collaborative </w:t>
      </w:r>
      <w:sdt>
        <w:sdtPr>
          <w:tag w:val="goog_rdk_8"/>
          <w:id w:val="1280258547"/>
        </w:sdtPr>
        <w:sdtEndPr/>
        <w:sdtContent/>
      </w:sdt>
      <w:r w:rsidRPr="00F71989">
        <w:rPr>
          <w:rFonts w:ascii="Times New Roman" w:eastAsia="Times New Roman" w:hAnsi="Times New Roman" w:cs="Times New Roman"/>
        </w:rPr>
        <w:t>system (Saakiroski et al., 2013). Yet, both the ENGOs and the FNs refused to enter it, as they thought it would have just served to conceal continuous logging; instead, they started parallel actions to increase their bargaining power and demand a more ambitious process. The FNs wanted their land and governance claims met, and they decided to pursue a legal strategy, mostly targeting the ProvGov. Meanwhile, the ENGOs started to carry on huge markets campaigns targeting BC</w:t>
      </w:r>
      <w:r>
        <w:rPr>
          <w:rFonts w:ascii="Times New Roman" w:eastAsia="Times New Roman" w:hAnsi="Times New Roman" w:cs="Times New Roman"/>
        </w:rPr>
        <w:t xml:space="preserve"> forest industries and their internat</w:t>
      </w:r>
      <w:r>
        <w:rPr>
          <w:rFonts w:ascii="Times New Roman" w:eastAsia="Times New Roman" w:hAnsi="Times New Roman" w:cs="Times New Roman"/>
        </w:rPr>
        <w:t>ional customers and investors (Affolderbach, 2011; Howlett et al., 2009; Raitio and Saakiroski, 2012; Wilson, 1998; Smith, 2010; Sranko, 2011; Zietsma and Winn, 2008).</w:t>
      </w:r>
      <w:r>
        <w:rPr>
          <w:rFonts w:ascii="Times New Roman" w:eastAsia="Times New Roman" w:hAnsi="Times New Roman" w:cs="Times New Roman"/>
        </w:rPr>
        <w:br/>
      </w:r>
      <w:r>
        <w:rPr>
          <w:rFonts w:ascii="Times New Roman" w:eastAsia="Times New Roman" w:hAnsi="Times New Roman" w:cs="Times New Roman"/>
        </w:rPr>
        <w:tab/>
      </w:r>
      <w:sdt>
        <w:sdtPr>
          <w:tag w:val="goog_rdk_9"/>
          <w:id w:val="-1138252975"/>
        </w:sdtPr>
        <w:sdtEndPr/>
        <w:sdtContent/>
      </w:sdt>
      <w:r>
        <w:rPr>
          <w:rFonts w:ascii="Times New Roman" w:eastAsia="Times New Roman" w:hAnsi="Times New Roman" w:cs="Times New Roman"/>
        </w:rPr>
        <w:t>From that moment on, conflict escalated, reaching the international market. It was only in December 2001 that the ProvGov managed to bring all the parties to the LRMP Completion Table and a final agreement was reached five years later, in February 2006. On the occasion, Premier Gordon Campbell announced that the parties had reached an historical agreement for a new governance of the GBR, based on the Ecosystem-Based Management (EBM) principle. This principle aims at “concurrently moving to high levels of ec</w:t>
      </w:r>
      <w:r>
        <w:rPr>
          <w:rFonts w:ascii="Times New Roman" w:eastAsia="Times New Roman" w:hAnsi="Times New Roman" w:cs="Times New Roman"/>
        </w:rPr>
        <w:t>ological integrity and high levels of human well-being and if that is not possible, to make meaningful increments to both” (BC Gov News Releases 29.1.2014). Importantly, FNs obtained the creation of Conservancies that allow for FNs’ traditional uses of the forest (Howlett et al., 2009:389; IPCAs, 2018; Saakiroski et al., 2013; Raitio and Saakiroski, 2012). Moreover</w:t>
      </w:r>
      <w:r>
        <w:rPr>
          <w:rFonts w:ascii="Times New Roman" w:eastAsia="Times New Roman" w:hAnsi="Times New Roman" w:cs="Times New Roman"/>
          <w:highlight w:val="white"/>
        </w:rPr>
        <w:t>, the agreement increased FNs’ stake in decision-making and conservation financing, through the creation of a Coast fund for financing Indigenous</w:t>
      </w:r>
      <w:r>
        <w:rPr>
          <w:rFonts w:ascii="Times New Roman" w:eastAsia="Times New Roman" w:hAnsi="Times New Roman" w:cs="Times New Roman"/>
          <w:highlight w:val="white"/>
        </w:rPr>
        <w:t xml:space="preserve">-led conservation and new sustainable businesses </w:t>
      </w:r>
      <w:r>
        <w:rPr>
          <w:rFonts w:ascii="Times New Roman" w:eastAsia="Times New Roman" w:hAnsi="Times New Roman" w:cs="Times New Roman"/>
        </w:rPr>
        <w:t>(Armstrong, 2009; IPCAs, 2018; Smith, 2010). Additionally, it established a network of protected areas off limits to industrial logging, and improved logging activities over an additional part.</w:t>
      </w:r>
      <w:r>
        <w:t xml:space="preserve"> </w:t>
      </w:r>
      <w:r>
        <w:rPr>
          <w:rFonts w:ascii="Times New Roman" w:eastAsia="Times New Roman" w:hAnsi="Times New Roman" w:cs="Times New Roman"/>
        </w:rPr>
        <w:t>Ten years following the agreement’s adoption,</w:t>
      </w:r>
      <w:r>
        <w:rPr>
          <w:rFonts w:ascii="Times New Roman" w:eastAsia="Times New Roman" w:hAnsi="Times New Roman" w:cs="Times New Roman"/>
          <w:highlight w:val="white"/>
        </w:rPr>
        <w:t xml:space="preserve"> the government passed new acts aimed at protecting 85 percent of the forest and 70 percent of old growth (BC Gov News Releases 1.3.2016 and 21.12.2016). </w:t>
      </w:r>
    </w:p>
    <w:p w14:paraId="00000016" w14:textId="77777777" w:rsidR="0056236A" w:rsidRDefault="0056236A">
      <w:pPr>
        <w:spacing w:line="360" w:lineRule="auto"/>
        <w:ind w:firstLine="720"/>
        <w:jc w:val="both"/>
        <w:rPr>
          <w:rFonts w:ascii="Times New Roman" w:eastAsia="Times New Roman" w:hAnsi="Times New Roman" w:cs="Times New Roman"/>
          <w:highlight w:val="white"/>
        </w:rPr>
      </w:pPr>
    </w:p>
    <w:p w14:paraId="25890A34" w14:textId="77777777" w:rsidR="00F71989" w:rsidRDefault="00F71989">
      <w:pPr>
        <w:spacing w:line="360" w:lineRule="auto"/>
        <w:ind w:firstLine="720"/>
        <w:jc w:val="both"/>
        <w:rPr>
          <w:rFonts w:ascii="Times New Roman" w:eastAsia="Times New Roman" w:hAnsi="Times New Roman" w:cs="Times New Roman"/>
          <w:highlight w:val="white"/>
        </w:rPr>
      </w:pPr>
    </w:p>
    <w:p w14:paraId="00000017" w14:textId="77777777" w:rsidR="0056236A" w:rsidRDefault="008A5BAE">
      <w:pPr>
        <w:numPr>
          <w:ilvl w:val="0"/>
          <w:numId w:val="3"/>
        </w:numPr>
        <w:spacing w:after="0" w:line="360" w:lineRule="auto"/>
        <w:jc w:val="both"/>
        <w:rPr>
          <w:b/>
          <w:bCs/>
        </w:rPr>
      </w:pPr>
      <w:r>
        <w:rPr>
          <w:rFonts w:ascii="Times New Roman" w:eastAsia="Times New Roman" w:hAnsi="Times New Roman" w:cs="Times New Roman"/>
          <w:b/>
          <w:bCs/>
        </w:rPr>
        <w:lastRenderedPageBreak/>
        <w:t>Analytical framework</w:t>
      </w:r>
    </w:p>
    <w:p w14:paraId="00000018" w14:textId="77777777" w:rsidR="0056236A" w:rsidRDefault="008A5BAE">
      <w:pPr>
        <w:spacing w:line="36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The GBR case is an example of a complex conflict involving multiple stakeholders, which was turned into an agreement for multi-stakeholder governance, particularly thanks to FNs and ENGOs’ ability to organize and mobilize at multiple scales. This section attempts to model the trajectory from a multi-stakeholder’s conflict to interactions in which there are feasible prospects for agreement and cooperation, which might be sustained in equilibrium. </w:t>
      </w:r>
      <w:sdt>
        <w:sdtPr>
          <w:tag w:val="goog_rdk_10"/>
          <w:id w:val="-1238473821"/>
        </w:sdtPr>
        <w:sdtEndPr/>
        <w:sdtContent/>
      </w:sdt>
      <w:r>
        <w:rPr>
          <w:rFonts w:ascii="Times New Roman" w:eastAsia="Times New Roman" w:hAnsi="Times New Roman" w:cs="Times New Roman"/>
          <w:highlight w:val="white"/>
        </w:rPr>
        <w:t>We give a reconstruction separated into stages, as we regard them as distinct games played in discrete time instants along an historical process, rather than components of a single game. This allows the solution of the game in each stage without considering the cumulative payoffs achieved in previous phases</w:t>
      </w:r>
      <w:r>
        <w:rPr>
          <w:rFonts w:ascii="Times New Roman" w:eastAsia="Times New Roman" w:hAnsi="Times New Roman" w:cs="Times New Roman"/>
          <w:highlight w:val="white"/>
          <w:vertAlign w:val="superscript"/>
        </w:rPr>
        <w:footnoteReference w:id="1"/>
      </w:r>
      <w:r>
        <w:rPr>
          <w:rFonts w:ascii="Times New Roman" w:eastAsia="Times New Roman" w:hAnsi="Times New Roman" w:cs="Times New Roman"/>
          <w:highlight w:val="white"/>
        </w:rPr>
        <w:t xml:space="preserve">. </w:t>
      </w:r>
    </w:p>
    <w:p w14:paraId="00000019" w14:textId="77777777" w:rsidR="0056236A" w:rsidRDefault="0056236A">
      <w:pPr>
        <w:spacing w:line="360" w:lineRule="auto"/>
        <w:jc w:val="both"/>
        <w:rPr>
          <w:rFonts w:ascii="Times New Roman" w:eastAsia="Times New Roman" w:hAnsi="Times New Roman" w:cs="Times New Roman"/>
          <w:highlight w:val="white"/>
        </w:rPr>
      </w:pPr>
    </w:p>
    <w:p w14:paraId="0000001A" w14:textId="77777777" w:rsidR="0056236A" w:rsidRDefault="008A5BAE">
      <w:pPr>
        <w:spacing w:after="0" w:line="360" w:lineRule="auto"/>
        <w:jc w:val="both"/>
        <w:rPr>
          <w:rFonts w:ascii="Times New Roman" w:eastAsia="Times New Roman" w:hAnsi="Times New Roman" w:cs="Times New Roman"/>
          <w:i/>
          <w:iCs/>
          <w:highlight w:val="white"/>
        </w:rPr>
      </w:pPr>
      <w:r>
        <w:rPr>
          <w:rFonts w:ascii="Times New Roman" w:eastAsia="Times New Roman" w:hAnsi="Times New Roman" w:cs="Times New Roman"/>
          <w:highlight w:val="white"/>
        </w:rPr>
        <w:t xml:space="preserve">4.1 </w:t>
      </w:r>
      <w:r>
        <w:rPr>
          <w:rFonts w:ascii="Times New Roman" w:eastAsia="Times New Roman" w:hAnsi="Times New Roman" w:cs="Times New Roman"/>
          <w:i/>
          <w:iCs/>
          <w:highlight w:val="white"/>
        </w:rPr>
        <w:t>Th</w:t>
      </w:r>
      <w:sdt>
        <w:sdtPr>
          <w:tag w:val="goog_rdk_11"/>
          <w:id w:val="1041191567"/>
        </w:sdtPr>
        <w:sdtEndPr/>
        <w:sdtContent/>
      </w:sdt>
      <w:r>
        <w:rPr>
          <w:rFonts w:ascii="Times New Roman" w:eastAsia="Times New Roman" w:hAnsi="Times New Roman" w:cs="Times New Roman"/>
          <w:i/>
          <w:iCs/>
          <w:highlight w:val="white"/>
        </w:rPr>
        <w:t>e game</w:t>
      </w:r>
    </w:p>
    <w:p w14:paraId="0000001B" w14:textId="77777777" w:rsidR="0056236A" w:rsidRDefault="008A5BAE">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We start from modelling the game as a </w:t>
      </w:r>
      <w:sdt>
        <w:sdtPr>
          <w:tag w:val="goog_rdk_12"/>
          <w:id w:val="-674341183"/>
        </w:sdtPr>
        <w:sdtEndPr/>
        <w:sdtContent/>
      </w:sdt>
      <w:r>
        <w:rPr>
          <w:rFonts w:ascii="Times New Roman" w:eastAsia="Times New Roman" w:hAnsi="Times New Roman" w:cs="Times New Roman"/>
        </w:rPr>
        <w:t>2 person game. Indeed, when the ProvGov tries to set up a LRMP table, both the ENGOs and FNs</w:t>
      </w:r>
      <w:r>
        <w:rPr>
          <w:rFonts w:ascii="Times New Roman" w:eastAsia="Times New Roman" w:hAnsi="Times New Roman" w:cs="Times New Roman"/>
        </w:rPr>
        <w:t xml:space="preserve"> decide to stay out as ENGOs and FNs fear the agreement would simply be a cover up for continuous logging. Therefore, distrust prevents the establishment of a proper multi-actor bargaining table and the parties instead play separate games, with ENGOs and FNs negotiating with some of the logging industries and the ProvGov respectively (Raitio et al., 2013). Thus, by assumption, the various ENGOs, FNs, logging companies, and the ProvGov are considered as 4 single players</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xml:space="preserve"> - hereinafter NGO, FN and E - who play two separate games. Each of these two parallel interactions, one between NGO and E and the other between FN and the ProvGov, can be modelled as a 3x3 game - see Figure 1.</w:t>
      </w:r>
    </w:p>
    <w:p w14:paraId="0000001C" w14:textId="77777777" w:rsidR="0056236A" w:rsidRDefault="0056236A">
      <w:pPr>
        <w:spacing w:after="0" w:line="360" w:lineRule="auto"/>
        <w:jc w:val="both"/>
        <w:rPr>
          <w:rFonts w:ascii="Times New Roman" w:eastAsia="Times New Roman" w:hAnsi="Times New Roman" w:cs="Times New Roman"/>
        </w:rPr>
      </w:pPr>
    </w:p>
    <w:p w14:paraId="0000001D" w14:textId="77777777" w:rsidR="0056236A" w:rsidRDefault="0056236A">
      <w:pPr>
        <w:spacing w:after="0" w:line="360" w:lineRule="auto"/>
        <w:jc w:val="both"/>
        <w:rPr>
          <w:rFonts w:ascii="Times New Roman" w:eastAsia="Times New Roman" w:hAnsi="Times New Roman" w:cs="Times New Roman"/>
        </w:rPr>
      </w:pPr>
    </w:p>
    <w:p w14:paraId="0000001E" w14:textId="77777777" w:rsidR="0056236A" w:rsidRDefault="0056236A">
      <w:pPr>
        <w:spacing w:after="0" w:line="360" w:lineRule="auto"/>
        <w:jc w:val="both"/>
        <w:rPr>
          <w:rFonts w:ascii="Times New Roman" w:eastAsia="Times New Roman" w:hAnsi="Times New Roman" w:cs="Times New Roman"/>
        </w:rPr>
      </w:pPr>
    </w:p>
    <w:p w14:paraId="0000001F" w14:textId="77777777" w:rsidR="0056236A" w:rsidRDefault="0056236A">
      <w:pPr>
        <w:spacing w:after="0" w:line="360" w:lineRule="auto"/>
        <w:jc w:val="both"/>
        <w:rPr>
          <w:rFonts w:ascii="Times New Roman" w:eastAsia="Times New Roman" w:hAnsi="Times New Roman" w:cs="Times New Roman"/>
        </w:rPr>
      </w:pPr>
    </w:p>
    <w:p w14:paraId="00000020" w14:textId="77777777" w:rsidR="0056236A" w:rsidRDefault="0056236A">
      <w:pPr>
        <w:spacing w:after="0" w:line="360" w:lineRule="auto"/>
        <w:jc w:val="both"/>
        <w:rPr>
          <w:rFonts w:ascii="Times New Roman" w:eastAsia="Times New Roman" w:hAnsi="Times New Roman" w:cs="Times New Roman"/>
        </w:rPr>
      </w:pPr>
    </w:p>
    <w:p w14:paraId="00000021" w14:textId="77777777" w:rsidR="0056236A" w:rsidRDefault="0056236A">
      <w:pPr>
        <w:spacing w:after="0" w:line="360" w:lineRule="auto"/>
        <w:jc w:val="both"/>
        <w:rPr>
          <w:rFonts w:ascii="Times New Roman" w:eastAsia="Times New Roman" w:hAnsi="Times New Roman" w:cs="Times New Roman"/>
        </w:rPr>
      </w:pPr>
    </w:p>
    <w:p w14:paraId="00000022" w14:textId="77777777" w:rsidR="0056236A" w:rsidRDefault="0056236A">
      <w:pPr>
        <w:spacing w:after="0" w:line="360" w:lineRule="auto"/>
        <w:jc w:val="both"/>
        <w:rPr>
          <w:rFonts w:ascii="Times New Roman" w:eastAsia="Times New Roman" w:hAnsi="Times New Roman" w:cs="Times New Roman"/>
        </w:rPr>
      </w:pPr>
    </w:p>
    <w:sdt>
      <w:sdtPr>
        <w:tag w:val="goog_rdk_13"/>
        <w:id w:val="-1743115116"/>
        <w:lock w:val="contentLocked"/>
      </w:sdtPr>
      <w:sdtEndPr/>
      <w:sdtContent>
        <w:tbl>
          <w:tblPr>
            <w:tblStyle w:val="a"/>
            <w:tblpPr w:leftFromText="180" w:rightFromText="180" w:topFromText="180" w:bottomFromText="180" w:vertAnchor="text" w:tblpX="2525"/>
            <w:tblW w:w="45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5"/>
            <w:gridCol w:w="1230"/>
            <w:gridCol w:w="1110"/>
            <w:gridCol w:w="1080"/>
          </w:tblGrid>
          <w:tr w:rsidR="0056236A" w14:paraId="38D254E8" w14:textId="77777777">
            <w:tc>
              <w:tcPr>
                <w:tcW w:w="1155" w:type="dxa"/>
              </w:tcPr>
              <w:p w14:paraId="00000023" w14:textId="77777777" w:rsidR="0056236A" w:rsidRDefault="008A5BAE">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 xml:space="preserve">           E</w:t>
                </w:r>
              </w:p>
              <w:p w14:paraId="00000024" w14:textId="77777777" w:rsidR="0056236A" w:rsidRDefault="008A5BAE">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NGO</w:t>
                </w:r>
              </w:p>
            </w:tc>
            <w:tc>
              <w:tcPr>
                <w:tcW w:w="1230" w:type="dxa"/>
              </w:tcPr>
              <w:p w14:paraId="00000025"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N</w:t>
                </w:r>
              </w:p>
            </w:tc>
            <w:tc>
              <w:tcPr>
                <w:tcW w:w="1110" w:type="dxa"/>
              </w:tcPr>
              <w:p w14:paraId="00000026"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SC</w:t>
                </w:r>
              </w:p>
            </w:tc>
            <w:tc>
              <w:tcPr>
                <w:tcW w:w="1080" w:type="dxa"/>
              </w:tcPr>
              <w:p w14:paraId="00000027"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SD</w:t>
                </w:r>
              </w:p>
            </w:tc>
          </w:tr>
          <w:tr w:rsidR="0056236A" w14:paraId="7810184D" w14:textId="77777777">
            <w:tc>
              <w:tcPr>
                <w:tcW w:w="1155" w:type="dxa"/>
              </w:tcPr>
              <w:p w14:paraId="00000028"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N</w:t>
                </w:r>
              </w:p>
            </w:tc>
            <w:tc>
              <w:tcPr>
                <w:tcW w:w="1230" w:type="dxa"/>
              </w:tcPr>
              <w:p w14:paraId="00000029"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c,c</w:t>
                </w:r>
              </w:p>
            </w:tc>
            <w:tc>
              <w:tcPr>
                <w:tcW w:w="1110" w:type="dxa"/>
              </w:tcPr>
              <w:p w14:paraId="0000002A"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c,d</w:t>
                </w:r>
              </w:p>
            </w:tc>
            <w:tc>
              <w:tcPr>
                <w:tcW w:w="1080" w:type="dxa"/>
              </w:tcPr>
              <w:p w14:paraId="0000002B"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c,c</w:t>
                </w:r>
              </w:p>
            </w:tc>
          </w:tr>
          <w:tr w:rsidR="0056236A" w14:paraId="1C8141E1" w14:textId="77777777">
            <w:tc>
              <w:tcPr>
                <w:tcW w:w="1155" w:type="dxa"/>
              </w:tcPr>
              <w:p w14:paraId="0000002C"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SC</w:t>
                </w:r>
              </w:p>
            </w:tc>
            <w:tc>
              <w:tcPr>
                <w:tcW w:w="1230" w:type="dxa"/>
              </w:tcPr>
              <w:p w14:paraId="0000002D"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d,c</w:t>
                </w:r>
              </w:p>
            </w:tc>
            <w:tc>
              <w:tcPr>
                <w:tcW w:w="1110" w:type="dxa"/>
              </w:tcPr>
              <w:p w14:paraId="0000002E"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b,b</w:t>
                </w:r>
              </w:p>
            </w:tc>
            <w:tc>
              <w:tcPr>
                <w:tcW w:w="1080" w:type="dxa"/>
              </w:tcPr>
              <w:p w14:paraId="0000002F"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d,a</w:t>
                </w:r>
              </w:p>
            </w:tc>
          </w:tr>
          <w:tr w:rsidR="0056236A" w14:paraId="25C90A9D" w14:textId="77777777">
            <w:tc>
              <w:tcPr>
                <w:tcW w:w="1155" w:type="dxa"/>
              </w:tcPr>
              <w:p w14:paraId="00000030"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SD</w:t>
                </w:r>
              </w:p>
            </w:tc>
            <w:tc>
              <w:tcPr>
                <w:tcW w:w="1230" w:type="dxa"/>
              </w:tcPr>
              <w:p w14:paraId="00000031"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c,c</w:t>
                </w:r>
              </w:p>
            </w:tc>
            <w:tc>
              <w:tcPr>
                <w:tcW w:w="1110" w:type="dxa"/>
              </w:tcPr>
              <w:p w14:paraId="00000032"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a,d</w:t>
                </w:r>
              </w:p>
            </w:tc>
            <w:tc>
              <w:tcPr>
                <w:tcW w:w="1080" w:type="dxa"/>
              </w:tcPr>
              <w:p w14:paraId="00000033"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c,c</w:t>
                </w:r>
              </w:p>
            </w:tc>
          </w:tr>
        </w:tbl>
      </w:sdtContent>
    </w:sdt>
    <w:p w14:paraId="00000034" w14:textId="77777777" w:rsidR="0056236A" w:rsidRDefault="0056236A">
      <w:pPr>
        <w:spacing w:after="0" w:line="360" w:lineRule="auto"/>
        <w:jc w:val="center"/>
        <w:rPr>
          <w:rFonts w:ascii="Times New Roman" w:eastAsia="Times New Roman" w:hAnsi="Times New Roman" w:cs="Times New Roman"/>
        </w:rPr>
      </w:pPr>
    </w:p>
    <w:p w14:paraId="00000035" w14:textId="77777777" w:rsidR="0056236A" w:rsidRDefault="0056236A">
      <w:pPr>
        <w:spacing w:after="0" w:line="360" w:lineRule="auto"/>
        <w:jc w:val="center"/>
        <w:rPr>
          <w:rFonts w:ascii="Times New Roman" w:eastAsia="Times New Roman" w:hAnsi="Times New Roman" w:cs="Times New Roman"/>
        </w:rPr>
      </w:pPr>
    </w:p>
    <w:p w14:paraId="00000036" w14:textId="77777777" w:rsidR="0056236A" w:rsidRDefault="0056236A">
      <w:pPr>
        <w:spacing w:after="0" w:line="360" w:lineRule="auto"/>
        <w:jc w:val="center"/>
        <w:rPr>
          <w:rFonts w:ascii="Times New Roman" w:eastAsia="Times New Roman" w:hAnsi="Times New Roman" w:cs="Times New Roman"/>
        </w:rPr>
      </w:pPr>
    </w:p>
    <w:p w14:paraId="00000037" w14:textId="77777777" w:rsidR="0056236A" w:rsidRDefault="0056236A">
      <w:pPr>
        <w:spacing w:after="0" w:line="360" w:lineRule="auto"/>
        <w:jc w:val="center"/>
        <w:rPr>
          <w:rFonts w:ascii="Times New Roman" w:eastAsia="Times New Roman" w:hAnsi="Times New Roman" w:cs="Times New Roman"/>
        </w:rPr>
      </w:pPr>
    </w:p>
    <w:p w14:paraId="00000038" w14:textId="77777777" w:rsidR="0056236A" w:rsidRDefault="0056236A">
      <w:pPr>
        <w:spacing w:after="0" w:line="360" w:lineRule="auto"/>
        <w:jc w:val="center"/>
        <w:rPr>
          <w:rFonts w:ascii="Times New Roman" w:eastAsia="Times New Roman" w:hAnsi="Times New Roman" w:cs="Times New Roman"/>
        </w:rPr>
      </w:pPr>
    </w:p>
    <w:p w14:paraId="00000039" w14:textId="77777777" w:rsidR="0056236A" w:rsidRDefault="0056236A">
      <w:pPr>
        <w:spacing w:after="0" w:line="360" w:lineRule="auto"/>
        <w:jc w:val="center"/>
        <w:rPr>
          <w:rFonts w:ascii="Times New Roman" w:eastAsia="Times New Roman" w:hAnsi="Times New Roman" w:cs="Times New Roman"/>
        </w:rPr>
      </w:pPr>
    </w:p>
    <w:p w14:paraId="0000003A" w14:textId="77777777" w:rsidR="0056236A" w:rsidRDefault="0056236A">
      <w:pPr>
        <w:spacing w:after="0" w:line="360" w:lineRule="auto"/>
        <w:jc w:val="center"/>
        <w:rPr>
          <w:rFonts w:ascii="Times New Roman" w:eastAsia="Times New Roman" w:hAnsi="Times New Roman" w:cs="Times New Roman"/>
        </w:rPr>
      </w:pPr>
    </w:p>
    <w:p w14:paraId="0000003B" w14:textId="77777777" w:rsidR="0056236A" w:rsidRDefault="0056236A">
      <w:pPr>
        <w:spacing w:after="0" w:line="360" w:lineRule="auto"/>
        <w:jc w:val="center"/>
        <w:rPr>
          <w:rFonts w:ascii="Times New Roman" w:eastAsia="Times New Roman" w:hAnsi="Times New Roman" w:cs="Times New Roman"/>
        </w:rPr>
      </w:pPr>
    </w:p>
    <w:p w14:paraId="0000003C" w14:textId="77777777" w:rsidR="0056236A" w:rsidRDefault="008A5BAE">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Figure 1.</w:t>
      </w:r>
    </w:p>
    <w:p w14:paraId="0000003D" w14:textId="77777777" w:rsidR="0056236A" w:rsidRDefault="0056236A">
      <w:pPr>
        <w:spacing w:after="0" w:line="360" w:lineRule="auto"/>
        <w:jc w:val="both"/>
        <w:rPr>
          <w:rFonts w:ascii="Times New Roman" w:eastAsia="Times New Roman" w:hAnsi="Times New Roman" w:cs="Times New Roman"/>
        </w:rPr>
      </w:pPr>
    </w:p>
    <w:p w14:paraId="0000003E" w14:textId="77777777" w:rsidR="0056236A" w:rsidRDefault="008A5BAE">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Figure 1 shows that at first, each participant can decide whether to:</w:t>
      </w:r>
    </w:p>
    <w:p w14:paraId="0000003F" w14:textId="77777777" w:rsidR="0056236A" w:rsidRDefault="008A5BAE">
      <w:pPr>
        <w:numPr>
          <w:ilvl w:val="0"/>
          <w:numId w:val="4"/>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declare the intention to negotiate an agreement (S); or </w:t>
      </w:r>
    </w:p>
    <w:p w14:paraId="00000040" w14:textId="77777777" w:rsidR="0056236A" w:rsidRDefault="008A5BAE">
      <w:pPr>
        <w:numPr>
          <w:ilvl w:val="0"/>
          <w:numId w:val="4"/>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do not negotiate and act without looking for cooperation (N)</w:t>
      </w:r>
    </w:p>
    <w:p w14:paraId="00000041" w14:textId="77777777" w:rsidR="0056236A" w:rsidRDefault="0056236A">
      <w:pPr>
        <w:spacing w:after="0" w:line="360" w:lineRule="auto"/>
        <w:jc w:val="both"/>
        <w:rPr>
          <w:rFonts w:ascii="Times New Roman" w:eastAsia="Times New Roman" w:hAnsi="Times New Roman" w:cs="Times New Roman"/>
        </w:rPr>
      </w:pPr>
    </w:p>
    <w:p w14:paraId="00000042" w14:textId="77777777" w:rsidR="0056236A" w:rsidRDefault="008A5BAE">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If the player plays S, then</w:t>
      </w:r>
      <w:r>
        <w:rPr>
          <w:rFonts w:ascii="Times New Roman" w:eastAsia="Times New Roman" w:hAnsi="Times New Roman" w:cs="Times New Roman"/>
        </w:rPr>
        <w:t xml:space="preserve"> it can decide to</w:t>
      </w:r>
    </w:p>
    <w:p w14:paraId="00000043" w14:textId="77777777" w:rsidR="0056236A" w:rsidRDefault="008A5BAE">
      <w:pPr>
        <w:numPr>
          <w:ilvl w:val="0"/>
          <w:numId w:val="5"/>
        </w:numPr>
        <w:spacing w:after="0" w:line="360" w:lineRule="auto"/>
        <w:jc w:val="both"/>
      </w:pPr>
      <w:r>
        <w:rPr>
          <w:rFonts w:ascii="Times New Roman" w:eastAsia="Times New Roman" w:hAnsi="Times New Roman" w:cs="Times New Roman"/>
        </w:rPr>
        <w:t xml:space="preserve">interrupt mutually disadvantageous activities (C); or </w:t>
      </w:r>
    </w:p>
    <w:p w14:paraId="47995911" w14:textId="77777777" w:rsidR="00F71989" w:rsidRDefault="008A5BAE" w:rsidP="00F71989">
      <w:pPr>
        <w:numPr>
          <w:ilvl w:val="0"/>
          <w:numId w:val="5"/>
        </w:numPr>
        <w:spacing w:after="0" w:line="360" w:lineRule="auto"/>
        <w:jc w:val="both"/>
      </w:pPr>
      <w:r>
        <w:rPr>
          <w:rFonts w:ascii="Times New Roman" w:eastAsia="Times New Roman" w:hAnsi="Times New Roman" w:cs="Times New Roman"/>
        </w:rPr>
        <w:t xml:space="preserve">continue its activities – business as usual (D). </w:t>
      </w:r>
    </w:p>
    <w:p w14:paraId="00000044" w14:textId="7E421129" w:rsidR="0056236A" w:rsidRDefault="008A5BAE" w:rsidP="00F71989">
      <w:pPr>
        <w:spacing w:after="0" w:line="360" w:lineRule="auto"/>
        <w:ind w:left="720"/>
        <w:jc w:val="both"/>
      </w:pPr>
      <w:r>
        <w:br/>
      </w:r>
    </w:p>
    <w:p w14:paraId="00000045" w14:textId="77777777" w:rsidR="0056236A" w:rsidRDefault="008A5BAE">
      <w:pPr>
        <w:spacing w:line="360" w:lineRule="auto"/>
        <w:jc w:val="both"/>
        <w:rPr>
          <w:rFonts w:ascii="Times New Roman" w:eastAsia="Times New Roman" w:hAnsi="Times New Roman" w:cs="Times New Roman"/>
        </w:rPr>
      </w:pPr>
      <w:r>
        <w:rPr>
          <w:rFonts w:ascii="Times New Roman" w:eastAsia="Times New Roman" w:hAnsi="Times New Roman" w:cs="Times New Roman"/>
        </w:rPr>
        <w:t>If instead the player initially plays N, it can continue doing it without looking for the other’s cooperation. To start, let’s consider the game between E and NGO, as the most meaningful interaction in terms of the game’s evolution:</w:t>
      </w:r>
    </w:p>
    <w:p w14:paraId="00000046" w14:textId="77777777" w:rsidR="0056236A" w:rsidRDefault="008A5BAE">
      <w:pPr>
        <w:numPr>
          <w:ilvl w:val="0"/>
          <w:numId w:val="1"/>
        </w:numPr>
        <w:spacing w:after="0" w:line="360" w:lineRule="auto"/>
        <w:jc w:val="both"/>
        <w:rPr>
          <w:rFonts w:ascii="Noto Sans Symbols" w:eastAsia="Noto Sans Symbols" w:hAnsi="Noto Sans Symbols" w:cs="Noto Sans Symbols"/>
        </w:rPr>
      </w:pPr>
      <w:r>
        <w:rPr>
          <w:rFonts w:ascii="Times New Roman" w:eastAsia="Times New Roman" w:hAnsi="Times New Roman" w:cs="Times New Roman"/>
        </w:rPr>
        <w:t xml:space="preserve">By playing N, E (or NGO) decides to stay out from any discussion table and from any agreement, thus maintaining the status quo. </w:t>
      </w:r>
    </w:p>
    <w:p w14:paraId="00000047" w14:textId="77777777" w:rsidR="0056236A" w:rsidRDefault="008A5BAE">
      <w:pPr>
        <w:numPr>
          <w:ilvl w:val="0"/>
          <w:numId w:val="1"/>
        </w:numPr>
        <w:spacing w:after="0" w:line="360" w:lineRule="auto"/>
        <w:jc w:val="both"/>
        <w:rPr>
          <w:rFonts w:ascii="Noto Sans Symbols" w:eastAsia="Noto Sans Symbols" w:hAnsi="Noto Sans Symbols" w:cs="Noto Sans Symbols"/>
        </w:rPr>
      </w:pPr>
      <w:r>
        <w:rPr>
          <w:rFonts w:ascii="Times New Roman" w:eastAsia="Times New Roman" w:hAnsi="Times New Roman" w:cs="Times New Roman"/>
        </w:rPr>
        <w:t>By playing S-C, E declares the willingness to negotiate an agreement on reducing harvesting activities, and at least temporarily interrupts parts of these activities, while NGO also declares the intentions to negotiate and interrupts its market campaigns against E.</w:t>
      </w:r>
    </w:p>
    <w:p w14:paraId="00000048" w14:textId="77777777" w:rsidR="0056236A" w:rsidRDefault="008A5BAE">
      <w:pPr>
        <w:numPr>
          <w:ilvl w:val="0"/>
          <w:numId w:val="1"/>
        </w:numPr>
        <w:spacing w:after="0" w:line="360" w:lineRule="auto"/>
        <w:jc w:val="both"/>
        <w:rPr>
          <w:rFonts w:ascii="Noto Sans Symbols" w:eastAsia="Noto Sans Symbols" w:hAnsi="Noto Sans Symbols" w:cs="Noto Sans Symbols"/>
        </w:rPr>
      </w:pPr>
      <w:r>
        <w:rPr>
          <w:rFonts w:ascii="Times New Roman" w:eastAsia="Times New Roman" w:hAnsi="Times New Roman" w:cs="Times New Roman"/>
        </w:rPr>
        <w:t xml:space="preserve">By playing S-D, each player agrees on the same points but defects and opportunistically and exploits the other's cooperation if it occurs, thus doing business as usual while the other pursues a cooperative strategy. For E, this means continuing logging even though the NGO has renounced to market campaigns, while for NGO it means continuing market campaigns against E, even though the latter has revised its logging operations. </w:t>
      </w:r>
    </w:p>
    <w:p w14:paraId="00000049" w14:textId="77777777" w:rsidR="0056236A" w:rsidRDefault="0056236A">
      <w:pPr>
        <w:spacing w:after="0" w:line="360" w:lineRule="auto"/>
        <w:ind w:left="720"/>
        <w:jc w:val="both"/>
        <w:rPr>
          <w:rFonts w:ascii="Times New Roman" w:eastAsia="Times New Roman" w:hAnsi="Times New Roman" w:cs="Times New Roman"/>
        </w:rPr>
      </w:pPr>
    </w:p>
    <w:p w14:paraId="0000004A" w14:textId="77777777" w:rsidR="0056236A" w:rsidRDefault="008A5BAE">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Depending on their strategies, there are 9 possible outcomes of the game. </w:t>
      </w:r>
      <w:sdt>
        <w:sdtPr>
          <w:tag w:val="goog_rdk_14"/>
          <w:id w:val="1105603627"/>
        </w:sdtPr>
        <w:sdtEndPr/>
        <w:sdtContent/>
      </w:sdt>
      <w:r>
        <w:rPr>
          <w:rFonts w:ascii="Times New Roman" w:eastAsia="Times New Roman" w:hAnsi="Times New Roman" w:cs="Times New Roman"/>
        </w:rPr>
        <w:t>For both players, the utility ordering of the game outcomes that makes fully sense of this interaction is a &gt; b &gt; c &gt; d. Indeed, each player can obtain the maximum payoff by exploiting the counterpart’s cooperation and taking advantage of it: if E continues logging (S-D) while NGO declares the intentions to negotiate and interrupts its market campaigns (S-C), E benefits from the interruption of reputational damages while it continues to carry on its activities doing business as usual. Similarly, if NGO cont</w:t>
      </w:r>
      <w:r>
        <w:rPr>
          <w:rFonts w:ascii="Times New Roman" w:eastAsia="Times New Roman" w:hAnsi="Times New Roman" w:cs="Times New Roman"/>
        </w:rPr>
        <w:t xml:space="preserve">inues market campaigns (S-D) while E at least temporarily reduces it logging activities, NGO gains in terms of its environmental objectives but it also continues obtaining visibility in the international scenario. Adopting a cooperative strategy for conflict de-escalation when the counterparty does the same, instead, results in a lower but still good </w:t>
      </w:r>
      <w:sdt>
        <w:sdtPr>
          <w:tag w:val="goog_rdk_15"/>
          <w:id w:val="1384691637"/>
        </w:sdtPr>
        <w:sdtEndPr/>
        <w:sdtContent/>
      </w:sdt>
      <w:r>
        <w:rPr>
          <w:rFonts w:ascii="Times New Roman" w:eastAsia="Times New Roman" w:hAnsi="Times New Roman" w:cs="Times New Roman"/>
        </w:rPr>
        <w:t xml:space="preserve">payoff, better than the outcomes of mutual defection. Finally, if a player gets exploited by the counterparty’s defection, the former gets the worst payoff as it has renounced its private objective while the other player continues its damaging activities. </w:t>
      </w:r>
    </w:p>
    <w:p w14:paraId="0000004B" w14:textId="77777777" w:rsidR="0056236A" w:rsidRDefault="0056236A">
      <w:pPr>
        <w:spacing w:line="360" w:lineRule="auto"/>
        <w:jc w:val="both"/>
        <w:rPr>
          <w:rFonts w:ascii="Times New Roman" w:eastAsia="Times New Roman" w:hAnsi="Times New Roman" w:cs="Times New Roman"/>
          <w:highlight w:val="yellow"/>
        </w:rPr>
      </w:pPr>
    </w:p>
    <w:p w14:paraId="0000004C" w14:textId="77777777" w:rsidR="0056236A" w:rsidRDefault="008A5BAE">
      <w:pPr>
        <w:spacing w:line="360" w:lineRule="auto"/>
        <w:jc w:val="both"/>
        <w:rPr>
          <w:rFonts w:ascii="Times New Roman" w:eastAsia="Times New Roman" w:hAnsi="Times New Roman" w:cs="Times New Roman"/>
          <w:i/>
          <w:iCs/>
          <w:highlight w:val="white"/>
        </w:rPr>
      </w:pPr>
      <w:r>
        <w:rPr>
          <w:rFonts w:ascii="Times New Roman" w:eastAsia="Times New Roman" w:hAnsi="Times New Roman" w:cs="Times New Roman"/>
          <w:highlight w:val="white"/>
        </w:rPr>
        <w:t xml:space="preserve">4.2 </w:t>
      </w:r>
      <w:r>
        <w:rPr>
          <w:rFonts w:ascii="Times New Roman" w:eastAsia="Times New Roman" w:hAnsi="Times New Roman" w:cs="Times New Roman"/>
          <w:i/>
          <w:iCs/>
          <w:highlight w:val="white"/>
        </w:rPr>
        <w:t>The subjective game model</w:t>
      </w:r>
    </w:p>
    <w:p w14:paraId="0000004D" w14:textId="77777777" w:rsidR="0056236A" w:rsidRDefault="008A5BAE">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However, this representation of the game might be more complex than what players can see and perform. </w:t>
      </w:r>
      <w:r>
        <w:t>I</w:t>
      </w:r>
      <w:r>
        <w:rPr>
          <w:rFonts w:ascii="Times New Roman" w:eastAsia="Times New Roman" w:hAnsi="Times New Roman" w:cs="Times New Roman"/>
        </w:rPr>
        <w:t xml:space="preserve">n his book </w:t>
      </w:r>
      <w:r>
        <w:rPr>
          <w:rFonts w:ascii="Times New Roman" w:eastAsia="Times New Roman" w:hAnsi="Times New Roman" w:cs="Times New Roman"/>
          <w:i/>
          <w:iCs/>
        </w:rPr>
        <w:t>Toward</w:t>
      </w:r>
      <w:r>
        <w:rPr>
          <w:rFonts w:ascii="Times New Roman" w:eastAsia="Times New Roman" w:hAnsi="Times New Roman" w:cs="Times New Roman"/>
          <w:i/>
          <w:iCs/>
        </w:rPr>
        <w:t xml:space="preserve"> Comparative Institutional Analysis</w:t>
      </w:r>
      <w:r>
        <w:rPr>
          <w:rFonts w:ascii="Times New Roman" w:eastAsia="Times New Roman" w:hAnsi="Times New Roman" w:cs="Times New Roman"/>
        </w:rPr>
        <w:t>, Masahiko Aoki (2001) starts from the idea that economic agents have only a “limited capacity of cognition, evaluation and calculation” (Aoki, 2001:205), by which they envision a subjective and compressed model of the game, that is a summary depiction of it where only subsets of conceivable actions for large games are displayed. Then, in an iterative process, this initial frame constrains or empowers the player's strategies, determining the resulting equilibrium selection</w:t>
      </w:r>
      <w:r>
        <w:rPr>
          <w:rFonts w:ascii="Times New Roman" w:eastAsia="Times New Roman" w:hAnsi="Times New Roman" w:cs="Times New Roman"/>
        </w:rPr>
        <w:t xml:space="preserve"> (Aoki, 2001; Cecchini Manara and Sacconi, 2019a). This conclusion reinforces the initial summary representation as long as it maintains an equilibrium. </w:t>
      </w:r>
    </w:p>
    <w:p w14:paraId="0000004E" w14:textId="77777777" w:rsidR="0056236A" w:rsidRDefault="008A5BAE">
      <w:pPr>
        <w:spacing w:line="360" w:lineRule="auto"/>
        <w:jc w:val="both"/>
        <w:rPr>
          <w:rFonts w:ascii="Times New Roman" w:eastAsia="Times New Roman" w:hAnsi="Times New Roman" w:cs="Times New Roman"/>
        </w:rPr>
      </w:pPr>
      <w:r>
        <w:rPr>
          <w:rFonts w:ascii="Times New Roman" w:eastAsia="Times New Roman" w:hAnsi="Times New Roman" w:cs="Times New Roman"/>
        </w:rPr>
        <w:t>However, if agents get new information or participate in collective action even from complementary choice arenas, this may activate a revision in the player’s frame and possibly ignite a new set of activities. In case this reassessment results in mutual coherence between the various frames of individual agents, which Aoki (2001:232) refers to as a “new common system of beliefs”, we have the foundation for a new organization. Thus, a new endogenous equilibrium state emerges because as a result of strategic c</w:t>
      </w:r>
      <w:r>
        <w:rPr>
          <w:rFonts w:ascii="Times New Roman" w:eastAsia="Times New Roman" w:hAnsi="Times New Roman" w:cs="Times New Roman"/>
        </w:rPr>
        <w:t>hoices made by agents who, by acting in accordance with these new shared beliefs, go through an equilibrium selection process, eventually achieving a state reaching a condition in which their actions combination replicates and maintains the equilibrium, i.e., a new institution. Therefore, the institution is self-sustaining as long as agents regard it as a substantial summary representation of behavior regularity, consistent with a given inter-subjective mental model of the game played in the domain. When ex</w:t>
      </w:r>
      <w:r>
        <w:rPr>
          <w:rFonts w:ascii="Times New Roman" w:eastAsia="Times New Roman" w:hAnsi="Times New Roman" w:cs="Times New Roman"/>
        </w:rPr>
        <w:t xml:space="preserve">ternal shocks, internal domain crises, capacity growth, or a </w:t>
      </w:r>
      <w:r>
        <w:rPr>
          <w:rFonts w:ascii="Times New Roman" w:eastAsia="Times New Roman" w:hAnsi="Times New Roman" w:cs="Times New Roman"/>
        </w:rPr>
        <w:lastRenderedPageBreak/>
        <w:t>combination of these disrupt the shared system of beliefs, agents may seek new avenues of activity. Because the latter may exist in dimensions that were previously inactive, the agent's search for new repertoires of action may lead to the discovery of a novel subjective frame. When this occurs for a large enough number of people, the survival of the old institution is jeopardized. Cognitive representations and choices of agents playing in a certai</w:t>
      </w:r>
      <w:r>
        <w:rPr>
          <w:rFonts w:ascii="Times New Roman" w:eastAsia="Times New Roman" w:hAnsi="Times New Roman" w:cs="Times New Roman"/>
        </w:rPr>
        <w:t xml:space="preserve">n domain can also be parametrically affected by prevailing institutions in other domains, without agents strategically coordinating their choices across them. Aoki (2001) refers to such interdependencies as institutional complementarities, claiming that they can drive agents to revise their perception of the game's structure and discover new ways of doing things, potentially leading to institutional innovation. </w:t>
      </w:r>
    </w:p>
    <w:p w14:paraId="0000004F" w14:textId="77777777" w:rsidR="0056236A" w:rsidRDefault="008A5BAE">
      <w:pPr>
        <w:spacing w:after="0" w:line="360" w:lineRule="auto"/>
        <w:jc w:val="both"/>
      </w:pPr>
      <w:r>
        <w:rPr>
          <w:rFonts w:ascii="Times New Roman" w:eastAsia="Times New Roman" w:hAnsi="Times New Roman" w:cs="Times New Roman"/>
        </w:rPr>
        <w:t xml:space="preserve">By applying Aoki's (2001) subjective games model and Cecchini Manara and Sacconi (2019) mini-game approach, we assume that agents have only subjective and restricted awareness of the game's </w:t>
      </w:r>
      <w:r>
        <w:rPr>
          <w:rFonts w:ascii="Times New Roman" w:eastAsia="Times New Roman" w:hAnsi="Times New Roman" w:cs="Times New Roman"/>
        </w:rPr>
        <w:t xml:space="preserve">objective structure. Due to cognitive limitations, they focus on specific mini-games based on their mental models.  This means that at any given time, players engage just a tiny fraction of technologically feasible actions and their combinations as "repertoires" (Dosi and Marengo, 1994 in Aoki, 2001). Indeed, the major game does include nine mini-games but only one of them is immediately visible to the participant. Recalling the theory according to which cognitive and motivational processes are intertwined </w:t>
      </w:r>
      <w:r>
        <w:rPr>
          <w:rFonts w:ascii="Times New Roman" w:eastAsia="Times New Roman" w:hAnsi="Times New Roman" w:cs="Times New Roman"/>
        </w:rPr>
        <w:t>to such a degree that they must be considered simultaneously and in close interaction with each other (Kruglanski et al., 2002 in Lindenberg and Foss, 2011), this subjective perception of the game (cfr. “mental models or constructs” in Denzau and North, 1994) works as a mental construct that guides motivations and behaviours.</w:t>
      </w:r>
    </w:p>
    <w:p w14:paraId="00000052" w14:textId="77777777" w:rsidR="0056236A" w:rsidRDefault="0056236A">
      <w:pPr>
        <w:spacing w:line="360" w:lineRule="auto"/>
        <w:jc w:val="both"/>
        <w:rPr>
          <w:rFonts w:ascii="Times New Roman" w:eastAsia="Times New Roman" w:hAnsi="Times New Roman" w:cs="Times New Roman"/>
        </w:rPr>
      </w:pPr>
    </w:p>
    <w:p w14:paraId="06072B0E" w14:textId="77777777" w:rsidR="00F71989" w:rsidRDefault="008A5BAE">
      <w:pPr>
        <w:spacing w:line="360" w:lineRule="auto"/>
        <w:jc w:val="both"/>
        <w:rPr>
          <w:rFonts w:ascii="Times New Roman" w:eastAsia="Times New Roman" w:hAnsi="Times New Roman" w:cs="Times New Roman"/>
          <w:i/>
          <w:iCs/>
        </w:rPr>
      </w:pPr>
      <w:r>
        <w:rPr>
          <w:rFonts w:ascii="Times New Roman" w:eastAsia="Times New Roman" w:hAnsi="Times New Roman" w:cs="Times New Roman"/>
        </w:rPr>
        <w:t xml:space="preserve">4.3 </w:t>
      </w:r>
      <w:r>
        <w:rPr>
          <w:rFonts w:ascii="Times New Roman" w:eastAsia="Times New Roman" w:hAnsi="Times New Roman" w:cs="Times New Roman"/>
          <w:i/>
          <w:iCs/>
        </w:rPr>
        <w:t xml:space="preserve">Stuck in conflict </w:t>
      </w:r>
    </w:p>
    <w:p w14:paraId="00000053" w14:textId="5C0B724E" w:rsidR="0056236A" w:rsidRDefault="008A5BAE">
      <w:pPr>
        <w:spacing w:line="360" w:lineRule="auto"/>
        <w:jc w:val="both"/>
        <w:rPr>
          <w:rFonts w:ascii="Times New Roman" w:eastAsia="Times New Roman" w:hAnsi="Times New Roman" w:cs="Times New Roman"/>
        </w:rPr>
      </w:pPr>
      <w:r>
        <w:rPr>
          <w:rFonts w:ascii="Times New Roman" w:eastAsia="Times New Roman" w:hAnsi="Times New Roman" w:cs="Times New Roman"/>
        </w:rPr>
        <w:t>If we look at the case study, in the first phase players seem to have in mind a simplified view of the game that resembles a Prisoner Dilemma (PD) - see Figure 1.1. Indeed, the parties could potentially reach a mutually advantageous deal on some terms of compromise between their preferences, such as agreeing that NGO stops campaigning against logging industries and damaging their reputation, and E reduces the harvesting rate and agrees to adopt a more sustainable way of managing the forest, until a final ag</w:t>
      </w:r>
      <w:r>
        <w:rPr>
          <w:rFonts w:ascii="Times New Roman" w:eastAsia="Times New Roman" w:hAnsi="Times New Roman" w:cs="Times New Roman"/>
        </w:rPr>
        <w:t xml:space="preserve">reement is reached. </w:t>
      </w:r>
    </w:p>
    <w:p w14:paraId="00000054" w14:textId="77777777" w:rsidR="0056236A" w:rsidRDefault="0056236A">
      <w:pPr>
        <w:spacing w:after="0" w:line="360" w:lineRule="auto"/>
        <w:jc w:val="both"/>
        <w:rPr>
          <w:rFonts w:ascii="Times New Roman" w:eastAsia="Times New Roman" w:hAnsi="Times New Roman" w:cs="Times New Roman"/>
        </w:rPr>
      </w:pPr>
    </w:p>
    <w:p w14:paraId="00000055" w14:textId="77777777" w:rsidR="0056236A" w:rsidRDefault="0056236A">
      <w:pPr>
        <w:spacing w:after="0" w:line="360" w:lineRule="auto"/>
        <w:jc w:val="both"/>
        <w:rPr>
          <w:rFonts w:ascii="Times New Roman" w:eastAsia="Times New Roman" w:hAnsi="Times New Roman" w:cs="Times New Roman"/>
        </w:rPr>
      </w:pPr>
    </w:p>
    <w:p w14:paraId="00000056" w14:textId="77777777" w:rsidR="0056236A" w:rsidRDefault="0056236A">
      <w:pPr>
        <w:spacing w:after="0" w:line="360" w:lineRule="auto"/>
        <w:jc w:val="both"/>
        <w:rPr>
          <w:rFonts w:ascii="Times New Roman" w:eastAsia="Times New Roman" w:hAnsi="Times New Roman" w:cs="Times New Roman"/>
        </w:rPr>
      </w:pPr>
    </w:p>
    <w:sdt>
      <w:sdtPr>
        <w:tag w:val="goog_rdk_18"/>
        <w:id w:val="1547207385"/>
        <w:lock w:val="contentLocked"/>
      </w:sdtPr>
      <w:sdtEndPr/>
      <w:sdtContent>
        <w:tbl>
          <w:tblPr>
            <w:tblStyle w:val="a0"/>
            <w:tblpPr w:leftFromText="180" w:rightFromText="180" w:topFromText="180" w:bottomFromText="180" w:vertAnchor="text" w:tblpX="2630"/>
            <w:tblW w:w="45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5"/>
            <w:gridCol w:w="1230"/>
            <w:gridCol w:w="1110"/>
            <w:gridCol w:w="1080"/>
          </w:tblGrid>
          <w:tr w:rsidR="0056236A" w14:paraId="7A3D1068" w14:textId="77777777">
            <w:tc>
              <w:tcPr>
                <w:tcW w:w="1155" w:type="dxa"/>
              </w:tcPr>
              <w:p w14:paraId="00000057" w14:textId="77777777" w:rsidR="0056236A" w:rsidRDefault="008A5BAE">
                <w:pPr>
                  <w:widowControl w:val="0"/>
                  <w:spacing w:after="0" w:line="360" w:lineRule="auto"/>
                  <w:jc w:val="right"/>
                  <w:rPr>
                    <w:rFonts w:ascii="Times New Roman" w:eastAsia="Times New Roman" w:hAnsi="Times New Roman" w:cs="Times New Roman"/>
                  </w:rPr>
                </w:pPr>
                <w:r>
                  <w:rPr>
                    <w:rFonts w:ascii="Times New Roman" w:eastAsia="Times New Roman" w:hAnsi="Times New Roman" w:cs="Times New Roman"/>
                  </w:rPr>
                  <w:t xml:space="preserve">     E</w:t>
                </w:r>
              </w:p>
              <w:p w14:paraId="00000058" w14:textId="77777777" w:rsidR="0056236A" w:rsidRDefault="008A5BAE">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NGO</w:t>
                </w:r>
              </w:p>
            </w:tc>
            <w:tc>
              <w:tcPr>
                <w:tcW w:w="1230" w:type="dxa"/>
              </w:tcPr>
              <w:p w14:paraId="00000059"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N</w:t>
                </w:r>
              </w:p>
            </w:tc>
            <w:tc>
              <w:tcPr>
                <w:tcW w:w="1110" w:type="dxa"/>
              </w:tcPr>
              <w:p w14:paraId="0000005A"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SC</w:t>
                </w:r>
              </w:p>
            </w:tc>
            <w:tc>
              <w:tcPr>
                <w:tcW w:w="1080" w:type="dxa"/>
              </w:tcPr>
              <w:p w14:paraId="0000005B"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SD</w:t>
                </w:r>
              </w:p>
            </w:tc>
          </w:tr>
          <w:tr w:rsidR="0056236A" w14:paraId="13AB50EF" w14:textId="77777777">
            <w:tc>
              <w:tcPr>
                <w:tcW w:w="1155" w:type="dxa"/>
              </w:tcPr>
              <w:p w14:paraId="0000005C"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N</w:t>
                </w:r>
              </w:p>
            </w:tc>
            <w:tc>
              <w:tcPr>
                <w:tcW w:w="1230" w:type="dxa"/>
              </w:tcPr>
              <w:p w14:paraId="0000005D"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c,c</w:t>
                </w:r>
              </w:p>
            </w:tc>
            <w:tc>
              <w:tcPr>
                <w:tcW w:w="1110" w:type="dxa"/>
              </w:tcPr>
              <w:p w14:paraId="0000005E"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c,d</w:t>
                </w:r>
              </w:p>
            </w:tc>
            <w:tc>
              <w:tcPr>
                <w:tcW w:w="1080" w:type="dxa"/>
              </w:tcPr>
              <w:p w14:paraId="0000005F"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c,c</w:t>
                </w:r>
              </w:p>
            </w:tc>
          </w:tr>
          <w:tr w:rsidR="0056236A" w14:paraId="2E4C8AB6" w14:textId="77777777">
            <w:tc>
              <w:tcPr>
                <w:tcW w:w="1155" w:type="dxa"/>
              </w:tcPr>
              <w:p w14:paraId="00000060"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SC</w:t>
                </w:r>
              </w:p>
            </w:tc>
            <w:tc>
              <w:tcPr>
                <w:tcW w:w="1230" w:type="dxa"/>
              </w:tcPr>
              <w:p w14:paraId="00000061"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d,c</w:t>
                </w:r>
              </w:p>
            </w:tc>
            <w:tc>
              <w:tcPr>
                <w:tcW w:w="1110" w:type="dxa"/>
                <w:shd w:val="clear" w:color="auto" w:fill="00FF00"/>
              </w:tcPr>
              <w:p w14:paraId="00000062"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b,b</w:t>
                </w:r>
              </w:p>
            </w:tc>
            <w:tc>
              <w:tcPr>
                <w:tcW w:w="1080" w:type="dxa"/>
                <w:shd w:val="clear" w:color="auto" w:fill="00FF00"/>
              </w:tcPr>
              <w:p w14:paraId="00000063"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d,a</w:t>
                </w:r>
              </w:p>
            </w:tc>
          </w:tr>
          <w:tr w:rsidR="0056236A" w14:paraId="49723033" w14:textId="77777777">
            <w:tc>
              <w:tcPr>
                <w:tcW w:w="1155" w:type="dxa"/>
              </w:tcPr>
              <w:p w14:paraId="00000064"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SD</w:t>
                </w:r>
              </w:p>
            </w:tc>
            <w:tc>
              <w:tcPr>
                <w:tcW w:w="1230" w:type="dxa"/>
              </w:tcPr>
              <w:p w14:paraId="00000065"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c,c</w:t>
                </w:r>
              </w:p>
            </w:tc>
            <w:tc>
              <w:tcPr>
                <w:tcW w:w="1110" w:type="dxa"/>
                <w:shd w:val="clear" w:color="auto" w:fill="00FF00"/>
              </w:tcPr>
              <w:p w14:paraId="00000066"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a,d</w:t>
                </w:r>
              </w:p>
            </w:tc>
            <w:tc>
              <w:tcPr>
                <w:tcW w:w="1080" w:type="dxa"/>
                <w:shd w:val="clear" w:color="auto" w:fill="00FF00"/>
              </w:tcPr>
              <w:p w14:paraId="00000067"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c,c</w:t>
                </w:r>
              </w:p>
            </w:tc>
          </w:tr>
        </w:tbl>
      </w:sdtContent>
    </w:sdt>
    <w:p w14:paraId="00000068" w14:textId="77777777" w:rsidR="0056236A" w:rsidRDefault="0056236A">
      <w:pPr>
        <w:spacing w:after="0" w:line="360" w:lineRule="auto"/>
        <w:jc w:val="center"/>
        <w:rPr>
          <w:rFonts w:ascii="Times New Roman" w:eastAsia="Times New Roman" w:hAnsi="Times New Roman" w:cs="Times New Roman"/>
        </w:rPr>
      </w:pPr>
    </w:p>
    <w:p w14:paraId="00000069" w14:textId="77777777" w:rsidR="0056236A" w:rsidRDefault="0056236A">
      <w:pPr>
        <w:spacing w:after="0" w:line="360" w:lineRule="auto"/>
        <w:jc w:val="center"/>
        <w:rPr>
          <w:rFonts w:ascii="Times New Roman" w:eastAsia="Times New Roman" w:hAnsi="Times New Roman" w:cs="Times New Roman"/>
        </w:rPr>
      </w:pPr>
    </w:p>
    <w:p w14:paraId="0000006A" w14:textId="77777777" w:rsidR="0056236A" w:rsidRDefault="0056236A">
      <w:pPr>
        <w:spacing w:after="0" w:line="360" w:lineRule="auto"/>
        <w:jc w:val="center"/>
        <w:rPr>
          <w:rFonts w:ascii="Times New Roman" w:eastAsia="Times New Roman" w:hAnsi="Times New Roman" w:cs="Times New Roman"/>
        </w:rPr>
      </w:pPr>
    </w:p>
    <w:p w14:paraId="0000006B" w14:textId="77777777" w:rsidR="0056236A" w:rsidRDefault="0056236A">
      <w:pPr>
        <w:spacing w:after="0" w:line="360" w:lineRule="auto"/>
        <w:jc w:val="center"/>
        <w:rPr>
          <w:rFonts w:ascii="Times New Roman" w:eastAsia="Times New Roman" w:hAnsi="Times New Roman" w:cs="Times New Roman"/>
        </w:rPr>
      </w:pPr>
    </w:p>
    <w:p w14:paraId="0000006C" w14:textId="77777777" w:rsidR="0056236A" w:rsidRDefault="0056236A">
      <w:pPr>
        <w:spacing w:after="0" w:line="360" w:lineRule="auto"/>
        <w:jc w:val="center"/>
        <w:rPr>
          <w:rFonts w:ascii="Times New Roman" w:eastAsia="Times New Roman" w:hAnsi="Times New Roman" w:cs="Times New Roman"/>
        </w:rPr>
      </w:pPr>
    </w:p>
    <w:p w14:paraId="0000006D" w14:textId="77777777" w:rsidR="0056236A" w:rsidRDefault="0056236A">
      <w:pPr>
        <w:spacing w:after="0" w:line="360" w:lineRule="auto"/>
        <w:jc w:val="center"/>
        <w:rPr>
          <w:rFonts w:ascii="Times New Roman" w:eastAsia="Times New Roman" w:hAnsi="Times New Roman" w:cs="Times New Roman"/>
        </w:rPr>
      </w:pPr>
    </w:p>
    <w:p w14:paraId="0000006E" w14:textId="77777777" w:rsidR="0056236A" w:rsidRDefault="0056236A">
      <w:pPr>
        <w:spacing w:after="0" w:line="360" w:lineRule="auto"/>
        <w:jc w:val="center"/>
        <w:rPr>
          <w:rFonts w:ascii="Times New Roman" w:eastAsia="Times New Roman" w:hAnsi="Times New Roman" w:cs="Times New Roman"/>
        </w:rPr>
      </w:pPr>
    </w:p>
    <w:p w14:paraId="0000006F" w14:textId="77777777" w:rsidR="0056236A" w:rsidRDefault="0056236A">
      <w:pPr>
        <w:spacing w:after="0" w:line="360" w:lineRule="auto"/>
        <w:jc w:val="center"/>
        <w:rPr>
          <w:rFonts w:ascii="Times New Roman" w:eastAsia="Times New Roman" w:hAnsi="Times New Roman" w:cs="Times New Roman"/>
        </w:rPr>
      </w:pPr>
    </w:p>
    <w:p w14:paraId="00000070" w14:textId="77777777" w:rsidR="0056236A" w:rsidRDefault="008A5BAE">
      <w:pPr>
        <w:spacing w:after="0" w:line="360" w:lineRule="auto"/>
        <w:jc w:val="center"/>
        <w:rPr>
          <w:rFonts w:ascii="Times New Roman" w:eastAsia="Times New Roman" w:hAnsi="Times New Roman" w:cs="Times New Roman"/>
          <w:highlight w:val="yellow"/>
        </w:rPr>
      </w:pPr>
      <w:sdt>
        <w:sdtPr>
          <w:tag w:val="goog_rdk_19"/>
          <w:id w:val="1144018339"/>
        </w:sdtPr>
        <w:sdtEndPr/>
        <w:sdtContent/>
      </w:sdt>
      <w:r>
        <w:rPr>
          <w:rFonts w:ascii="Times New Roman" w:eastAsia="Times New Roman" w:hAnsi="Times New Roman" w:cs="Times New Roman"/>
        </w:rPr>
        <w:t>Figure 1.1</w:t>
      </w:r>
    </w:p>
    <w:p w14:paraId="00000071" w14:textId="77777777" w:rsidR="0056236A" w:rsidRDefault="0056236A">
      <w:pPr>
        <w:spacing w:line="360" w:lineRule="auto"/>
        <w:jc w:val="both"/>
        <w:rPr>
          <w:rFonts w:ascii="Times New Roman" w:eastAsia="Times New Roman" w:hAnsi="Times New Roman" w:cs="Times New Roman"/>
        </w:rPr>
      </w:pPr>
    </w:p>
    <w:p w14:paraId="00000072" w14:textId="77777777" w:rsidR="0056236A" w:rsidRDefault="008A5BAE">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However, at first, each player has a </w:t>
      </w:r>
      <w:r>
        <w:rPr>
          <w:rFonts w:ascii="Times New Roman" w:eastAsia="Times New Roman" w:hAnsi="Times New Roman" w:cs="Times New Roman"/>
        </w:rPr>
        <w:t>specific representation of the game in mind, according to which it would benefit from entering the agreement but then defecting and abusing the other’s cooperation. E has been profiting from breaching claims of compliance with specific environmental and social norms, whilst NGO has been taking advantage from criticizing business organizations through mobilization and boycotting actions. Thus, they both believe it is more advantageous to defect unilaterally and benefit from the other's cooperation as in a PD</w:t>
      </w:r>
      <w:r>
        <w:rPr>
          <w:rFonts w:ascii="Times New Roman" w:eastAsia="Times New Roman" w:hAnsi="Times New Roman" w:cs="Times New Roman"/>
        </w:rPr>
        <w:t xml:space="preserve">, not least since they have no prior experience with fulfilled agreements and neither external restrictions nor endogenous motivations would compel them to conform. For instance, E perceives it could profit by continuing logging if NGO anyway suspend or stop market campaigns, as the customers will be unaware of it and there would be no fallout on their reputation. NGO, for its part, might benefit from continuing lobbying against E in the international market, even though E renounces part of its logging </w:t>
      </w:r>
      <w:r>
        <w:rPr>
          <w:rFonts w:ascii="Times New Roman" w:eastAsia="Times New Roman" w:hAnsi="Times New Roman" w:cs="Times New Roman"/>
          <w:highlight w:val="white"/>
        </w:rPr>
        <w:t>acti</w:t>
      </w:r>
      <w:r>
        <w:rPr>
          <w:rFonts w:ascii="Times New Roman" w:eastAsia="Times New Roman" w:hAnsi="Times New Roman" w:cs="Times New Roman"/>
          <w:highlight w:val="white"/>
        </w:rPr>
        <w:t>vities, as this would increase the visibility of NGO’s activities.  Indeed, both players</w:t>
      </w:r>
      <w:sdt>
        <w:sdtPr>
          <w:tag w:val="goog_rdk_20"/>
          <w:id w:val="-1025930843"/>
        </w:sdtPr>
        <w:sdtEndPr/>
        <w:sdtContent/>
      </w:sdt>
      <w:r>
        <w:rPr>
          <w:rFonts w:ascii="Times New Roman" w:eastAsia="Times New Roman" w:hAnsi="Times New Roman" w:cs="Times New Roman"/>
          <w:highlight w:val="white"/>
        </w:rPr>
        <w:t xml:space="preserve"> consider this a feasible strategy, as other market actors like intermediate customers have not yet developed the capacity to fully discern credible information on NGO’s lobbying campaigns or E’ s logging activities, i.e., whether they publicly declare the intention to cooperate but then they defect. T</w:t>
      </w:r>
      <w:r>
        <w:rPr>
          <w:rFonts w:ascii="Times New Roman" w:eastAsia="Times New Roman" w:hAnsi="Times New Roman" w:cs="Times New Roman"/>
        </w:rPr>
        <w:t>hus, even if the other party defects, it is more convenient for each player to defect too rather than to cooperate, as cooperating would entail incurring the cost of modifying one own’s strategy while receivin</w:t>
      </w:r>
      <w:r>
        <w:rPr>
          <w:rFonts w:ascii="Times New Roman" w:eastAsia="Times New Roman" w:hAnsi="Times New Roman" w:cs="Times New Roman"/>
        </w:rPr>
        <w:t>g no gain from the counterparty’s cooperation. Indeed, E would reduce logging while still suffering the consequences of NGO’s market campaigns, whereas NGO would halt or discontinue campaigning without E changing its harvesting plans and tactics. Thus, according to their mental representation, the parties have two possible strategies, namely to declare the intention to cooperate and discuss an agreement and then (i) either complying with this intention or (ii) c</w:t>
      </w:r>
      <w:r>
        <w:rPr>
          <w:rFonts w:ascii="Times New Roman" w:eastAsia="Times New Roman" w:hAnsi="Times New Roman" w:cs="Times New Roman"/>
          <w:highlight w:val="white"/>
        </w:rPr>
        <w:t>ontinuing the status quo. Moreover, as they co</w:t>
      </w:r>
      <w:r>
        <w:rPr>
          <w:rFonts w:ascii="Times New Roman" w:eastAsia="Times New Roman" w:hAnsi="Times New Roman" w:cs="Times New Roman"/>
          <w:highlight w:val="white"/>
        </w:rPr>
        <w:t xml:space="preserve">nsider unilateral defection both feasible and advantageous at this stage, </w:t>
      </w:r>
      <w:r>
        <w:rPr>
          <w:rFonts w:ascii="Times New Roman" w:eastAsia="Times New Roman" w:hAnsi="Times New Roman" w:cs="Times New Roman"/>
        </w:rPr>
        <w:t xml:space="preserve">defecting is the only rational behavior for both players regardless of what the other player does. It results that </w:t>
      </w:r>
      <w:r>
        <w:rPr>
          <w:rFonts w:ascii="Times New Roman" w:eastAsia="Times New Roman" w:hAnsi="Times New Roman" w:cs="Times New Roman"/>
        </w:rPr>
        <w:lastRenderedPageBreak/>
        <w:t xml:space="preserve">(D;D) is the only equilibrium in dominant strategies even when a more mutually advantageous agreement is achievable by playing (C;C). </w:t>
      </w:r>
    </w:p>
    <w:p w14:paraId="00000073" w14:textId="77777777" w:rsidR="0056236A" w:rsidRDefault="008A5BAE">
      <w:pPr>
        <w:spacing w:line="360" w:lineRule="auto"/>
        <w:jc w:val="both"/>
        <w:rPr>
          <w:rFonts w:ascii="Times New Roman" w:eastAsia="Times New Roman" w:hAnsi="Times New Roman" w:cs="Times New Roman"/>
          <w:highlight w:val="white"/>
        </w:rPr>
      </w:pPr>
      <w:r>
        <w:rPr>
          <w:rFonts w:ascii="Times New Roman" w:eastAsia="Times New Roman" w:hAnsi="Times New Roman" w:cs="Times New Roman"/>
        </w:rPr>
        <w:t>It is therefore evident that, if this is a fixed game as neoclassical economic theory would assume, there would be no way out of the conflict and parties would be stuck in mutual defection. However, the case-study itself tells a different story. Possibly, this can be explained through the subjective game models (Aoki, 2001; Cecchini Manara and Sacconi, 2019) as the outcome of a shift in the players’ view of the game, which has resulted in changing motivations.</w:t>
      </w:r>
      <w:r>
        <w:rPr>
          <w:rFonts w:ascii="Times New Roman" w:eastAsia="Times New Roman" w:hAnsi="Times New Roman" w:cs="Times New Roman"/>
          <w:highlight w:val="white"/>
        </w:rPr>
        <w:t xml:space="preserve"> By assumption, we consider that parties have access to the same information so that, for symmetrical information, there is an analogous change of frame. Appendix A1 depicts all the different small-framed games that could become apparent through other simplified concepts.</w:t>
      </w:r>
    </w:p>
    <w:p w14:paraId="00000074" w14:textId="77777777" w:rsidR="0056236A" w:rsidRDefault="008A5BAE">
      <w:pPr>
        <w:spacing w:line="36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4.4 </w:t>
      </w:r>
      <w:r>
        <w:rPr>
          <w:rFonts w:ascii="Times New Roman" w:eastAsia="Times New Roman" w:hAnsi="Times New Roman" w:cs="Times New Roman"/>
          <w:i/>
          <w:iCs/>
        </w:rPr>
        <w:t>Changing cognitions, changing frames, changing motivations</w:t>
      </w:r>
    </w:p>
    <w:p w14:paraId="00000075" w14:textId="77777777" w:rsidR="0056236A" w:rsidRDefault="008A5BAE">
      <w:pPr>
        <w:spacing w:after="0" w:line="360" w:lineRule="auto"/>
        <w:jc w:val="both"/>
        <w:rPr>
          <w:rFonts w:ascii="Times New Roman" w:eastAsia="Times New Roman" w:hAnsi="Times New Roman" w:cs="Times New Roman"/>
          <w:color w:val="4A86E8"/>
        </w:rPr>
      </w:pPr>
      <w:r>
        <w:rPr>
          <w:rFonts w:ascii="Times New Roman" w:eastAsia="Times New Roman" w:hAnsi="Times New Roman" w:cs="Times New Roman"/>
        </w:rPr>
        <w:t>According to Aoki, agents are induced to change their mental frame of the game and thus</w:t>
      </w:r>
      <w:sdt>
        <w:sdtPr>
          <w:tag w:val="goog_rdk_21"/>
          <w:id w:val="-1423791393"/>
        </w:sdtPr>
        <w:sdtEndPr/>
        <w:sdtContent/>
      </w:sdt>
      <w:r w:rsidRPr="00480671">
        <w:rPr>
          <w:rFonts w:ascii="Times New Roman" w:eastAsia="Times New Roman" w:hAnsi="Times New Roman" w:cs="Times New Roman"/>
        </w:rPr>
        <w:t xml:space="preserve"> discover new ways of doing things</w:t>
      </w:r>
      <w:r>
        <w:rPr>
          <w:rFonts w:ascii="Times New Roman" w:eastAsia="Times New Roman" w:hAnsi="Times New Roman" w:cs="Times New Roman"/>
        </w:rPr>
        <w:t xml:space="preserve"> mostly because of deep environmental shocks, internal crises, or a mix of both. In the GBR case, a turning point occurred in 1999, when a delegation of German papermakers and magazine publishers - invited and accompanied by NGOs - visited the active logging sites and the FNs. After the visit, they threatened the cancellation of contracts with E if a solution to the conflict was not found (Armstrong, 2009; Saakiroski et al., 2013).</w:t>
      </w:r>
      <w:r>
        <w:t xml:space="preserve"> </w:t>
      </w:r>
    </w:p>
    <w:p w14:paraId="00000076" w14:textId="77777777" w:rsidR="0056236A" w:rsidRDefault="0056236A">
      <w:pPr>
        <w:spacing w:after="0" w:line="360" w:lineRule="auto"/>
        <w:jc w:val="both"/>
        <w:rPr>
          <w:rFonts w:ascii="Times New Roman" w:eastAsia="Times New Roman" w:hAnsi="Times New Roman" w:cs="Times New Roman"/>
        </w:rPr>
      </w:pPr>
    </w:p>
    <w:p w14:paraId="00000077" w14:textId="77777777" w:rsidR="0056236A" w:rsidRDefault="008A5BAE">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Thus, mobilizations, market campaigns, and lobbying starts reducing the interpretative clarity of the game as a PD, leading the parties to update their subjective frames. Indeed, a new prevalent belief emerges that it was inconvenient to unilaterally defect and exploit counterparty's cooperation. Indeed, NGOs' efforts in foreign markets gain increasing influence not only among the general public but also among the corporate community, compromising E’s reputation and market ties with intermediary clients. As</w:t>
      </w:r>
      <w:r>
        <w:rPr>
          <w:rFonts w:ascii="Times New Roman" w:eastAsia="Times New Roman" w:hAnsi="Times New Roman" w:cs="Times New Roman"/>
        </w:rPr>
        <w:t xml:space="preserve"> a result, E starts to consider increasingly difficult to implement the defection strategy, i.e., finding intermediate customers willing to buy the excess wood at the same price, as the latter would fear to be criticized too for being implicated in irresponsible conduct. Possibly, E might find alternative buyers and markets, but this might entail legal sanctions and bad reputational effects and, therefore, a reduced profit. Thus, successful unilateral defection becomes nearly impossible, up to the point tha</w:t>
      </w:r>
      <w:r>
        <w:rPr>
          <w:rFonts w:ascii="Times New Roman" w:eastAsia="Times New Roman" w:hAnsi="Times New Roman" w:cs="Times New Roman"/>
        </w:rPr>
        <w:t xml:space="preserve">t E sees no difference between unilateral defection (S-D), and simply staying out of it and going on alone without trying to deceive the interlocutors (N). Indeed, the latter appear to be capable of draining the benefits of deceit through the effects of boycotting campaigns across the entire supply chain. On its part, NGO starts feeling that predatory costs for market campaigns are increasing but targeting all business companies operating in the area without differentiation based on their conduct </w:t>
      </w:r>
      <w:r>
        <w:rPr>
          <w:rFonts w:ascii="Times New Roman" w:eastAsia="Times New Roman" w:hAnsi="Times New Roman" w:cs="Times New Roman"/>
        </w:rPr>
        <w:lastRenderedPageBreak/>
        <w:t xml:space="preserve">could not </w:t>
      </w:r>
      <w:r>
        <w:rPr>
          <w:rFonts w:ascii="Times New Roman" w:eastAsia="Times New Roman" w:hAnsi="Times New Roman" w:cs="Times New Roman"/>
        </w:rPr>
        <w:t>bring the expected results. Indeed, intermediate customers are more and more aware of the situation, and better able to distinguish reliable information. Moreover, NGO starts to understand that E would probably accept to revise and adjust its harvesting plans only in exchange for a halt to market campaigns that damage its reputation; otherwise, there will be no market effect.</w:t>
      </w:r>
      <w:r>
        <w:rPr>
          <w:rFonts w:ascii="Times New Roman" w:eastAsia="Times New Roman" w:hAnsi="Times New Roman" w:cs="Times New Roman"/>
        </w:rPr>
        <w:br/>
      </w:r>
    </w:p>
    <w:p w14:paraId="00000078" w14:textId="77777777" w:rsidR="0056236A" w:rsidRDefault="008A5BAE">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In conclusion, the changing international framework brings the parties to see a different mini-game, where each of them can either enter the agreement and try to obtain the associated benefits or, if it does not trust the counterparty, it can stay out from any negotiation table. Thus, unilateral defection is no longer as viable and convenient a strategy as it used to be: it looses salience (Schelling, </w:t>
      </w:r>
      <w:r>
        <w:rPr>
          <w:rFonts w:ascii="Times New Roman" w:eastAsia="Times New Roman" w:hAnsi="Times New Roman" w:cs="Times New Roman"/>
          <w:highlight w:val="yellow"/>
        </w:rPr>
        <w:t>xxxx</w:t>
      </w:r>
      <w:r>
        <w:rPr>
          <w:rFonts w:ascii="Times New Roman" w:eastAsia="Times New Roman" w:hAnsi="Times New Roman" w:cs="Times New Roman"/>
        </w:rPr>
        <w:t xml:space="preserve">) - Figure 1.2. </w:t>
      </w:r>
    </w:p>
    <w:p w14:paraId="00000079" w14:textId="77777777" w:rsidR="0056236A" w:rsidRDefault="0056236A">
      <w:pPr>
        <w:spacing w:after="0" w:line="360" w:lineRule="auto"/>
        <w:jc w:val="both"/>
        <w:rPr>
          <w:rFonts w:ascii="Times New Roman" w:eastAsia="Times New Roman" w:hAnsi="Times New Roman" w:cs="Times New Roman"/>
        </w:rPr>
      </w:pPr>
    </w:p>
    <w:sdt>
      <w:sdtPr>
        <w:tag w:val="goog_rdk_22"/>
        <w:id w:val="296719211"/>
        <w:lock w:val="contentLocked"/>
      </w:sdtPr>
      <w:sdtEndPr/>
      <w:sdtContent>
        <w:tbl>
          <w:tblPr>
            <w:tblStyle w:val="a1"/>
            <w:tblpPr w:leftFromText="180" w:rightFromText="180" w:topFromText="180" w:bottomFromText="180" w:vertAnchor="text" w:tblpX="2480"/>
            <w:tblW w:w="45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5"/>
            <w:gridCol w:w="1230"/>
            <w:gridCol w:w="1110"/>
            <w:gridCol w:w="1080"/>
          </w:tblGrid>
          <w:tr w:rsidR="0056236A" w14:paraId="1D5E5845" w14:textId="77777777">
            <w:tc>
              <w:tcPr>
                <w:tcW w:w="1155" w:type="dxa"/>
              </w:tcPr>
              <w:p w14:paraId="0000007A" w14:textId="77777777" w:rsidR="0056236A" w:rsidRDefault="008A5BAE">
                <w:pPr>
                  <w:widowControl w:val="0"/>
                  <w:spacing w:after="0" w:line="360" w:lineRule="auto"/>
                  <w:jc w:val="right"/>
                  <w:rPr>
                    <w:rFonts w:ascii="Times New Roman" w:eastAsia="Times New Roman" w:hAnsi="Times New Roman" w:cs="Times New Roman"/>
                  </w:rPr>
                </w:pPr>
                <w:r>
                  <w:rPr>
                    <w:rFonts w:ascii="Times New Roman" w:eastAsia="Times New Roman" w:hAnsi="Times New Roman" w:cs="Times New Roman"/>
                  </w:rPr>
                  <w:t xml:space="preserve">     E</w:t>
                </w:r>
              </w:p>
              <w:p w14:paraId="0000007B" w14:textId="77777777" w:rsidR="0056236A" w:rsidRDefault="008A5BAE">
                <w:pPr>
                  <w:widowControl w:val="0"/>
                  <w:spacing w:after="0" w:line="360" w:lineRule="auto"/>
                  <w:rPr>
                    <w:rFonts w:ascii="Times New Roman" w:eastAsia="Times New Roman" w:hAnsi="Times New Roman" w:cs="Times New Roman"/>
                  </w:rPr>
                </w:pPr>
                <w:r>
                  <w:rPr>
                    <w:rFonts w:ascii="Times New Roman" w:eastAsia="Times New Roman" w:hAnsi="Times New Roman" w:cs="Times New Roman"/>
                  </w:rPr>
                  <w:t>NGO</w:t>
                </w:r>
              </w:p>
            </w:tc>
            <w:tc>
              <w:tcPr>
                <w:tcW w:w="1230" w:type="dxa"/>
              </w:tcPr>
              <w:p w14:paraId="0000007C"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N</w:t>
                </w:r>
              </w:p>
            </w:tc>
            <w:tc>
              <w:tcPr>
                <w:tcW w:w="1110" w:type="dxa"/>
              </w:tcPr>
              <w:p w14:paraId="0000007D"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SC</w:t>
                </w:r>
              </w:p>
            </w:tc>
            <w:tc>
              <w:tcPr>
                <w:tcW w:w="1080" w:type="dxa"/>
              </w:tcPr>
              <w:p w14:paraId="0000007E"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SD</w:t>
                </w:r>
              </w:p>
            </w:tc>
          </w:tr>
          <w:tr w:rsidR="0056236A" w14:paraId="476CFFFF" w14:textId="77777777">
            <w:tc>
              <w:tcPr>
                <w:tcW w:w="1155" w:type="dxa"/>
              </w:tcPr>
              <w:p w14:paraId="0000007F"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N</w:t>
                </w:r>
              </w:p>
            </w:tc>
            <w:tc>
              <w:tcPr>
                <w:tcW w:w="1230" w:type="dxa"/>
                <w:shd w:val="clear" w:color="auto" w:fill="00FF00"/>
              </w:tcPr>
              <w:p w14:paraId="00000080"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c,c</w:t>
                </w:r>
              </w:p>
            </w:tc>
            <w:tc>
              <w:tcPr>
                <w:tcW w:w="1110" w:type="dxa"/>
                <w:shd w:val="clear" w:color="auto" w:fill="00FF00"/>
              </w:tcPr>
              <w:p w14:paraId="00000081"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c,d</w:t>
                </w:r>
              </w:p>
            </w:tc>
            <w:tc>
              <w:tcPr>
                <w:tcW w:w="1080" w:type="dxa"/>
              </w:tcPr>
              <w:p w14:paraId="00000082"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c,c</w:t>
                </w:r>
              </w:p>
            </w:tc>
          </w:tr>
          <w:tr w:rsidR="0056236A" w14:paraId="3BA5A491" w14:textId="77777777">
            <w:tc>
              <w:tcPr>
                <w:tcW w:w="1155" w:type="dxa"/>
              </w:tcPr>
              <w:p w14:paraId="00000083"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SC</w:t>
                </w:r>
              </w:p>
            </w:tc>
            <w:tc>
              <w:tcPr>
                <w:tcW w:w="1230" w:type="dxa"/>
                <w:shd w:val="clear" w:color="auto" w:fill="00FF00"/>
              </w:tcPr>
              <w:p w14:paraId="00000084"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d,c</w:t>
                </w:r>
              </w:p>
            </w:tc>
            <w:tc>
              <w:tcPr>
                <w:tcW w:w="1110" w:type="dxa"/>
                <w:shd w:val="clear" w:color="auto" w:fill="00FF00"/>
              </w:tcPr>
              <w:p w14:paraId="00000085"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b,b</w:t>
                </w:r>
              </w:p>
            </w:tc>
            <w:tc>
              <w:tcPr>
                <w:tcW w:w="1080" w:type="dxa"/>
                <w:shd w:val="clear" w:color="auto" w:fill="FFFFFF"/>
              </w:tcPr>
              <w:p w14:paraId="00000086"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d,a</w:t>
                </w:r>
              </w:p>
            </w:tc>
          </w:tr>
          <w:tr w:rsidR="0056236A" w14:paraId="5CA71ABA" w14:textId="77777777">
            <w:tc>
              <w:tcPr>
                <w:tcW w:w="1155" w:type="dxa"/>
              </w:tcPr>
              <w:p w14:paraId="00000087"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SD</w:t>
                </w:r>
              </w:p>
            </w:tc>
            <w:tc>
              <w:tcPr>
                <w:tcW w:w="1230" w:type="dxa"/>
              </w:tcPr>
              <w:p w14:paraId="00000088"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c,c</w:t>
                </w:r>
              </w:p>
            </w:tc>
            <w:tc>
              <w:tcPr>
                <w:tcW w:w="1110" w:type="dxa"/>
                <w:shd w:val="clear" w:color="auto" w:fill="FFFFFF"/>
              </w:tcPr>
              <w:p w14:paraId="00000089"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a,d</w:t>
                </w:r>
              </w:p>
            </w:tc>
            <w:tc>
              <w:tcPr>
                <w:tcW w:w="1080" w:type="dxa"/>
                <w:shd w:val="clear" w:color="auto" w:fill="FFFFFF"/>
              </w:tcPr>
              <w:p w14:paraId="0000008A" w14:textId="77777777" w:rsidR="0056236A" w:rsidRDefault="008A5BAE">
                <w:pPr>
                  <w:widowControl w:val="0"/>
                  <w:spacing w:after="0" w:line="360" w:lineRule="auto"/>
                  <w:jc w:val="center"/>
                  <w:rPr>
                    <w:rFonts w:ascii="Times New Roman" w:eastAsia="Times New Roman" w:hAnsi="Times New Roman" w:cs="Times New Roman"/>
                  </w:rPr>
                </w:pPr>
                <w:r>
                  <w:rPr>
                    <w:rFonts w:ascii="Times New Roman" w:eastAsia="Times New Roman" w:hAnsi="Times New Roman" w:cs="Times New Roman"/>
                  </w:rPr>
                  <w:t>c,c</w:t>
                </w:r>
              </w:p>
            </w:tc>
          </w:tr>
        </w:tbl>
      </w:sdtContent>
    </w:sdt>
    <w:p w14:paraId="0000008B" w14:textId="77777777" w:rsidR="0056236A" w:rsidRDefault="0056236A">
      <w:pPr>
        <w:spacing w:after="0" w:line="360" w:lineRule="auto"/>
        <w:jc w:val="center"/>
        <w:rPr>
          <w:rFonts w:ascii="Times New Roman" w:eastAsia="Times New Roman" w:hAnsi="Times New Roman" w:cs="Times New Roman"/>
        </w:rPr>
      </w:pPr>
    </w:p>
    <w:p w14:paraId="0000008C" w14:textId="77777777" w:rsidR="0056236A" w:rsidRDefault="0056236A">
      <w:pPr>
        <w:spacing w:after="0" w:line="360" w:lineRule="auto"/>
        <w:jc w:val="center"/>
        <w:rPr>
          <w:rFonts w:ascii="Times New Roman" w:eastAsia="Times New Roman" w:hAnsi="Times New Roman" w:cs="Times New Roman"/>
        </w:rPr>
      </w:pPr>
    </w:p>
    <w:p w14:paraId="0000008D" w14:textId="77777777" w:rsidR="0056236A" w:rsidRDefault="0056236A">
      <w:pPr>
        <w:spacing w:after="0" w:line="360" w:lineRule="auto"/>
        <w:jc w:val="center"/>
        <w:rPr>
          <w:rFonts w:ascii="Times New Roman" w:eastAsia="Times New Roman" w:hAnsi="Times New Roman" w:cs="Times New Roman"/>
        </w:rPr>
      </w:pPr>
    </w:p>
    <w:p w14:paraId="0000008E" w14:textId="77777777" w:rsidR="0056236A" w:rsidRDefault="0056236A">
      <w:pPr>
        <w:spacing w:after="0" w:line="360" w:lineRule="auto"/>
        <w:jc w:val="center"/>
        <w:rPr>
          <w:rFonts w:ascii="Times New Roman" w:eastAsia="Times New Roman" w:hAnsi="Times New Roman" w:cs="Times New Roman"/>
        </w:rPr>
      </w:pPr>
    </w:p>
    <w:p w14:paraId="0000008F" w14:textId="77777777" w:rsidR="0056236A" w:rsidRDefault="0056236A">
      <w:pPr>
        <w:spacing w:after="0" w:line="360" w:lineRule="auto"/>
        <w:jc w:val="center"/>
        <w:rPr>
          <w:rFonts w:ascii="Times New Roman" w:eastAsia="Times New Roman" w:hAnsi="Times New Roman" w:cs="Times New Roman"/>
        </w:rPr>
      </w:pPr>
    </w:p>
    <w:p w14:paraId="00000090" w14:textId="77777777" w:rsidR="0056236A" w:rsidRDefault="0056236A">
      <w:pPr>
        <w:spacing w:after="0" w:line="360" w:lineRule="auto"/>
        <w:jc w:val="center"/>
        <w:rPr>
          <w:rFonts w:ascii="Times New Roman" w:eastAsia="Times New Roman" w:hAnsi="Times New Roman" w:cs="Times New Roman"/>
        </w:rPr>
      </w:pPr>
    </w:p>
    <w:p w14:paraId="00000091" w14:textId="77777777" w:rsidR="0056236A" w:rsidRDefault="0056236A">
      <w:pPr>
        <w:spacing w:after="0" w:line="360" w:lineRule="auto"/>
        <w:jc w:val="center"/>
        <w:rPr>
          <w:rFonts w:ascii="Times New Roman" w:eastAsia="Times New Roman" w:hAnsi="Times New Roman" w:cs="Times New Roman"/>
        </w:rPr>
      </w:pPr>
    </w:p>
    <w:p w14:paraId="00000092" w14:textId="77777777" w:rsidR="0056236A" w:rsidRDefault="0056236A">
      <w:pPr>
        <w:spacing w:after="0" w:line="360" w:lineRule="auto"/>
        <w:jc w:val="center"/>
        <w:rPr>
          <w:rFonts w:ascii="Times New Roman" w:eastAsia="Times New Roman" w:hAnsi="Times New Roman" w:cs="Times New Roman"/>
        </w:rPr>
      </w:pPr>
    </w:p>
    <w:p w14:paraId="00000093" w14:textId="77777777" w:rsidR="0056236A" w:rsidRDefault="008A5BAE">
      <w:pPr>
        <w:spacing w:after="0" w:line="360" w:lineRule="auto"/>
        <w:jc w:val="center"/>
        <w:rPr>
          <w:rFonts w:ascii="Times New Roman" w:eastAsia="Times New Roman" w:hAnsi="Times New Roman" w:cs="Times New Roman"/>
        </w:rPr>
      </w:pPr>
      <w:sdt>
        <w:sdtPr>
          <w:tag w:val="goog_rdk_23"/>
          <w:id w:val="396270043"/>
        </w:sdtPr>
        <w:sdtEndPr/>
        <w:sdtContent/>
      </w:sdt>
      <w:r>
        <w:rPr>
          <w:rFonts w:ascii="Times New Roman" w:eastAsia="Times New Roman" w:hAnsi="Times New Roman" w:cs="Times New Roman"/>
        </w:rPr>
        <w:t>Figure 1.2</w:t>
      </w:r>
    </w:p>
    <w:p w14:paraId="00000094" w14:textId="77777777" w:rsidR="0056236A" w:rsidRDefault="0056236A">
      <w:pPr>
        <w:spacing w:line="360" w:lineRule="auto"/>
        <w:jc w:val="both"/>
        <w:rPr>
          <w:rFonts w:ascii="Times New Roman" w:eastAsia="Times New Roman" w:hAnsi="Times New Roman" w:cs="Times New Roman"/>
        </w:rPr>
      </w:pPr>
    </w:p>
    <w:p w14:paraId="00000095" w14:textId="4C2009D2" w:rsidR="0056236A" w:rsidRDefault="008A5BAE">
      <w:pPr>
        <w:spacing w:line="360" w:lineRule="auto"/>
        <w:jc w:val="both"/>
        <w:rPr>
          <w:rFonts w:ascii="Times New Roman" w:eastAsia="Times New Roman" w:hAnsi="Times New Roman" w:cs="Times New Roman"/>
          <w:highlight w:val="yellow"/>
        </w:rPr>
      </w:pPr>
      <w:r>
        <w:rPr>
          <w:rFonts w:ascii="Times New Roman" w:eastAsia="Times New Roman" w:hAnsi="Times New Roman" w:cs="Times New Roman"/>
        </w:rPr>
        <w:t>Under this new subjective</w:t>
      </w:r>
      <w:r>
        <w:rPr>
          <w:rFonts w:ascii="Times New Roman" w:eastAsia="Times New Roman" w:hAnsi="Times New Roman" w:cs="Times New Roman"/>
        </w:rPr>
        <w:t xml:space="preserve"> frame, parties come to see a new mini-game (Cecchini Manara and Sacconi, 2019) with a multiplicity of possible equilibria and mutual cooperation becomes a possible outcome of the game. As in a Stug Hunt (SH) game, if the parties do not trust each other and fear the counterpart’s defection, staying out could be a safer choice. Yet, it does not lead to an outcome as favorable as entering the negotiation and cooperating, as it implies predatory and defensive costs typical of remaining in a state of nature (Bu</w:t>
      </w:r>
      <w:r>
        <w:rPr>
          <w:rFonts w:ascii="Times New Roman" w:eastAsia="Times New Roman" w:hAnsi="Times New Roman" w:cs="Times New Roman"/>
        </w:rPr>
        <w:t>chanan, 1975; Gauthier, 1987). The resulting outcome might strongly depend on trust and risk-aversion</w:t>
      </w:r>
      <w:r w:rsidR="00480671">
        <w:rPr>
          <w:rFonts w:ascii="Times New Roman" w:eastAsia="Times New Roman" w:hAnsi="Times New Roman" w:cs="Times New Roman"/>
        </w:rPr>
        <w:t>.</w:t>
      </w:r>
    </w:p>
    <w:p w14:paraId="00000096" w14:textId="77777777" w:rsidR="0056236A" w:rsidRDefault="008A5BAE">
      <w:pPr>
        <w:spacing w:line="360" w:lineRule="auto"/>
        <w:jc w:val="both"/>
        <w:rPr>
          <w:rFonts w:ascii="Times New Roman" w:eastAsia="Times New Roman" w:hAnsi="Times New Roman" w:cs="Times New Roman"/>
          <w:highlight w:val="yellow"/>
        </w:rPr>
      </w:pPr>
      <w:r>
        <w:rPr>
          <w:rFonts w:ascii="Times New Roman" w:eastAsia="Times New Roman" w:hAnsi="Times New Roman" w:cs="Times New Roman"/>
          <w:highlight w:val="yellow"/>
        </w:rPr>
        <w:t xml:space="preserve">In the real case, </w:t>
      </w:r>
      <w:r>
        <w:rPr>
          <w:rFonts w:ascii="Times New Roman" w:eastAsia="Times New Roman" w:hAnsi="Times New Roman" w:cs="Times New Roman"/>
          <w:color w:val="4A86E8"/>
        </w:rPr>
        <w:t xml:space="preserve">pushed from the increasing market </w:t>
      </w:r>
      <w:sdt>
        <w:sdtPr>
          <w:tag w:val="goog_rdk_24"/>
          <w:id w:val="875226157"/>
        </w:sdtPr>
        <w:sdtEndPr/>
        <w:sdtContent/>
      </w:sdt>
      <w:r>
        <w:rPr>
          <w:rFonts w:ascii="Times New Roman" w:eastAsia="Times New Roman" w:hAnsi="Times New Roman" w:cs="Times New Roman"/>
          <w:color w:val="4A86E8"/>
        </w:rPr>
        <w:t xml:space="preserve">pressure, the logging industries decided to move from an “attack and defend” strategy towards a more conciliatory one (Affolderbach, 2011; Armstrong, 2009; Raitio and Saakiroski, 2012). Some of them reunited under the so-called Coast Forest Conservation Initiative (CFCI) decided to enter bilateral negotiations with ENGOs, which resulted into an agreement over basic principles for the development of joint solutions and the </w:t>
      </w:r>
      <w:r>
        <w:rPr>
          <w:rFonts w:ascii="Times New Roman" w:eastAsia="Times New Roman" w:hAnsi="Times New Roman" w:cs="Times New Roman"/>
          <w:color w:val="4A86E8"/>
        </w:rPr>
        <w:lastRenderedPageBreak/>
        <w:t>suspension of respective activities that were at the roots of the conflict (Armstrong,</w:t>
      </w:r>
      <w:r>
        <w:rPr>
          <w:rFonts w:ascii="Times New Roman" w:eastAsia="Times New Roman" w:hAnsi="Times New Roman" w:cs="Times New Roman"/>
          <w:color w:val="4A86E8"/>
        </w:rPr>
        <w:t xml:space="preserve"> 2009). Through the so-called Joint Solutions Project (JSP), logging companies and ENGOs agreed upon a set of principles for joint solutions – precautionary principle, protection of habitat for fish and wildlife, harvesting techniques with low environmental impact and high timber value among others (Armstrong, 2009) – and on the creation of the Coast Information Team (CIT), an independent team of experts that would have provided knowledge and learning all along the process (Raitio et al., 2013; Smith, 2010)</w:t>
      </w:r>
      <w:r>
        <w:rPr>
          <w:rFonts w:ascii="Times New Roman" w:eastAsia="Times New Roman" w:hAnsi="Times New Roman" w:cs="Times New Roman"/>
          <w:color w:val="4A86E8"/>
        </w:rPr>
        <w:t>. Moreover, ENGOs obtained a moratorium on logging activities in contested areas, to which the industries agreed in return for a halt to market campaigns (Armstrong, 2009; Raitio et al., 2013).</w:t>
      </w:r>
    </w:p>
    <w:p w14:paraId="00000097" w14:textId="77777777" w:rsidR="0056236A" w:rsidRDefault="008A5BAE">
      <w:pPr>
        <w:spacing w:line="360" w:lineRule="auto"/>
        <w:jc w:val="both"/>
      </w:pPr>
      <w:sdt>
        <w:sdtPr>
          <w:tag w:val="goog_rdk_25"/>
          <w:id w:val="-767069608"/>
        </w:sdtPr>
        <w:sdtEndPr/>
        <w:sdtContent/>
      </w:sdt>
      <w:r>
        <w:rPr>
          <w:rFonts w:ascii="Times New Roman" w:eastAsia="Times New Roman" w:hAnsi="Times New Roman" w:cs="Times New Roman"/>
        </w:rPr>
        <w:t>In turn, these outcomes generated a shift in the FN-ProvGov’s interaction. Again, this can be modeled as a shift in their subjective games model. generated by what Aoki (2001) defines an ‘institutional complementarity scenario’, where the institutions prevailing in a certain domain can affect choices in another domain, even though the actors in the two domains do not strategically coordinate their choices (Aoki, 2001). Considering the game in Figure 1, as played between FN and ProvGov:</w:t>
      </w:r>
      <w:r>
        <w:t xml:space="preserve"> </w:t>
      </w:r>
    </w:p>
    <w:p w14:paraId="00000098" w14:textId="77777777" w:rsidR="0056236A" w:rsidRDefault="008A5BAE">
      <w:pPr>
        <w:numPr>
          <w:ilvl w:val="0"/>
          <w:numId w:val="2"/>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By playing S-C, each player agrees to enter a Government to Government (G2G) relation with the counterpart, meaning it agrees to set up a decision-making table that must scrutinize the proposal by other stakeholders. Specifically, the ProvGov agrees to recognize FN as another governmental actor endowed with decision-making powers and FN agrees to work in partnership with the ProvGov. </w:t>
      </w:r>
    </w:p>
    <w:p w14:paraId="00000099" w14:textId="77777777" w:rsidR="0056236A" w:rsidRDefault="008A5BAE">
      <w:pPr>
        <w:numPr>
          <w:ilvl w:val="0"/>
          <w:numId w:val="2"/>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By playing S-D, the player agrees on the same points but defects and exploits opportunistically the other's cooperation. For the ProvGov, this means undertaking decisions without involving FN, while for FN means continuing opposing and campaigning against the ProvGov, as well as threatening withdrawal of electoral support. </w:t>
      </w:r>
    </w:p>
    <w:p w14:paraId="0000009A" w14:textId="77777777" w:rsidR="0056236A" w:rsidRDefault="008A5BAE">
      <w:pPr>
        <w:numPr>
          <w:ilvl w:val="0"/>
          <w:numId w:val="2"/>
        </w:numPr>
        <w:spacing w:after="0" w:line="360" w:lineRule="auto"/>
        <w:jc w:val="both"/>
        <w:rPr>
          <w:rFonts w:ascii="Times New Roman" w:eastAsia="Times New Roman" w:hAnsi="Times New Roman" w:cs="Times New Roman"/>
        </w:rPr>
      </w:pPr>
      <w:r>
        <w:rPr>
          <w:rFonts w:ascii="Times New Roman" w:eastAsia="Times New Roman" w:hAnsi="Times New Roman" w:cs="Times New Roman"/>
        </w:rPr>
        <w:t xml:space="preserve">By playing N, the player decides to stay out from any discussion table and from any agreement, thus continuing with the status quo. </w:t>
      </w:r>
    </w:p>
    <w:p w14:paraId="0000009B" w14:textId="77777777" w:rsidR="0056236A" w:rsidRDefault="0056236A">
      <w:pPr>
        <w:spacing w:after="0" w:line="240" w:lineRule="auto"/>
        <w:rPr>
          <w:rFonts w:ascii="Cambria" w:eastAsia="Cambria" w:hAnsi="Cambria" w:cs="Cambria"/>
          <w:sz w:val="23"/>
          <w:szCs w:val="23"/>
        </w:rPr>
      </w:pPr>
    </w:p>
    <w:p w14:paraId="0000009C" w14:textId="77777777" w:rsidR="0056236A" w:rsidRDefault="008A5BAE">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As for E and NGO, at the beginning players see just a portion of the game, the one resulting in a PD. Indeed, both FN and ProvGov perceive they could enter into an agreement and then abuse the other’s cooperative strategy. For ProvGov, this would be beneficial because it could avoid bigger compromises with industries than involving FN in decision-making would require; as such, they wouldn’t lose key partnerships for the regional economy and employment. FN, for its part, still perceives the ProvGov as overly</w:t>
      </w:r>
      <w:r>
        <w:rPr>
          <w:rFonts w:ascii="Times New Roman" w:eastAsia="Times New Roman" w:hAnsi="Times New Roman" w:cs="Times New Roman"/>
        </w:rPr>
        <w:t xml:space="preserve"> collusive with the logging industries, to the point that entering into a decision-making table with the ProvGov might seem a signal of embracing this collusion. Instead, </w:t>
      </w:r>
      <w:r>
        <w:rPr>
          <w:rFonts w:ascii="Times New Roman" w:eastAsia="Times New Roman" w:hAnsi="Times New Roman" w:cs="Times New Roman"/>
        </w:rPr>
        <w:lastRenderedPageBreak/>
        <w:t xml:space="preserve">FN believes that unilateral defection will improve its bargaining power for an agreement that takes its demands more into account. </w:t>
      </w:r>
    </w:p>
    <w:p w14:paraId="0000009D" w14:textId="77777777" w:rsidR="0056236A" w:rsidRDefault="0056236A">
      <w:pPr>
        <w:spacing w:after="0" w:line="276" w:lineRule="auto"/>
        <w:jc w:val="both"/>
      </w:pPr>
    </w:p>
    <w:p w14:paraId="0000009E" w14:textId="77777777" w:rsidR="0056236A" w:rsidRDefault="008A5BAE">
      <w:pPr>
        <w:spacing w:after="0" w:line="360" w:lineRule="auto"/>
        <w:jc w:val="both"/>
        <w:rPr>
          <w:rFonts w:ascii="Times New Roman" w:eastAsia="Times New Roman" w:hAnsi="Times New Roman" w:cs="Times New Roman"/>
        </w:rPr>
      </w:pPr>
      <w:r>
        <w:rPr>
          <w:rFonts w:ascii="Times New Roman" w:eastAsia="Times New Roman" w:hAnsi="Times New Roman" w:cs="Times New Roman"/>
        </w:rPr>
        <w:t>However, there comes a point when the rising international awareness of the issue as well as the shift in the game between E and NGO alter the perception that the ProvGov and FN have of their own game. The ProvGov starts seeing the possibility to collude with logging industries and abuse the unilateral cooperation of FN as increasingly problematic, as E itself is more concerned of the consequences the conflict is having on the entire supply chain worldwide, to the point that it is negotiating with NGO. On i</w:t>
      </w:r>
      <w:r>
        <w:rPr>
          <w:rFonts w:ascii="Times New Roman" w:eastAsia="Times New Roman" w:hAnsi="Times New Roman" w:cs="Times New Roman"/>
        </w:rPr>
        <w:t>ts part, FN is concerned that its unilateral defection would push the ProvGov to come to an agreement with the NGO and E, possibly with little or no regard for its claims. Thus, unilateral defection is no longer a viable strategy, since it would open the door for the other parties to reach an agreement from which FN is excluded and hence cannot benefit. Still, both the ProvGov and FN could simply stay out of any negotiation table if they fear the counterpart’s unilateral defection; however, this would be le</w:t>
      </w:r>
      <w:r>
        <w:rPr>
          <w:rFonts w:ascii="Times New Roman" w:eastAsia="Times New Roman" w:hAnsi="Times New Roman" w:cs="Times New Roman"/>
        </w:rPr>
        <w:t>ss convenient than negotiating and entering into a G2G relation, which could instead increase their stance vis-à-vis NGO and E. Indeed, both players start feeling threatened by the latter’s alliance as this "stakeholders table" is taking choices on their own land (Barry, 2011; Howlett et al., 2009; Saakiroski et al., 2013; UBCM, 2000).</w:t>
      </w:r>
      <w:r>
        <w:rPr>
          <w:rFonts w:ascii="Times New Roman" w:eastAsia="Times New Roman" w:hAnsi="Times New Roman" w:cs="Times New Roman"/>
        </w:rPr>
        <w:br/>
      </w:r>
    </w:p>
    <w:p w14:paraId="0000009F" w14:textId="042596E8" w:rsidR="0056236A" w:rsidRDefault="008A5BAE">
      <w:pPr>
        <w:spacing w:line="360" w:lineRule="auto"/>
        <w:jc w:val="both"/>
        <w:rPr>
          <w:rFonts w:ascii="Times New Roman" w:eastAsia="Times New Roman" w:hAnsi="Times New Roman" w:cs="Times New Roman"/>
          <w:highlight w:val="yellow"/>
        </w:rPr>
      </w:pPr>
      <w:r>
        <w:rPr>
          <w:rFonts w:ascii="Times New Roman" w:eastAsia="Times New Roman" w:hAnsi="Times New Roman" w:cs="Times New Roman"/>
        </w:rPr>
        <w:t>Thus, FN and ProvGov too, activate a new mental frame of their interaction, which can also be modelled as a SH game. They they do not observe anymore the (S,D ; S,C) or (S,C ; S,D) pair with asymmetric payoffs but they instead see the case in which defection results in a poor outcome - which is the same as making no deal (N) - as there is no benefit associated with unilateral defection but almost harm. As a result, the summary description of the mini-game the players have in mind is reduced to one that acco</w:t>
      </w:r>
      <w:r>
        <w:rPr>
          <w:rFonts w:ascii="Times New Roman" w:eastAsia="Times New Roman" w:hAnsi="Times New Roman" w:cs="Times New Roman"/>
        </w:rPr>
        <w:t>unts for the possibilities of either entering into the agreement and cooperating (S,C) or not entering it (N) – see Figure 1.2. As for the interaction between NGO and E, the game has a multiplicity of equilibria, and the payoff-dominant solution - arising from mutual cooperation - can preva</w:t>
      </w:r>
      <w:r w:rsidRPr="00480671">
        <w:rPr>
          <w:rFonts w:ascii="Times New Roman" w:eastAsia="Times New Roman" w:hAnsi="Times New Roman" w:cs="Times New Roman"/>
        </w:rPr>
        <w:t>il, provided mutual trust. In the real case, by 20</w:t>
      </w:r>
      <w:r>
        <w:rPr>
          <w:rFonts w:ascii="Times New Roman" w:eastAsia="Times New Roman" w:hAnsi="Times New Roman" w:cs="Times New Roman"/>
        </w:rPr>
        <w:t>01, the ProvGov began to sign protocols with the FNs so to enter a Government-to-Government (G2G) relation, by which they undertook a commitment for shared-decision making</w:t>
      </w:r>
      <w:r>
        <w:rPr>
          <w:rFonts w:ascii="Times New Roman" w:eastAsia="Times New Roman" w:hAnsi="Times New Roman" w:cs="Times New Roman"/>
        </w:rPr>
        <w:t xml:space="preserve"> and negotiation of agreements over land use planning and resource management. This decision-making table served to counterbalance the ENGOs-industries alliance, or stakeholders table (Cullen et al., 2010; Raitio and Saakiroski, 2014).</w:t>
      </w:r>
      <w:r>
        <w:rPr>
          <w:rFonts w:ascii="Times New Roman" w:eastAsia="Times New Roman" w:hAnsi="Times New Roman" w:cs="Times New Roman"/>
          <w:highlight w:val="yellow"/>
        </w:rPr>
        <w:br/>
      </w:r>
    </w:p>
    <w:p w14:paraId="000000A0" w14:textId="77777777" w:rsidR="0056236A" w:rsidRDefault="0056236A">
      <w:pPr>
        <w:spacing w:line="360" w:lineRule="auto"/>
        <w:jc w:val="both"/>
        <w:rPr>
          <w:rFonts w:ascii="Times New Roman" w:eastAsia="Times New Roman" w:hAnsi="Times New Roman" w:cs="Times New Roman"/>
          <w:highlight w:val="yellow"/>
        </w:rPr>
      </w:pPr>
    </w:p>
    <w:p w14:paraId="000000A5" w14:textId="311AFF0D" w:rsidR="0056236A" w:rsidRDefault="008A5BAE" w:rsidP="00480671">
      <w:pPr>
        <w:jc w:val="both"/>
        <w:rPr>
          <w:highlight w:val="white"/>
        </w:rPr>
      </w:pPr>
      <w:sdt>
        <w:sdtPr>
          <w:tag w:val="goog_rdk_26"/>
          <w:id w:val="-1320832767"/>
        </w:sdtPr>
        <w:sdtEndPr/>
        <w:sdtContent/>
      </w:sdt>
    </w:p>
    <w:p w14:paraId="000000A6" w14:textId="77777777" w:rsidR="0056236A" w:rsidRDefault="008A5BAE">
      <w:pPr>
        <w:spacing w:line="36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6. Conclusions</w:t>
      </w:r>
    </w:p>
    <w:p w14:paraId="000000A7" w14:textId="77777777" w:rsidR="0056236A" w:rsidRDefault="008A5BAE">
      <w:pPr>
        <w:spacing w:line="360" w:lineRule="auto"/>
        <w:jc w:val="both"/>
        <w:rPr>
          <w:rFonts w:ascii="Times New Roman" w:eastAsia="Times New Roman" w:hAnsi="Times New Roman" w:cs="Times New Roman"/>
          <w:highlight w:val="white"/>
        </w:rPr>
      </w:pPr>
      <w:sdt>
        <w:sdtPr>
          <w:tag w:val="goog_rdk_27"/>
          <w:id w:val="-25436928"/>
        </w:sdtPr>
        <w:sdtEndPr/>
        <w:sdtContent/>
      </w:sdt>
      <w:r>
        <w:rPr>
          <w:rFonts w:ascii="Times New Roman" w:eastAsia="Times New Roman" w:hAnsi="Times New Roman" w:cs="Times New Roman"/>
        </w:rPr>
        <w:t>This paper has focused on the Great Bear Rainforest case as an example of a long-lasting conflict that was turned into collaboration</w:t>
      </w:r>
      <w:r>
        <w:rPr>
          <w:rFonts w:ascii="Times New Roman" w:eastAsia="Times New Roman" w:hAnsi="Times New Roman" w:cs="Times New Roman"/>
        </w:rPr>
        <w:t xml:space="preserve"> for a multi-stakeholder agreement. Overall, the agreement is considered to have brought a notable situation improvement (Walker and Daniels, 1996). Indeed, it contributed to protecting the forest through a more ecological perspective and increased FNs’ rights and decision-making powers over land and land revenues. Moreover, since the multi-stakeholder agreement was signed, there has been some substantial degree of compliance although incomplete. Specifically, we referred to subjective and framed game model</w:t>
      </w:r>
      <w:r>
        <w:rPr>
          <w:rFonts w:ascii="Times New Roman" w:eastAsia="Times New Roman" w:hAnsi="Times New Roman" w:cs="Times New Roman"/>
        </w:rPr>
        <w:t xml:space="preserve">s (Aoki, 2001; Cecchini Manara and Sacconi, 2019) to study the </w:t>
      </w:r>
      <w:r>
        <w:rPr>
          <w:rFonts w:ascii="Times New Roman" w:eastAsia="Times New Roman" w:hAnsi="Times New Roman" w:cs="Times New Roman"/>
          <w:i/>
          <w:iCs/>
        </w:rPr>
        <w:t>ex-ante</w:t>
      </w:r>
      <w:r>
        <w:rPr>
          <w:rFonts w:ascii="Times New Roman" w:eastAsia="Times New Roman" w:hAnsi="Times New Roman" w:cs="Times New Roman"/>
        </w:rPr>
        <w:t xml:space="preserve"> phase of conflict transformation into prospects for a multi-stakeholder agreement a</w:t>
      </w:r>
      <w:r>
        <w:rPr>
          <w:rFonts w:ascii="Times New Roman" w:eastAsia="Times New Roman" w:hAnsi="Times New Roman" w:cs="Times New Roman"/>
          <w:highlight w:val="white"/>
        </w:rPr>
        <w:t>nd illustrate how the game models representing the historical situation change at different stages due to players’ cognitive disequilibrium. Changes in information from external factors and complementary games, make agents shift their own subjective representation of the game at some point; from that moment on, they believe they can play a different game w</w:t>
      </w:r>
      <w:r>
        <w:rPr>
          <w:rFonts w:ascii="Times New Roman" w:eastAsia="Times New Roman" w:hAnsi="Times New Roman" w:cs="Times New Roman"/>
          <w:highlight w:val="white"/>
        </w:rPr>
        <w:t xml:space="preserve">ith new strategic opportunities and new equilibrium solutions. </w:t>
      </w:r>
    </w:p>
    <w:p w14:paraId="000000A8" w14:textId="77777777" w:rsidR="0056236A" w:rsidRDefault="008A5BAE">
      <w:pPr>
        <w:spacing w:line="360" w:lineRule="auto"/>
        <w:jc w:val="both"/>
        <w:rPr>
          <w:rFonts w:ascii="Times New Roman" w:eastAsia="Times New Roman" w:hAnsi="Times New Roman" w:cs="Times New Roman"/>
        </w:rPr>
      </w:pPr>
      <w:r>
        <w:rPr>
          <w:rFonts w:ascii="Times New Roman" w:eastAsia="Times New Roman" w:hAnsi="Times New Roman" w:cs="Times New Roman"/>
        </w:rPr>
        <w:t>The analysis shows that the evolution from a highly conflictual state of play to one in which there are prospects to sit at a multi-stakeholder negotiation table can be explained as resulting from significant shifts in the players’ subjective view or mental model of the game. Importantly, NGO’s international market campaigns and boycotting have played a crucial role as triggering mechanisms of this shift (Zietsma and Winn, 2008); indeed, they increased the costs of unilateral defection that thus became a le</w:t>
      </w:r>
      <w:r>
        <w:rPr>
          <w:rFonts w:ascii="Times New Roman" w:eastAsia="Times New Roman" w:hAnsi="Times New Roman" w:cs="Times New Roman"/>
        </w:rPr>
        <w:t>ss prominent strategy, while cooperating by agreement assumed more prominence. Moreover, there is an effect of institutional complementarity at place (Aoki, 2001), whereby the relation between FN and ProvGov also changed due to what happened in the international scenario and in the NGO-E interactions. Thus, the institutional change at place emerges as the result of a new equilibrium selection triggered by new shared mental models.</w:t>
      </w:r>
    </w:p>
    <w:p w14:paraId="000000A9" w14:textId="77777777" w:rsidR="0056236A" w:rsidRDefault="008A5BAE">
      <w:pPr>
        <w:spacing w:line="360" w:lineRule="auto"/>
        <w:jc w:val="both"/>
        <w:rPr>
          <w:rFonts w:ascii="Times New Roman" w:eastAsia="Times New Roman" w:hAnsi="Times New Roman" w:cs="Times New Roman"/>
        </w:rPr>
      </w:pPr>
      <w:r>
        <w:rPr>
          <w:rFonts w:ascii="Times New Roman" w:eastAsia="Times New Roman" w:hAnsi="Times New Roman" w:cs="Times New Roman"/>
        </w:rPr>
        <w:t>Overall, the analysis proves that considering how players see the game - that is the subjective dimension - is a crucial point when dealing with conflicts, especially apparently intractable cases. Indeed, this cognitive dimension defines both the feasible set of strategies for players, as well as their perception of outcome interdependence (Bazeman et al., 2000; Healevy, 2012).</w:t>
      </w:r>
      <w:r>
        <w:t xml:space="preserve"> </w:t>
      </w:r>
      <w:r>
        <w:rPr>
          <w:rFonts w:ascii="Times New Roman" w:eastAsia="Times New Roman" w:hAnsi="Times New Roman" w:cs="Times New Roman"/>
        </w:rPr>
        <w:t xml:space="preserve">In this same vein, this contribution also adds to the idea that, while game theory proves to be a good analytical tool to study conflicts over natural resources characterized by interdependence, it should incorporate these cognitive elements (Rubinstein, </w:t>
      </w:r>
      <w:sdt>
        <w:sdtPr>
          <w:tag w:val="goog_rdk_28"/>
          <w:id w:val="-1228707426"/>
        </w:sdtPr>
        <w:sdtEndPr/>
        <w:sdtContent/>
      </w:sdt>
      <w:r>
        <w:rPr>
          <w:rFonts w:ascii="Times New Roman" w:eastAsia="Times New Roman" w:hAnsi="Times New Roman" w:cs="Times New Roman"/>
        </w:rPr>
        <w:t>1991).</w:t>
      </w:r>
    </w:p>
    <w:p w14:paraId="000000AA" w14:textId="77777777" w:rsidR="0056236A" w:rsidRDefault="0056236A">
      <w:pPr>
        <w:spacing w:line="360" w:lineRule="auto"/>
        <w:jc w:val="both"/>
        <w:rPr>
          <w:rFonts w:ascii="Times New Roman" w:eastAsia="Times New Roman" w:hAnsi="Times New Roman" w:cs="Times New Roman"/>
        </w:rPr>
      </w:pPr>
    </w:p>
    <w:p w14:paraId="6371AF9B" w14:textId="135F1740" w:rsidR="0027247F" w:rsidRPr="0027247F" w:rsidRDefault="0027247F" w:rsidP="0027247F">
      <w:pPr>
        <w:jc w:val="both"/>
        <w:rPr>
          <w:rFonts w:ascii="Cambria" w:eastAsia="Segoe UI" w:hAnsi="Cambria" w:cs="Segoe UI"/>
          <w:b/>
          <w:bCs/>
          <w:color w:val="000000"/>
          <w:lang w:val="en-GB"/>
        </w:rPr>
      </w:pPr>
      <w:bookmarkStart w:id="0" w:name="_Hlk127266595"/>
      <w:r>
        <w:rPr>
          <w:rFonts w:ascii="Cambria" w:eastAsia="Segoe UI" w:hAnsi="Cambria" w:cs="Segoe UI"/>
          <w:b/>
          <w:bCs/>
          <w:color w:val="000000"/>
          <w:lang w:val="en-GB"/>
        </w:rPr>
        <w:lastRenderedPageBreak/>
        <w:t xml:space="preserve">References </w:t>
      </w:r>
    </w:p>
    <w:p w14:paraId="1B6AA8E0" w14:textId="77777777" w:rsidR="0027247F" w:rsidRDefault="0027247F" w:rsidP="0027247F">
      <w:pPr>
        <w:ind w:firstLine="708"/>
        <w:jc w:val="both"/>
        <w:rPr>
          <w:rFonts w:ascii="Cambria" w:eastAsia="Segoe UI" w:hAnsi="Cambria" w:cs="Segoe UI"/>
          <w:lang w:val="en-GB"/>
        </w:rPr>
      </w:pPr>
      <w:r w:rsidRPr="00594863">
        <w:rPr>
          <w:rFonts w:ascii="Cambria" w:eastAsia="Segoe UI" w:hAnsi="Cambria" w:cs="Segoe UI"/>
          <w:lang w:val="en-GB"/>
        </w:rPr>
        <w:t xml:space="preserve">Adams, W. M., Brockington, D., Dyson, J and Bhaskar, V. (2003). Managing Tragedies: Understanding Conflict over Common Pool Resources. </w:t>
      </w:r>
      <w:r w:rsidRPr="00594863">
        <w:rPr>
          <w:rFonts w:ascii="Cambria" w:eastAsia="Segoe UI" w:hAnsi="Cambria" w:cs="Segoe UI"/>
          <w:i/>
          <w:iCs/>
          <w:lang w:val="en-GB"/>
        </w:rPr>
        <w:t>Science</w:t>
      </w:r>
      <w:r w:rsidRPr="00594863">
        <w:rPr>
          <w:rFonts w:ascii="Cambria" w:eastAsia="Segoe UI" w:hAnsi="Cambria" w:cs="Segoe UI"/>
          <w:lang w:val="en-GB"/>
        </w:rPr>
        <w:t>, 302(5652):1915-1916.</w:t>
      </w:r>
      <w:r w:rsidRPr="00594863">
        <w:rPr>
          <w:rFonts w:ascii="Cambria" w:eastAsia="Segoe UI" w:hAnsi="Cambria" w:cs="Segoe UI"/>
        </w:rPr>
        <w:t> </w:t>
      </w:r>
      <w:hyperlink r:id="rId10" w:history="1">
        <w:r w:rsidRPr="00594863">
          <w:rPr>
            <w:rFonts w:ascii="Cambria" w:eastAsia="Segoe UI" w:hAnsi="Cambria" w:cs="Segoe UI"/>
            <w:lang w:val="en-GB"/>
          </w:rPr>
          <w:t>10.1126/science.1087771</w:t>
        </w:r>
      </w:hyperlink>
      <w:r w:rsidRPr="00594863">
        <w:rPr>
          <w:rFonts w:ascii="Cambria" w:eastAsia="Segoe UI" w:hAnsi="Cambria" w:cs="Segoe UI"/>
          <w:lang w:val="en-GB"/>
        </w:rPr>
        <w:t>.</w:t>
      </w:r>
    </w:p>
    <w:p w14:paraId="65DD4B80" w14:textId="77777777" w:rsidR="0027247F" w:rsidRDefault="0027247F" w:rsidP="0027247F">
      <w:pPr>
        <w:ind w:firstLine="708"/>
        <w:jc w:val="both"/>
        <w:rPr>
          <w:rFonts w:ascii="Cambria" w:eastAsia="Segoe UI" w:hAnsi="Cambria" w:cs="Segoe UI"/>
        </w:rPr>
      </w:pPr>
      <w:r w:rsidRPr="00594863">
        <w:rPr>
          <w:rFonts w:ascii="Cambria" w:eastAsia="Segoe UI" w:hAnsi="Cambria" w:cs="Segoe UI"/>
          <w:lang w:val="en-GB"/>
        </w:rPr>
        <w:t xml:space="preserve">Affolderbach, J. (2011).  Environmental Bargains: Power Struggles and Decision Making over British Columbia’s and Tasmania’s Old-Growth Forests. </w:t>
      </w:r>
      <w:r w:rsidRPr="00594863">
        <w:rPr>
          <w:rFonts w:ascii="Cambria" w:eastAsia="Segoe UI" w:hAnsi="Cambria" w:cs="Segoe UI"/>
          <w:i/>
          <w:iCs/>
          <w:lang w:val="en-GB"/>
        </w:rPr>
        <w:t>Economic Geography</w:t>
      </w:r>
      <w:r w:rsidRPr="00594863">
        <w:rPr>
          <w:rFonts w:ascii="Cambria" w:eastAsia="Segoe UI" w:hAnsi="Cambria" w:cs="Segoe UI"/>
          <w:lang w:val="en-GB"/>
        </w:rPr>
        <w:t>, 87(2): 181-206.</w:t>
      </w:r>
      <w:r w:rsidRPr="0062030C">
        <w:rPr>
          <w:rFonts w:ascii="Cambria" w:eastAsia="Segoe UI" w:hAnsi="Cambria" w:cs="Segoe UI"/>
        </w:rPr>
        <w:t> </w:t>
      </w:r>
      <w:hyperlink r:id="rId11" w:history="1">
        <w:r w:rsidRPr="00594863">
          <w:rPr>
            <w:rFonts w:ascii="Cambria" w:eastAsia="Calibri" w:hAnsi="Cambria"/>
            <w:lang w:val="en-GB"/>
          </w:rPr>
          <w:t>https://doi.org/10.1111/j.1944-8287.2011.01107.x</w:t>
        </w:r>
      </w:hyperlink>
      <w:r w:rsidRPr="00594863">
        <w:rPr>
          <w:rFonts w:ascii="Cambria" w:eastAsia="Segoe UI" w:hAnsi="Cambria" w:cs="Segoe UI"/>
          <w:lang w:val="en-GB"/>
        </w:rPr>
        <w:t>.</w:t>
      </w:r>
      <w:r w:rsidRPr="001C79D7">
        <w:rPr>
          <w:rFonts w:ascii="Cambria" w:eastAsia="Segoe UI" w:hAnsi="Cambria" w:cs="Segoe UI"/>
        </w:rPr>
        <w:t xml:space="preserve"> </w:t>
      </w:r>
    </w:p>
    <w:p w14:paraId="75A65B31" w14:textId="77777777" w:rsidR="0027247F" w:rsidRPr="00E852CE" w:rsidRDefault="0027247F" w:rsidP="0027247F">
      <w:pPr>
        <w:ind w:firstLine="708"/>
        <w:jc w:val="both"/>
        <w:rPr>
          <w:rFonts w:ascii="Cambria" w:eastAsia="Segoe UI" w:hAnsi="Cambria" w:cs="Segoe UI"/>
        </w:rPr>
      </w:pPr>
      <w:r>
        <w:rPr>
          <w:rFonts w:ascii="Cambria" w:eastAsia="Segoe UI" w:hAnsi="Cambria" w:cs="Segoe UI"/>
        </w:rPr>
        <w:t xml:space="preserve">Aoki, M. (1984). </w:t>
      </w:r>
      <w:r w:rsidRPr="00E852CE">
        <w:rPr>
          <w:rFonts w:ascii="Cambria" w:eastAsia="Segoe UI" w:hAnsi="Cambria" w:cs="Segoe UI"/>
          <w:i/>
          <w:iCs/>
        </w:rPr>
        <w:t>The Co-operative Game Theory of the Firm</w:t>
      </w:r>
      <w:r>
        <w:rPr>
          <w:rFonts w:ascii="Cambria" w:eastAsia="Segoe UI" w:hAnsi="Cambria" w:cs="Segoe UI"/>
        </w:rPr>
        <w:t xml:space="preserve">. Oxford: Oxford University Press. </w:t>
      </w:r>
      <w:r>
        <w:rPr>
          <w:sz w:val="23"/>
          <w:szCs w:val="23"/>
        </w:rPr>
        <w:t>ISBN:</w:t>
      </w:r>
      <w:r>
        <w:rPr>
          <w:rFonts w:ascii="Cambria" w:eastAsia="Segoe UI" w:hAnsi="Cambria" w:cs="Segoe UI"/>
        </w:rPr>
        <w:t xml:space="preserve"> </w:t>
      </w:r>
      <w:r w:rsidRPr="00E852CE">
        <w:rPr>
          <w:rFonts w:ascii="Cambria Math" w:eastAsiaTheme="minorHAnsi" w:hAnsi="Cambria Math" w:cs="Cambria Math"/>
          <w:color w:val="000000"/>
          <w:sz w:val="23"/>
          <w:szCs w:val="23"/>
          <w14:ligatures w14:val="standardContextual"/>
        </w:rPr>
        <w:t>978-0198772682</w:t>
      </w:r>
      <w:r>
        <w:rPr>
          <w:rFonts w:ascii="Cambria Math" w:eastAsiaTheme="minorHAnsi" w:hAnsi="Cambria Math" w:cs="Cambria Math"/>
          <w:color w:val="000000"/>
          <w:sz w:val="23"/>
          <w:szCs w:val="23"/>
          <w14:ligatures w14:val="standardContextual"/>
        </w:rPr>
        <w:t xml:space="preserve">. </w:t>
      </w:r>
    </w:p>
    <w:p w14:paraId="0A056402" w14:textId="77777777" w:rsidR="0027247F" w:rsidRPr="00F6002A" w:rsidRDefault="0027247F" w:rsidP="0027247F">
      <w:pPr>
        <w:pStyle w:val="Default"/>
        <w:ind w:firstLine="708"/>
        <w:jc w:val="both"/>
        <w:rPr>
          <w:sz w:val="23"/>
          <w:szCs w:val="23"/>
          <w:lang w:val="en-US"/>
        </w:rPr>
      </w:pPr>
      <w:r w:rsidRPr="00F6002A">
        <w:rPr>
          <w:sz w:val="23"/>
          <w:szCs w:val="23"/>
          <w:lang w:val="en-US"/>
        </w:rPr>
        <w:t xml:space="preserve">Aoki, M. (2001). </w:t>
      </w:r>
      <w:r w:rsidRPr="00FB1CE5">
        <w:rPr>
          <w:i/>
          <w:iCs/>
          <w:sz w:val="23"/>
          <w:szCs w:val="23"/>
          <w:lang w:val="en-US"/>
        </w:rPr>
        <w:t>Toward a Comparative Institutional Analysis</w:t>
      </w:r>
      <w:r w:rsidRPr="00F6002A">
        <w:rPr>
          <w:sz w:val="23"/>
          <w:szCs w:val="23"/>
          <w:lang w:val="en-US"/>
        </w:rPr>
        <w:t xml:space="preserve">. Cambridge: MIT Press. </w:t>
      </w:r>
      <w:r>
        <w:rPr>
          <w:sz w:val="23"/>
          <w:szCs w:val="23"/>
          <w:lang w:val="en-US"/>
        </w:rPr>
        <w:t xml:space="preserve">ISBN: 9780262011877. </w:t>
      </w:r>
    </w:p>
    <w:p w14:paraId="0BDA6849" w14:textId="77777777" w:rsidR="0027247F" w:rsidRPr="00DD6918" w:rsidRDefault="0027247F" w:rsidP="0027247F">
      <w:pPr>
        <w:ind w:firstLine="708"/>
        <w:jc w:val="both"/>
        <w:rPr>
          <w:rFonts w:ascii="Cambria Math" w:eastAsiaTheme="minorHAnsi" w:hAnsi="Cambria Math" w:cs="Cambria Math"/>
          <w:color w:val="000000"/>
          <w:sz w:val="23"/>
          <w:szCs w:val="23"/>
          <w14:ligatures w14:val="standardContextual"/>
        </w:rPr>
      </w:pPr>
      <w:r w:rsidRPr="00DD6918">
        <w:rPr>
          <w:rFonts w:ascii="Cambria Math" w:eastAsiaTheme="minorHAnsi" w:hAnsi="Cambria Math" w:cs="Cambria Math"/>
          <w:color w:val="000000"/>
          <w:sz w:val="23"/>
          <w:szCs w:val="23"/>
          <w14:ligatures w14:val="standardContextual"/>
        </w:rPr>
        <w:t xml:space="preserve">Armstrong, P. (2009). Conflict resolution and the British Columbia’s Great Bear Rainforest. Lessons learned 1995–2009. Available at: </w:t>
      </w:r>
    </w:p>
    <w:p w14:paraId="54DF7DE7" w14:textId="77777777" w:rsidR="0027247F" w:rsidRDefault="0027247F" w:rsidP="0027247F">
      <w:pPr>
        <w:jc w:val="both"/>
        <w:rPr>
          <w:rFonts w:ascii="Cambria Math" w:eastAsiaTheme="minorHAnsi" w:hAnsi="Cambria Math" w:cs="Cambria Math"/>
          <w:color w:val="000000"/>
          <w:sz w:val="23"/>
          <w:szCs w:val="23"/>
          <w14:ligatures w14:val="standardContextual"/>
        </w:rPr>
      </w:pPr>
      <w:hyperlink r:id="rId12" w:history="1">
        <w:r w:rsidRPr="008D7EFF">
          <w:rPr>
            <w:rStyle w:val="Collegamentoipertestuale"/>
            <w:rFonts w:ascii="Cambria Math" w:eastAsiaTheme="minorHAnsi" w:hAnsi="Cambria Math" w:cs="Cambria Math"/>
            <w:sz w:val="23"/>
            <w:szCs w:val="23"/>
            <w14:ligatures w14:val="standardContextual"/>
          </w:rPr>
          <w:t>https://coastfunds.ca/wp-content/uploads/2016/07/GBR_PDF.pdf</w:t>
        </w:r>
      </w:hyperlink>
      <w:r w:rsidRPr="00DD6918">
        <w:rPr>
          <w:rFonts w:ascii="Cambria Math" w:eastAsiaTheme="minorHAnsi" w:hAnsi="Cambria Math" w:cs="Cambria Math"/>
          <w:color w:val="000000"/>
          <w:sz w:val="23"/>
          <w:szCs w:val="23"/>
          <w14:ligatures w14:val="standardContextual"/>
        </w:rPr>
        <w:t>.</w:t>
      </w:r>
    </w:p>
    <w:p w14:paraId="1CEDE867" w14:textId="77777777" w:rsidR="0027247F" w:rsidRDefault="0027247F" w:rsidP="0027247F">
      <w:pPr>
        <w:autoSpaceDE w:val="0"/>
        <w:autoSpaceDN w:val="0"/>
        <w:adjustRightInd w:val="0"/>
        <w:ind w:firstLine="708"/>
        <w:jc w:val="both"/>
        <w:rPr>
          <w:rFonts w:ascii="Cambria" w:eastAsia="Segoe UI" w:hAnsi="Cambria"/>
          <w:lang w:val="en-GB"/>
        </w:rPr>
      </w:pPr>
      <w:r w:rsidRPr="005D3028">
        <w:rPr>
          <w:rFonts w:ascii="Cambria" w:eastAsia="Segoe UI" w:hAnsi="Cambria"/>
          <w:lang w:val="en-GB"/>
        </w:rPr>
        <w:t>Baron, D.P.</w:t>
      </w:r>
      <w:r>
        <w:rPr>
          <w:rFonts w:ascii="Cambria" w:eastAsia="Segoe UI" w:hAnsi="Cambria"/>
          <w:lang w:val="en-GB"/>
        </w:rPr>
        <w:t xml:space="preserve"> and</w:t>
      </w:r>
      <w:r w:rsidRPr="005D3028">
        <w:rPr>
          <w:rFonts w:ascii="Cambria" w:eastAsia="Segoe UI" w:hAnsi="Cambria"/>
          <w:lang w:val="en-GB"/>
        </w:rPr>
        <w:t xml:space="preserve"> Diermeier, D.</w:t>
      </w:r>
      <w:r>
        <w:rPr>
          <w:rFonts w:ascii="Cambria" w:eastAsia="Segoe UI" w:hAnsi="Cambria"/>
          <w:lang w:val="en-GB"/>
        </w:rPr>
        <w:t xml:space="preserve"> (</w:t>
      </w:r>
      <w:r w:rsidRPr="005D3028">
        <w:rPr>
          <w:rFonts w:ascii="Cambria" w:eastAsia="Segoe UI" w:hAnsi="Cambria"/>
          <w:lang w:val="en-GB"/>
        </w:rPr>
        <w:t>2007</w:t>
      </w:r>
      <w:r>
        <w:rPr>
          <w:rFonts w:ascii="Cambria" w:eastAsia="Segoe UI" w:hAnsi="Cambria"/>
          <w:lang w:val="en-GB"/>
        </w:rPr>
        <w:t>)</w:t>
      </w:r>
      <w:r w:rsidRPr="005D3028">
        <w:rPr>
          <w:rFonts w:ascii="Cambria" w:eastAsia="Segoe UI" w:hAnsi="Cambria"/>
          <w:lang w:val="en-GB"/>
        </w:rPr>
        <w:t xml:space="preserve">. Strategic activism and nonmarket strategy. </w:t>
      </w:r>
      <w:r w:rsidRPr="005D3028">
        <w:rPr>
          <w:rFonts w:ascii="Cambria" w:eastAsia="Segoe UI" w:hAnsi="Cambria"/>
          <w:i/>
          <w:iCs/>
          <w:lang w:val="en-GB"/>
        </w:rPr>
        <w:t>Journal</w:t>
      </w:r>
      <w:r>
        <w:rPr>
          <w:rFonts w:ascii="Cambria" w:eastAsia="Segoe UI" w:hAnsi="Cambria"/>
          <w:i/>
          <w:iCs/>
          <w:lang w:val="en-GB"/>
        </w:rPr>
        <w:t xml:space="preserve"> </w:t>
      </w:r>
      <w:r w:rsidRPr="005D3028">
        <w:rPr>
          <w:rFonts w:ascii="Cambria" w:eastAsia="Segoe UI" w:hAnsi="Cambria"/>
          <w:i/>
          <w:iCs/>
          <w:lang w:val="en-GB"/>
        </w:rPr>
        <w:t>of</w:t>
      </w:r>
      <w:r>
        <w:rPr>
          <w:rFonts w:ascii="Cambria" w:eastAsia="Segoe UI" w:hAnsi="Cambria"/>
          <w:i/>
          <w:iCs/>
          <w:lang w:val="en-GB"/>
        </w:rPr>
        <w:t xml:space="preserve"> </w:t>
      </w:r>
      <w:r w:rsidRPr="005D3028">
        <w:rPr>
          <w:rFonts w:ascii="Cambria" w:eastAsia="Segoe UI" w:hAnsi="Cambria"/>
          <w:i/>
          <w:iCs/>
          <w:lang w:val="en-GB"/>
        </w:rPr>
        <w:t>Economics &amp; Management Strategy</w:t>
      </w:r>
      <w:r>
        <w:rPr>
          <w:rFonts w:ascii="Cambria" w:eastAsia="Segoe UI" w:hAnsi="Cambria"/>
          <w:lang w:val="en-GB"/>
        </w:rPr>
        <w:t xml:space="preserve">, </w:t>
      </w:r>
      <w:r w:rsidRPr="005D3028">
        <w:rPr>
          <w:rFonts w:ascii="Cambria" w:eastAsia="Segoe UI" w:hAnsi="Cambria"/>
          <w:lang w:val="en-GB"/>
        </w:rPr>
        <w:t>16, 599–634.</w:t>
      </w:r>
      <w:r>
        <w:rPr>
          <w:rFonts w:ascii="Cambria" w:eastAsia="Segoe UI" w:hAnsi="Cambria"/>
          <w:lang w:val="en-GB"/>
        </w:rPr>
        <w:t xml:space="preserve"> </w:t>
      </w:r>
      <w:hyperlink r:id="rId13" w:history="1">
        <w:r w:rsidRPr="008D7EFF">
          <w:rPr>
            <w:rStyle w:val="Collegamentoipertestuale"/>
            <w:rFonts w:ascii="Cambria" w:eastAsia="Segoe UI" w:hAnsi="Cambria"/>
            <w:lang w:val="en-GB"/>
          </w:rPr>
          <w:t>https://doi.org/10.1111/j.1530-9134.2007.00152.x</w:t>
        </w:r>
      </w:hyperlink>
      <w:r>
        <w:rPr>
          <w:rFonts w:ascii="Cambria" w:eastAsia="Segoe UI" w:hAnsi="Cambria"/>
          <w:lang w:val="en-GB"/>
        </w:rPr>
        <w:t xml:space="preserve">. </w:t>
      </w:r>
    </w:p>
    <w:p w14:paraId="66B82425" w14:textId="77777777" w:rsidR="0027247F" w:rsidRPr="005F3930" w:rsidRDefault="0027247F" w:rsidP="0027247F">
      <w:pPr>
        <w:jc w:val="both"/>
        <w:rPr>
          <w:rFonts w:ascii="Cambria" w:eastAsia="Times New Roman" w:hAnsi="Cambria" w:cs="Times New Roman"/>
          <w:lang w:val="it-IT"/>
        </w:rPr>
      </w:pPr>
      <w:r>
        <w:rPr>
          <w:rFonts w:ascii="Cambria" w:eastAsia="Segoe UI" w:hAnsi="Cambria"/>
          <w:lang w:val="en-GB"/>
        </w:rPr>
        <w:tab/>
      </w:r>
      <w:r w:rsidRPr="005F3930">
        <w:rPr>
          <w:rFonts w:ascii="Cambria" w:hAnsi="Cambria"/>
        </w:rPr>
        <w:t xml:space="preserve">Berkes, F. </w:t>
      </w:r>
      <w:r>
        <w:rPr>
          <w:rFonts w:ascii="Cambria" w:hAnsi="Cambria"/>
        </w:rPr>
        <w:t>(</w:t>
      </w:r>
      <w:r w:rsidRPr="005F3930">
        <w:rPr>
          <w:rFonts w:ascii="Cambria" w:hAnsi="Cambria"/>
        </w:rPr>
        <w:t>2002</w:t>
      </w:r>
      <w:r>
        <w:rPr>
          <w:rFonts w:ascii="Cambria" w:hAnsi="Cambria"/>
        </w:rPr>
        <w:t>)</w:t>
      </w:r>
      <w:r w:rsidRPr="005F3930">
        <w:rPr>
          <w:rFonts w:ascii="Cambria" w:hAnsi="Cambria"/>
        </w:rPr>
        <w:t xml:space="preserve">. Cross-scale institutional linkages: perspectives from the bottom up. In: Ostrom, E., Dietz, T., Dolsak, N., Stern, P.C., Stonich, S., Weber, E.U. (Eds.), </w:t>
      </w:r>
      <w:r w:rsidRPr="005F3930">
        <w:rPr>
          <w:rFonts w:ascii="Cambria" w:hAnsi="Cambria"/>
          <w:i/>
          <w:iCs/>
        </w:rPr>
        <w:t>The Drama of the Commons</w:t>
      </w:r>
      <w:r w:rsidRPr="005F3930">
        <w:rPr>
          <w:rFonts w:ascii="Cambria" w:hAnsi="Cambria"/>
        </w:rPr>
        <w:t xml:space="preserve">. Washington DC: National Academy Press, pp. 293–321. ISBN: </w:t>
      </w:r>
      <w:r w:rsidRPr="005F3930">
        <w:rPr>
          <w:rFonts w:ascii="Cambria" w:eastAsia="Times New Roman" w:hAnsi="Cambria" w:cs="Times New Roman"/>
          <w:color w:val="000000"/>
          <w:shd w:val="clear" w:color="auto" w:fill="FFFFFF"/>
          <w:lang w:val="it-IT"/>
        </w:rPr>
        <w:t>ISBN: </w:t>
      </w:r>
      <w:r w:rsidRPr="005F3930">
        <w:rPr>
          <w:rFonts w:ascii="Cambria" w:eastAsia="Times New Roman" w:hAnsi="Cambria" w:cs="Times New Roman"/>
          <w:color w:val="000000"/>
          <w:lang w:val="it-IT"/>
        </w:rPr>
        <w:t>978-0-309-08250-1</w:t>
      </w:r>
      <w:r w:rsidRPr="005F3930">
        <w:rPr>
          <w:rFonts w:ascii="Cambria" w:eastAsia="Times New Roman" w:hAnsi="Cambria" w:cs="Times New Roman"/>
          <w:lang w:val="it-IT"/>
        </w:rPr>
        <w:t>.</w:t>
      </w:r>
    </w:p>
    <w:p w14:paraId="414F8A97" w14:textId="77777777" w:rsidR="0027247F" w:rsidRDefault="0027247F" w:rsidP="0027247F">
      <w:pPr>
        <w:ind w:firstLine="708"/>
        <w:jc w:val="both"/>
        <w:rPr>
          <w:rFonts w:ascii="Cambria" w:eastAsiaTheme="minorHAnsi" w:hAnsi="Cambria" w:cs="Cambria Math"/>
          <w:color w:val="000000"/>
          <w14:ligatures w14:val="standardContextual"/>
        </w:rPr>
      </w:pPr>
      <w:r w:rsidRPr="005D3028">
        <w:rPr>
          <w:rFonts w:ascii="Cambria" w:eastAsiaTheme="minorHAnsi" w:hAnsi="Cambria" w:cs="Cambria Math"/>
          <w:color w:val="000000"/>
          <w14:ligatures w14:val="standardContextual"/>
        </w:rPr>
        <w:t xml:space="preserve">Binmore, K. </w:t>
      </w:r>
      <w:r>
        <w:rPr>
          <w:rFonts w:ascii="Cambria" w:eastAsiaTheme="minorHAnsi" w:hAnsi="Cambria" w:cs="Cambria Math"/>
          <w:color w:val="000000"/>
          <w14:ligatures w14:val="standardContextual"/>
        </w:rPr>
        <w:t>(</w:t>
      </w:r>
      <w:r w:rsidRPr="005D3028">
        <w:rPr>
          <w:rFonts w:ascii="Cambria" w:eastAsiaTheme="minorHAnsi" w:hAnsi="Cambria" w:cs="Cambria Math"/>
          <w:color w:val="000000"/>
          <w14:ligatures w14:val="standardContextual"/>
        </w:rPr>
        <w:t>2005</w:t>
      </w:r>
      <w:r>
        <w:rPr>
          <w:rFonts w:ascii="Cambria" w:eastAsiaTheme="minorHAnsi" w:hAnsi="Cambria" w:cs="Cambria Math"/>
          <w:color w:val="000000"/>
          <w14:ligatures w14:val="standardContextual"/>
        </w:rPr>
        <w:t>)</w:t>
      </w:r>
      <w:r w:rsidRPr="005D3028">
        <w:rPr>
          <w:rFonts w:ascii="Cambria" w:eastAsiaTheme="minorHAnsi" w:hAnsi="Cambria" w:cs="Cambria Math"/>
          <w:color w:val="000000"/>
          <w14:ligatures w14:val="standardContextual"/>
        </w:rPr>
        <w:t xml:space="preserve">. </w:t>
      </w:r>
      <w:r w:rsidRPr="005D3028">
        <w:rPr>
          <w:rFonts w:ascii="Cambria" w:eastAsiaTheme="minorHAnsi" w:hAnsi="Cambria" w:cs="Cambria Math"/>
          <w:i/>
          <w:iCs/>
          <w:color w:val="000000"/>
          <w14:ligatures w14:val="standardContextual"/>
        </w:rPr>
        <w:t>Natural Justice</w:t>
      </w:r>
      <w:r w:rsidRPr="005D3028">
        <w:rPr>
          <w:rFonts w:ascii="Cambria" w:eastAsiaTheme="minorHAnsi" w:hAnsi="Cambria" w:cs="Cambria Math"/>
          <w:color w:val="000000"/>
          <w14:ligatures w14:val="standardContextual"/>
        </w:rPr>
        <w:t xml:space="preserve">. </w:t>
      </w:r>
      <w:r>
        <w:rPr>
          <w:rFonts w:ascii="Cambria" w:eastAsiaTheme="minorHAnsi" w:hAnsi="Cambria" w:cs="Cambria Math"/>
          <w:color w:val="000000"/>
          <w14:ligatures w14:val="standardContextual"/>
        </w:rPr>
        <w:t xml:space="preserve">Oxford: </w:t>
      </w:r>
      <w:r w:rsidRPr="005D3028">
        <w:rPr>
          <w:rFonts w:ascii="Cambria" w:eastAsiaTheme="minorHAnsi" w:hAnsi="Cambria" w:cs="Cambria Math"/>
          <w:color w:val="000000"/>
          <w14:ligatures w14:val="standardContextual"/>
        </w:rPr>
        <w:t>Oxford University Press. ISBN: 978-0199791484.</w:t>
      </w:r>
    </w:p>
    <w:p w14:paraId="238492F5" w14:textId="77777777" w:rsidR="0027247F" w:rsidRPr="00DB6021" w:rsidRDefault="0027247F" w:rsidP="0027247F">
      <w:pPr>
        <w:pStyle w:val="Paragrafoelenco"/>
        <w:spacing w:line="240" w:lineRule="auto"/>
        <w:jc w:val="both"/>
        <w:rPr>
          <w:rFonts w:ascii="Cambria" w:eastAsia="Times New Roman" w:hAnsi="Cambria" w:cs="Times New Roman"/>
        </w:rPr>
      </w:pPr>
      <w:r w:rsidRPr="00DB6021">
        <w:rPr>
          <w:rFonts w:ascii="Cambria" w:eastAsia="Times New Roman" w:hAnsi="Cambria" w:cs="Times New Roman"/>
        </w:rPr>
        <w:t>Bockstael, E. and Berkes, F. (2017). Using the capability approach to analyze</w:t>
      </w:r>
    </w:p>
    <w:p w14:paraId="30067B26" w14:textId="77777777" w:rsidR="0027247F" w:rsidRPr="00DB6021" w:rsidRDefault="0027247F" w:rsidP="0027247F">
      <w:pPr>
        <w:jc w:val="both"/>
        <w:rPr>
          <w:rFonts w:ascii="Cambria" w:eastAsia="Times New Roman" w:hAnsi="Cambria" w:cs="Times New Roman"/>
        </w:rPr>
      </w:pPr>
      <w:r w:rsidRPr="00DB6021">
        <w:rPr>
          <w:rFonts w:ascii="Cambria" w:eastAsia="Times New Roman" w:hAnsi="Cambria" w:cs="Times New Roman"/>
        </w:rPr>
        <w:t xml:space="preserve">contemporary environmental governance challenges in coastal Brazil. </w:t>
      </w:r>
      <w:r w:rsidRPr="00DB6021">
        <w:rPr>
          <w:rFonts w:ascii="Cambria" w:eastAsia="Times New Roman" w:hAnsi="Cambria" w:cs="Times New Roman"/>
          <w:i/>
          <w:iCs/>
        </w:rPr>
        <w:t>International Journal of the Commons</w:t>
      </w:r>
      <w:r w:rsidRPr="00DB6021">
        <w:rPr>
          <w:rFonts w:ascii="Cambria" w:eastAsia="Times New Roman" w:hAnsi="Cambria" w:cs="Times New Roman"/>
        </w:rPr>
        <w:t xml:space="preserve">, 11(2):799-822. </w:t>
      </w:r>
      <w:hyperlink r:id="rId14" w:history="1">
        <w:r w:rsidRPr="00DB6021">
          <w:rPr>
            <w:rStyle w:val="Collegamentoipertestuale"/>
            <w:rFonts w:ascii="Cambria" w:eastAsia="Times New Roman" w:hAnsi="Cambria" w:cs="Times New Roman"/>
          </w:rPr>
          <w:t>https://doi.org/10.18352/ijc.756</w:t>
        </w:r>
      </w:hyperlink>
      <w:r w:rsidRPr="00DB6021">
        <w:rPr>
          <w:rFonts w:ascii="Cambria" w:eastAsia="Times New Roman" w:hAnsi="Cambria" w:cs="Times New Roman"/>
        </w:rPr>
        <w:t xml:space="preserve">. </w:t>
      </w:r>
    </w:p>
    <w:p w14:paraId="03AF38D9" w14:textId="77777777" w:rsidR="0027247F" w:rsidRPr="00DB6021" w:rsidRDefault="0027247F" w:rsidP="0027247F">
      <w:pPr>
        <w:pStyle w:val="Paragrafoelenco"/>
        <w:spacing w:line="240" w:lineRule="auto"/>
        <w:jc w:val="both"/>
        <w:rPr>
          <w:rFonts w:ascii="Cambria" w:eastAsia="Times New Roman" w:hAnsi="Cambria" w:cs="Times New Roman"/>
        </w:rPr>
      </w:pPr>
      <w:r w:rsidRPr="00DB6021">
        <w:rPr>
          <w:rFonts w:ascii="Cambria" w:eastAsia="Times New Roman" w:hAnsi="Cambria" w:cs="Times New Roman"/>
        </w:rPr>
        <w:t>Bontempi, A., Venturi, P., Del Bene, D., Scheidel, A., Zaldo-Aubanell, Q. and Zaragoza, R.M.</w:t>
      </w:r>
    </w:p>
    <w:p w14:paraId="7424A0B7" w14:textId="77777777" w:rsidR="0027247F" w:rsidRPr="00DB6021" w:rsidRDefault="0027247F" w:rsidP="0027247F">
      <w:pPr>
        <w:jc w:val="both"/>
        <w:rPr>
          <w:rFonts w:ascii="Cambria" w:eastAsia="Times New Roman" w:hAnsi="Cambria" w:cs="Times New Roman"/>
        </w:rPr>
      </w:pPr>
      <w:r w:rsidRPr="00DB6021">
        <w:rPr>
          <w:rFonts w:ascii="Cambria" w:eastAsia="Times New Roman" w:hAnsi="Cambria" w:cs="Times New Roman"/>
        </w:rPr>
        <w:t xml:space="preserve">(2023). Conflict and Conservation: On the role of protected areas for environmental justice. </w:t>
      </w:r>
      <w:r w:rsidRPr="00DB6021">
        <w:rPr>
          <w:rFonts w:ascii="Cambria" w:eastAsia="Times New Roman" w:hAnsi="Cambria" w:cs="Times New Roman"/>
          <w:i/>
          <w:iCs/>
        </w:rPr>
        <w:t>Global Environmental Change</w:t>
      </w:r>
      <w:r w:rsidRPr="00DB6021">
        <w:rPr>
          <w:rFonts w:ascii="Cambria" w:eastAsia="Times New Roman" w:hAnsi="Cambria" w:cs="Times New Roman"/>
        </w:rPr>
        <w:t xml:space="preserve">, 82, 102740. </w:t>
      </w:r>
      <w:hyperlink r:id="rId15" w:history="1">
        <w:r w:rsidRPr="00DB6021">
          <w:rPr>
            <w:rStyle w:val="Collegamentoipertestuale"/>
            <w:rFonts w:ascii="Cambria" w:eastAsia="Times New Roman" w:hAnsi="Cambria" w:cs="Times New Roman"/>
          </w:rPr>
          <w:t>https://doi.org/10.1016/j.gloenvcha.2023.102740</w:t>
        </w:r>
      </w:hyperlink>
      <w:r w:rsidRPr="00DB6021">
        <w:rPr>
          <w:rFonts w:ascii="Cambria" w:eastAsia="Times New Roman" w:hAnsi="Cambria" w:cs="Times New Roman"/>
        </w:rPr>
        <w:t xml:space="preserve">. </w:t>
      </w:r>
    </w:p>
    <w:p w14:paraId="3C367C0D" w14:textId="77777777" w:rsidR="0027247F" w:rsidRPr="00DB6021" w:rsidRDefault="0027247F" w:rsidP="0027247F">
      <w:pPr>
        <w:ind w:firstLine="708"/>
        <w:jc w:val="both"/>
        <w:rPr>
          <w:rFonts w:ascii="Cambria" w:eastAsia="Times New Roman" w:hAnsi="Cambria" w:cs="Times New Roman"/>
          <w:color w:val="000000"/>
          <w:lang w:val="en-GB"/>
        </w:rPr>
      </w:pPr>
      <w:r w:rsidRPr="00DB6021">
        <w:rPr>
          <w:rFonts w:ascii="Cambria" w:eastAsia="Times New Roman" w:hAnsi="Cambria" w:cs="Times New Roman"/>
          <w:color w:val="000000"/>
          <w:lang w:val="en-GB"/>
        </w:rPr>
        <w:t xml:space="preserve">British Columbia Government News Releases 29.1.2014. Available at: </w:t>
      </w:r>
    </w:p>
    <w:p w14:paraId="1141C409" w14:textId="77777777" w:rsidR="0027247F" w:rsidRPr="005E48D0" w:rsidRDefault="0027247F" w:rsidP="0027247F">
      <w:pPr>
        <w:ind w:firstLine="708"/>
        <w:jc w:val="both"/>
        <w:rPr>
          <w:rFonts w:ascii="Cambria" w:eastAsia="Times New Roman" w:hAnsi="Cambria" w:cs="Times New Roman"/>
          <w:color w:val="000000"/>
          <w:lang w:val="en-GB"/>
        </w:rPr>
      </w:pPr>
      <w:hyperlink r:id="rId16" w:history="1">
        <w:r w:rsidRPr="003D6E65">
          <w:rPr>
            <w:rStyle w:val="Collegamentoipertestuale"/>
            <w:rFonts w:ascii="Cambria" w:eastAsia="Times New Roman" w:hAnsi="Cambria" w:cs="Times New Roman"/>
            <w:lang w:val="en-GB"/>
          </w:rPr>
          <w:t>https://archive.news.gov.bc.ca/releases/news_releases_2013-2017/2014FLNR0005-000099.htm</w:t>
        </w:r>
      </w:hyperlink>
      <w:r>
        <w:rPr>
          <w:rFonts w:ascii="Cambria" w:eastAsia="Times New Roman" w:hAnsi="Cambria" w:cs="Times New Roman"/>
          <w:color w:val="000000"/>
          <w:lang w:val="en-GB"/>
        </w:rPr>
        <w:t xml:space="preserve">. </w:t>
      </w:r>
    </w:p>
    <w:p w14:paraId="230A416C" w14:textId="77777777" w:rsidR="0027247F" w:rsidRPr="00B317B3" w:rsidRDefault="0027247F" w:rsidP="0027247F">
      <w:pPr>
        <w:ind w:firstLine="708"/>
        <w:jc w:val="both"/>
        <w:rPr>
          <w:rFonts w:ascii="Cambria" w:eastAsia="Times New Roman" w:hAnsi="Cambria" w:cs="Times New Roman"/>
          <w:color w:val="000000"/>
          <w:lang w:val="en-GB"/>
        </w:rPr>
      </w:pPr>
      <w:r>
        <w:rPr>
          <w:rFonts w:ascii="Cambria" w:eastAsia="Times New Roman" w:hAnsi="Cambria" w:cs="Times New Roman"/>
          <w:color w:val="000000"/>
          <w:lang w:val="en-GB"/>
        </w:rPr>
        <w:t>BC Gov</w:t>
      </w:r>
      <w:r w:rsidRPr="00B317B3">
        <w:rPr>
          <w:rFonts w:ascii="Cambria" w:eastAsia="Times New Roman" w:hAnsi="Cambria" w:cs="Times New Roman"/>
          <w:color w:val="000000"/>
          <w:lang w:val="en-GB"/>
        </w:rPr>
        <w:t xml:space="preserve"> News Releases 1.3.2016. Available at: </w:t>
      </w:r>
    </w:p>
    <w:p w14:paraId="5B7C8FE5" w14:textId="77777777" w:rsidR="0027247F" w:rsidRPr="00B317B3" w:rsidRDefault="0027247F" w:rsidP="0027247F">
      <w:pPr>
        <w:jc w:val="both"/>
        <w:rPr>
          <w:rFonts w:ascii="Cambria" w:eastAsia="Times New Roman" w:hAnsi="Cambria" w:cs="Times New Roman"/>
          <w:color w:val="000000"/>
          <w:lang w:val="en-GB"/>
        </w:rPr>
      </w:pPr>
      <w:hyperlink r:id="rId17" w:history="1">
        <w:r w:rsidRPr="00B317B3">
          <w:rPr>
            <w:rStyle w:val="Collegamentoipertestuale"/>
            <w:rFonts w:ascii="Cambria" w:eastAsia="Times New Roman" w:hAnsi="Cambria" w:cs="Times New Roman"/>
            <w:lang w:val="en-GB"/>
          </w:rPr>
          <w:t>https://news.gov.bc.ca/releases/2016FLNR0021-000311</w:t>
        </w:r>
      </w:hyperlink>
      <w:r w:rsidRPr="00B317B3">
        <w:rPr>
          <w:rFonts w:ascii="Cambria" w:eastAsia="Times New Roman" w:hAnsi="Cambria" w:cs="Times New Roman"/>
          <w:color w:val="000000"/>
          <w:lang w:val="en-GB"/>
        </w:rPr>
        <w:t>.</w:t>
      </w:r>
    </w:p>
    <w:p w14:paraId="54A91EDB" w14:textId="77777777" w:rsidR="0027247F" w:rsidRPr="00B317B3" w:rsidRDefault="0027247F" w:rsidP="0027247F">
      <w:pPr>
        <w:ind w:firstLine="708"/>
        <w:jc w:val="both"/>
        <w:rPr>
          <w:rFonts w:ascii="Cambria" w:eastAsia="Times New Roman" w:hAnsi="Cambria" w:cs="Times New Roman"/>
          <w:color w:val="000000"/>
          <w:lang w:val="en-GB"/>
        </w:rPr>
      </w:pPr>
      <w:r>
        <w:rPr>
          <w:rFonts w:ascii="Cambria" w:eastAsia="Times New Roman" w:hAnsi="Cambria" w:cs="Times New Roman"/>
          <w:color w:val="000000"/>
          <w:lang w:val="en-GB"/>
        </w:rPr>
        <w:t>BC Gov</w:t>
      </w:r>
      <w:r w:rsidRPr="00B317B3">
        <w:rPr>
          <w:rFonts w:ascii="Cambria" w:eastAsia="Times New Roman" w:hAnsi="Cambria" w:cs="Times New Roman"/>
          <w:color w:val="000000"/>
          <w:lang w:val="en-GB"/>
        </w:rPr>
        <w:t xml:space="preserve"> News</w:t>
      </w:r>
      <w:r>
        <w:rPr>
          <w:rFonts w:ascii="Cambria" w:eastAsia="Times New Roman" w:hAnsi="Cambria" w:cs="Times New Roman"/>
          <w:color w:val="000000"/>
          <w:lang w:val="en-GB"/>
        </w:rPr>
        <w:t xml:space="preserve"> Releases</w:t>
      </w:r>
      <w:r w:rsidRPr="00B317B3">
        <w:rPr>
          <w:rFonts w:ascii="Cambria" w:eastAsia="Times New Roman" w:hAnsi="Cambria" w:cs="Times New Roman"/>
          <w:color w:val="000000"/>
          <w:lang w:val="en-GB"/>
        </w:rPr>
        <w:t xml:space="preserve"> 21.12.2016. Available at: </w:t>
      </w:r>
    </w:p>
    <w:p w14:paraId="77118927" w14:textId="77777777" w:rsidR="0027247F" w:rsidRDefault="0027247F" w:rsidP="0027247F">
      <w:pPr>
        <w:jc w:val="both"/>
        <w:rPr>
          <w:rFonts w:ascii="Cambria" w:eastAsia="Segoe UI" w:hAnsi="Cambria" w:cs="Segoe UI"/>
          <w:color w:val="000000"/>
          <w:lang w:val="en-GB"/>
        </w:rPr>
      </w:pPr>
      <w:hyperlink r:id="rId18" w:history="1">
        <w:r w:rsidRPr="00B317B3">
          <w:rPr>
            <w:rStyle w:val="Collegamentoipertestuale"/>
            <w:rFonts w:ascii="Cambria" w:eastAsia="Segoe UI" w:hAnsi="Cambria" w:cs="Segoe UI"/>
            <w:lang w:val="en-GB"/>
          </w:rPr>
          <w:t>https://terrasindigenas.org.br/pt-br/noticia/48995</w:t>
        </w:r>
      </w:hyperlink>
      <w:r w:rsidRPr="00B317B3">
        <w:rPr>
          <w:rFonts w:ascii="Cambria" w:eastAsia="Segoe UI" w:hAnsi="Cambria" w:cs="Segoe UI"/>
          <w:color w:val="000000"/>
          <w:lang w:val="en-GB"/>
        </w:rPr>
        <w:t>.</w:t>
      </w:r>
    </w:p>
    <w:p w14:paraId="76C795F3" w14:textId="77777777" w:rsidR="0027247F" w:rsidRPr="00A55EFD" w:rsidRDefault="0027247F" w:rsidP="0027247F">
      <w:pPr>
        <w:rPr>
          <w:lang w:val="it-IT"/>
        </w:rPr>
      </w:pPr>
      <w:r>
        <w:rPr>
          <w:rFonts w:ascii="Cambria" w:eastAsia="Segoe UI" w:hAnsi="Cambria" w:cs="Segoe UI"/>
          <w:color w:val="000000"/>
          <w:lang w:val="en-GB"/>
        </w:rPr>
        <w:tab/>
      </w:r>
      <w:r w:rsidRPr="00A55EFD">
        <w:rPr>
          <w:rFonts w:ascii="Cambria" w:eastAsia="Cambria" w:hAnsi="Cambria" w:cs="Cambria"/>
          <w:color w:val="000000"/>
        </w:rPr>
        <w:t xml:space="preserve">BC Gov News Release 27.7.2023. Available at </w:t>
      </w:r>
      <w:hyperlink r:id="rId19" w:history="1">
        <w:r w:rsidRPr="00A55EFD">
          <w:rPr>
            <w:rStyle w:val="Collegamentoipertestuale"/>
            <w:rFonts w:ascii="Cambria" w:eastAsia="Cambria" w:hAnsi="Cambria" w:cs="Cambria"/>
          </w:rPr>
          <w:t>https://archive.news.gov.bc.ca/releases/news_releases_2020-2024/2023FOR0048-001232.htm</w:t>
        </w:r>
      </w:hyperlink>
      <w:r w:rsidRPr="00A55EFD">
        <w:rPr>
          <w:rFonts w:ascii="Cambria" w:eastAsia="Cambria" w:hAnsi="Cambria" w:cs="Cambria"/>
          <w:color w:val="000000"/>
        </w:rPr>
        <w:t xml:space="preserve">. </w:t>
      </w:r>
    </w:p>
    <w:p w14:paraId="61D083FC" w14:textId="77777777" w:rsidR="0027247F" w:rsidRDefault="0027247F" w:rsidP="0027247F">
      <w:pPr>
        <w:ind w:firstLine="708"/>
        <w:jc w:val="both"/>
        <w:rPr>
          <w:rFonts w:ascii="Cambria" w:eastAsia="Segoe UI" w:hAnsi="Cambria" w:cs="Segoe UI"/>
          <w:color w:val="000000"/>
        </w:rPr>
      </w:pPr>
      <w:bookmarkStart w:id="1" w:name="_Hlk131263010"/>
      <w:r w:rsidRPr="000A1B48">
        <w:rPr>
          <w:rFonts w:ascii="Cambria" w:eastAsia="Segoe UI" w:hAnsi="Cambria" w:cs="Segoe UI"/>
          <w:color w:val="000000"/>
        </w:rPr>
        <w:t xml:space="preserve">Buchanan, J. M. (1975). </w:t>
      </w:r>
      <w:r w:rsidRPr="000A1B48">
        <w:rPr>
          <w:rFonts w:ascii="Cambria" w:eastAsia="Segoe UI" w:hAnsi="Cambria" w:cs="Segoe UI"/>
          <w:i/>
          <w:iCs/>
          <w:color w:val="000000"/>
        </w:rPr>
        <w:t>The limits of liberty. Between Anarchy and Leviathan</w:t>
      </w:r>
      <w:r w:rsidRPr="000A1B48">
        <w:rPr>
          <w:rFonts w:ascii="Cambria" w:eastAsia="Segoe UI" w:hAnsi="Cambria" w:cs="Segoe UI"/>
          <w:color w:val="000000"/>
        </w:rPr>
        <w:t xml:space="preserve">. </w:t>
      </w:r>
      <w:r w:rsidRPr="00BA315A">
        <w:rPr>
          <w:rFonts w:ascii="Cambria" w:eastAsia="Segoe UI" w:hAnsi="Cambria" w:cs="Segoe UI"/>
          <w:color w:val="000000"/>
        </w:rPr>
        <w:t xml:space="preserve">The University of Chicago Press. ISBN: 978-0865972261. </w:t>
      </w:r>
      <w:bookmarkEnd w:id="1"/>
    </w:p>
    <w:p w14:paraId="17644C5E" w14:textId="77777777" w:rsidR="0027247F" w:rsidRDefault="0027247F" w:rsidP="0027247F">
      <w:pPr>
        <w:ind w:firstLine="708"/>
        <w:jc w:val="both"/>
        <w:rPr>
          <w:rFonts w:ascii="Cambria" w:eastAsia="Segoe UI" w:hAnsi="Cambria" w:cs="Segoe UI"/>
          <w:color w:val="000000"/>
        </w:rPr>
      </w:pPr>
      <w:r>
        <w:rPr>
          <w:rFonts w:ascii="Cambria" w:eastAsia="Segoe UI" w:hAnsi="Cambria" w:cs="Segoe UI"/>
          <w:color w:val="000000"/>
        </w:rPr>
        <w:t>Buchanan, J. M. and</w:t>
      </w:r>
      <w:r w:rsidRPr="005E5103">
        <w:rPr>
          <w:rFonts w:ascii="Cambria" w:eastAsia="Segoe UI" w:hAnsi="Cambria" w:cs="Segoe UI"/>
          <w:color w:val="000000"/>
        </w:rPr>
        <w:t xml:space="preserve"> Tullock, G. (1962). </w:t>
      </w:r>
      <w:r w:rsidRPr="005E5103">
        <w:rPr>
          <w:rFonts w:ascii="Cambria" w:eastAsia="Segoe UI" w:hAnsi="Cambria" w:cs="Segoe UI"/>
          <w:i/>
          <w:iCs/>
          <w:color w:val="000000"/>
        </w:rPr>
        <w:t>The calculus of consent: Logical Foundations of Constitutional Democracy</w:t>
      </w:r>
      <w:r w:rsidRPr="005E5103">
        <w:rPr>
          <w:rFonts w:ascii="Cambria" w:eastAsia="Segoe UI" w:hAnsi="Cambria" w:cs="Segoe UI"/>
          <w:color w:val="000000"/>
        </w:rPr>
        <w:t xml:space="preserve">. </w:t>
      </w:r>
      <w:r w:rsidRPr="000A1B48">
        <w:rPr>
          <w:rFonts w:ascii="Cambria" w:eastAsia="Segoe UI" w:hAnsi="Cambria" w:cs="Segoe UI"/>
          <w:color w:val="000000"/>
        </w:rPr>
        <w:t xml:space="preserve">Ann Arbor: The University of Michigan Press. </w:t>
      </w:r>
      <w:hyperlink r:id="rId20" w:history="1">
        <w:r w:rsidRPr="005D3028">
          <w:rPr>
            <w:rStyle w:val="Collegamentoipertestuale"/>
            <w:rFonts w:ascii="Cambria" w:eastAsia="Segoe UI" w:hAnsi="Cambria"/>
          </w:rPr>
          <w:t>https://doi.org/10.3998/mpub.7687</w:t>
        </w:r>
      </w:hyperlink>
      <w:r w:rsidRPr="005D3028">
        <w:rPr>
          <w:rFonts w:ascii="Cambria" w:eastAsia="Segoe UI" w:hAnsi="Cambria" w:cs="Segoe UI"/>
          <w:color w:val="000000"/>
        </w:rPr>
        <w:t xml:space="preserve">. </w:t>
      </w:r>
    </w:p>
    <w:p w14:paraId="7DD26240" w14:textId="77777777" w:rsidR="0027247F" w:rsidRPr="00844FA4" w:rsidRDefault="0027247F" w:rsidP="0027247F">
      <w:pPr>
        <w:ind w:firstLine="708"/>
        <w:jc w:val="both"/>
        <w:rPr>
          <w:rFonts w:ascii="Cambria" w:eastAsia="Segoe UI" w:hAnsi="Cambria" w:cs="Segoe UI"/>
        </w:rPr>
      </w:pPr>
      <w:r w:rsidRPr="00E87461">
        <w:rPr>
          <w:rFonts w:ascii="Cambria" w:eastAsia="Segoe UI" w:hAnsi="Cambria" w:cs="Segoe UI"/>
        </w:rPr>
        <w:t xml:space="preserve">Cashore, B. (2001). </w:t>
      </w:r>
      <w:r w:rsidRPr="00E87461">
        <w:rPr>
          <w:rFonts w:ascii="Cambria" w:eastAsia="Segoe UI" w:hAnsi="Cambria" w:cs="Segoe UI"/>
          <w:i/>
          <w:iCs/>
        </w:rPr>
        <w:t>In Search of Sustainability: British Columbia Forest Policy in the 1990</w:t>
      </w:r>
      <w:r w:rsidRPr="00E87461">
        <w:rPr>
          <w:rFonts w:ascii="Cambria" w:eastAsia="Segoe UI" w:hAnsi="Cambria" w:cs="Segoe UI"/>
        </w:rPr>
        <w:t>. Howlett, M., Wilson, J., Hoberg, G. and Rayner, J. (Eds). Vancouver, Canada: University of British Columbia Press. ISBN: 0774808306.</w:t>
      </w:r>
    </w:p>
    <w:p w14:paraId="050CDA7F" w14:textId="654E9961" w:rsidR="0027247F" w:rsidRDefault="0027247F" w:rsidP="0027247F">
      <w:pPr>
        <w:pStyle w:val="Default"/>
        <w:ind w:firstLine="708"/>
        <w:jc w:val="both"/>
        <w:rPr>
          <w:rFonts w:ascii="Cambria" w:hAnsi="Cambria"/>
        </w:rPr>
      </w:pPr>
      <w:r w:rsidRPr="009A154A">
        <w:rPr>
          <w:rFonts w:ascii="Cambria" w:hAnsi="Cambria"/>
        </w:rPr>
        <w:t xml:space="preserve">Cecchini Manara, V. </w:t>
      </w:r>
      <w:r>
        <w:rPr>
          <w:rFonts w:ascii="Cambria" w:hAnsi="Cambria"/>
        </w:rPr>
        <w:t>and</w:t>
      </w:r>
      <w:r w:rsidRPr="009A154A">
        <w:rPr>
          <w:rFonts w:ascii="Cambria" w:hAnsi="Cambria"/>
        </w:rPr>
        <w:t xml:space="preserve"> Sacconi, L. (2019). </w:t>
      </w:r>
      <w:r w:rsidRPr="009A154A">
        <w:rPr>
          <w:rFonts w:ascii="Cambria" w:hAnsi="Cambria"/>
          <w:lang w:val="en-US"/>
        </w:rPr>
        <w:t xml:space="preserve">Institutions, Frames and Social Contract Reasoning. </w:t>
      </w:r>
      <w:r w:rsidRPr="00592F1F">
        <w:rPr>
          <w:rFonts w:ascii="Cambria" w:hAnsi="Cambria"/>
          <w:i/>
          <w:iCs/>
        </w:rPr>
        <w:t>EconomEtica</w:t>
      </w:r>
      <w:r w:rsidRPr="009A154A">
        <w:rPr>
          <w:rFonts w:ascii="Cambria" w:hAnsi="Cambria"/>
        </w:rPr>
        <w:t xml:space="preserve">, N. 71. </w:t>
      </w:r>
      <w:hyperlink r:id="rId21" w:history="1">
        <w:r w:rsidRPr="00F93E01">
          <w:rPr>
            <w:rStyle w:val="Collegamentoipertestuale"/>
            <w:rFonts w:ascii="Cambria" w:hAnsi="Cambria"/>
          </w:rPr>
          <w:t>https://dx.doi.org/10.2139/ssrn.3693323</w:t>
        </w:r>
      </w:hyperlink>
      <w:r>
        <w:rPr>
          <w:rFonts w:ascii="Cambria" w:hAnsi="Cambria"/>
        </w:rPr>
        <w:t>.</w:t>
      </w:r>
    </w:p>
    <w:p w14:paraId="38270871" w14:textId="77777777" w:rsidR="0027247F" w:rsidRPr="00A66DFE" w:rsidRDefault="0027247F" w:rsidP="0027247F">
      <w:pPr>
        <w:pStyle w:val="Default"/>
        <w:ind w:firstLine="708"/>
        <w:jc w:val="both"/>
        <w:rPr>
          <w:rFonts w:ascii="Cambria" w:hAnsi="Cambria"/>
        </w:rPr>
      </w:pPr>
    </w:p>
    <w:p w14:paraId="47FD349C" w14:textId="77777777" w:rsidR="0027247F" w:rsidRDefault="0027247F" w:rsidP="0027247F">
      <w:pPr>
        <w:ind w:firstLine="708"/>
        <w:jc w:val="both"/>
        <w:rPr>
          <w:rFonts w:ascii="Cambria" w:eastAsia="Segoe UI" w:hAnsi="Cambria" w:cs="Segoe UI"/>
          <w:lang w:val="it-IT"/>
        </w:rPr>
      </w:pPr>
      <w:r>
        <w:rPr>
          <w:rFonts w:ascii="Cambria" w:eastAsia="Segoe UI" w:hAnsi="Cambria" w:cs="Segoe UI"/>
          <w:lang w:val="en-GB"/>
        </w:rPr>
        <w:t xml:space="preserve">Chen, Q., Zhang, Y., Zhang, Y. and Kong, M. (2022). Examining Social Equity in the Co-Management of Terrestrial Protected Areas: Perceived Fairness of Local Communities in Giand Panda National Park, China. </w:t>
      </w:r>
      <w:r w:rsidRPr="001840DC">
        <w:rPr>
          <w:rFonts w:ascii="Cambria" w:eastAsia="Segoe UI" w:hAnsi="Cambria" w:cs="Segoe UI"/>
          <w:i/>
          <w:iCs/>
          <w:lang w:val="it-IT"/>
        </w:rPr>
        <w:t>Land</w:t>
      </w:r>
      <w:r w:rsidRPr="001840DC">
        <w:rPr>
          <w:rFonts w:ascii="Cambria" w:eastAsia="Segoe UI" w:hAnsi="Cambria" w:cs="Segoe UI"/>
          <w:lang w:val="it-IT"/>
        </w:rPr>
        <w:t>, 11(10)1624. </w:t>
      </w:r>
      <w:hyperlink r:id="rId22" w:history="1">
        <w:r w:rsidRPr="001840DC">
          <w:rPr>
            <w:rFonts w:ascii="Cambria" w:eastAsia="Segoe UI" w:hAnsi="Cambria" w:cs="Segoe UI"/>
            <w:lang w:val="it-IT"/>
          </w:rPr>
          <w:t>https://doi.org/10.3390/land11101624</w:t>
        </w:r>
      </w:hyperlink>
      <w:r w:rsidRPr="001840DC">
        <w:rPr>
          <w:rFonts w:ascii="Cambria" w:eastAsia="Segoe UI" w:hAnsi="Cambria" w:cs="Segoe UI"/>
          <w:lang w:val="it-IT"/>
        </w:rPr>
        <w:t xml:space="preserve">. </w:t>
      </w:r>
    </w:p>
    <w:p w14:paraId="4D58BB05" w14:textId="77777777" w:rsidR="0027247F" w:rsidRDefault="0027247F" w:rsidP="0027247F">
      <w:pPr>
        <w:spacing w:after="0"/>
        <w:ind w:firstLine="708"/>
        <w:jc w:val="both"/>
        <w:rPr>
          <w:rFonts w:ascii="Cambria" w:eastAsia="Segoe UI" w:hAnsi="Cambria" w:cs="Segoe UI"/>
        </w:rPr>
      </w:pPr>
      <w:r w:rsidRPr="00791EE4">
        <w:rPr>
          <w:rFonts w:ascii="Cambria" w:eastAsia="Segoe UI" w:hAnsi="Cambria" w:cs="Segoe UI"/>
          <w:lang w:val="it-IT"/>
        </w:rPr>
        <w:t xml:space="preserve">Cullen, D., McGee, G. J. A., Gunto, T. I. and Day, C. (2010). </w:t>
      </w:r>
      <w:r w:rsidRPr="00791EE4">
        <w:rPr>
          <w:rFonts w:ascii="Cambria" w:eastAsia="Segoe UI" w:hAnsi="Cambria" w:cs="Segoe UI"/>
        </w:rPr>
        <w:t>Collaborative</w:t>
      </w:r>
      <w:r w:rsidRPr="002B5DAA">
        <w:rPr>
          <w:rFonts w:ascii="Cambria" w:eastAsia="Segoe UI" w:hAnsi="Cambria" w:cs="Segoe UI"/>
        </w:rPr>
        <w:t xml:space="preserve"> Planning in Complex Stakeholder Environments: An Evaluation of a Two-Tiered Collaborative Planning Model</w:t>
      </w:r>
      <w:r>
        <w:rPr>
          <w:rFonts w:ascii="Cambria" w:eastAsia="Segoe UI" w:hAnsi="Cambria" w:cs="Segoe UI"/>
        </w:rPr>
        <w:t xml:space="preserve">. </w:t>
      </w:r>
      <w:r w:rsidRPr="00503A9E">
        <w:rPr>
          <w:rFonts w:ascii="Cambria" w:eastAsia="Segoe UI" w:hAnsi="Cambria" w:cs="Segoe UI"/>
          <w:i/>
          <w:iCs/>
        </w:rPr>
        <w:t>Society and Natural Resources</w:t>
      </w:r>
      <w:r>
        <w:rPr>
          <w:rFonts w:ascii="Cambria" w:eastAsia="Segoe UI" w:hAnsi="Cambria" w:cs="Segoe UI"/>
        </w:rPr>
        <w:t>, 23(4):332-350.</w:t>
      </w:r>
    </w:p>
    <w:p w14:paraId="180C054B" w14:textId="14A30738" w:rsidR="0027247F" w:rsidRPr="0027247F" w:rsidRDefault="0027247F" w:rsidP="0027247F">
      <w:pPr>
        <w:spacing w:after="0"/>
        <w:ind w:firstLine="708"/>
        <w:jc w:val="both"/>
        <w:rPr>
          <w:rFonts w:ascii="Cambria" w:eastAsia="Segoe UI" w:hAnsi="Cambria" w:cs="Segoe UI"/>
        </w:rPr>
      </w:pPr>
      <w:r w:rsidRPr="00503A9E">
        <w:rPr>
          <w:rFonts w:ascii="Cambria" w:eastAsia="Segoe UI" w:hAnsi="Cambria" w:cs="Segoe UI"/>
        </w:rPr>
        <w:t>http://dx.doi.org/10.1080/08941920903002552</w:t>
      </w:r>
      <w:r>
        <w:rPr>
          <w:rFonts w:ascii="Cambria" w:eastAsia="Segoe UI" w:hAnsi="Cambria" w:cs="Segoe UI"/>
        </w:rPr>
        <w:t>.</w:t>
      </w:r>
    </w:p>
    <w:p w14:paraId="6BDF02A4" w14:textId="77777777" w:rsidR="0027247F" w:rsidRPr="00895511" w:rsidRDefault="0027247F" w:rsidP="0027247F">
      <w:pPr>
        <w:pStyle w:val="Default"/>
        <w:jc w:val="both"/>
        <w:rPr>
          <w:rStyle w:val="Collegamentoipertestuale"/>
          <w:rFonts w:eastAsia="Segoe UI" w:cs="Segoe UI"/>
          <w:lang w:val="en-US"/>
          <w14:ligatures w14:val="none"/>
        </w:rPr>
      </w:pPr>
    </w:p>
    <w:p w14:paraId="3D7DAF55" w14:textId="77777777" w:rsidR="0027247F" w:rsidRPr="0057048B" w:rsidRDefault="0027247F" w:rsidP="0027247F">
      <w:pPr>
        <w:ind w:firstLine="708"/>
        <w:jc w:val="both"/>
        <w:rPr>
          <w:rFonts w:ascii="Cambria" w:eastAsia="Segoe UI" w:hAnsi="Cambria" w:cs="Segoe UI"/>
          <w:lang w:val="en-GB"/>
        </w:rPr>
      </w:pPr>
      <w:r w:rsidRPr="0057048B">
        <w:rPr>
          <w:rFonts w:ascii="Cambria" w:hAnsi="Cambria"/>
        </w:rPr>
        <w:t xml:space="preserve">Degli Antoni, G. </w:t>
      </w:r>
      <w:r>
        <w:rPr>
          <w:rFonts w:ascii="Cambria" w:hAnsi="Cambria"/>
        </w:rPr>
        <w:t>and</w:t>
      </w:r>
      <w:r w:rsidRPr="0057048B">
        <w:rPr>
          <w:rFonts w:ascii="Cambria" w:hAnsi="Cambria"/>
        </w:rPr>
        <w:t xml:space="preserve"> Sacconi, L</w:t>
      </w:r>
      <w:r w:rsidRPr="001840DC">
        <w:rPr>
          <w:rFonts w:ascii="Cambria" w:hAnsi="Cambria"/>
        </w:rPr>
        <w:t xml:space="preserve">. (2013). </w:t>
      </w:r>
      <w:r w:rsidRPr="0057048B">
        <w:rPr>
          <w:rFonts w:ascii="Cambria" w:hAnsi="Cambria"/>
        </w:rPr>
        <w:t xml:space="preserve">Social Responsibility, activism and boycotting in a firm-stakeholders network of games with players’ conformist preferences. </w:t>
      </w:r>
      <w:r w:rsidRPr="0057048B">
        <w:rPr>
          <w:rFonts w:ascii="Cambria" w:hAnsi="Cambria"/>
          <w:i/>
          <w:iCs/>
        </w:rPr>
        <w:t>The Journal of Socio-Economics</w:t>
      </w:r>
      <w:r>
        <w:rPr>
          <w:rFonts w:ascii="Cambria" w:hAnsi="Cambria"/>
        </w:rPr>
        <w:t>, 45:</w:t>
      </w:r>
      <w:r w:rsidRPr="0057048B">
        <w:rPr>
          <w:rFonts w:ascii="Cambria" w:hAnsi="Cambria"/>
        </w:rPr>
        <w:t>216-226.</w:t>
      </w:r>
      <w:r>
        <w:rPr>
          <w:rFonts w:ascii="Cambria" w:hAnsi="Cambria"/>
        </w:rPr>
        <w:t xml:space="preserve"> </w:t>
      </w:r>
      <w:hyperlink r:id="rId23" w:history="1">
        <w:r w:rsidRPr="00CD1466">
          <w:rPr>
            <w:rStyle w:val="Collegamentoipertestuale"/>
            <w:rFonts w:ascii="Cambria" w:hAnsi="Cambria"/>
          </w:rPr>
          <w:t>https://doi.org/10.1016/j.socec.2013.05.016</w:t>
        </w:r>
      </w:hyperlink>
      <w:r>
        <w:rPr>
          <w:rFonts w:ascii="Cambria" w:hAnsi="Cambria"/>
        </w:rPr>
        <w:t xml:space="preserve">. </w:t>
      </w:r>
    </w:p>
    <w:p w14:paraId="19BC1A23" w14:textId="77777777" w:rsidR="0027247F" w:rsidRDefault="0027247F" w:rsidP="0027247F">
      <w:pPr>
        <w:autoSpaceDE w:val="0"/>
        <w:autoSpaceDN w:val="0"/>
        <w:adjustRightInd w:val="0"/>
        <w:ind w:firstLine="708"/>
        <w:jc w:val="both"/>
        <w:rPr>
          <w:rFonts w:ascii="Cambria" w:eastAsiaTheme="minorHAnsi" w:hAnsi="Cambria" w:cs="Georgia"/>
          <w14:ligatures w14:val="standardContextual"/>
        </w:rPr>
      </w:pPr>
      <w:r w:rsidRPr="006906D7">
        <w:rPr>
          <w:rFonts w:ascii="Cambria" w:eastAsiaTheme="minorHAnsi" w:hAnsi="Cambria" w:cs="Georgia"/>
          <w14:ligatures w14:val="standardContextual"/>
        </w:rPr>
        <w:t>Dijkstra</w:t>
      </w:r>
      <w:r>
        <w:rPr>
          <w:rFonts w:ascii="Cambria" w:eastAsiaTheme="minorHAnsi" w:hAnsi="Cambria" w:cs="Georgia"/>
          <w14:ligatures w14:val="standardContextual"/>
        </w:rPr>
        <w:t>,</w:t>
      </w:r>
      <w:r w:rsidRPr="006906D7">
        <w:rPr>
          <w:rFonts w:ascii="Cambria" w:eastAsiaTheme="minorHAnsi" w:hAnsi="Cambria" w:cs="Georgia"/>
          <w14:ligatures w14:val="standardContextual"/>
        </w:rPr>
        <w:t xml:space="preserve"> B</w:t>
      </w:r>
      <w:r>
        <w:rPr>
          <w:rFonts w:ascii="Cambria" w:eastAsiaTheme="minorHAnsi" w:hAnsi="Cambria" w:cs="Georgia"/>
          <w14:ligatures w14:val="standardContextual"/>
        </w:rPr>
        <w:t>.</w:t>
      </w:r>
      <w:r w:rsidRPr="006906D7">
        <w:rPr>
          <w:rFonts w:ascii="Cambria" w:eastAsiaTheme="minorHAnsi" w:hAnsi="Cambria" w:cs="Georgia"/>
          <w14:ligatures w14:val="standardContextual"/>
        </w:rPr>
        <w:t xml:space="preserve"> (1999)</w:t>
      </w:r>
      <w:r>
        <w:rPr>
          <w:rFonts w:ascii="Cambria" w:eastAsiaTheme="minorHAnsi" w:hAnsi="Cambria" w:cs="Georgia"/>
          <w14:ligatures w14:val="standardContextual"/>
        </w:rPr>
        <w:t>.</w:t>
      </w:r>
      <w:r w:rsidRPr="006906D7">
        <w:rPr>
          <w:rFonts w:ascii="Cambria" w:eastAsiaTheme="minorHAnsi" w:hAnsi="Cambria" w:cs="Georgia"/>
          <w14:ligatures w14:val="standardContextual"/>
        </w:rPr>
        <w:t xml:space="preserve"> </w:t>
      </w:r>
      <w:r w:rsidRPr="00FB1CE5">
        <w:rPr>
          <w:rFonts w:ascii="Cambria" w:eastAsiaTheme="minorHAnsi" w:hAnsi="Cambria" w:cs="Georgia"/>
          <w:i/>
          <w:iCs/>
          <w14:ligatures w14:val="standardContextual"/>
        </w:rPr>
        <w:t>The political economy of environmental policy</w:t>
      </w:r>
      <w:r w:rsidRPr="006906D7">
        <w:rPr>
          <w:rFonts w:ascii="Cambria" w:eastAsiaTheme="minorHAnsi" w:hAnsi="Cambria" w:cs="Georgia"/>
          <w14:ligatures w14:val="standardContextual"/>
        </w:rPr>
        <w:t>. Edward Elgar,</w:t>
      </w:r>
      <w:r>
        <w:rPr>
          <w:rFonts w:ascii="Cambria" w:eastAsiaTheme="minorHAnsi" w:hAnsi="Cambria" w:cs="Georgia"/>
          <w14:ligatures w14:val="standardContextual"/>
        </w:rPr>
        <w:t xml:space="preserve"> </w:t>
      </w:r>
      <w:r w:rsidRPr="006906D7">
        <w:rPr>
          <w:rFonts w:ascii="Cambria" w:eastAsiaTheme="minorHAnsi" w:hAnsi="Cambria" w:cs="Georgia"/>
          <w14:ligatures w14:val="standardContextual"/>
        </w:rPr>
        <w:t>Cheltenham</w:t>
      </w:r>
      <w:r>
        <w:rPr>
          <w:rFonts w:ascii="Cambria" w:eastAsiaTheme="minorHAnsi" w:hAnsi="Cambria" w:cs="Georgia"/>
          <w14:ligatures w14:val="standardContextual"/>
        </w:rPr>
        <w:t xml:space="preserve">. </w:t>
      </w:r>
      <w:r w:rsidRPr="006906D7">
        <w:rPr>
          <w:rFonts w:ascii="Cambria" w:eastAsiaTheme="minorHAnsi" w:hAnsi="Cambria" w:cs="Georgia"/>
          <w14:ligatures w14:val="standardContextual"/>
        </w:rPr>
        <w:t>ISBN: 9781858989648</w:t>
      </w:r>
      <w:r>
        <w:rPr>
          <w:rFonts w:ascii="Cambria" w:eastAsiaTheme="minorHAnsi" w:hAnsi="Cambria" w:cs="Georgia"/>
          <w14:ligatures w14:val="standardContextual"/>
        </w:rPr>
        <w:t xml:space="preserve">. </w:t>
      </w:r>
    </w:p>
    <w:p w14:paraId="6043646A" w14:textId="77777777" w:rsidR="0027247F" w:rsidRPr="00FB1CE5" w:rsidRDefault="0027247F" w:rsidP="0027247F">
      <w:pPr>
        <w:autoSpaceDE w:val="0"/>
        <w:autoSpaceDN w:val="0"/>
        <w:adjustRightInd w:val="0"/>
        <w:ind w:firstLine="708"/>
        <w:jc w:val="both"/>
        <w:rPr>
          <w:rFonts w:ascii="Cambria" w:eastAsiaTheme="minorHAnsi" w:hAnsi="Cambria" w:cs="Georgia"/>
          <w:sz w:val="28"/>
          <w:szCs w:val="28"/>
          <w14:ligatures w14:val="standardContextual"/>
        </w:rPr>
      </w:pPr>
      <w:r w:rsidRPr="00FB1CE5">
        <w:rPr>
          <w:rFonts w:ascii="Cambria" w:hAnsi="Cambria"/>
        </w:rPr>
        <w:t xml:space="preserve">Dosi, G., and L. Marengo. </w:t>
      </w:r>
      <w:r>
        <w:rPr>
          <w:rFonts w:ascii="Cambria" w:hAnsi="Cambria"/>
        </w:rPr>
        <w:t>(</w:t>
      </w:r>
      <w:r w:rsidRPr="00FB1CE5">
        <w:rPr>
          <w:rFonts w:ascii="Cambria" w:hAnsi="Cambria"/>
        </w:rPr>
        <w:t>1994</w:t>
      </w:r>
      <w:r>
        <w:rPr>
          <w:rFonts w:ascii="Cambria" w:hAnsi="Cambria"/>
        </w:rPr>
        <w:t>)</w:t>
      </w:r>
      <w:r w:rsidRPr="00FB1CE5">
        <w:rPr>
          <w:rFonts w:ascii="Cambria" w:hAnsi="Cambria"/>
        </w:rPr>
        <w:t xml:space="preserve">. Some elements of an evolutionary theory of organizational competence. In England, W. (Ed.). </w:t>
      </w:r>
      <w:r w:rsidRPr="00CF47D8">
        <w:rPr>
          <w:rFonts w:ascii="Cambria" w:hAnsi="Cambria"/>
          <w:i/>
          <w:iCs/>
        </w:rPr>
        <w:t>Evolutionary Concepts in Contemporary Economics</w:t>
      </w:r>
      <w:r w:rsidRPr="00FB1CE5">
        <w:rPr>
          <w:rFonts w:ascii="Cambria" w:hAnsi="Cambria"/>
        </w:rPr>
        <w:t>. Ann Arbor: University of Michigan Press, pp. 157–78. Reprinted in Dosi (2000):211.</w:t>
      </w:r>
    </w:p>
    <w:p w14:paraId="14701D16" w14:textId="77777777" w:rsidR="0027247F" w:rsidRDefault="0027247F" w:rsidP="0027247F">
      <w:pPr>
        <w:ind w:firstLine="708"/>
        <w:jc w:val="both"/>
        <w:rPr>
          <w:rFonts w:ascii="Cambria" w:eastAsia="Segoe UI" w:hAnsi="Cambria" w:cs="Segoe UI"/>
          <w:color w:val="000000"/>
        </w:rPr>
      </w:pPr>
      <w:r w:rsidRPr="004947C2">
        <w:rPr>
          <w:rFonts w:ascii="Cambria" w:eastAsia="Segoe UI" w:hAnsi="Cambria" w:cs="Segoe UI"/>
          <w:color w:val="000000"/>
          <w:lang w:val="en-GB"/>
        </w:rPr>
        <w:t xml:space="preserve">Eckerberg, K </w:t>
      </w:r>
      <w:r>
        <w:rPr>
          <w:rFonts w:ascii="Cambria" w:eastAsia="Segoe UI" w:hAnsi="Cambria" w:cs="Segoe UI"/>
          <w:color w:val="000000"/>
          <w:lang w:val="en-GB"/>
        </w:rPr>
        <w:t>and</w:t>
      </w:r>
      <w:r w:rsidRPr="004947C2">
        <w:rPr>
          <w:rFonts w:ascii="Cambria" w:eastAsia="Segoe UI" w:hAnsi="Cambria" w:cs="Segoe UI"/>
          <w:color w:val="000000"/>
          <w:lang w:val="en-GB"/>
        </w:rPr>
        <w:t xml:space="preserve"> Sandström, C. (2013). </w:t>
      </w:r>
      <w:bookmarkEnd w:id="0"/>
      <w:r w:rsidRPr="004947C2">
        <w:rPr>
          <w:rFonts w:ascii="Cambria" w:eastAsia="Segoe UI" w:hAnsi="Cambria" w:cs="Segoe UI"/>
          <w:color w:val="000000"/>
          <w:lang w:val="en-GB"/>
        </w:rPr>
        <w:t xml:space="preserve">Forest conflicts: A growing research field. </w:t>
      </w:r>
      <w:r w:rsidRPr="004947C2">
        <w:rPr>
          <w:rFonts w:ascii="Cambria" w:eastAsia="Segoe UI" w:hAnsi="Cambria" w:cs="Segoe UI"/>
          <w:i/>
          <w:iCs/>
          <w:color w:val="000000"/>
          <w:lang w:val="en-GB"/>
        </w:rPr>
        <w:t>Forest Policy and Economics</w:t>
      </w:r>
      <w:r w:rsidRPr="004947C2">
        <w:rPr>
          <w:rFonts w:ascii="Cambria" w:eastAsia="Segoe UI" w:hAnsi="Cambria" w:cs="Segoe UI"/>
          <w:color w:val="000000"/>
          <w:lang w:val="en-GB"/>
        </w:rPr>
        <w:t>, 33:3-7.</w:t>
      </w:r>
      <w:r w:rsidRPr="004947C2">
        <w:rPr>
          <w:rFonts w:ascii="Cambria" w:eastAsia="Segoe UI" w:hAnsi="Cambria" w:cs="Segoe UI"/>
          <w:color w:val="000000"/>
        </w:rPr>
        <w:t> </w:t>
      </w:r>
      <w:hyperlink r:id="rId24" w:history="1">
        <w:r w:rsidRPr="004947C2">
          <w:rPr>
            <w:rFonts w:ascii="Cambria" w:eastAsia="Segoe UI" w:hAnsi="Cambria" w:cs="Segoe UI"/>
            <w:color w:val="000000"/>
            <w:u w:val="single"/>
          </w:rPr>
          <w:t>https://doi.org/10.1016/j.forpol.2013.05.001</w:t>
        </w:r>
      </w:hyperlink>
      <w:r w:rsidRPr="004947C2">
        <w:rPr>
          <w:rFonts w:ascii="Cambria" w:eastAsia="Segoe UI" w:hAnsi="Cambria" w:cs="Segoe UI"/>
          <w:color w:val="000000"/>
        </w:rPr>
        <w:t xml:space="preserve">. </w:t>
      </w:r>
    </w:p>
    <w:p w14:paraId="2C18A205" w14:textId="77777777" w:rsidR="0027247F" w:rsidRDefault="0027247F" w:rsidP="0027247F">
      <w:pPr>
        <w:ind w:firstLine="708"/>
        <w:jc w:val="both"/>
        <w:rPr>
          <w:rFonts w:ascii="Cambria" w:eastAsia="Segoe UI" w:hAnsi="Cambria" w:cs="Segoe UI"/>
          <w:color w:val="000000"/>
        </w:rPr>
      </w:pPr>
      <w:r>
        <w:rPr>
          <w:rFonts w:ascii="Cambria" w:eastAsia="Segoe UI" w:hAnsi="Cambria" w:cs="Segoe UI"/>
          <w:color w:val="000000"/>
        </w:rPr>
        <w:t xml:space="preserve">Endres, A. (2004). Game Theory and Global Environmental Policy. </w:t>
      </w:r>
      <w:r w:rsidRPr="00CF47D8">
        <w:rPr>
          <w:rFonts w:ascii="Cambria" w:eastAsia="Segoe UI" w:hAnsi="Cambria" w:cs="Segoe UI"/>
          <w:i/>
          <w:iCs/>
          <w:color w:val="000000"/>
        </w:rPr>
        <w:t>Poiesis and Praxis</w:t>
      </w:r>
      <w:r>
        <w:rPr>
          <w:rFonts w:ascii="Cambria" w:eastAsia="Segoe UI" w:hAnsi="Cambria" w:cs="Segoe UI"/>
          <w:color w:val="000000"/>
        </w:rPr>
        <w:t xml:space="preserve">, 3(1):123-139. </w:t>
      </w:r>
      <w:hyperlink r:id="rId25" w:history="1">
        <w:r w:rsidRPr="00715A24">
          <w:rPr>
            <w:rStyle w:val="Collegamentoipertestuale"/>
            <w:rFonts w:ascii="Cambria" w:eastAsia="Segoe UI" w:hAnsi="Cambria" w:cs="Segoe UI"/>
          </w:rPr>
          <w:t>http://dx.doi.org/10.1007/s10202-003-0059-9</w:t>
        </w:r>
      </w:hyperlink>
      <w:r>
        <w:rPr>
          <w:rFonts w:ascii="Cambria" w:eastAsia="Segoe UI" w:hAnsi="Cambria" w:cs="Segoe UI"/>
          <w:color w:val="000000"/>
        </w:rPr>
        <w:t xml:space="preserve">. </w:t>
      </w:r>
    </w:p>
    <w:p w14:paraId="480C692A" w14:textId="77777777" w:rsidR="0027247F" w:rsidRPr="00272A72" w:rsidRDefault="0027247F" w:rsidP="0027247F">
      <w:pPr>
        <w:ind w:left="720"/>
        <w:jc w:val="both"/>
        <w:rPr>
          <w:rFonts w:ascii="Cambria" w:eastAsia="Times New Roman" w:hAnsi="Cambria" w:cs="Times New Roman"/>
          <w:bCs/>
        </w:rPr>
      </w:pPr>
      <w:r w:rsidRPr="00272A72">
        <w:rPr>
          <w:rFonts w:ascii="Cambria" w:eastAsia="Times New Roman" w:hAnsi="Cambria" w:cs="Times New Roman"/>
        </w:rPr>
        <w:t xml:space="preserve">Fanari, E. (2022). </w:t>
      </w:r>
      <w:r w:rsidRPr="00272A72">
        <w:rPr>
          <w:rFonts w:ascii="Cambria" w:eastAsia="Times New Roman" w:hAnsi="Cambria" w:cs="Times New Roman"/>
          <w:bCs/>
        </w:rPr>
        <w:t>Struggles for just conservation: an analysis of India's biodiversity</w:t>
      </w:r>
    </w:p>
    <w:p w14:paraId="1F2B57D0" w14:textId="77777777" w:rsidR="0027247F" w:rsidRPr="00A363FF" w:rsidRDefault="0027247F" w:rsidP="0027247F">
      <w:pPr>
        <w:jc w:val="both"/>
        <w:rPr>
          <w:rFonts w:ascii="Cambria" w:eastAsia="Times New Roman" w:hAnsi="Cambria" w:cs="Times New Roman"/>
          <w:bCs/>
        </w:rPr>
      </w:pPr>
      <w:r w:rsidRPr="00272A72">
        <w:rPr>
          <w:rFonts w:ascii="Cambria" w:eastAsia="Times New Roman" w:hAnsi="Cambria" w:cs="Times New Roman"/>
          <w:bCs/>
        </w:rPr>
        <w:t>conservation conflicts</w:t>
      </w:r>
      <w:r w:rsidRPr="00272A72">
        <w:rPr>
          <w:rFonts w:ascii="Cambria" w:eastAsia="Times New Roman" w:hAnsi="Cambria" w:cs="Times New Roman"/>
          <w:b/>
        </w:rPr>
        <w:t xml:space="preserve">. </w:t>
      </w:r>
      <w:r w:rsidRPr="00272A72">
        <w:rPr>
          <w:rFonts w:ascii="Cambria" w:eastAsia="Times New Roman" w:hAnsi="Cambria" w:cs="Times New Roman"/>
          <w:bCs/>
          <w:i/>
          <w:iCs/>
        </w:rPr>
        <w:t>Journal of Political Ecology</w:t>
      </w:r>
      <w:r w:rsidRPr="00272A72">
        <w:rPr>
          <w:rFonts w:ascii="Cambria" w:eastAsia="Times New Roman" w:hAnsi="Cambria" w:cs="Times New Roman"/>
          <w:bCs/>
        </w:rPr>
        <w:t>, 28(1). http://dx.doi.org/10.2458/jpe.5214</w:t>
      </w:r>
      <w:r w:rsidRPr="00A363FF">
        <w:rPr>
          <w:rFonts w:ascii="Cambria" w:eastAsia="Times New Roman" w:hAnsi="Cambria" w:cs="Times New Roman"/>
          <w:b/>
          <w:bCs/>
        </w:rPr>
        <w:t>.</w:t>
      </w:r>
    </w:p>
    <w:p w14:paraId="5CD47B16" w14:textId="77777777" w:rsidR="0027247F" w:rsidRDefault="0027247F" w:rsidP="0027247F">
      <w:pPr>
        <w:autoSpaceDE w:val="0"/>
        <w:autoSpaceDN w:val="0"/>
        <w:adjustRightInd w:val="0"/>
        <w:ind w:firstLine="708"/>
        <w:jc w:val="both"/>
        <w:rPr>
          <w:rFonts w:ascii="Cambria" w:eastAsiaTheme="minorHAnsi" w:hAnsi="Cambria" w:cs="AkzidenzGroteskBE-Light"/>
          <w14:ligatures w14:val="standardContextual"/>
        </w:rPr>
      </w:pPr>
      <w:r w:rsidRPr="00117496">
        <w:rPr>
          <w:rFonts w:ascii="Cambria" w:eastAsiaTheme="minorHAnsi" w:hAnsi="Cambria" w:cs="AkzidenzGroteskBE-Light"/>
          <w14:ligatures w14:val="standardContextual"/>
        </w:rPr>
        <w:lastRenderedPageBreak/>
        <w:t>Franks, P., Booker, F and Roe, D. (2018)</w:t>
      </w:r>
      <w:r>
        <w:rPr>
          <w:rFonts w:ascii="Cambria" w:eastAsiaTheme="minorHAnsi" w:hAnsi="Cambria" w:cs="AkzidenzGroteskBE-Light"/>
          <w14:ligatures w14:val="standardContextual"/>
        </w:rPr>
        <w:t>.</w:t>
      </w:r>
      <w:r w:rsidRPr="00117496">
        <w:rPr>
          <w:rFonts w:ascii="Cambria" w:eastAsiaTheme="minorHAnsi" w:hAnsi="Cambria" w:cs="AkzidenzGroteskBE-Light"/>
          <w14:ligatures w14:val="standardContextual"/>
        </w:rPr>
        <w:t xml:space="preserve"> Understanding and assessing equity in protected area conservation: a matter of governance, rights, social impacts and human wellbeing. IIED Issue Paper. IIED,</w:t>
      </w:r>
      <w:r w:rsidRPr="00FB1CE5">
        <w:rPr>
          <w:rFonts w:ascii="Cambria" w:eastAsiaTheme="minorHAnsi" w:hAnsi="Cambria" w:cs="AkzidenzGroteskBE-Light"/>
          <w14:ligatures w14:val="standardContextual"/>
        </w:rPr>
        <w:t xml:space="preserve"> London. ISBN 978-1-78431-555-9. Available at: </w:t>
      </w:r>
      <w:hyperlink r:id="rId26" w:history="1">
        <w:r w:rsidRPr="00FB1CE5">
          <w:rPr>
            <w:rStyle w:val="Collegamentoipertestuale"/>
            <w:rFonts w:ascii="Cambria" w:eastAsiaTheme="minorHAnsi" w:hAnsi="Cambria" w:cs="AkzidenzGroteskBE-Light"/>
            <w14:ligatures w14:val="standardContextual"/>
          </w:rPr>
          <w:t>http://pubs.iied.org/14671IIED</w:t>
        </w:r>
      </w:hyperlink>
      <w:r w:rsidRPr="00FB1CE5">
        <w:rPr>
          <w:rFonts w:ascii="Cambria" w:eastAsiaTheme="minorHAnsi" w:hAnsi="Cambria" w:cs="AkzidenzGroteskBE-Light"/>
          <w14:ligatures w14:val="standardContextual"/>
        </w:rPr>
        <w:t>.</w:t>
      </w:r>
    </w:p>
    <w:p w14:paraId="7A0F9562" w14:textId="77777777" w:rsidR="0027247F" w:rsidRDefault="0027247F" w:rsidP="0027247F">
      <w:pPr>
        <w:ind w:firstLine="708"/>
        <w:jc w:val="both"/>
        <w:rPr>
          <w:rFonts w:ascii="Cambria" w:eastAsia="Segoe UI" w:hAnsi="Cambria" w:cs="Segoe UI"/>
          <w:lang w:val="en-GB"/>
        </w:rPr>
      </w:pPr>
      <w:r w:rsidRPr="004947C2">
        <w:rPr>
          <w:rFonts w:ascii="Cambria" w:eastAsia="Segoe UI" w:hAnsi="Cambria" w:cs="Segoe UI"/>
          <w:lang w:val="en-GB"/>
        </w:rPr>
        <w:t xml:space="preserve">Geores, M. E. (2003). </w:t>
      </w:r>
      <w:r w:rsidRPr="004947C2">
        <w:rPr>
          <w:rFonts w:ascii="Cambria" w:eastAsia="Segoe UI" w:hAnsi="Cambria" w:cs="Segoe UI"/>
          <w:i/>
          <w:iCs/>
          <w:lang w:val="en-GB"/>
        </w:rPr>
        <w:t>The Relationship between Resource Definition and Scale: Considering the Forest</w:t>
      </w:r>
      <w:r w:rsidRPr="004947C2">
        <w:rPr>
          <w:rFonts w:ascii="Cambria" w:eastAsia="Segoe UI" w:hAnsi="Cambria" w:cs="Segoe UI"/>
          <w:lang w:val="en-GB"/>
        </w:rPr>
        <w:t xml:space="preserve">. In Dolsak, N., Ostrom, E. and McKay, B. J. (2003). </w:t>
      </w:r>
      <w:r w:rsidRPr="004947C2">
        <w:rPr>
          <w:rFonts w:ascii="Cambria" w:eastAsia="Segoe UI" w:hAnsi="Cambria" w:cs="Segoe UI"/>
          <w:i/>
          <w:iCs/>
          <w:lang w:val="en-GB"/>
        </w:rPr>
        <w:t>The Commons in the New Millennium: Changes and Adaptation</w:t>
      </w:r>
      <w:r w:rsidRPr="004947C2">
        <w:rPr>
          <w:rFonts w:ascii="Cambria" w:eastAsia="Segoe UI" w:hAnsi="Cambria" w:cs="Segoe UI"/>
          <w:lang w:val="en-GB"/>
        </w:rPr>
        <w:t xml:space="preserve">, pp. 77-97. Cambridge, Massachusetts: MIT Press. </w:t>
      </w:r>
    </w:p>
    <w:p w14:paraId="42E2BB26" w14:textId="77777777" w:rsidR="0027247F" w:rsidRPr="004947C2" w:rsidRDefault="0027247F" w:rsidP="0027247F">
      <w:pPr>
        <w:jc w:val="both"/>
        <w:rPr>
          <w:rFonts w:ascii="Cambria" w:eastAsia="Segoe UI" w:hAnsi="Cambria" w:cs="Segoe UI"/>
        </w:rPr>
      </w:pPr>
      <w:r w:rsidRPr="004947C2">
        <w:rPr>
          <w:rFonts w:ascii="Cambria" w:eastAsia="Segoe UI" w:hAnsi="Cambria" w:cs="Segoe UI"/>
          <w:lang w:val="en-GB"/>
        </w:rPr>
        <w:t>https://doi.org/10.7551/mitpress/1945.003.0012.</w:t>
      </w:r>
    </w:p>
    <w:p w14:paraId="594927A4" w14:textId="4E84BD3F" w:rsidR="0027247F" w:rsidRPr="0027247F" w:rsidRDefault="0027247F" w:rsidP="0027247F">
      <w:pPr>
        <w:pStyle w:val="Titolo1"/>
        <w:spacing w:before="0"/>
        <w:ind w:firstLine="708"/>
        <w:rPr>
          <w:rFonts w:ascii="Cambria" w:eastAsia="Segoe UI" w:hAnsi="Cambria" w:cs="Segoe UI"/>
          <w:color w:val="auto"/>
          <w:sz w:val="24"/>
          <w:szCs w:val="24"/>
        </w:rPr>
      </w:pPr>
      <w:r w:rsidRPr="004947C2">
        <w:rPr>
          <w:rFonts w:ascii="Cambria" w:eastAsia="Segoe UI" w:hAnsi="Cambria" w:cs="Segoe UI"/>
          <w:color w:val="auto"/>
          <w:sz w:val="24"/>
          <w:szCs w:val="24"/>
        </w:rPr>
        <w:t xml:space="preserve">Gong, P. (2002)- Editorial - Multiple-use forestry. </w:t>
      </w:r>
      <w:r w:rsidRPr="004947C2">
        <w:rPr>
          <w:rFonts w:ascii="Cambria" w:eastAsia="Segoe UI" w:hAnsi="Cambria" w:cs="Segoe UI"/>
          <w:i/>
          <w:iCs/>
          <w:color w:val="auto"/>
          <w:sz w:val="24"/>
          <w:szCs w:val="24"/>
        </w:rPr>
        <w:t>Journal of Forest Economics</w:t>
      </w:r>
      <w:r w:rsidRPr="004947C2">
        <w:rPr>
          <w:rFonts w:ascii="Cambria" w:eastAsia="Segoe UI" w:hAnsi="Cambria" w:cs="Segoe UI"/>
          <w:color w:val="auto"/>
          <w:sz w:val="24"/>
          <w:szCs w:val="24"/>
        </w:rPr>
        <w:t xml:space="preserve">, 8(1):1-4. </w:t>
      </w:r>
      <w:hyperlink r:id="rId27" w:history="1">
        <w:r w:rsidRPr="004947C2">
          <w:rPr>
            <w:rStyle w:val="Collegamentoipertestuale"/>
            <w:rFonts w:ascii="Cambria" w:eastAsia="Segoe UI" w:hAnsi="Cambria" w:cs="Segoe UI"/>
            <w:sz w:val="24"/>
            <w:szCs w:val="24"/>
          </w:rPr>
          <w:t>http://dx.doi.org/10.1078/1104-6899-00001</w:t>
        </w:r>
      </w:hyperlink>
      <w:r w:rsidRPr="004947C2">
        <w:rPr>
          <w:rFonts w:ascii="Cambria" w:eastAsia="Segoe UI" w:hAnsi="Cambria" w:cs="Segoe UI"/>
          <w:color w:val="auto"/>
          <w:sz w:val="24"/>
          <w:szCs w:val="24"/>
        </w:rPr>
        <w:t xml:space="preserve">. </w:t>
      </w:r>
    </w:p>
    <w:p w14:paraId="6682B27D" w14:textId="77777777" w:rsidR="0027247F" w:rsidRDefault="0027247F" w:rsidP="0027247F">
      <w:pPr>
        <w:ind w:firstLine="708"/>
        <w:jc w:val="both"/>
        <w:rPr>
          <w:rFonts w:ascii="Cambria" w:hAnsi="Cambria"/>
        </w:rPr>
      </w:pPr>
      <w:r w:rsidRPr="0ECDE4E5">
        <w:rPr>
          <w:rFonts w:ascii="Cambria" w:eastAsia="Cambria" w:hAnsi="Cambria" w:cs="Cambria"/>
          <w:color w:val="000000" w:themeColor="text1"/>
        </w:rPr>
        <w:t xml:space="preserve">Hellström, </w:t>
      </w:r>
      <w:r>
        <w:rPr>
          <w:rFonts w:ascii="Cambria" w:eastAsia="Cambria" w:hAnsi="Cambria" w:cs="Cambria"/>
          <w:color w:val="000000" w:themeColor="text1"/>
        </w:rPr>
        <w:t>E. (</w:t>
      </w:r>
      <w:r w:rsidRPr="0ECDE4E5">
        <w:rPr>
          <w:rFonts w:ascii="Cambria" w:eastAsia="Cambria" w:hAnsi="Cambria" w:cs="Cambria"/>
          <w:color w:val="000000" w:themeColor="text1"/>
        </w:rPr>
        <w:t>2001</w:t>
      </w:r>
      <w:r>
        <w:rPr>
          <w:rFonts w:ascii="Cambria" w:eastAsia="Cambria" w:hAnsi="Cambria" w:cs="Cambria"/>
          <w:color w:val="000000" w:themeColor="text1"/>
        </w:rPr>
        <w:t>)</w:t>
      </w:r>
      <w:r w:rsidRPr="0ECDE4E5">
        <w:rPr>
          <w:rFonts w:ascii="Cambria" w:eastAsia="Cambria" w:hAnsi="Cambria" w:cs="Cambria"/>
          <w:color w:val="000000" w:themeColor="text1"/>
        </w:rPr>
        <w:t xml:space="preserve">; </w:t>
      </w:r>
      <w:r w:rsidRPr="00D049E4">
        <w:rPr>
          <w:rFonts w:ascii="Cambria" w:hAnsi="Cambria"/>
        </w:rPr>
        <w:t>Conflict Cultures –</w:t>
      </w:r>
      <w:r>
        <w:rPr>
          <w:rFonts w:ascii="Cambria" w:hAnsi="Cambria"/>
        </w:rPr>
        <w:t xml:space="preserve"> </w:t>
      </w:r>
      <w:r w:rsidRPr="00D049E4">
        <w:rPr>
          <w:rFonts w:ascii="Cambria" w:hAnsi="Cambria"/>
        </w:rPr>
        <w:t>Qualitative Comparative Analysis</w:t>
      </w:r>
      <w:r>
        <w:rPr>
          <w:rFonts w:ascii="Cambria" w:hAnsi="Cambria"/>
        </w:rPr>
        <w:t xml:space="preserve"> </w:t>
      </w:r>
      <w:r w:rsidRPr="00D049E4">
        <w:rPr>
          <w:rFonts w:ascii="Cambria" w:hAnsi="Cambria"/>
        </w:rPr>
        <w:t>of Environmental Conflicts</w:t>
      </w:r>
      <w:r>
        <w:rPr>
          <w:rFonts w:ascii="Cambria" w:hAnsi="Cambria"/>
        </w:rPr>
        <w:t xml:space="preserve"> </w:t>
      </w:r>
      <w:r w:rsidRPr="00D049E4">
        <w:rPr>
          <w:rFonts w:ascii="Cambria" w:hAnsi="Cambria"/>
        </w:rPr>
        <w:t>in Forestry</w:t>
      </w:r>
      <w:r>
        <w:rPr>
          <w:rFonts w:ascii="Cambria" w:hAnsi="Cambria"/>
        </w:rPr>
        <w:t xml:space="preserve">. </w:t>
      </w:r>
      <w:r w:rsidRPr="008B1C30">
        <w:rPr>
          <w:rFonts w:ascii="Cambria" w:hAnsi="Cambria"/>
          <w:i/>
          <w:iCs/>
        </w:rPr>
        <w:t>Silva Fennica Monographs</w:t>
      </w:r>
      <w:r w:rsidRPr="008B1C30">
        <w:rPr>
          <w:rFonts w:ascii="Cambria" w:hAnsi="Cambria"/>
        </w:rPr>
        <w:t xml:space="preserve"> 2(2)</w:t>
      </w:r>
      <w:r>
        <w:rPr>
          <w:rFonts w:ascii="Cambria" w:hAnsi="Cambria"/>
        </w:rPr>
        <w:t xml:space="preserve">, </w:t>
      </w:r>
    </w:p>
    <w:p w14:paraId="3F06658A" w14:textId="77777777" w:rsidR="0027247F" w:rsidRDefault="0027247F" w:rsidP="0027247F">
      <w:pPr>
        <w:jc w:val="both"/>
        <w:rPr>
          <w:rFonts w:ascii="Cambria" w:hAnsi="Cambria"/>
        </w:rPr>
      </w:pPr>
      <w:hyperlink r:id="rId28" w:history="1">
        <w:r w:rsidRPr="00FD60BD">
          <w:rPr>
            <w:rStyle w:val="Collegamentoipertestuale"/>
            <w:rFonts w:ascii="Cambria" w:hAnsi="Cambria"/>
          </w:rPr>
          <w:t>http://dx.doi.org/10.14214/sf.sfm2</w:t>
        </w:r>
      </w:hyperlink>
      <w:r>
        <w:rPr>
          <w:rFonts w:ascii="Cambria" w:hAnsi="Cambria"/>
        </w:rPr>
        <w:t xml:space="preserve">. </w:t>
      </w:r>
    </w:p>
    <w:p w14:paraId="737229D5" w14:textId="77777777" w:rsidR="0027247F" w:rsidRDefault="0027247F" w:rsidP="0027247F">
      <w:pPr>
        <w:autoSpaceDE w:val="0"/>
        <w:autoSpaceDN w:val="0"/>
        <w:adjustRightInd w:val="0"/>
        <w:ind w:firstLine="708"/>
        <w:jc w:val="both"/>
        <w:rPr>
          <w:rFonts w:ascii="Cambria" w:eastAsia="Segoe UI" w:hAnsi="Cambria" w:cs="Segoe UI"/>
          <w:color w:val="000000"/>
          <w:lang w:val="en-GB"/>
        </w:rPr>
      </w:pPr>
      <w:r w:rsidRPr="00594863">
        <w:rPr>
          <w:rFonts w:ascii="Cambria" w:eastAsia="Segoe UI" w:hAnsi="Cambria" w:cs="Segoe UI"/>
          <w:color w:val="000000"/>
          <w:lang w:val="en-GB"/>
        </w:rPr>
        <w:t xml:space="preserve">Howlett, M., Rayner, J. and Tollefson, C: (2009). From government to governance in forest planning? Lessons from the case of British Columbia Great Bear Rainforest initiative. </w:t>
      </w:r>
      <w:r w:rsidRPr="00594863">
        <w:rPr>
          <w:rFonts w:ascii="Cambria" w:eastAsia="Segoe UI" w:hAnsi="Cambria" w:cs="Segoe UI"/>
          <w:i/>
          <w:iCs/>
          <w:color w:val="000000"/>
          <w:lang w:val="en-GB"/>
        </w:rPr>
        <w:t>Forest Policy and Economics</w:t>
      </w:r>
      <w:r w:rsidRPr="00594863">
        <w:rPr>
          <w:rFonts w:ascii="Cambria" w:eastAsia="Segoe UI" w:hAnsi="Cambria" w:cs="Segoe UI"/>
          <w:color w:val="000000"/>
          <w:lang w:val="en-GB"/>
        </w:rPr>
        <w:t xml:space="preserve">, 11:383-391. </w:t>
      </w:r>
    </w:p>
    <w:p w14:paraId="7DBBD440" w14:textId="77777777" w:rsidR="0027247F" w:rsidRPr="00C85630" w:rsidRDefault="0027247F" w:rsidP="0027247F">
      <w:pPr>
        <w:autoSpaceDE w:val="0"/>
        <w:autoSpaceDN w:val="0"/>
        <w:adjustRightInd w:val="0"/>
        <w:jc w:val="both"/>
        <w:rPr>
          <w:rFonts w:ascii="Cambria" w:eastAsia="Segoe UI" w:hAnsi="Cambria" w:cs="Segoe UI"/>
          <w:color w:val="000000"/>
          <w:lang w:val="en-GB"/>
        </w:rPr>
      </w:pPr>
      <w:hyperlink r:id="rId29" w:history="1">
        <w:r w:rsidRPr="001F26D3">
          <w:rPr>
            <w:rStyle w:val="Collegamentoipertestuale"/>
            <w:rFonts w:ascii="Cambria" w:eastAsia="Segoe UI" w:hAnsi="Cambria" w:cs="Segoe UI"/>
            <w:lang w:val="en-GB"/>
          </w:rPr>
          <w:t>https://doi.org/10.1016/j.forpol.2009.01.003</w:t>
        </w:r>
      </w:hyperlink>
      <w:r w:rsidRPr="00594863">
        <w:rPr>
          <w:rFonts w:ascii="Cambria" w:eastAsia="Segoe UI" w:hAnsi="Cambria" w:cs="Segoe UI"/>
          <w:color w:val="000000"/>
          <w:lang w:val="en-GB"/>
        </w:rPr>
        <w:t xml:space="preserve">. </w:t>
      </w:r>
    </w:p>
    <w:p w14:paraId="29CA8F77" w14:textId="77777777" w:rsidR="0027247F" w:rsidRPr="00504279" w:rsidRDefault="0027247F" w:rsidP="0027247F">
      <w:pPr>
        <w:jc w:val="both"/>
        <w:rPr>
          <w:rFonts w:ascii="Cambria" w:hAnsi="Cambria"/>
          <w:lang w:val="en-GB"/>
        </w:rPr>
      </w:pPr>
      <w:r>
        <w:rPr>
          <w:lang w:val="en-GB"/>
        </w:rPr>
        <w:tab/>
      </w:r>
      <w:r w:rsidRPr="00DB104F">
        <w:rPr>
          <w:rFonts w:ascii="Cambria" w:hAnsi="Cambria"/>
          <w:lang w:val="en-GB"/>
        </w:rPr>
        <w:t xml:space="preserve">Kashwan, P., Mudaliar, P., Foster, S. R. and Clement, F. (2021). </w:t>
      </w:r>
      <w:r w:rsidRPr="00796335">
        <w:rPr>
          <w:rFonts w:ascii="Cambria" w:hAnsi="Cambria"/>
          <w:i/>
          <w:iCs/>
          <w:lang w:val="en-GB"/>
        </w:rPr>
        <w:t xml:space="preserve">Current Research in </w:t>
      </w:r>
      <w:r w:rsidRPr="00504279">
        <w:rPr>
          <w:rFonts w:ascii="Cambria" w:hAnsi="Cambria"/>
          <w:i/>
          <w:iCs/>
          <w:lang w:val="en-GB"/>
        </w:rPr>
        <w:t>Environmental Sustainability</w:t>
      </w:r>
      <w:r w:rsidRPr="00504279">
        <w:rPr>
          <w:rFonts w:ascii="Cambria" w:hAnsi="Cambria"/>
          <w:lang w:val="en-GB"/>
        </w:rPr>
        <w:t xml:space="preserve">, 3, 100102. </w:t>
      </w:r>
      <w:hyperlink r:id="rId30" w:history="1">
        <w:r w:rsidRPr="00504279">
          <w:rPr>
            <w:rStyle w:val="Collegamentoipertestuale"/>
            <w:rFonts w:ascii="Cambria" w:hAnsi="Cambria"/>
            <w:lang w:val="en-GB"/>
          </w:rPr>
          <w:t>https://doi.org/10.1016/j.crsust.2021.100102</w:t>
        </w:r>
      </w:hyperlink>
      <w:r w:rsidRPr="00504279">
        <w:rPr>
          <w:rFonts w:ascii="Cambria" w:hAnsi="Cambria"/>
          <w:lang w:val="en-GB"/>
        </w:rPr>
        <w:t xml:space="preserve">. </w:t>
      </w:r>
    </w:p>
    <w:p w14:paraId="5AEE9794" w14:textId="77777777" w:rsidR="0027247F" w:rsidRDefault="0027247F" w:rsidP="0027247F">
      <w:pPr>
        <w:ind w:firstLine="708"/>
        <w:jc w:val="both"/>
        <w:rPr>
          <w:rFonts w:ascii="Cambria" w:eastAsia="Segoe UI" w:hAnsi="Cambria" w:cs="Segoe UI"/>
          <w:color w:val="000000"/>
        </w:rPr>
      </w:pPr>
      <w:r w:rsidRPr="00504279">
        <w:rPr>
          <w:rFonts w:ascii="Cambria" w:eastAsia="Segoe UI" w:hAnsi="Cambria" w:cs="Segoe UI"/>
          <w:color w:val="000000"/>
          <w:lang w:val="en-GB"/>
        </w:rPr>
        <w:t xml:space="preserve">King, B. (2008). A Social Movement Perspective of Stakeholder Collective Action and Influence. </w:t>
      </w:r>
      <w:r w:rsidRPr="00504279">
        <w:rPr>
          <w:rFonts w:ascii="Cambria" w:eastAsia="Segoe UI" w:hAnsi="Cambria" w:cs="Segoe UI"/>
          <w:i/>
          <w:iCs/>
          <w:color w:val="000000"/>
          <w:lang w:val="en-GB"/>
        </w:rPr>
        <w:t>Business and Society</w:t>
      </w:r>
      <w:r w:rsidRPr="00504279">
        <w:rPr>
          <w:rFonts w:ascii="Cambria" w:eastAsia="Segoe UI" w:hAnsi="Cambria" w:cs="Segoe UI"/>
          <w:color w:val="000000"/>
          <w:lang w:val="en-GB"/>
        </w:rPr>
        <w:t>, 47(1):21-49.</w:t>
      </w:r>
      <w:r w:rsidRPr="00504279">
        <w:rPr>
          <w:rFonts w:ascii="Cambria" w:eastAsia="Segoe UI" w:hAnsi="Cambria" w:cs="Segoe UI"/>
          <w:color w:val="000000"/>
        </w:rPr>
        <w:t> </w:t>
      </w:r>
      <w:hyperlink r:id="rId31" w:history="1">
        <w:r w:rsidRPr="00504279">
          <w:rPr>
            <w:rFonts w:ascii="Cambria" w:eastAsia="Segoe UI" w:hAnsi="Cambria" w:cs="Segoe UI"/>
            <w:color w:val="000000"/>
            <w:u w:val="single"/>
          </w:rPr>
          <w:t>https://doi.org/10.1177/0007650307306636</w:t>
        </w:r>
      </w:hyperlink>
      <w:r w:rsidRPr="00504279">
        <w:rPr>
          <w:rFonts w:ascii="Cambria" w:eastAsia="Segoe UI" w:hAnsi="Cambria" w:cs="Segoe UI"/>
          <w:color w:val="000000"/>
        </w:rPr>
        <w:t>.</w:t>
      </w:r>
      <w:r w:rsidRPr="00594863">
        <w:rPr>
          <w:rFonts w:ascii="Cambria" w:eastAsia="Segoe UI" w:hAnsi="Cambria" w:cs="Segoe UI"/>
          <w:color w:val="000000"/>
        </w:rPr>
        <w:t xml:space="preserve"> </w:t>
      </w:r>
    </w:p>
    <w:p w14:paraId="0E39F052" w14:textId="77777777" w:rsidR="0027247F" w:rsidRDefault="0027247F" w:rsidP="0027247F">
      <w:pPr>
        <w:autoSpaceDE w:val="0"/>
        <w:autoSpaceDN w:val="0"/>
        <w:adjustRightInd w:val="0"/>
        <w:ind w:firstLine="708"/>
        <w:jc w:val="both"/>
        <w:rPr>
          <w:rFonts w:ascii="Cambria" w:hAnsi="Cambria"/>
        </w:rPr>
      </w:pPr>
      <w:r w:rsidRPr="0031339B">
        <w:rPr>
          <w:rFonts w:ascii="Cambria" w:hAnsi="Cambria"/>
        </w:rPr>
        <w:t>Lippert, S.</w:t>
      </w:r>
      <w:r>
        <w:rPr>
          <w:rFonts w:ascii="Cambria" w:hAnsi="Cambria"/>
        </w:rPr>
        <w:t xml:space="preserve"> and </w:t>
      </w:r>
      <w:r w:rsidRPr="0031339B">
        <w:rPr>
          <w:rFonts w:ascii="Cambria" w:hAnsi="Cambria"/>
        </w:rPr>
        <w:t>Spagnolo, G.</w:t>
      </w:r>
      <w:r>
        <w:rPr>
          <w:rFonts w:ascii="Cambria" w:hAnsi="Cambria"/>
        </w:rPr>
        <w:t xml:space="preserve"> (</w:t>
      </w:r>
      <w:r w:rsidRPr="0031339B">
        <w:rPr>
          <w:rFonts w:ascii="Cambria" w:hAnsi="Cambria"/>
        </w:rPr>
        <w:t>2011</w:t>
      </w:r>
      <w:r>
        <w:rPr>
          <w:rFonts w:ascii="Cambria" w:hAnsi="Cambria"/>
        </w:rPr>
        <w:t>)</w:t>
      </w:r>
      <w:r w:rsidRPr="0031339B">
        <w:rPr>
          <w:rFonts w:ascii="Cambria" w:hAnsi="Cambria"/>
        </w:rPr>
        <w:t>. Networks of relations and word-of-mouth</w:t>
      </w:r>
      <w:r>
        <w:rPr>
          <w:rFonts w:ascii="Cambria" w:hAnsi="Cambria"/>
        </w:rPr>
        <w:t xml:space="preserve"> </w:t>
      </w:r>
      <w:r w:rsidRPr="0031339B">
        <w:rPr>
          <w:rFonts w:ascii="Cambria" w:hAnsi="Cambria"/>
        </w:rPr>
        <w:t>communication.</w:t>
      </w:r>
      <w:r>
        <w:rPr>
          <w:rFonts w:ascii="Cambria" w:hAnsi="Cambria"/>
        </w:rPr>
        <w:t xml:space="preserve"> </w:t>
      </w:r>
      <w:r w:rsidRPr="0031339B">
        <w:rPr>
          <w:rFonts w:ascii="Cambria" w:hAnsi="Cambria"/>
          <w:i/>
          <w:iCs/>
        </w:rPr>
        <w:t>Games and Economic Behavior</w:t>
      </w:r>
      <w:r>
        <w:rPr>
          <w:rFonts w:ascii="Cambria" w:hAnsi="Cambria"/>
        </w:rPr>
        <w:t>,</w:t>
      </w:r>
      <w:r w:rsidRPr="0031339B">
        <w:rPr>
          <w:rFonts w:ascii="Cambria" w:hAnsi="Cambria"/>
        </w:rPr>
        <w:t xml:space="preserve"> 72(1)</w:t>
      </w:r>
      <w:r>
        <w:rPr>
          <w:rFonts w:ascii="Cambria" w:hAnsi="Cambria"/>
        </w:rPr>
        <w:t>:</w:t>
      </w:r>
      <w:r w:rsidRPr="0031339B">
        <w:rPr>
          <w:rFonts w:ascii="Cambria" w:hAnsi="Cambria"/>
        </w:rPr>
        <w:t>202–217.</w:t>
      </w:r>
      <w:r>
        <w:rPr>
          <w:rFonts w:ascii="Cambria" w:hAnsi="Cambria"/>
        </w:rPr>
        <w:t xml:space="preserve"> </w:t>
      </w:r>
    </w:p>
    <w:p w14:paraId="5FC52E50" w14:textId="77777777" w:rsidR="0027247F" w:rsidRDefault="0027247F" w:rsidP="0027247F">
      <w:pPr>
        <w:autoSpaceDE w:val="0"/>
        <w:autoSpaceDN w:val="0"/>
        <w:adjustRightInd w:val="0"/>
        <w:jc w:val="both"/>
        <w:rPr>
          <w:rFonts w:ascii="Cambria" w:hAnsi="Cambria"/>
        </w:rPr>
      </w:pPr>
      <w:hyperlink r:id="rId32" w:history="1">
        <w:r w:rsidRPr="008D7EFF">
          <w:rPr>
            <w:rStyle w:val="Collegamentoipertestuale"/>
            <w:rFonts w:ascii="Cambria" w:hAnsi="Cambria"/>
          </w:rPr>
          <w:t>https://doi.org/10.1016/j.geb.2010.08.010</w:t>
        </w:r>
      </w:hyperlink>
      <w:r>
        <w:rPr>
          <w:rFonts w:ascii="Cambria" w:hAnsi="Cambria"/>
        </w:rPr>
        <w:t xml:space="preserve">. </w:t>
      </w:r>
    </w:p>
    <w:p w14:paraId="2A8E9991" w14:textId="77777777" w:rsidR="0027247F" w:rsidRPr="007B55D2" w:rsidRDefault="0027247F" w:rsidP="0027247F">
      <w:pPr>
        <w:autoSpaceDE w:val="0"/>
        <w:autoSpaceDN w:val="0"/>
        <w:adjustRightInd w:val="0"/>
        <w:ind w:firstLine="708"/>
        <w:jc w:val="both"/>
        <w:rPr>
          <w:rFonts w:ascii="Cambria" w:hAnsi="Cambria"/>
        </w:rPr>
      </w:pPr>
      <w:r w:rsidRPr="000B6571">
        <w:rPr>
          <w:rFonts w:ascii="Cambria" w:hAnsi="Cambria"/>
        </w:rPr>
        <w:t xml:space="preserve">Matilainen, M., Pohja-Mykrä, M., Lähdesmäki, L and Kurki, S. (2017). </w:t>
      </w:r>
      <w:r w:rsidRPr="004947C2">
        <w:rPr>
          <w:rFonts w:ascii="Cambria" w:hAnsi="Cambria"/>
        </w:rPr>
        <w:t xml:space="preserve">“I feel it is mine!”. Psychological ownership in relation to natural resources. </w:t>
      </w:r>
      <w:r w:rsidRPr="004947C2">
        <w:rPr>
          <w:rFonts w:ascii="Cambria" w:hAnsi="Cambria"/>
          <w:i/>
          <w:iCs/>
        </w:rPr>
        <w:t>Journal of Environmental Psychology</w:t>
      </w:r>
      <w:r w:rsidRPr="004947C2">
        <w:rPr>
          <w:rFonts w:ascii="Cambria" w:hAnsi="Cambria"/>
        </w:rPr>
        <w:t>, 51:31-45.</w:t>
      </w:r>
      <w:r>
        <w:rPr>
          <w:rFonts w:ascii="Cambria" w:hAnsi="Cambria"/>
        </w:rPr>
        <w:t xml:space="preserve"> </w:t>
      </w:r>
      <w:hyperlink r:id="rId33" w:history="1">
        <w:r w:rsidRPr="00FD60BD">
          <w:rPr>
            <w:rStyle w:val="Collegamentoipertestuale"/>
            <w:rFonts w:ascii="Cambria" w:hAnsi="Cambria"/>
          </w:rPr>
          <w:t>https://doi.org/10.1016/j.jenvp.2017.03.002</w:t>
        </w:r>
      </w:hyperlink>
      <w:r>
        <w:rPr>
          <w:rFonts w:ascii="Cambria" w:hAnsi="Cambria"/>
        </w:rPr>
        <w:t xml:space="preserve">. </w:t>
      </w:r>
    </w:p>
    <w:p w14:paraId="3BA615BC" w14:textId="77777777" w:rsidR="0027247F" w:rsidRDefault="0027247F" w:rsidP="0027247F">
      <w:pPr>
        <w:ind w:firstLine="708"/>
        <w:jc w:val="both"/>
        <w:rPr>
          <w:rFonts w:ascii="Cambria" w:eastAsia="Segoe UI" w:hAnsi="Cambria" w:cs="Segoe UI"/>
          <w:color w:val="000000"/>
        </w:rPr>
      </w:pPr>
      <w:r w:rsidRPr="004947C2">
        <w:rPr>
          <w:rFonts w:ascii="Cambria" w:eastAsia="Segoe UI" w:hAnsi="Cambria" w:cs="Segoe UI"/>
          <w:color w:val="000000"/>
          <w:lang w:val="en-GB"/>
        </w:rPr>
        <w:t xml:space="preserve">Matiru, V. (2000). </w:t>
      </w:r>
      <w:r w:rsidRPr="004947C2">
        <w:rPr>
          <w:rFonts w:ascii="Cambria" w:eastAsia="Segoe UI" w:hAnsi="Cambria" w:cs="Segoe UI"/>
          <w:i/>
          <w:iCs/>
          <w:color w:val="000000"/>
          <w:lang w:val="en-GB"/>
        </w:rPr>
        <w:t>Conflict and Natural Resource Management</w:t>
      </w:r>
      <w:r w:rsidRPr="004947C2">
        <w:rPr>
          <w:rFonts w:ascii="Cambria" w:eastAsia="Segoe UI" w:hAnsi="Cambria" w:cs="Segoe UI"/>
          <w:color w:val="000000"/>
          <w:lang w:val="en-GB"/>
        </w:rPr>
        <w:t xml:space="preserve">. In Hart, N. and Castro, P. (Eds). </w:t>
      </w:r>
      <w:r w:rsidRPr="004947C2">
        <w:rPr>
          <w:rFonts w:ascii="Cambria" w:eastAsia="Segoe UI" w:hAnsi="Cambria" w:cs="Segoe UI"/>
          <w:i/>
          <w:iCs/>
          <w:color w:val="000000"/>
          <w:lang w:val="en-GB"/>
        </w:rPr>
        <w:t>Sustainable Forest Management (SFM) Toolbox</w:t>
      </w:r>
      <w:r w:rsidRPr="004947C2">
        <w:rPr>
          <w:rFonts w:ascii="Cambria" w:eastAsia="Segoe UI" w:hAnsi="Cambria" w:cs="Segoe UI"/>
          <w:color w:val="000000"/>
          <w:lang w:val="en-GB"/>
        </w:rPr>
        <w:t>, FAO. Rome, Italy.</w:t>
      </w:r>
      <w:r w:rsidRPr="004947C2">
        <w:rPr>
          <w:rFonts w:ascii="Cambria" w:eastAsia="Segoe UI" w:hAnsi="Cambria" w:cs="Segoe UI"/>
          <w:color w:val="000000"/>
        </w:rPr>
        <w:t> </w:t>
      </w:r>
      <w:r>
        <w:rPr>
          <w:rFonts w:ascii="Cambria" w:eastAsia="Segoe UI" w:hAnsi="Cambria" w:cs="Segoe UI"/>
          <w:color w:val="000000"/>
        </w:rPr>
        <w:t xml:space="preserve">Available at: </w:t>
      </w:r>
      <w:hyperlink r:id="rId34" w:history="1">
        <w:r w:rsidRPr="00196CC5">
          <w:rPr>
            <w:rStyle w:val="Collegamentoipertestuale"/>
            <w:rFonts w:ascii="Cambria" w:eastAsia="Segoe UI" w:hAnsi="Cambria" w:cs="Segoe UI"/>
          </w:rPr>
          <w:t>https://www.fao.org/forestry/21572-0d9d4b43a56ac49880557f4ebaa3534e3.pdf</w:t>
        </w:r>
      </w:hyperlink>
      <w:r>
        <w:rPr>
          <w:rFonts w:ascii="Cambria" w:eastAsia="Segoe UI" w:hAnsi="Cambria" w:cs="Segoe UI"/>
          <w:color w:val="000000"/>
        </w:rPr>
        <w:t xml:space="preserve">. </w:t>
      </w:r>
    </w:p>
    <w:p w14:paraId="6D9CA0C4" w14:textId="77777777" w:rsidR="0027247F" w:rsidRPr="00A94088" w:rsidRDefault="0027247F" w:rsidP="0027247F">
      <w:pPr>
        <w:ind w:firstLine="708"/>
        <w:jc w:val="both"/>
        <w:rPr>
          <w:rFonts w:ascii="Cambria" w:eastAsia="Times New Roman" w:hAnsi="Cambria" w:cs="Times New Roman"/>
          <w:color w:val="353C3F"/>
          <w:highlight w:val="white"/>
        </w:rPr>
      </w:pPr>
      <w:r w:rsidRPr="00A94088">
        <w:rPr>
          <w:rFonts w:ascii="Cambria" w:eastAsia="Times New Roman" w:hAnsi="Cambria" w:cs="Times New Roman"/>
          <w:color w:val="353C3F"/>
          <w:highlight w:val="white"/>
        </w:rPr>
        <w:t xml:space="preserve">MEA. (2005). </w:t>
      </w:r>
      <w:r w:rsidRPr="00A94088">
        <w:rPr>
          <w:rFonts w:ascii="Cambria" w:eastAsia="Times New Roman" w:hAnsi="Cambria" w:cs="Times New Roman"/>
          <w:i/>
          <w:color w:val="353C3F"/>
          <w:highlight w:val="white"/>
        </w:rPr>
        <w:t>Ecosystems and human well-being: the assessment series</w:t>
      </w:r>
      <w:r w:rsidRPr="00A94088">
        <w:rPr>
          <w:rFonts w:ascii="Cambria" w:eastAsia="Times New Roman" w:hAnsi="Cambria" w:cs="Times New Roman"/>
          <w:color w:val="353C3F"/>
          <w:highlight w:val="white"/>
        </w:rPr>
        <w:t>. Millennium Ecosystem Assessment (MEA). Washington, DC: Island Press. ISBN 1-59726-040-1.</w:t>
      </w:r>
      <w:r w:rsidRPr="00A94088">
        <w:rPr>
          <w:rFonts w:ascii="Cambria" w:hAnsi="Cambria"/>
        </w:rPr>
        <w:t xml:space="preserve"> </w:t>
      </w:r>
    </w:p>
    <w:p w14:paraId="2CD06662" w14:textId="77777777" w:rsidR="0027247F" w:rsidRDefault="0027247F" w:rsidP="0027247F">
      <w:pPr>
        <w:ind w:firstLine="708"/>
        <w:jc w:val="both"/>
        <w:rPr>
          <w:rFonts w:ascii="Cambria" w:eastAsia="Segoe UI" w:hAnsi="Cambria" w:cs="Segoe UI"/>
          <w:lang w:val="en-GB"/>
        </w:rPr>
      </w:pPr>
      <w:r w:rsidRPr="004947C2">
        <w:rPr>
          <w:rFonts w:ascii="Cambria" w:eastAsia="Segoe UI" w:hAnsi="Cambria" w:cs="Segoe UI"/>
          <w:lang w:val="it-IT"/>
        </w:rPr>
        <w:t xml:space="preserve">Mola-Yudego, B. &amp; Gritten, D. (2010). </w:t>
      </w:r>
      <w:r w:rsidRPr="004947C2">
        <w:rPr>
          <w:rFonts w:ascii="Cambria" w:eastAsia="Segoe UI" w:hAnsi="Cambria" w:cs="Segoe UI"/>
          <w:lang w:val="en-GB"/>
        </w:rPr>
        <w:t xml:space="preserve">Determining Forest Conflict Hotspots According to Academic and Environmental Groups. </w:t>
      </w:r>
      <w:r w:rsidRPr="004947C2">
        <w:rPr>
          <w:rFonts w:ascii="Cambria" w:eastAsia="Segoe UI" w:hAnsi="Cambria" w:cs="Segoe UI"/>
          <w:i/>
          <w:iCs/>
          <w:lang w:val="en-GB"/>
        </w:rPr>
        <w:t>Forest Policy and Economics</w:t>
      </w:r>
      <w:r w:rsidRPr="004947C2">
        <w:rPr>
          <w:rFonts w:ascii="Cambria" w:eastAsia="Segoe UI" w:hAnsi="Cambria" w:cs="Segoe UI"/>
          <w:lang w:val="en-GB"/>
        </w:rPr>
        <w:t>, 12:575-580. </w:t>
      </w:r>
      <w:hyperlink r:id="rId35" w:history="1">
        <w:r w:rsidRPr="004947C2">
          <w:rPr>
            <w:rFonts w:ascii="Cambria" w:eastAsia="Segoe UI" w:hAnsi="Cambria" w:cs="Segoe UI"/>
            <w:lang w:val="en-GB"/>
          </w:rPr>
          <w:t>https://doi.org/10.1016/j.forpol.2010.07.004</w:t>
        </w:r>
      </w:hyperlink>
      <w:r w:rsidRPr="004947C2">
        <w:rPr>
          <w:rFonts w:ascii="Cambria" w:eastAsia="Segoe UI" w:hAnsi="Cambria" w:cs="Segoe UI"/>
          <w:lang w:val="en-GB"/>
        </w:rPr>
        <w:t xml:space="preserve">. </w:t>
      </w:r>
    </w:p>
    <w:p w14:paraId="51F475B9" w14:textId="77777777" w:rsidR="0027247F" w:rsidRPr="00367FE7" w:rsidRDefault="0027247F" w:rsidP="0027247F">
      <w:pPr>
        <w:ind w:firstLine="708"/>
        <w:jc w:val="both"/>
        <w:rPr>
          <w:rFonts w:ascii="Cambria" w:eastAsia="Segoe UI" w:hAnsi="Cambria" w:cs="Segoe UI"/>
          <w:lang w:val="en-GB"/>
        </w:rPr>
      </w:pPr>
      <w:r w:rsidRPr="00117496">
        <w:rPr>
          <w:rFonts w:ascii="Cambria" w:hAnsi="Cambria"/>
          <w:color w:val="232323"/>
          <w:shd w:val="clear" w:color="auto" w:fill="FFFFFF"/>
        </w:rPr>
        <w:lastRenderedPageBreak/>
        <w:t xml:space="preserve">Mombeshora, S. </w:t>
      </w:r>
      <w:r>
        <w:rPr>
          <w:rFonts w:ascii="Cambria" w:hAnsi="Cambria"/>
          <w:color w:val="232323"/>
          <w:shd w:val="clear" w:color="auto" w:fill="FFFFFF"/>
        </w:rPr>
        <w:t>and</w:t>
      </w:r>
      <w:r w:rsidRPr="00117496">
        <w:rPr>
          <w:rFonts w:ascii="Cambria" w:hAnsi="Cambria"/>
          <w:color w:val="232323"/>
          <w:shd w:val="clear" w:color="auto" w:fill="FFFFFF"/>
        </w:rPr>
        <w:t xml:space="preserve"> Le Bel, S. (2009). </w:t>
      </w:r>
      <w:r w:rsidRPr="00367FE7">
        <w:rPr>
          <w:rFonts w:ascii="Cambria" w:hAnsi="Cambria"/>
          <w:color w:val="232323"/>
          <w:shd w:val="clear" w:color="auto" w:fill="FFFFFF"/>
        </w:rPr>
        <w:t xml:space="preserve">Parks-People Conflicts: The Case of Gonarezhou National Park and the Chitsa Community in South-East Zimbabwe. </w:t>
      </w:r>
      <w:r w:rsidRPr="00367FE7">
        <w:rPr>
          <w:rFonts w:ascii="Cambria" w:hAnsi="Cambria"/>
          <w:i/>
          <w:iCs/>
          <w:color w:val="232323"/>
          <w:shd w:val="clear" w:color="auto" w:fill="FFFFFF"/>
        </w:rPr>
        <w:t>Biodiversity and Conservation</w:t>
      </w:r>
      <w:r w:rsidRPr="00367FE7">
        <w:rPr>
          <w:rFonts w:ascii="Cambria" w:hAnsi="Cambria"/>
          <w:color w:val="232323"/>
          <w:shd w:val="clear" w:color="auto" w:fill="FFFFFF"/>
        </w:rPr>
        <w:t>, 18</w:t>
      </w:r>
      <w:r>
        <w:rPr>
          <w:rFonts w:ascii="Cambria" w:hAnsi="Cambria"/>
          <w:color w:val="232323"/>
          <w:shd w:val="clear" w:color="auto" w:fill="FFFFFF"/>
        </w:rPr>
        <w:t>:</w:t>
      </w:r>
      <w:r w:rsidRPr="00367FE7">
        <w:rPr>
          <w:rFonts w:ascii="Cambria" w:hAnsi="Cambria"/>
          <w:color w:val="232323"/>
          <w:shd w:val="clear" w:color="auto" w:fill="FFFFFF"/>
        </w:rPr>
        <w:t xml:space="preserve">2601-2623. </w:t>
      </w:r>
      <w:hyperlink r:id="rId36" w:history="1">
        <w:r w:rsidRPr="00367FE7">
          <w:rPr>
            <w:rStyle w:val="Collegamentoipertestuale"/>
            <w:rFonts w:ascii="Cambria" w:hAnsi="Cambria"/>
            <w:shd w:val="clear" w:color="auto" w:fill="FFFFFF"/>
          </w:rPr>
          <w:t>http://dx.doi.org/10.1007/s10531-009-9676-5</w:t>
        </w:r>
      </w:hyperlink>
      <w:r w:rsidRPr="00367FE7">
        <w:rPr>
          <w:rFonts w:ascii="Cambria" w:hAnsi="Cambria"/>
          <w:color w:val="232323"/>
          <w:shd w:val="clear" w:color="auto" w:fill="FFFFFF"/>
        </w:rPr>
        <w:t xml:space="preserve">. </w:t>
      </w:r>
    </w:p>
    <w:p w14:paraId="2A5515EC" w14:textId="77777777" w:rsidR="0027247F" w:rsidRPr="004947C2" w:rsidRDefault="0027247F" w:rsidP="0027247F">
      <w:pPr>
        <w:ind w:firstLine="708"/>
        <w:jc w:val="both"/>
        <w:rPr>
          <w:rFonts w:ascii="Cambria" w:eastAsia="Segoe UI" w:hAnsi="Cambria" w:cs="Segoe UI"/>
          <w:lang w:val="en-GB"/>
        </w:rPr>
      </w:pPr>
      <w:r w:rsidRPr="004947C2">
        <w:rPr>
          <w:rFonts w:ascii="Cambria" w:eastAsia="Segoe UI" w:hAnsi="Cambria" w:cs="Segoe UI"/>
          <w:lang w:val="en-GB"/>
        </w:rPr>
        <w:t xml:space="preserve">Morrison, T. H., Adger, W. N., Brown, K., …… and Hughes, T. P. (2019). The black box of power in polycentric environmental governance. </w:t>
      </w:r>
      <w:r w:rsidRPr="004947C2">
        <w:rPr>
          <w:rFonts w:ascii="Cambria" w:eastAsia="Segoe UI" w:hAnsi="Cambria" w:cs="Segoe UI"/>
          <w:i/>
          <w:iCs/>
          <w:lang w:val="en-GB"/>
        </w:rPr>
        <w:t>Global Environmental Change</w:t>
      </w:r>
      <w:r w:rsidRPr="004947C2">
        <w:rPr>
          <w:rFonts w:ascii="Cambria" w:eastAsia="Segoe UI" w:hAnsi="Cambria" w:cs="Segoe UI"/>
          <w:lang w:val="en-GB"/>
        </w:rPr>
        <w:t>, 57:101934.</w:t>
      </w:r>
    </w:p>
    <w:p w14:paraId="1D36BECD" w14:textId="77777777" w:rsidR="0027247F" w:rsidRDefault="0027247F" w:rsidP="0027247F">
      <w:pPr>
        <w:jc w:val="both"/>
        <w:rPr>
          <w:rFonts w:ascii="Cambria" w:eastAsia="Segoe UI" w:hAnsi="Cambria" w:cs="Segoe UI"/>
          <w:lang w:val="en-GB"/>
        </w:rPr>
      </w:pPr>
      <w:hyperlink r:id="rId37" w:history="1">
        <w:r w:rsidRPr="004947C2">
          <w:rPr>
            <w:rFonts w:ascii="Cambria" w:eastAsia="Calibri" w:hAnsi="Cambria" w:cs="Times New Roman"/>
            <w:lang w:val="en-GB"/>
          </w:rPr>
          <w:t>https://doi.org/10.1016/j.gloenvcha.2019.101934</w:t>
        </w:r>
      </w:hyperlink>
      <w:r w:rsidRPr="004947C2">
        <w:rPr>
          <w:rFonts w:ascii="Cambria" w:eastAsia="Segoe UI" w:hAnsi="Cambria" w:cs="Segoe UI"/>
          <w:lang w:val="en-GB"/>
        </w:rPr>
        <w:t>.</w:t>
      </w:r>
    </w:p>
    <w:p w14:paraId="09D7D4E8" w14:textId="77777777" w:rsidR="0027247F" w:rsidRDefault="0027247F" w:rsidP="0027247F">
      <w:pPr>
        <w:ind w:firstLine="720"/>
        <w:jc w:val="both"/>
        <w:rPr>
          <w:rFonts w:ascii="Cambria" w:eastAsia="Segoe UI" w:hAnsi="Cambria" w:cs="Segoe UI"/>
          <w:lang w:val="en-GB"/>
        </w:rPr>
      </w:pPr>
      <w:r w:rsidRPr="004947C2">
        <w:rPr>
          <w:rFonts w:ascii="Cambria" w:hAnsi="Cambria"/>
          <w:lang w:val="en-GB"/>
        </w:rPr>
        <w:t>N</w:t>
      </w:r>
      <w:r w:rsidRPr="004947C2">
        <w:rPr>
          <w:rFonts w:ascii="Cambria" w:eastAsia="Segoe UI" w:hAnsi="Cambria" w:cs="Segoe UI"/>
          <w:lang w:val="en-GB"/>
        </w:rPr>
        <w:t xml:space="preserve">ousiainen, D. </w:t>
      </w:r>
      <w:r>
        <w:rPr>
          <w:rFonts w:ascii="Cambria" w:eastAsia="Segoe UI" w:hAnsi="Cambria" w:cs="Segoe UI"/>
          <w:lang w:val="en-GB"/>
        </w:rPr>
        <w:t>and</w:t>
      </w:r>
      <w:r w:rsidRPr="004947C2">
        <w:rPr>
          <w:rFonts w:ascii="Cambria" w:eastAsia="Segoe UI" w:hAnsi="Cambria" w:cs="Segoe UI"/>
          <w:lang w:val="en-GB"/>
        </w:rPr>
        <w:t xml:space="preserve"> Mola-Yudego, B. (2022). Characteristics and emerging patterns of forests conflicts in Europe – What can they tell us? </w:t>
      </w:r>
      <w:r w:rsidRPr="004947C2">
        <w:rPr>
          <w:rFonts w:ascii="Cambria" w:eastAsia="Segoe UI" w:hAnsi="Cambria" w:cs="Segoe UI"/>
          <w:i/>
          <w:iCs/>
          <w:lang w:val="en-GB"/>
        </w:rPr>
        <w:t>Forest Policy and Economics</w:t>
      </w:r>
      <w:r w:rsidRPr="004947C2">
        <w:rPr>
          <w:rFonts w:ascii="Cambria" w:eastAsia="Segoe UI" w:hAnsi="Cambria" w:cs="Segoe UI"/>
          <w:lang w:val="en-GB"/>
        </w:rPr>
        <w:t xml:space="preserve">, 136. </w:t>
      </w:r>
      <w:hyperlink r:id="rId38" w:history="1">
        <w:r w:rsidRPr="004947C2">
          <w:rPr>
            <w:rStyle w:val="Collegamentoipertestuale"/>
            <w:rFonts w:ascii="Cambria" w:eastAsia="Segoe UI" w:hAnsi="Cambria" w:cs="Segoe UI"/>
            <w:lang w:val="en-GB"/>
          </w:rPr>
          <w:t>https://doi.org/10.1016/j.forpol.2021.102671</w:t>
        </w:r>
      </w:hyperlink>
      <w:r w:rsidRPr="004947C2">
        <w:rPr>
          <w:rFonts w:ascii="Cambria" w:eastAsia="Segoe UI" w:hAnsi="Cambria" w:cs="Segoe UI"/>
          <w:lang w:val="en-GB"/>
        </w:rPr>
        <w:t>.</w:t>
      </w:r>
    </w:p>
    <w:p w14:paraId="380F88B8" w14:textId="77777777" w:rsidR="0027247F" w:rsidRPr="00696D4B" w:rsidRDefault="0027247F" w:rsidP="0027247F">
      <w:pPr>
        <w:autoSpaceDE w:val="0"/>
        <w:autoSpaceDN w:val="0"/>
        <w:adjustRightInd w:val="0"/>
        <w:ind w:firstLine="708"/>
        <w:jc w:val="both"/>
        <w:rPr>
          <w:rFonts w:ascii="Cambria" w:hAnsi="Cambria" w:cs="Segoe UI"/>
          <w:color w:val="222222"/>
          <w:shd w:val="clear" w:color="auto" w:fill="FFFFFF"/>
        </w:rPr>
      </w:pPr>
      <w:r>
        <w:rPr>
          <w:rFonts w:ascii="Cambria" w:eastAsia="Segoe UI" w:hAnsi="Cambria" w:cs="Segoe UI"/>
          <w:lang w:val="en-GB"/>
        </w:rPr>
        <w:t>Oldekop, J. A., Holmes, G., Harris, W. E. and Evans, K. L. (2015). A</w:t>
      </w:r>
      <w:r w:rsidRPr="00EE4E88">
        <w:rPr>
          <w:rFonts w:ascii="Cambria" w:hAnsi="Cambria" w:cs="Segoe UI"/>
          <w:color w:val="222222"/>
          <w:shd w:val="clear" w:color="auto" w:fill="FFFFFF"/>
        </w:rPr>
        <w:t xml:space="preserve"> global assessment of the social and conservation</w:t>
      </w:r>
      <w:r>
        <w:rPr>
          <w:rFonts w:ascii="Cambria" w:hAnsi="Cambria" w:cs="Segoe UI"/>
          <w:color w:val="222222"/>
          <w:shd w:val="clear" w:color="auto" w:fill="FFFFFF"/>
        </w:rPr>
        <w:t xml:space="preserve"> </w:t>
      </w:r>
      <w:r w:rsidRPr="00EE4E88">
        <w:rPr>
          <w:rFonts w:ascii="Cambria" w:hAnsi="Cambria" w:cs="Segoe UI"/>
          <w:color w:val="222222"/>
          <w:shd w:val="clear" w:color="auto" w:fill="FFFFFF"/>
        </w:rPr>
        <w:t>outcomes of protected areas</w:t>
      </w:r>
      <w:r>
        <w:rPr>
          <w:rFonts w:ascii="Cambria" w:hAnsi="Cambria" w:cs="Segoe UI"/>
          <w:color w:val="222222"/>
          <w:shd w:val="clear" w:color="auto" w:fill="FFFFFF"/>
        </w:rPr>
        <w:t xml:space="preserve">. </w:t>
      </w:r>
      <w:r w:rsidRPr="00EE4E88">
        <w:rPr>
          <w:rFonts w:ascii="Cambria" w:hAnsi="Cambria" w:cs="Segoe UI"/>
          <w:i/>
          <w:iCs/>
          <w:color w:val="222222"/>
          <w:shd w:val="clear" w:color="auto" w:fill="FFFFFF"/>
        </w:rPr>
        <w:t>Conservation Biology</w:t>
      </w:r>
      <w:r>
        <w:rPr>
          <w:rFonts w:ascii="Cambria" w:hAnsi="Cambria" w:cs="Segoe UI"/>
          <w:color w:val="222222"/>
          <w:shd w:val="clear" w:color="auto" w:fill="FFFFFF"/>
        </w:rPr>
        <w:t xml:space="preserve">, 30(1):133-141. </w:t>
      </w:r>
      <w:hyperlink r:id="rId39" w:history="1">
        <w:r w:rsidRPr="00715A24">
          <w:rPr>
            <w:rStyle w:val="Collegamentoipertestuale"/>
            <w:rFonts w:ascii="Cambria" w:hAnsi="Cambria" w:cs="Segoe UI"/>
            <w:shd w:val="clear" w:color="auto" w:fill="FFFFFF"/>
          </w:rPr>
          <w:t>https://doi.org/10.1111/cobi.12568</w:t>
        </w:r>
      </w:hyperlink>
      <w:r>
        <w:rPr>
          <w:rFonts w:ascii="Cambria" w:hAnsi="Cambria" w:cs="Segoe UI"/>
          <w:color w:val="222222"/>
          <w:shd w:val="clear" w:color="auto" w:fill="FFFFFF"/>
        </w:rPr>
        <w:t xml:space="preserve">. </w:t>
      </w:r>
    </w:p>
    <w:p w14:paraId="46FCDCC6" w14:textId="77777777" w:rsidR="0027247F" w:rsidRDefault="0027247F" w:rsidP="0027247F">
      <w:pPr>
        <w:ind w:firstLine="708"/>
        <w:jc w:val="both"/>
        <w:rPr>
          <w:rFonts w:ascii="Cambria" w:hAnsi="Cambria" w:cs="Segoe UI"/>
          <w:color w:val="222222"/>
          <w:shd w:val="clear" w:color="auto" w:fill="FFFFFF"/>
        </w:rPr>
      </w:pPr>
      <w:r>
        <w:rPr>
          <w:rFonts w:ascii="Cambria" w:hAnsi="Cambria" w:cs="Segoe UI"/>
          <w:color w:val="222222"/>
          <w:shd w:val="clear" w:color="auto" w:fill="FFFFFF"/>
        </w:rPr>
        <w:t>Oldekop, J. A.</w:t>
      </w:r>
      <w:r w:rsidRPr="004947C2">
        <w:rPr>
          <w:rFonts w:ascii="Cambria" w:hAnsi="Cambria" w:cs="Segoe UI"/>
          <w:color w:val="222222"/>
          <w:shd w:val="clear" w:color="auto" w:fill="FFFFFF"/>
        </w:rPr>
        <w:t>, Rasmussen, L.V., Agrawal, A. et al. (2020). Forest-linked livelihoods in a globalized world. </w:t>
      </w:r>
      <w:r w:rsidRPr="004947C2">
        <w:rPr>
          <w:rFonts w:ascii="Cambria" w:hAnsi="Cambria" w:cs="Segoe UI"/>
          <w:i/>
          <w:iCs/>
          <w:color w:val="222222"/>
          <w:shd w:val="clear" w:color="auto" w:fill="FFFFFF"/>
        </w:rPr>
        <w:t>Nature Plants,</w:t>
      </w:r>
      <w:r w:rsidRPr="004947C2">
        <w:rPr>
          <w:rFonts w:ascii="Cambria" w:hAnsi="Cambria" w:cs="Segoe UI"/>
          <w:color w:val="222222"/>
          <w:shd w:val="clear" w:color="auto" w:fill="FFFFFF"/>
        </w:rPr>
        <w:t xml:space="preserve"> 6:1400–1407. </w:t>
      </w:r>
      <w:hyperlink r:id="rId40" w:history="1">
        <w:r w:rsidRPr="00196CC5">
          <w:rPr>
            <w:rStyle w:val="Collegamentoipertestuale"/>
            <w:rFonts w:ascii="Cambria" w:hAnsi="Cambria" w:cs="Segoe UI"/>
            <w:shd w:val="clear" w:color="auto" w:fill="FFFFFF"/>
          </w:rPr>
          <w:t>https://doi.org/10.1038/s41477-020-00814-9</w:t>
        </w:r>
      </w:hyperlink>
      <w:r w:rsidRPr="004947C2">
        <w:rPr>
          <w:rFonts w:ascii="Cambria" w:hAnsi="Cambria" w:cs="Segoe UI"/>
          <w:color w:val="222222"/>
          <w:shd w:val="clear" w:color="auto" w:fill="FFFFFF"/>
        </w:rPr>
        <w:t>.</w:t>
      </w:r>
    </w:p>
    <w:p w14:paraId="6DAE8147" w14:textId="77777777" w:rsidR="0027247F" w:rsidRDefault="0027247F" w:rsidP="0027247F">
      <w:pPr>
        <w:autoSpaceDE w:val="0"/>
        <w:autoSpaceDN w:val="0"/>
        <w:adjustRightInd w:val="0"/>
        <w:ind w:firstLine="708"/>
        <w:jc w:val="both"/>
        <w:rPr>
          <w:rFonts w:ascii="Cambria" w:eastAsia="Segoe UI" w:hAnsi="Cambria" w:cs="Segoe UI"/>
          <w:lang w:val="en-GB"/>
        </w:rPr>
      </w:pPr>
      <w:r w:rsidRPr="00517D2E">
        <w:rPr>
          <w:rFonts w:ascii="Cambria" w:eastAsia="Segoe UI" w:hAnsi="Cambria" w:cs="Segoe UI"/>
          <w:lang w:val="en-GB"/>
        </w:rPr>
        <w:t>Parrachino, I., Zara, S. and Patrone, F. (2006a). Cooperative Game Theory and its Application to Natural, Environmental, and Water Resource Issues: 1. Basic Theory. Policy Research Working Paper; No. 4072.   Washington, DC: World Bank</w:t>
      </w:r>
      <w:r>
        <w:rPr>
          <w:rFonts w:ascii="Cambria" w:eastAsia="Segoe UI" w:hAnsi="Cambria" w:cs="Segoe UI"/>
          <w:lang w:val="en-GB"/>
        </w:rPr>
        <w:t>.</w:t>
      </w:r>
    </w:p>
    <w:p w14:paraId="5AA26977" w14:textId="77777777" w:rsidR="0027247F" w:rsidRDefault="0027247F" w:rsidP="0027247F">
      <w:pPr>
        <w:autoSpaceDE w:val="0"/>
        <w:autoSpaceDN w:val="0"/>
        <w:adjustRightInd w:val="0"/>
        <w:jc w:val="both"/>
        <w:rPr>
          <w:rFonts w:ascii="Cambria" w:eastAsia="Segoe UI" w:hAnsi="Cambria" w:cs="Segoe UI"/>
          <w:lang w:val="en-GB"/>
        </w:rPr>
      </w:pPr>
      <w:r w:rsidRPr="00517D2E">
        <w:rPr>
          <w:rFonts w:ascii="Cambria" w:eastAsia="Segoe UI" w:hAnsi="Cambria" w:cs="Segoe UI"/>
          <w:lang w:val="en-GB"/>
        </w:rPr>
        <w:t>http://hdl.handle.net/10986/8852. </w:t>
      </w:r>
    </w:p>
    <w:p w14:paraId="23B4F0FE" w14:textId="77777777" w:rsidR="0027247F" w:rsidRDefault="0027247F" w:rsidP="0027247F">
      <w:pPr>
        <w:autoSpaceDE w:val="0"/>
        <w:autoSpaceDN w:val="0"/>
        <w:adjustRightInd w:val="0"/>
        <w:ind w:firstLine="708"/>
        <w:jc w:val="both"/>
        <w:rPr>
          <w:rFonts w:ascii="Cambria" w:eastAsia="Segoe UI" w:hAnsi="Cambria" w:cs="Segoe UI"/>
          <w:lang w:val="en-GB"/>
        </w:rPr>
      </w:pPr>
      <w:r w:rsidRPr="00696D4B">
        <w:rPr>
          <w:rFonts w:ascii="Cambria" w:eastAsia="Segoe UI" w:hAnsi="Cambria" w:cs="Segoe UI"/>
          <w:lang w:val="en-GB"/>
        </w:rPr>
        <w:t>Parrachino, I., Dinar, A. and Patrone, F. (2006b). </w:t>
      </w:r>
      <w:r w:rsidRPr="00696D4B">
        <w:rPr>
          <w:rFonts w:ascii="Cambria" w:hAnsi="Cambria" w:cs="Open Sans"/>
        </w:rPr>
        <w:t xml:space="preserve">Cooperative game theory and its application to natural, environmental, and water resource issues: 3. </w:t>
      </w:r>
      <w:r>
        <w:rPr>
          <w:rFonts w:ascii="Cambria" w:hAnsi="Cambria" w:cs="Open Sans"/>
        </w:rPr>
        <w:t>A</w:t>
      </w:r>
      <w:r w:rsidRPr="00696D4B">
        <w:rPr>
          <w:rFonts w:ascii="Cambria" w:hAnsi="Cambria" w:cs="Open Sans"/>
        </w:rPr>
        <w:t>pplication to water resources.</w:t>
      </w:r>
      <w:r w:rsidRPr="00696D4B">
        <w:rPr>
          <w:rFonts w:ascii="Cambria" w:hAnsi="Cambria" w:cs="Open Sans"/>
          <w:i/>
          <w:iCs/>
        </w:rPr>
        <w:t> </w:t>
      </w:r>
      <w:r w:rsidRPr="00696D4B">
        <w:rPr>
          <w:rFonts w:ascii="Cambria" w:hAnsi="Cambria" w:cs="Open Sans"/>
        </w:rPr>
        <w:t>Polic</w:t>
      </w:r>
      <w:r>
        <w:rPr>
          <w:rFonts w:ascii="Cambria" w:hAnsi="Cambria" w:cs="Open Sans"/>
        </w:rPr>
        <w:t>y</w:t>
      </w:r>
      <w:r w:rsidRPr="00696D4B">
        <w:rPr>
          <w:rFonts w:ascii="Cambria" w:hAnsi="Cambria" w:cs="Open Sans"/>
        </w:rPr>
        <w:t xml:space="preserve"> Research working paper; no. WPS 4074 </w:t>
      </w:r>
      <w:r w:rsidRPr="00696D4B">
        <w:rPr>
          <w:rFonts w:ascii="Cambria" w:eastAsia="Segoe UI" w:hAnsi="Cambria" w:cs="Segoe UI"/>
          <w:lang w:val="en-GB"/>
        </w:rPr>
        <w:t xml:space="preserve">Washington, DC: World Bank Group. </w:t>
      </w:r>
    </w:p>
    <w:p w14:paraId="6F8E164A" w14:textId="77777777" w:rsidR="0027247F" w:rsidRPr="00696D4B" w:rsidRDefault="0027247F" w:rsidP="0027247F">
      <w:pPr>
        <w:autoSpaceDE w:val="0"/>
        <w:autoSpaceDN w:val="0"/>
        <w:adjustRightInd w:val="0"/>
        <w:jc w:val="both"/>
        <w:rPr>
          <w:rFonts w:ascii="Cambria" w:eastAsia="Segoe UI" w:hAnsi="Cambria" w:cs="Segoe UI"/>
          <w:lang w:val="en-GB"/>
        </w:rPr>
      </w:pPr>
      <w:r w:rsidRPr="00696D4B">
        <w:rPr>
          <w:rFonts w:ascii="Cambria" w:hAnsi="Cambria" w:cs="Open Sans"/>
        </w:rPr>
        <w:t>http://documents.worldbank.org/curated/en/978641468324549126/Cooperative-game-theory-and-its-application-to-natural-environmental-and-water-resource-issues-3-application-to-water-resources</w:t>
      </w:r>
      <w:r>
        <w:rPr>
          <w:rFonts w:ascii="Cambria" w:hAnsi="Cambria" w:cs="Open Sans"/>
        </w:rPr>
        <w:t>.</w:t>
      </w:r>
    </w:p>
    <w:p w14:paraId="42104BB2" w14:textId="77777777" w:rsidR="0027247F" w:rsidRPr="004613F5" w:rsidRDefault="0027247F" w:rsidP="0027247F">
      <w:pPr>
        <w:jc w:val="both"/>
        <w:rPr>
          <w:rFonts w:ascii="Cambria" w:eastAsia="Cambria" w:hAnsi="Cambria" w:cs="Cambria"/>
          <w:color w:val="000000" w:themeColor="text1"/>
        </w:rPr>
      </w:pPr>
      <w:r>
        <w:rPr>
          <w:rFonts w:ascii="Cambria" w:hAnsi="Cambria" w:cs="Segoe UI"/>
          <w:color w:val="222222"/>
          <w:shd w:val="clear" w:color="auto" w:fill="FFFFFF"/>
        </w:rPr>
        <w:tab/>
      </w:r>
      <w:r w:rsidRPr="004613F5">
        <w:rPr>
          <w:rFonts w:ascii="Cambria" w:eastAsia="Cambria" w:hAnsi="Cambria" w:cs="Cambria"/>
          <w:color w:val="000000" w:themeColor="text1"/>
        </w:rPr>
        <w:t xml:space="preserve">Rainforest Solutions Project, Press Release 12.02.2020. Available at: </w:t>
      </w:r>
      <w:hyperlink r:id="rId41" w:history="1">
        <w:r w:rsidRPr="004613F5">
          <w:rPr>
            <w:rStyle w:val="Collegamentoipertestuale"/>
            <w:rFonts w:ascii="Cambria" w:hAnsi="Cambria"/>
          </w:rPr>
          <w:t>https://www.savethegreatbear.org/news/detail/great_bear_rainforest_agreement_delays_creating_ecological_uncertainty.html</w:t>
        </w:r>
      </w:hyperlink>
      <w:r w:rsidRPr="004613F5">
        <w:rPr>
          <w:rFonts w:ascii="Cambria" w:hAnsi="Cambria"/>
        </w:rPr>
        <w:t xml:space="preserve">. </w:t>
      </w:r>
    </w:p>
    <w:p w14:paraId="0634CD73" w14:textId="77777777" w:rsidR="0027247F" w:rsidRPr="00952FC7" w:rsidRDefault="0027247F" w:rsidP="0027247F">
      <w:pPr>
        <w:ind w:firstLine="708"/>
        <w:jc w:val="both"/>
        <w:rPr>
          <w:rFonts w:ascii="Cambria" w:eastAsia="Segoe UI" w:hAnsi="Cambria"/>
          <w:color w:val="000000"/>
        </w:rPr>
      </w:pPr>
      <w:r w:rsidRPr="00594863">
        <w:rPr>
          <w:rFonts w:ascii="Cambria" w:eastAsia="Segoe UI" w:hAnsi="Cambria"/>
          <w:color w:val="000000"/>
          <w:lang w:val="en-GB"/>
        </w:rPr>
        <w:t xml:space="preserve">Raitio, K. and Saarikoski, </w:t>
      </w:r>
      <w:r w:rsidRPr="001D50D1">
        <w:rPr>
          <w:rFonts w:ascii="Cambria" w:eastAsia="Segoe UI" w:hAnsi="Cambria"/>
          <w:color w:val="000000"/>
          <w:lang w:val="en-GB"/>
        </w:rPr>
        <w:t>H. (2012).</w:t>
      </w:r>
      <w:r w:rsidRPr="00594863">
        <w:rPr>
          <w:rFonts w:ascii="Cambria" w:eastAsia="Segoe UI" w:hAnsi="Cambria"/>
          <w:color w:val="000000"/>
          <w:lang w:val="en-GB"/>
        </w:rPr>
        <w:t xml:space="preserve"> Governing old-growth forests: the interdependence of actors in Great Bear Rainforest in British Columbia. </w:t>
      </w:r>
      <w:r w:rsidRPr="00594863">
        <w:rPr>
          <w:rFonts w:ascii="Cambria" w:eastAsia="Segoe UI" w:hAnsi="Cambria"/>
          <w:i/>
          <w:iCs/>
          <w:color w:val="000000"/>
          <w:lang w:val="en-GB"/>
        </w:rPr>
        <w:t>Society and Natural Resources</w:t>
      </w:r>
      <w:r w:rsidRPr="00594863">
        <w:rPr>
          <w:rFonts w:ascii="Cambria" w:eastAsia="Segoe UI" w:hAnsi="Cambria"/>
          <w:color w:val="000000"/>
          <w:lang w:val="en-GB"/>
        </w:rPr>
        <w:t>, 25(9):900–914.</w:t>
      </w:r>
      <w:r w:rsidRPr="006F2208">
        <w:rPr>
          <w:rFonts w:ascii="Cambria" w:eastAsia="Segoe UI" w:hAnsi="Cambria"/>
          <w:color w:val="000000"/>
        </w:rPr>
        <w:t> https://doi.org/10.1080/08941920.2011.642462.</w:t>
      </w:r>
    </w:p>
    <w:p w14:paraId="32BA69D4" w14:textId="77777777" w:rsidR="0027247F" w:rsidRDefault="0027247F" w:rsidP="0027247F">
      <w:pPr>
        <w:ind w:firstLine="708"/>
        <w:jc w:val="both"/>
        <w:rPr>
          <w:rFonts w:ascii="Cambria" w:hAnsi="Cambria" w:cs="Segoe UI"/>
          <w:color w:val="222222"/>
          <w:shd w:val="clear" w:color="auto" w:fill="FFFFFF"/>
        </w:rPr>
      </w:pPr>
      <w:r>
        <w:rPr>
          <w:rFonts w:ascii="Cambria" w:hAnsi="Cambria" w:cs="Segoe UI"/>
          <w:color w:val="222222"/>
          <w:shd w:val="clear" w:color="auto" w:fill="FFFFFF"/>
        </w:rPr>
        <w:t xml:space="preserve">Rawls, J. (1971). </w:t>
      </w:r>
      <w:r w:rsidRPr="00B710AF">
        <w:rPr>
          <w:rFonts w:ascii="Cambria" w:hAnsi="Cambria" w:cs="Segoe UI"/>
          <w:i/>
          <w:iCs/>
          <w:color w:val="222222"/>
          <w:shd w:val="clear" w:color="auto" w:fill="FFFFFF"/>
        </w:rPr>
        <w:t>A Theory of Justice</w:t>
      </w:r>
      <w:r>
        <w:rPr>
          <w:rFonts w:ascii="Cambria" w:hAnsi="Cambria" w:cs="Segoe UI"/>
          <w:color w:val="222222"/>
          <w:shd w:val="clear" w:color="auto" w:fill="FFFFFF"/>
        </w:rPr>
        <w:t xml:space="preserve">. Cambridge: Belknap Press, ISBN: 9780674000780. </w:t>
      </w:r>
    </w:p>
    <w:p w14:paraId="347AB492" w14:textId="77777777" w:rsidR="0027247F" w:rsidRPr="00EE4E88" w:rsidRDefault="0027247F" w:rsidP="0027247F">
      <w:pPr>
        <w:ind w:firstLine="708"/>
        <w:jc w:val="both"/>
        <w:rPr>
          <w:rFonts w:ascii="Cambria" w:eastAsia="Segoe UI" w:hAnsi="Cambria" w:cs="Segoe UI"/>
        </w:rPr>
      </w:pPr>
      <w:r w:rsidRPr="00EE4E88">
        <w:rPr>
          <w:rFonts w:ascii="Cambria" w:eastAsia="Segoe UI" w:hAnsi="Cambria" w:cs="Segoe UI"/>
        </w:rPr>
        <w:t>Roe, D. (2008). The origins and evolution of the conservation-poverty debate: A review of key literature, events and policy processes.</w:t>
      </w:r>
      <w:r>
        <w:rPr>
          <w:rFonts w:ascii="Cambria" w:eastAsia="Segoe UI" w:hAnsi="Cambria" w:cs="Segoe UI"/>
        </w:rPr>
        <w:t xml:space="preserve"> </w:t>
      </w:r>
      <w:r w:rsidRPr="00EE4E88">
        <w:rPr>
          <w:rFonts w:ascii="Cambria" w:eastAsia="Segoe UI" w:hAnsi="Cambria" w:cs="Segoe UI"/>
          <w:i/>
          <w:iCs/>
        </w:rPr>
        <w:t>Oryx</w:t>
      </w:r>
      <w:r>
        <w:rPr>
          <w:rFonts w:ascii="Cambria" w:eastAsia="Segoe UI" w:hAnsi="Cambria" w:cs="Segoe UI"/>
        </w:rPr>
        <w:t xml:space="preserve">, </w:t>
      </w:r>
      <w:r w:rsidRPr="00EE4E88">
        <w:rPr>
          <w:rFonts w:ascii="Cambria" w:eastAsia="Segoe UI" w:hAnsi="Cambria" w:cs="Segoe UI"/>
        </w:rPr>
        <w:t>42(04):491-503.</w:t>
      </w:r>
    </w:p>
    <w:p w14:paraId="626E149C" w14:textId="77777777" w:rsidR="0027247F" w:rsidRDefault="0027247F" w:rsidP="0027247F">
      <w:pPr>
        <w:jc w:val="both"/>
        <w:rPr>
          <w:rFonts w:ascii="Roboto" w:hAnsi="Roboto"/>
        </w:rPr>
      </w:pPr>
      <w:hyperlink r:id="rId42" w:history="1">
        <w:r w:rsidRPr="00715A24">
          <w:rPr>
            <w:rStyle w:val="Collegamentoipertestuale"/>
            <w:rFonts w:ascii="Cambria" w:eastAsia="Segoe UI" w:hAnsi="Cambria" w:cs="Segoe UI"/>
          </w:rPr>
          <w:t>http://dx.doi.org/10.1017/S0030605308002032</w:t>
        </w:r>
      </w:hyperlink>
      <w:r>
        <w:rPr>
          <w:rFonts w:ascii="Roboto" w:hAnsi="Roboto"/>
        </w:rPr>
        <w:t xml:space="preserve">. </w:t>
      </w:r>
    </w:p>
    <w:p w14:paraId="3419A121" w14:textId="77777777" w:rsidR="0027247F" w:rsidRDefault="0027247F" w:rsidP="0027247F">
      <w:pPr>
        <w:ind w:firstLine="708"/>
        <w:jc w:val="both"/>
        <w:rPr>
          <w:rFonts w:ascii="Cambria" w:eastAsia="Segoe UI" w:hAnsi="Cambria"/>
        </w:rPr>
      </w:pPr>
      <w:r w:rsidRPr="5E5A8E93">
        <w:rPr>
          <w:rFonts w:ascii="Cambria" w:eastAsia="Segoe UI" w:hAnsi="Cambria"/>
          <w:lang w:val="en-GB"/>
        </w:rPr>
        <w:lastRenderedPageBreak/>
        <w:t xml:space="preserve">Saakiroski, H., Raitio, K. and Barry, J. (2013). Understanding ‘successful’ conflict resolution: Policy regime changes and new interactive arenas in the Great Bear Rainforest. </w:t>
      </w:r>
      <w:r w:rsidRPr="5E5A8E93">
        <w:rPr>
          <w:rFonts w:ascii="Cambria" w:eastAsia="Segoe UI" w:hAnsi="Cambria"/>
          <w:i/>
          <w:iCs/>
          <w:lang w:val="en-GB"/>
        </w:rPr>
        <w:t xml:space="preserve">Land Use Policy, </w:t>
      </w:r>
      <w:r w:rsidRPr="5E5A8E93">
        <w:rPr>
          <w:rFonts w:ascii="Cambria" w:eastAsia="Segoe UI" w:hAnsi="Cambria"/>
          <w:lang w:val="en-GB"/>
        </w:rPr>
        <w:t>32:271-280</w:t>
      </w:r>
      <w:r w:rsidRPr="009868BC">
        <w:rPr>
          <w:rFonts w:ascii="Cambria" w:eastAsia="Segoe UI" w:hAnsi="Cambria"/>
        </w:rPr>
        <w:t xml:space="preserve">. </w:t>
      </w:r>
      <w:hyperlink r:id="rId43" w:history="1">
        <w:r w:rsidRPr="006F2208">
          <w:rPr>
            <w:rStyle w:val="Collegamentoipertestuale"/>
            <w:rFonts w:ascii="Cambria" w:eastAsia="Segoe UI" w:hAnsi="Cambria"/>
          </w:rPr>
          <w:t>https://doi.org/10.1016/j.landusepol.2012.10.019</w:t>
        </w:r>
      </w:hyperlink>
      <w:r w:rsidRPr="006F2208">
        <w:rPr>
          <w:rFonts w:ascii="Cambria" w:eastAsia="Segoe UI" w:hAnsi="Cambria"/>
        </w:rPr>
        <w:t>.</w:t>
      </w:r>
    </w:p>
    <w:p w14:paraId="30DC0DA0" w14:textId="77777777" w:rsidR="0027247F" w:rsidRPr="00D61EB3" w:rsidRDefault="0027247F" w:rsidP="0027247F">
      <w:pPr>
        <w:spacing w:line="257" w:lineRule="auto"/>
        <w:ind w:firstLine="708"/>
        <w:jc w:val="both"/>
        <w:rPr>
          <w:rFonts w:ascii="Cambria" w:eastAsia="Cambria" w:hAnsi="Cambria" w:cs="Cambria"/>
        </w:rPr>
      </w:pPr>
      <w:r w:rsidRPr="00D61EB3">
        <w:rPr>
          <w:rFonts w:ascii="Cambria" w:eastAsia="Cambria" w:hAnsi="Cambria" w:cs="Cambria"/>
        </w:rPr>
        <w:t>Smith. M. (2010). Place of Power: Lessons from the Great Bear Rainforest</w:t>
      </w:r>
      <w:r w:rsidRPr="00D61EB3">
        <w:rPr>
          <w:rFonts w:ascii="Cambria" w:eastAsia="Cambria" w:hAnsi="Cambria" w:cs="Cambria"/>
          <w:b/>
          <w:bCs/>
        </w:rPr>
        <w:t xml:space="preserve">. </w:t>
      </w:r>
      <w:r w:rsidRPr="00D61EB3">
        <w:rPr>
          <w:rFonts w:ascii="Cambria" w:eastAsia="Cambria" w:hAnsi="Cambria" w:cs="Cambria"/>
        </w:rPr>
        <w:t xml:space="preserve">Tides Canada Foundation. ISBN 978-0-9867825-0-3. Available at: </w:t>
      </w:r>
    </w:p>
    <w:p w14:paraId="05039369" w14:textId="77777777" w:rsidR="0027247F" w:rsidRPr="00D61EB3" w:rsidRDefault="0027247F" w:rsidP="0027247F">
      <w:pPr>
        <w:spacing w:line="257" w:lineRule="auto"/>
        <w:jc w:val="both"/>
        <w:rPr>
          <w:rFonts w:ascii="Cambria" w:eastAsia="Cambria" w:hAnsi="Cambria" w:cs="Cambria"/>
        </w:rPr>
      </w:pPr>
      <w:hyperlink r:id="rId44" w:history="1">
        <w:r w:rsidRPr="00D61EB3">
          <w:rPr>
            <w:rStyle w:val="Collegamentoipertestuale"/>
            <w:rFonts w:ascii="Cambria" w:eastAsia="Cambria" w:hAnsi="Cambria" w:cs="Cambria"/>
          </w:rPr>
          <w:t>https://greatbearrainforesttrust.org/wp-content/uploads/2020/11/GBR-Activism.pdf</w:t>
        </w:r>
      </w:hyperlink>
      <w:r w:rsidRPr="00D61EB3">
        <w:rPr>
          <w:rFonts w:ascii="Cambria" w:eastAsia="Cambria" w:hAnsi="Cambria" w:cs="Cambria"/>
        </w:rPr>
        <w:t>.</w:t>
      </w:r>
      <w:r>
        <w:rPr>
          <w:rFonts w:ascii="Cambria" w:eastAsia="Cambria" w:hAnsi="Cambria" w:cs="Cambria"/>
        </w:rPr>
        <w:t xml:space="preserve"> </w:t>
      </w:r>
    </w:p>
    <w:p w14:paraId="753AE647" w14:textId="77777777" w:rsidR="0027247F" w:rsidRDefault="0027247F" w:rsidP="0027247F">
      <w:pPr>
        <w:ind w:firstLine="708"/>
        <w:jc w:val="both"/>
        <w:rPr>
          <w:rFonts w:ascii="Cambria" w:eastAsia="Segoe UI" w:hAnsi="Cambria" w:cs="Times New Roman"/>
          <w:color w:val="000000" w:themeColor="text1"/>
        </w:rPr>
      </w:pPr>
      <w:r w:rsidRPr="5CA2D9BB">
        <w:rPr>
          <w:rFonts w:ascii="Cambria" w:eastAsia="Segoe UI" w:hAnsi="Cambria" w:cs="Times New Roman"/>
          <w:color w:val="000000" w:themeColor="text1"/>
          <w:lang w:val="en-GB"/>
        </w:rPr>
        <w:t xml:space="preserve">Sranko, G. R. (2011). Collaborative governance and a strategic approach to facilitating change: lessons learned from forest agreements in South East Queensland and the Great Bear Rainforest. </w:t>
      </w:r>
      <w:r w:rsidRPr="5CA2D9BB">
        <w:rPr>
          <w:rFonts w:ascii="Cambria" w:eastAsia="Segoe UI" w:hAnsi="Cambria" w:cs="Times New Roman"/>
          <w:i/>
          <w:iCs/>
          <w:color w:val="000000" w:themeColor="text1"/>
          <w:lang w:val="en-GB"/>
        </w:rPr>
        <w:t>A journal for and about social movements</w:t>
      </w:r>
      <w:r w:rsidRPr="5CA2D9BB">
        <w:rPr>
          <w:rFonts w:ascii="Cambria" w:eastAsia="Segoe UI" w:hAnsi="Cambria" w:cs="Times New Roman"/>
          <w:color w:val="000000" w:themeColor="text1"/>
          <w:lang w:val="en-GB"/>
        </w:rPr>
        <w:t>, 3(1):210-239.</w:t>
      </w:r>
      <w:r w:rsidRPr="5CA2D9BB">
        <w:rPr>
          <w:rFonts w:ascii="Cambria" w:eastAsia="Segoe UI" w:hAnsi="Cambria" w:cs="Times New Roman"/>
          <w:color w:val="000000" w:themeColor="text1"/>
        </w:rPr>
        <w:t> </w:t>
      </w:r>
    </w:p>
    <w:p w14:paraId="6FA12867" w14:textId="77777777" w:rsidR="0027247F" w:rsidRPr="00F8464E" w:rsidRDefault="0027247F" w:rsidP="0027247F">
      <w:pPr>
        <w:ind w:firstLine="708"/>
        <w:jc w:val="both"/>
        <w:rPr>
          <w:rFonts w:ascii="Cambria" w:eastAsia="Cambria" w:hAnsi="Cambria" w:cs="Cambria"/>
          <w:lang w:val="en-GB"/>
        </w:rPr>
      </w:pPr>
      <w:r w:rsidRPr="00F8464E">
        <w:rPr>
          <w:rFonts w:ascii="Cambria" w:eastAsia="Cambria" w:hAnsi="Cambria" w:cs="Cambria"/>
          <w:lang w:val="en-GB"/>
        </w:rPr>
        <w:t xml:space="preserve">The Indigenous Circle of Experts and participants of the Northern Regional Gathering on Indigenous Protected and Conserved Areas (IPCAs). (2018). We Rise Together. Achieving Pathway to Canada Target 1 through the creation of Indigenous Protected and Conserved Areas in the spirit and practice of reconciliation. ISBN 978-0-660-25571-2. Available at: </w:t>
      </w:r>
    </w:p>
    <w:p w14:paraId="1497E5F1" w14:textId="77777777" w:rsidR="0027247F" w:rsidRDefault="0027247F" w:rsidP="0027247F">
      <w:pPr>
        <w:jc w:val="both"/>
        <w:rPr>
          <w:rFonts w:ascii="Cambria" w:eastAsia="Cambria" w:hAnsi="Cambria" w:cs="Cambria"/>
          <w:lang w:val="en-GB"/>
        </w:rPr>
      </w:pPr>
      <w:hyperlink r:id="rId45" w:history="1">
        <w:r w:rsidRPr="00F8464E">
          <w:rPr>
            <w:rStyle w:val="Collegamentoipertestuale"/>
            <w:rFonts w:ascii="Cambria" w:eastAsia="Cambria" w:hAnsi="Cambria" w:cs="Cambria"/>
          </w:rPr>
          <w:t>https://publications.gc.ca/collections/collection_2018/pc/R62-548-2018-eng.pdf</w:t>
        </w:r>
      </w:hyperlink>
      <w:r w:rsidRPr="00F8464E">
        <w:rPr>
          <w:rFonts w:ascii="Cambria" w:eastAsia="Cambria" w:hAnsi="Cambria" w:cs="Cambria"/>
          <w:lang w:val="en-GB"/>
        </w:rPr>
        <w:t>.</w:t>
      </w:r>
    </w:p>
    <w:p w14:paraId="225CFF08" w14:textId="77777777" w:rsidR="0027247F" w:rsidRPr="00B317B3" w:rsidRDefault="0027247F" w:rsidP="0027247F">
      <w:pPr>
        <w:spacing w:line="257" w:lineRule="auto"/>
        <w:ind w:firstLine="708"/>
        <w:jc w:val="both"/>
        <w:rPr>
          <w:rFonts w:ascii="Cambria" w:eastAsia="Cambria" w:hAnsi="Cambria" w:cs="Cambria"/>
        </w:rPr>
      </w:pPr>
      <w:r w:rsidRPr="00B317B3">
        <w:rPr>
          <w:rFonts w:ascii="Cambria" w:eastAsia="Cambria" w:hAnsi="Cambria" w:cs="Cambria"/>
        </w:rPr>
        <w:t xml:space="preserve">Union of British Columbia Municipalities (UBCM). (2000).  Task force report on the Coast Forest Conservation Initiative (CFCI). Policy paper #5. Available at: </w:t>
      </w:r>
    </w:p>
    <w:p w14:paraId="64B09D63" w14:textId="77777777" w:rsidR="0027247F" w:rsidRPr="00092EEB" w:rsidRDefault="0027247F" w:rsidP="0027247F">
      <w:pPr>
        <w:spacing w:line="257" w:lineRule="auto"/>
        <w:jc w:val="both"/>
        <w:rPr>
          <w:rFonts w:ascii="Cambria" w:eastAsia="Cambria" w:hAnsi="Cambria" w:cs="Cambria"/>
        </w:rPr>
      </w:pPr>
      <w:hyperlink r:id="rId46">
        <w:r w:rsidRPr="179F0860">
          <w:rPr>
            <w:rStyle w:val="Collegamentoipertestuale"/>
            <w:rFonts w:ascii="Cambria" w:eastAsia="Cambria" w:hAnsi="Cambria" w:cs="Cambria"/>
          </w:rPr>
          <w:t>https://www.ubcm.ca/sites/default/files/2021-07/Policy%2520Paper%25205-Task%2520Force%2520Report%2520on%2520the%2520Coast%2520Forest%2520Conservation%2520Initiative%2520%28CFCI%29-2000.pdf</w:t>
        </w:r>
      </w:hyperlink>
      <w:r w:rsidRPr="179F0860">
        <w:rPr>
          <w:rStyle w:val="Collegamentoipertestuale"/>
          <w:rFonts w:ascii="Cambria" w:eastAsia="Cambria" w:hAnsi="Cambria" w:cs="Cambria"/>
        </w:rPr>
        <w:t>.</w:t>
      </w:r>
    </w:p>
    <w:p w14:paraId="6692C3BE" w14:textId="77777777" w:rsidR="0027247F" w:rsidRPr="00441D13" w:rsidRDefault="0027247F" w:rsidP="0027247F">
      <w:pPr>
        <w:ind w:firstLine="708"/>
        <w:jc w:val="both"/>
        <w:rPr>
          <w:rFonts w:ascii="Cambria" w:eastAsia="Segoe UI" w:hAnsi="Cambria" w:cs="Segoe UI"/>
          <w:color w:val="000000"/>
        </w:rPr>
      </w:pPr>
      <w:r w:rsidRPr="00E87461">
        <w:rPr>
          <w:rFonts w:ascii="Cambria" w:eastAsia="Segoe UI" w:hAnsi="Cambria" w:cs="Segoe UI"/>
          <w:color w:val="000000"/>
        </w:rPr>
        <w:t xml:space="preserve">Walker, G. B. </w:t>
      </w:r>
      <w:r>
        <w:rPr>
          <w:rFonts w:ascii="Cambria" w:eastAsia="Segoe UI" w:hAnsi="Cambria" w:cs="Segoe UI"/>
          <w:color w:val="000000"/>
        </w:rPr>
        <w:t>and</w:t>
      </w:r>
      <w:r w:rsidRPr="00E87461">
        <w:rPr>
          <w:rFonts w:ascii="Cambria" w:eastAsia="Segoe UI" w:hAnsi="Cambria" w:cs="Segoe UI"/>
          <w:color w:val="000000"/>
        </w:rPr>
        <w:t xml:space="preserve"> Daniels, S. E. (1997). </w:t>
      </w:r>
      <w:r w:rsidRPr="00E87461">
        <w:rPr>
          <w:rFonts w:ascii="Cambria" w:eastAsia="Segoe UI" w:hAnsi="Cambria" w:cs="Segoe UI"/>
          <w:i/>
          <w:iCs/>
          <w:color w:val="000000"/>
        </w:rPr>
        <w:t>Foundations of natural resource conflict: Conflict theory and public policy</w:t>
      </w:r>
      <w:r w:rsidRPr="00E87461">
        <w:rPr>
          <w:rFonts w:ascii="Cambria" w:eastAsia="Segoe UI" w:hAnsi="Cambria" w:cs="Segoe UI"/>
          <w:color w:val="000000"/>
        </w:rPr>
        <w:t>. In Solberg, B. &amp; Miina, S. (Eds.). </w:t>
      </w:r>
      <w:r w:rsidRPr="00E87461">
        <w:rPr>
          <w:rFonts w:ascii="Cambria" w:eastAsia="Segoe UI" w:hAnsi="Cambria" w:cs="Segoe UI"/>
          <w:i/>
          <w:iCs/>
          <w:color w:val="000000"/>
        </w:rPr>
        <w:t>Conflict management and public participation in land management</w:t>
      </w:r>
      <w:r w:rsidRPr="00E87461">
        <w:rPr>
          <w:rFonts w:ascii="Cambria" w:eastAsia="Segoe UI" w:hAnsi="Cambria" w:cs="Segoe UI"/>
          <w:color w:val="000000"/>
        </w:rPr>
        <w:t>, pp. 13–36. EFI Proceedings No. 14. Joensuu: European Forest Institute.</w:t>
      </w:r>
    </w:p>
    <w:p w14:paraId="276C35A1" w14:textId="77777777" w:rsidR="0027247F" w:rsidRDefault="0027247F" w:rsidP="0027247F">
      <w:pPr>
        <w:autoSpaceDE w:val="0"/>
        <w:autoSpaceDN w:val="0"/>
        <w:adjustRightInd w:val="0"/>
        <w:jc w:val="both"/>
        <w:rPr>
          <w:rFonts w:ascii="Cambria" w:hAnsi="Cambria"/>
        </w:rPr>
      </w:pPr>
      <w:r>
        <w:rPr>
          <w:rFonts w:ascii="Cambria" w:hAnsi="Cambria"/>
        </w:rPr>
        <w:tab/>
      </w:r>
      <w:r w:rsidRPr="00B26555">
        <w:rPr>
          <w:rFonts w:ascii="Cambria" w:hAnsi="Cambria"/>
        </w:rPr>
        <w:t xml:space="preserve">Wilkie, D. S., Morelli, G. S., Demmer, J. Starkey, M., Telfer, P. and Steil, M. (2006). Parks and People: Assessing the Human Welfare Effects of Establishing Protected Areas for Biodiversity Conservation. </w:t>
      </w:r>
      <w:r w:rsidRPr="00B26555">
        <w:rPr>
          <w:rFonts w:ascii="Cambria" w:hAnsi="Cambria"/>
          <w:i/>
          <w:iCs/>
        </w:rPr>
        <w:t>Conservation Biology</w:t>
      </w:r>
      <w:r w:rsidRPr="00B26555">
        <w:rPr>
          <w:rFonts w:ascii="Cambria" w:hAnsi="Cambria"/>
        </w:rPr>
        <w:t>, 20(1): 247–249.</w:t>
      </w:r>
      <w:r>
        <w:rPr>
          <w:rFonts w:ascii="Cambria" w:hAnsi="Cambria"/>
        </w:rPr>
        <w:t xml:space="preserve"> </w:t>
      </w:r>
    </w:p>
    <w:p w14:paraId="7D5220A6" w14:textId="77777777" w:rsidR="0027247F" w:rsidRDefault="0027247F" w:rsidP="0027247F">
      <w:pPr>
        <w:autoSpaceDE w:val="0"/>
        <w:autoSpaceDN w:val="0"/>
        <w:adjustRightInd w:val="0"/>
        <w:jc w:val="both"/>
        <w:rPr>
          <w:rFonts w:ascii="Cambria" w:hAnsi="Cambria"/>
        </w:rPr>
      </w:pPr>
      <w:hyperlink r:id="rId47" w:history="1">
        <w:r w:rsidRPr="003D6E65">
          <w:rPr>
            <w:rStyle w:val="Collegamentoipertestuale"/>
            <w:rFonts w:ascii="Cambria" w:hAnsi="Cambria"/>
          </w:rPr>
          <w:t>https://doi.org/10.1111/j.1523-1739.2005.00291.x</w:t>
        </w:r>
      </w:hyperlink>
      <w:r>
        <w:rPr>
          <w:rFonts w:ascii="Cambria" w:hAnsi="Cambria"/>
        </w:rPr>
        <w:t>.</w:t>
      </w:r>
    </w:p>
    <w:p w14:paraId="52BB853A" w14:textId="77777777" w:rsidR="0027247F" w:rsidRPr="00B26555" w:rsidRDefault="0027247F" w:rsidP="0027247F">
      <w:pPr>
        <w:autoSpaceDE w:val="0"/>
        <w:autoSpaceDN w:val="0"/>
        <w:adjustRightInd w:val="0"/>
        <w:jc w:val="both"/>
        <w:rPr>
          <w:rFonts w:ascii="Cambria" w:hAnsi="Cambria"/>
        </w:rPr>
      </w:pPr>
      <w:r>
        <w:rPr>
          <w:rFonts w:ascii="Cambria" w:hAnsi="Cambria"/>
        </w:rPr>
        <w:tab/>
      </w:r>
      <w:r w:rsidRPr="00365AF4">
        <w:rPr>
          <w:rFonts w:ascii="Cambria" w:hAnsi="Cambria"/>
        </w:rPr>
        <w:t>Zara, S</w:t>
      </w:r>
      <w:r>
        <w:rPr>
          <w:rFonts w:ascii="Cambria" w:hAnsi="Cambria"/>
        </w:rPr>
        <w:t>.,</w:t>
      </w:r>
      <w:r w:rsidRPr="00365AF4">
        <w:rPr>
          <w:rFonts w:ascii="Cambria" w:hAnsi="Cambria"/>
        </w:rPr>
        <w:t xml:space="preserve"> Dinar, A</w:t>
      </w:r>
      <w:r>
        <w:rPr>
          <w:rFonts w:ascii="Cambria" w:hAnsi="Cambria"/>
        </w:rPr>
        <w:t>.</w:t>
      </w:r>
      <w:r w:rsidRPr="00365AF4">
        <w:rPr>
          <w:rFonts w:ascii="Cambria" w:hAnsi="Cambria"/>
        </w:rPr>
        <w:t xml:space="preserve"> and Patrone, F</w:t>
      </w:r>
      <w:r>
        <w:rPr>
          <w:rFonts w:ascii="Cambria" w:hAnsi="Cambria"/>
        </w:rPr>
        <w:t>. (2006).</w:t>
      </w:r>
      <w:r w:rsidRPr="00365AF4">
        <w:rPr>
          <w:rFonts w:ascii="Cambria" w:hAnsi="Cambria"/>
        </w:rPr>
        <w:t xml:space="preserve"> Cooperative Game Theory and its Application to Natural, Environmental, and Water Resource Issues: 2. Application to Natural and Environmental Resources. World Bank Policy Research Working Paper No. 4073, Available at SSRN: </w:t>
      </w:r>
      <w:hyperlink r:id="rId48" w:tgtFrame="_blank" w:history="1">
        <w:r w:rsidRPr="00365AF4">
          <w:rPr>
            <w:rFonts w:ascii="Cambria" w:hAnsi="Cambria"/>
          </w:rPr>
          <w:t>https://ssrn.com/abstract=946832</w:t>
        </w:r>
      </w:hyperlink>
      <w:r w:rsidRPr="00365AF4">
        <w:rPr>
          <w:rFonts w:ascii="Cambria" w:hAnsi="Cambria"/>
        </w:rPr>
        <w:t xml:space="preserve">. </w:t>
      </w:r>
    </w:p>
    <w:p w14:paraId="7EF2E4E6" w14:textId="77777777" w:rsidR="0027247F" w:rsidRPr="00594863" w:rsidRDefault="0027247F" w:rsidP="0027247F">
      <w:pPr>
        <w:ind w:firstLine="708"/>
        <w:jc w:val="both"/>
        <w:rPr>
          <w:rFonts w:ascii="Cambria" w:eastAsia="Segoe UI" w:hAnsi="Cambria" w:cs="Segoe UI"/>
          <w:color w:val="000000"/>
        </w:rPr>
      </w:pPr>
      <w:r w:rsidRPr="00594863">
        <w:rPr>
          <w:rFonts w:ascii="Cambria" w:eastAsia="Segoe UI" w:hAnsi="Cambria" w:cs="Segoe UI"/>
          <w:color w:val="000000"/>
          <w:lang w:val="en-GB"/>
        </w:rPr>
        <w:t xml:space="preserve">Zietsma, C. </w:t>
      </w:r>
      <w:r>
        <w:rPr>
          <w:rFonts w:ascii="Cambria" w:eastAsia="Segoe UI" w:hAnsi="Cambria" w:cs="Segoe UI"/>
          <w:color w:val="000000"/>
          <w:lang w:val="en-GB"/>
        </w:rPr>
        <w:t>and</w:t>
      </w:r>
      <w:r w:rsidRPr="00594863">
        <w:rPr>
          <w:rFonts w:ascii="Cambria" w:eastAsia="Segoe UI" w:hAnsi="Cambria" w:cs="Segoe UI"/>
          <w:color w:val="000000"/>
          <w:lang w:val="en-GB"/>
        </w:rPr>
        <w:t xml:space="preserve"> Winn, M. (2008). Building Chains and Directing Flows. Strategies and Tactics of Mutual Influence in Stakeholder conflicts. </w:t>
      </w:r>
      <w:r w:rsidRPr="00594863">
        <w:rPr>
          <w:rFonts w:ascii="Cambria" w:eastAsia="Segoe UI" w:hAnsi="Cambria" w:cs="Segoe UI"/>
          <w:i/>
          <w:iCs/>
          <w:color w:val="000000"/>
          <w:lang w:val="en-GB"/>
        </w:rPr>
        <w:t>Business &amp; Society</w:t>
      </w:r>
      <w:r w:rsidRPr="00594863">
        <w:rPr>
          <w:rFonts w:ascii="Cambria" w:eastAsia="Segoe UI" w:hAnsi="Cambria" w:cs="Segoe UI"/>
          <w:color w:val="000000"/>
          <w:lang w:val="en-GB"/>
        </w:rPr>
        <w:t>, 47(1):68-101.</w:t>
      </w:r>
    </w:p>
    <w:p w14:paraId="47443BCC" w14:textId="77777777" w:rsidR="0027247F" w:rsidRPr="000B6571" w:rsidRDefault="0027247F" w:rsidP="0027247F">
      <w:pPr>
        <w:jc w:val="both"/>
        <w:rPr>
          <w:rFonts w:ascii="Cambria" w:eastAsia="Segoe UI" w:hAnsi="Cambria" w:cs="Segoe UI"/>
          <w:color w:val="000000"/>
          <w:lang w:val="it-IT"/>
        </w:rPr>
      </w:pPr>
      <w:hyperlink r:id="rId49">
        <w:r w:rsidRPr="000B6571">
          <w:rPr>
            <w:rFonts w:ascii="Cambria" w:eastAsia="Calibri" w:hAnsi="Cambria" w:cs="Times New Roman"/>
            <w:color w:val="000000"/>
            <w:lang w:val="it-IT"/>
          </w:rPr>
          <w:t>https://doi.org/10.1177/0007650307306641</w:t>
        </w:r>
      </w:hyperlink>
      <w:r w:rsidRPr="000B6571">
        <w:rPr>
          <w:rFonts w:ascii="Cambria" w:eastAsia="Segoe UI" w:hAnsi="Cambria" w:cs="Segoe UI"/>
          <w:color w:val="000000"/>
          <w:lang w:val="it-IT"/>
        </w:rPr>
        <w:t>.</w:t>
      </w:r>
    </w:p>
    <w:p w14:paraId="000000AC" w14:textId="77777777" w:rsidR="0056236A" w:rsidRDefault="0056236A">
      <w:pPr>
        <w:spacing w:line="360" w:lineRule="auto"/>
        <w:rPr>
          <w:rFonts w:ascii="Times New Roman" w:eastAsia="Times New Roman" w:hAnsi="Times New Roman" w:cs="Times New Roman"/>
          <w:b/>
          <w:bCs/>
        </w:rPr>
      </w:pPr>
    </w:p>
    <w:p w14:paraId="000000AD" w14:textId="77777777" w:rsidR="0056236A" w:rsidRDefault="0056236A">
      <w:pPr>
        <w:spacing w:line="360" w:lineRule="auto"/>
        <w:rPr>
          <w:rFonts w:ascii="Times New Roman" w:eastAsia="Times New Roman" w:hAnsi="Times New Roman" w:cs="Times New Roman"/>
          <w:b/>
          <w:bCs/>
        </w:rPr>
      </w:pPr>
    </w:p>
    <w:p w14:paraId="000000AE" w14:textId="77777777" w:rsidR="0056236A" w:rsidRDefault="0056236A">
      <w:pPr>
        <w:rPr>
          <w:rFonts w:ascii="Times New Roman" w:eastAsia="Times New Roman" w:hAnsi="Times New Roman" w:cs="Times New Roman"/>
          <w:b/>
          <w:bCs/>
        </w:rPr>
      </w:pPr>
    </w:p>
    <w:sectPr w:rsidR="0056236A">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2AB9B" w14:textId="77777777" w:rsidR="0073788E" w:rsidRDefault="0073788E">
      <w:pPr>
        <w:spacing w:after="0" w:line="240" w:lineRule="auto"/>
      </w:pPr>
      <w:r>
        <w:separator/>
      </w:r>
    </w:p>
  </w:endnote>
  <w:endnote w:type="continuationSeparator" w:id="0">
    <w:p w14:paraId="5031089D" w14:textId="77777777" w:rsidR="0073788E" w:rsidRDefault="00737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0E0193DA-6DBE-430B-974A-338A6BED758A}"/>
    <w:embedBold r:id="rId2" w:fontKey="{34CB3EAE-9DCA-4752-832E-9A81CB27346F}"/>
    <w:embedItalic r:id="rId3" w:fontKey="{A0881F43-E1C8-42DC-8196-1FFE356B0D61}"/>
  </w:font>
  <w:font w:name="Play">
    <w:charset w:val="00"/>
    <w:family w:val="auto"/>
    <w:pitch w:val="default"/>
    <w:embedRegular r:id="rId4" w:fontKey="{6370526B-018B-4DE1-A8EB-70CDE6DCB4BE}"/>
  </w:font>
  <w:font w:name="Aptos Display">
    <w:charset w:val="00"/>
    <w:family w:val="swiss"/>
    <w:pitch w:val="variable"/>
    <w:sig w:usb0="20000287" w:usb1="00000003" w:usb2="00000000" w:usb3="00000000" w:csb0="0000019F" w:csb1="00000000"/>
    <w:embedRegular r:id="rId5" w:fontKey="{A6F2513B-CCAA-407C-9368-8C671A0697E7}"/>
  </w:font>
  <w:font w:name="Calibri">
    <w:panose1 w:val="020F0502020204030204"/>
    <w:charset w:val="00"/>
    <w:family w:val="swiss"/>
    <w:pitch w:val="variable"/>
    <w:sig w:usb0="E4002EFF" w:usb1="C000247B" w:usb2="00000009" w:usb3="00000000" w:csb0="000001FF" w:csb1="00000000"/>
    <w:embedRegular r:id="rId6" w:fontKey="{2FF669E1-E0A7-40B5-8C93-4EA7BC61802C}"/>
  </w:font>
  <w:font w:name="Cambria Math">
    <w:panose1 w:val="02040503050406030204"/>
    <w:charset w:val="00"/>
    <w:family w:val="roman"/>
    <w:pitch w:val="variable"/>
    <w:sig w:usb0="E00006FF" w:usb1="420024FF" w:usb2="02000000" w:usb3="00000000" w:csb0="0000019F" w:csb1="00000000"/>
    <w:embedRegular r:id="rId7" w:fontKey="{F7C15C5D-6D19-4626-85CD-0E1EC321AFDB}"/>
    <w:embedItalic r:id="rId8" w:fontKey="{E2DAEF42-A523-4EE7-AD6C-AEE3691E1EF3}"/>
  </w:font>
  <w:font w:name="Noto Sans Symbols">
    <w:charset w:val="00"/>
    <w:family w:val="auto"/>
    <w:pitch w:val="default"/>
    <w:embedRegular r:id="rId9" w:fontKey="{B8CA4A11-CE6F-4DAE-BDA9-A72216C9D6C4}"/>
  </w:font>
  <w:font w:name="Cambria">
    <w:panose1 w:val="02040503050406030204"/>
    <w:charset w:val="00"/>
    <w:family w:val="roman"/>
    <w:pitch w:val="variable"/>
    <w:sig w:usb0="E00006FF" w:usb1="420024FF" w:usb2="02000000" w:usb3="00000000" w:csb0="0000019F" w:csb1="00000000"/>
    <w:embedRegular r:id="rId10" w:fontKey="{FBFF760C-91C8-4F39-AF47-9918EE228FED}"/>
    <w:embedBold r:id="rId11" w:fontKey="{EFD5CE8A-BC29-4ED2-82A2-42BCE84E0B1E}"/>
    <w:embedItalic r:id="rId12" w:fontKey="{9595AFE3-3CB4-4A97-AFBD-90A62908D3EA}"/>
  </w:font>
  <w:font w:name="Segoe UI">
    <w:panose1 w:val="020B0502040204020203"/>
    <w:charset w:val="00"/>
    <w:family w:val="swiss"/>
    <w:pitch w:val="variable"/>
    <w:sig w:usb0="E4002EFF" w:usb1="C000E47F" w:usb2="00000009" w:usb3="00000000" w:csb0="000001FF" w:csb1="00000000"/>
    <w:embedRegular r:id="rId13" w:fontKey="{A4642E0A-0398-4EAC-832C-2276561D5FA7}"/>
    <w:embedBold r:id="rId14" w:fontKey="{FAD839F7-620A-4735-94BC-3547B2EEC5BE}"/>
    <w:embedItalic r:id="rId15" w:fontKey="{8B8A4007-593E-4CEF-93D4-26AB15FF7AFC}"/>
  </w:font>
  <w:font w:name="Georgia">
    <w:panose1 w:val="02040502050405020303"/>
    <w:charset w:val="00"/>
    <w:family w:val="roman"/>
    <w:pitch w:val="variable"/>
    <w:sig w:usb0="00000287" w:usb1="00000000" w:usb2="00000000" w:usb3="00000000" w:csb0="0000009F" w:csb1="00000000"/>
    <w:embedRegular r:id="rId16" w:fontKey="{A892B37A-AC0B-480B-A6EA-B43D8B0A74F0}"/>
    <w:embedItalic r:id="rId17" w:fontKey="{D0C58424-15F2-497D-9EB7-63AB9C01440A}"/>
  </w:font>
  <w:font w:name="AkzidenzGroteskBE-Light">
    <w:altName w:val="Calibri"/>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embedRegular r:id="rId18" w:fontKey="{DBBF4983-374C-489C-9B73-898ECF0511E6}"/>
    <w:embedItalic r:id="rId19" w:fontKey="{BE9EEB62-5480-4FC3-A6B6-8B68F782D0FA}"/>
  </w:font>
  <w:font w:name="Roboto">
    <w:charset w:val="00"/>
    <w:family w:val="auto"/>
    <w:pitch w:val="variable"/>
    <w:sig w:usb0="E0000AFF" w:usb1="5000217F" w:usb2="00000021" w:usb3="00000000" w:csb0="0000019F" w:csb1="00000000"/>
    <w:embedRegular r:id="rId20" w:fontKey="{FE387FC8-8A8E-4A28-BBFB-42183E3DC6E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1F691" w14:textId="77777777" w:rsidR="0073788E" w:rsidRDefault="0073788E">
      <w:pPr>
        <w:spacing w:after="0" w:line="240" w:lineRule="auto"/>
      </w:pPr>
      <w:r>
        <w:separator/>
      </w:r>
    </w:p>
  </w:footnote>
  <w:footnote w:type="continuationSeparator" w:id="0">
    <w:p w14:paraId="7F41F482" w14:textId="77777777" w:rsidR="0073788E" w:rsidRDefault="0073788E">
      <w:pPr>
        <w:spacing w:after="0" w:line="240" w:lineRule="auto"/>
      </w:pPr>
      <w:r>
        <w:continuationSeparator/>
      </w:r>
    </w:p>
  </w:footnote>
  <w:footnote w:id="1">
    <w:p w14:paraId="000000AF" w14:textId="77777777" w:rsidR="0056236A" w:rsidRDefault="008A5BAE">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A more advanced technique may possibly simulate all these stages as part of a single game made up of multiple stages. However, at the time, this option appears to involve an unreasonable level of intricacy for the specified participants as well as the theoretician.  </w:t>
      </w:r>
    </w:p>
  </w:footnote>
  <w:footnote w:id="2">
    <w:p w14:paraId="000000B0" w14:textId="77777777" w:rsidR="0056236A" w:rsidRDefault="008A5BAE">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In the real case, certain environmental organizations such as Greenpeace, ForestEthics, the Sierra Club, Rainforest Action Network and Natural Resources Defense Council carried forward a joint market campaign (Armstrong, 2009) and joined together the JSP. Similarly, various business organizations spoke as a unique voice both when they initially defended their practices and their contribution to the regional economic developed and when they later decided to shift their strategies to sit at the table with EN</w:t>
      </w:r>
      <w:r>
        <w:rPr>
          <w:rFonts w:ascii="Times New Roman" w:eastAsia="Times New Roman" w:hAnsi="Times New Roman" w:cs="Times New Roman"/>
          <w:sz w:val="20"/>
          <w:szCs w:val="20"/>
        </w:rPr>
        <w:t xml:space="preserve">GOs (Armstrong, 2009). FNs too formed formal coalitions, such as the Coastal First Nations Turning Point Initiative (CFN), the Skeena First Nations Stewardship Council and the Nanwakolas Council (Raitio and Saakiroski, 2014).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44A1"/>
    <w:multiLevelType w:val="multilevel"/>
    <w:tmpl w:val="12BC04B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584DE1"/>
    <w:multiLevelType w:val="multilevel"/>
    <w:tmpl w:val="802C7B8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C4A343C"/>
    <w:multiLevelType w:val="multilevel"/>
    <w:tmpl w:val="46DCBDDC"/>
    <w:lvl w:ilvl="0">
      <w:start w:val="1"/>
      <w:numFmt w:val="decimal"/>
      <w:lvlText w:val="%1."/>
      <w:lvlJc w:val="left"/>
      <w:pPr>
        <w:ind w:left="720" w:hanging="360"/>
      </w:pPr>
      <w:rPr>
        <w:rFonts w:ascii="Times New Roman" w:eastAsia="Times New Roman" w:hAnsi="Times New Roman" w:cs="Times New Roman"/>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8F26B01"/>
    <w:multiLevelType w:val="multilevel"/>
    <w:tmpl w:val="97A89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39036E4"/>
    <w:multiLevelType w:val="multilevel"/>
    <w:tmpl w:val="2C6A6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08715203">
    <w:abstractNumId w:val="1"/>
  </w:num>
  <w:num w:numId="2" w16cid:durableId="681660542">
    <w:abstractNumId w:val="4"/>
  </w:num>
  <w:num w:numId="3" w16cid:durableId="357319680">
    <w:abstractNumId w:val="2"/>
  </w:num>
  <w:num w:numId="4" w16cid:durableId="1862816249">
    <w:abstractNumId w:val="3"/>
  </w:num>
  <w:num w:numId="5" w16cid:durableId="1648632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36A"/>
    <w:rsid w:val="00203CDA"/>
    <w:rsid w:val="0027247F"/>
    <w:rsid w:val="00480671"/>
    <w:rsid w:val="0056236A"/>
    <w:rsid w:val="0073788E"/>
    <w:rsid w:val="00823630"/>
    <w:rsid w:val="008A5BAE"/>
    <w:rsid w:val="00AB5FA4"/>
    <w:rsid w:val="00D40A11"/>
    <w:rsid w:val="00F719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6D19E"/>
  <w15:docId w15:val="{5764941B-710A-481A-8086-ABCF7A34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it" w:eastAsia="it-I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0F4761"/>
    </w:rPr>
  </w:style>
  <w:style w:type="paragraph" w:styleId="Titolo5">
    <w:name w:val="heading 5"/>
    <w:basedOn w:val="Normale"/>
    <w:next w:val="Normale"/>
    <w:uiPriority w:val="9"/>
    <w:semiHidden/>
    <w:unhideWhenUsed/>
    <w:qFormat/>
    <w:pPr>
      <w:keepNext/>
      <w:keepLines/>
      <w:spacing w:before="80" w:after="40"/>
      <w:outlineLvl w:val="4"/>
    </w:pPr>
    <w:rPr>
      <w:color w:val="0F4761"/>
    </w:rPr>
  </w:style>
  <w:style w:type="paragraph" w:styleId="Titolo6">
    <w:name w:val="heading 6"/>
    <w:basedOn w:val="Normale"/>
    <w:next w:val="Normale"/>
    <w:uiPriority w:val="9"/>
    <w:semiHidden/>
    <w:unhideWhenUsed/>
    <w:qFormat/>
    <w:pPr>
      <w:keepNext/>
      <w:keepLines/>
      <w:spacing w:before="40" w:after="0"/>
      <w:outlineLvl w:val="5"/>
    </w:pPr>
    <w:rPr>
      <w:i/>
      <w:iCs/>
      <w:color w:val="595959"/>
    </w:rPr>
  </w:style>
  <w:style w:type="paragraph" w:styleId="Titolo7">
    <w:name w:val="heading 7"/>
    <w:link w:val="Titolo7Carattere"/>
    <w:uiPriority w:val="9"/>
    <w:semiHidden/>
    <w:unhideWhenUsed/>
    <w:qFormat/>
    <w:rsid w:val="00071CDE"/>
    <w:pPr>
      <w:keepNext/>
      <w:keepLines/>
      <w:spacing w:before="40" w:after="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00071CDE"/>
    <w:pPr>
      <w:keepNext/>
      <w:keepLines/>
      <w:spacing w:after="0"/>
      <w:outlineLvl w:val="7"/>
    </w:pPr>
    <w:rPr>
      <w:rFonts w:eastAsiaTheme="majorEastAsia" w:cstheme="majorBidi"/>
      <w:i/>
      <w:iCs/>
      <w:color w:val="272727" w:themeColor="text1" w:themeTint="D8"/>
    </w:rPr>
  </w:style>
  <w:style w:type="paragraph" w:styleId="Titolo9">
    <w:name w:val="heading 9"/>
    <w:link w:val="Titolo9Carattere"/>
    <w:uiPriority w:val="9"/>
    <w:semiHidden/>
    <w:unhideWhenUsed/>
    <w:qFormat/>
    <w:rsid w:val="00071CD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Titolo1Carattere">
    <w:name w:val="Titolo 1 Carattere"/>
    <w:basedOn w:val="Carpredefinitoparagrafo"/>
    <w:uiPriority w:val="9"/>
    <w:rsid w:val="00071CD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uiPriority w:val="9"/>
    <w:semiHidden/>
    <w:rsid w:val="00071CD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uiPriority w:val="9"/>
    <w:semiHidden/>
    <w:rsid w:val="00071CDE"/>
    <w:rPr>
      <w:rFonts w:eastAsiaTheme="majorEastAsia" w:cstheme="majorBidi"/>
      <w:color w:val="0F4761" w:themeColor="accent1" w:themeShade="BF"/>
      <w:sz w:val="28"/>
      <w:szCs w:val="28"/>
    </w:rPr>
  </w:style>
  <w:style w:type="character" w:customStyle="1" w:styleId="Titolo4Carattere">
    <w:name w:val="Titolo 4 Carattere"/>
    <w:basedOn w:val="Carpredefinitoparagrafo"/>
    <w:uiPriority w:val="9"/>
    <w:semiHidden/>
    <w:rsid w:val="00071CDE"/>
    <w:rPr>
      <w:rFonts w:eastAsiaTheme="majorEastAsia" w:cstheme="majorBidi"/>
      <w:i/>
      <w:iCs/>
      <w:color w:val="0F4761" w:themeColor="accent1" w:themeShade="BF"/>
    </w:rPr>
  </w:style>
  <w:style w:type="character" w:customStyle="1" w:styleId="Titolo5Carattere">
    <w:name w:val="Titolo 5 Carattere"/>
    <w:basedOn w:val="Carpredefinitoparagrafo"/>
    <w:uiPriority w:val="9"/>
    <w:semiHidden/>
    <w:rsid w:val="00071CDE"/>
    <w:rPr>
      <w:rFonts w:eastAsiaTheme="majorEastAsia" w:cstheme="majorBidi"/>
      <w:color w:val="0F4761" w:themeColor="accent1" w:themeShade="BF"/>
    </w:rPr>
  </w:style>
  <w:style w:type="character" w:customStyle="1" w:styleId="Titolo6Carattere">
    <w:name w:val="Titolo 6 Carattere"/>
    <w:basedOn w:val="Carpredefinitoparagrafo"/>
    <w:uiPriority w:val="9"/>
    <w:semiHidden/>
    <w:rsid w:val="00071CD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71CD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71CD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71CDE"/>
    <w:rPr>
      <w:rFonts w:eastAsiaTheme="majorEastAsia" w:cstheme="majorBidi"/>
      <w:color w:val="272727" w:themeColor="text1" w:themeTint="D8"/>
    </w:rPr>
  </w:style>
  <w:style w:type="character" w:customStyle="1" w:styleId="TitoloCarattere">
    <w:name w:val="Titolo Carattere"/>
    <w:basedOn w:val="Carpredefinitoparagrafo"/>
    <w:uiPriority w:val="10"/>
    <w:rsid w:val="00071CDE"/>
    <w:rPr>
      <w:rFonts w:asciiTheme="majorHAnsi" w:eastAsiaTheme="majorEastAsia" w:hAnsiTheme="majorHAnsi" w:cstheme="majorBidi"/>
      <w:spacing w:val="-10"/>
      <w:kern w:val="28"/>
      <w:sz w:val="56"/>
      <w:szCs w:val="56"/>
    </w:rPr>
  </w:style>
  <w:style w:type="character" w:customStyle="1" w:styleId="SottotitoloCarattere">
    <w:name w:val="Sottotitolo Carattere"/>
    <w:basedOn w:val="Carpredefinitoparagrafo"/>
    <w:uiPriority w:val="11"/>
    <w:rsid w:val="00071CDE"/>
    <w:rPr>
      <w:rFonts w:eastAsiaTheme="majorEastAsia" w:cstheme="majorBidi"/>
      <w:color w:val="595959" w:themeColor="text1" w:themeTint="A6"/>
      <w:spacing w:val="15"/>
      <w:sz w:val="28"/>
      <w:szCs w:val="28"/>
    </w:rPr>
  </w:style>
  <w:style w:type="paragraph" w:styleId="Citazione">
    <w:name w:val="Quote"/>
    <w:link w:val="CitazioneCarattere"/>
    <w:uiPriority w:val="29"/>
    <w:qFormat/>
    <w:rsid w:val="00071CD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71CDE"/>
    <w:rPr>
      <w:i/>
      <w:iCs/>
      <w:color w:val="404040" w:themeColor="text1" w:themeTint="BF"/>
    </w:rPr>
  </w:style>
  <w:style w:type="paragraph" w:styleId="Paragrafoelenco">
    <w:name w:val="List Paragraph"/>
    <w:uiPriority w:val="34"/>
    <w:qFormat/>
    <w:rsid w:val="00071CDE"/>
    <w:pPr>
      <w:ind w:left="720"/>
      <w:contextualSpacing/>
    </w:pPr>
  </w:style>
  <w:style w:type="character" w:styleId="Enfasiintensa">
    <w:name w:val="Intense Emphasis"/>
    <w:basedOn w:val="Carpredefinitoparagrafo"/>
    <w:uiPriority w:val="21"/>
    <w:qFormat/>
    <w:rsid w:val="00071CDE"/>
    <w:rPr>
      <w:i/>
      <w:iCs/>
      <w:color w:val="0F4761" w:themeColor="accent1" w:themeShade="BF"/>
    </w:rPr>
  </w:style>
  <w:style w:type="paragraph" w:styleId="Citazioneintensa">
    <w:name w:val="Intense Quote"/>
    <w:link w:val="CitazioneintensaCarattere"/>
    <w:uiPriority w:val="30"/>
    <w:qFormat/>
    <w:rsid w:val="00071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71CDE"/>
    <w:rPr>
      <w:i/>
      <w:iCs/>
      <w:color w:val="0F4761" w:themeColor="accent1" w:themeShade="BF"/>
    </w:rPr>
  </w:style>
  <w:style w:type="character" w:styleId="Riferimentointenso">
    <w:name w:val="Intense Reference"/>
    <w:basedOn w:val="Carpredefinitoparagrafo"/>
    <w:uiPriority w:val="32"/>
    <w:qFormat/>
    <w:rsid w:val="00071CDE"/>
    <w:rPr>
      <w:b/>
      <w:bCs/>
      <w:smallCaps/>
      <w:color w:val="0F4761" w:themeColor="accent1" w:themeShade="BF"/>
      <w:spacing w:val="5"/>
    </w:rPr>
  </w:style>
  <w:style w:type="character" w:styleId="Collegamentoipertestuale">
    <w:name w:val="Hyperlink"/>
    <w:basedOn w:val="Carpredefinitoparagrafo"/>
    <w:uiPriority w:val="99"/>
    <w:unhideWhenUsed/>
    <w:rsid w:val="00AA44C7"/>
    <w:rPr>
      <w:color w:val="467886" w:themeColor="hyperlink"/>
      <w:u w:val="single"/>
    </w:rPr>
  </w:style>
  <w:style w:type="character" w:styleId="Menzionenonrisolta">
    <w:name w:val="Unresolved Mention"/>
    <w:basedOn w:val="Carpredefinitoparagrafo"/>
    <w:uiPriority w:val="99"/>
    <w:semiHidden/>
    <w:unhideWhenUsed/>
    <w:rsid w:val="00AA44C7"/>
    <w:rPr>
      <w:color w:val="605E5C"/>
      <w:shd w:val="clear" w:color="auto" w:fill="E1DFDD"/>
    </w:rPr>
  </w:style>
  <w:style w:type="character" w:styleId="Rimandocommento">
    <w:name w:val="annotation reference"/>
    <w:basedOn w:val="Carpredefinitoparagrafo"/>
    <w:uiPriority w:val="99"/>
    <w:semiHidden/>
    <w:unhideWhenUsed/>
    <w:rsid w:val="002A4623"/>
    <w:rPr>
      <w:sz w:val="16"/>
      <w:szCs w:val="16"/>
    </w:rPr>
  </w:style>
  <w:style w:type="paragraph" w:styleId="Testocommento">
    <w:name w:val="annotation text"/>
    <w:link w:val="TestocommentoCarattere"/>
    <w:uiPriority w:val="99"/>
    <w:unhideWhenUsed/>
    <w:rsid w:val="002A4623"/>
    <w:pPr>
      <w:spacing w:line="240" w:lineRule="auto"/>
    </w:pPr>
    <w:rPr>
      <w:sz w:val="20"/>
      <w:szCs w:val="20"/>
    </w:rPr>
  </w:style>
  <w:style w:type="character" w:customStyle="1" w:styleId="TestocommentoCarattere">
    <w:name w:val="Testo commento Carattere"/>
    <w:basedOn w:val="Carpredefinitoparagrafo"/>
    <w:link w:val="Testocommento"/>
    <w:uiPriority w:val="99"/>
    <w:rsid w:val="002A4623"/>
    <w:rPr>
      <w:sz w:val="20"/>
      <w:szCs w:val="20"/>
    </w:rPr>
  </w:style>
  <w:style w:type="paragraph" w:styleId="Soggettocommento">
    <w:name w:val="annotation subject"/>
    <w:basedOn w:val="Testocommento"/>
    <w:next w:val="Testocommento"/>
    <w:link w:val="SoggettocommentoCarattere"/>
    <w:uiPriority w:val="99"/>
    <w:semiHidden/>
    <w:unhideWhenUsed/>
    <w:rsid w:val="002A4623"/>
    <w:rPr>
      <w:b/>
      <w:bCs/>
    </w:rPr>
  </w:style>
  <w:style w:type="character" w:customStyle="1" w:styleId="SoggettocommentoCarattere">
    <w:name w:val="Soggetto commento Carattere"/>
    <w:basedOn w:val="TestocommentoCarattere"/>
    <w:link w:val="Soggettocommento"/>
    <w:uiPriority w:val="99"/>
    <w:semiHidden/>
    <w:rsid w:val="002A4623"/>
    <w:rPr>
      <w:b/>
      <w:bCs/>
      <w:sz w:val="20"/>
      <w:szCs w:val="20"/>
    </w:rPr>
  </w:style>
  <w:style w:type="paragraph" w:styleId="Testonotaapidipagina">
    <w:name w:val="footnote text"/>
    <w:link w:val="TestonotaapidipaginaCarattere"/>
    <w:uiPriority w:val="99"/>
    <w:semiHidden/>
    <w:unhideWhenUsed/>
    <w:rsid w:val="004703D4"/>
    <w:pPr>
      <w:spacing w:after="0" w:line="240" w:lineRule="auto"/>
    </w:pPr>
    <w:rPr>
      <w:rFonts w:ascii="Calibri" w:eastAsia="Calibri" w:hAnsi="Calibri" w:cs="Calibri"/>
      <w:sz w:val="20"/>
      <w:szCs w:val="20"/>
      <w:lang w:val="en-US"/>
    </w:rPr>
  </w:style>
  <w:style w:type="character" w:customStyle="1" w:styleId="TestonotaapidipaginaCarattere">
    <w:name w:val="Testo nota a piè di pagina Carattere"/>
    <w:basedOn w:val="Carpredefinitoparagrafo"/>
    <w:link w:val="Testonotaapidipagina"/>
    <w:uiPriority w:val="99"/>
    <w:semiHidden/>
    <w:rsid w:val="004703D4"/>
    <w:rPr>
      <w:rFonts w:ascii="Calibri" w:eastAsia="Calibri" w:hAnsi="Calibri" w:cs="Calibri"/>
      <w:kern w:val="0"/>
      <w:sz w:val="20"/>
      <w:szCs w:val="20"/>
      <w:lang w:val="en-US" w:eastAsia="it-IT"/>
    </w:rPr>
  </w:style>
  <w:style w:type="character" w:styleId="Rimandonotaapidipagina">
    <w:name w:val="footnote reference"/>
    <w:basedOn w:val="Carpredefinitoparagrafo"/>
    <w:uiPriority w:val="99"/>
    <w:semiHidden/>
    <w:unhideWhenUsed/>
    <w:rsid w:val="004703D4"/>
    <w:rPr>
      <w:vertAlign w:val="superscript"/>
    </w:rPr>
  </w:style>
  <w:style w:type="paragraph" w:styleId="Sottotitolo">
    <w:name w:val="Subtitle"/>
    <w:basedOn w:val="Normale"/>
    <w:next w:val="Normale"/>
    <w:uiPriority w:val="11"/>
    <w:qFormat/>
    <w:rPr>
      <w:color w:val="595959"/>
      <w:sz w:val="28"/>
      <w:szCs w:val="2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customStyle="1" w:styleId="Default">
    <w:name w:val="Default"/>
    <w:rsid w:val="0027247F"/>
    <w:pPr>
      <w:autoSpaceDE w:val="0"/>
      <w:autoSpaceDN w:val="0"/>
      <w:adjustRightInd w:val="0"/>
      <w:spacing w:after="0" w:line="240" w:lineRule="auto"/>
    </w:pPr>
    <w:rPr>
      <w:rFonts w:ascii="Cambria Math" w:eastAsiaTheme="minorHAnsi" w:hAnsi="Cambria Math" w:cs="Cambria Math"/>
      <w:color w:val="000000"/>
      <w:lang w:val="it-IT"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111/j.1530-9134.2007.00152.x" TargetMode="External"/><Relationship Id="rId18" Type="http://schemas.openxmlformats.org/officeDocument/2006/relationships/hyperlink" Target="https://terrasindigenas.org.br/pt-br/noticia/48995" TargetMode="External"/><Relationship Id="rId26" Type="http://schemas.openxmlformats.org/officeDocument/2006/relationships/hyperlink" Target="http://pubs.iied.org/14671IIED" TargetMode="External"/><Relationship Id="rId39" Type="http://schemas.openxmlformats.org/officeDocument/2006/relationships/hyperlink" Target="https://doi.org/10.1111/cobi.12568" TargetMode="External"/><Relationship Id="rId21" Type="http://schemas.openxmlformats.org/officeDocument/2006/relationships/hyperlink" Target="https://dx.doi.org/10.2139/ssrn.3693323" TargetMode="External"/><Relationship Id="rId34" Type="http://schemas.openxmlformats.org/officeDocument/2006/relationships/hyperlink" Target="https://www.fao.org/forestry/21572-0d9d4b43a56ac49880557f4ebaa3534e3.pdf" TargetMode="External"/><Relationship Id="rId42" Type="http://schemas.openxmlformats.org/officeDocument/2006/relationships/hyperlink" Target="http://dx.doi.org/10.1017/S0030605308002032" TargetMode="External"/><Relationship Id="rId47" Type="http://schemas.openxmlformats.org/officeDocument/2006/relationships/hyperlink" Target="https://doi.org/10.1111/j.1523-1739.2005.00291.x"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rchive.news.gov.bc.ca/releases/news_releases_2013-2017/2014FLNR0005-000099.htm" TargetMode="External"/><Relationship Id="rId29" Type="http://schemas.openxmlformats.org/officeDocument/2006/relationships/hyperlink" Target="https://doi.org/10.1016/j.forpol.2009.01.003" TargetMode="External"/><Relationship Id="rId11" Type="http://schemas.openxmlformats.org/officeDocument/2006/relationships/hyperlink" Target="https://doi.org/10.1111/j.1944-8287.2011.01107.x" TargetMode="External"/><Relationship Id="rId24" Type="http://schemas.openxmlformats.org/officeDocument/2006/relationships/hyperlink" Target="https://doi.org/10.1016/j.forpol.2013.05.001" TargetMode="External"/><Relationship Id="rId32" Type="http://schemas.openxmlformats.org/officeDocument/2006/relationships/hyperlink" Target="https://doi.org/10.1016/j.geb.2010.08.010" TargetMode="External"/><Relationship Id="rId37" Type="http://schemas.openxmlformats.org/officeDocument/2006/relationships/hyperlink" Target="https://doi.org/10.1016/j.gloenvcha.2019.101934" TargetMode="External"/><Relationship Id="rId40" Type="http://schemas.openxmlformats.org/officeDocument/2006/relationships/hyperlink" Target="https://doi.org/10.1038/s41477-020-00814-9" TargetMode="External"/><Relationship Id="rId45" Type="http://schemas.openxmlformats.org/officeDocument/2006/relationships/hyperlink" Target="https://publications.gc.ca/collections/collection_2018/pc/R62-548-2018-eng.pdf" TargetMode="External"/><Relationship Id="rId5" Type="http://schemas.openxmlformats.org/officeDocument/2006/relationships/webSettings" Target="webSettings.xml"/><Relationship Id="rId15" Type="http://schemas.openxmlformats.org/officeDocument/2006/relationships/hyperlink" Target="https://doi.org/10.1016/j.gloenvcha.2023.102740" TargetMode="External"/><Relationship Id="rId23" Type="http://schemas.openxmlformats.org/officeDocument/2006/relationships/hyperlink" Target="https://doi.org/10.1016/j.socec.2013.05.016" TargetMode="External"/><Relationship Id="rId28" Type="http://schemas.openxmlformats.org/officeDocument/2006/relationships/hyperlink" Target="http://dx.doi.org/10.14214/sf.sfm2" TargetMode="External"/><Relationship Id="rId36" Type="http://schemas.openxmlformats.org/officeDocument/2006/relationships/hyperlink" Target="http://dx.doi.org/10.1007/s10531-009-9676-5" TargetMode="External"/><Relationship Id="rId49" Type="http://schemas.openxmlformats.org/officeDocument/2006/relationships/hyperlink" Target="https://doi.org/10.1177/0007650307306641" TargetMode="External"/><Relationship Id="rId10" Type="http://schemas.openxmlformats.org/officeDocument/2006/relationships/hyperlink" Target="https://doi.org/10.1126/science.1087771" TargetMode="External"/><Relationship Id="rId19" Type="http://schemas.openxmlformats.org/officeDocument/2006/relationships/hyperlink" Target="https://archive.news.gov.bc.ca/releases/news_releases_2020-2024/2023FOR0048-001232.htm" TargetMode="External"/><Relationship Id="rId31" Type="http://schemas.openxmlformats.org/officeDocument/2006/relationships/hyperlink" Target="https://doi.org/10.1177/0007650307306636" TargetMode="External"/><Relationship Id="rId44" Type="http://schemas.openxmlformats.org/officeDocument/2006/relationships/hyperlink" Target="https://greatbearrainforesttrust.org/wp-content/uploads/2020/11/GBR-Activism.pdf" TargetMode="External"/><Relationship Id="rId4" Type="http://schemas.openxmlformats.org/officeDocument/2006/relationships/settings" Target="settings.xml"/><Relationship Id="rId9" Type="http://schemas.openxmlformats.org/officeDocument/2006/relationships/hyperlink" Target="mailto:virginia.cecchini@unimi.it" TargetMode="External"/><Relationship Id="rId14" Type="http://schemas.openxmlformats.org/officeDocument/2006/relationships/hyperlink" Target="https://doi.org/10.18352/ijc.756" TargetMode="External"/><Relationship Id="rId22" Type="http://schemas.openxmlformats.org/officeDocument/2006/relationships/hyperlink" Target="https://doi.org/10.3390/land11101624" TargetMode="External"/><Relationship Id="rId27" Type="http://schemas.openxmlformats.org/officeDocument/2006/relationships/hyperlink" Target="http://dx.doi.org/10.1078/1104-6899-00001" TargetMode="External"/><Relationship Id="rId30" Type="http://schemas.openxmlformats.org/officeDocument/2006/relationships/hyperlink" Target="https://doi.org/10.1016/j.crsust.2021.100102" TargetMode="External"/><Relationship Id="rId35" Type="http://schemas.openxmlformats.org/officeDocument/2006/relationships/hyperlink" Target="https://doi.org/10.1016/j.forpol.2010.07.004" TargetMode="External"/><Relationship Id="rId43" Type="http://schemas.openxmlformats.org/officeDocument/2006/relationships/hyperlink" Target="https://doi.org/10.1016/j.landusepol.2012.10.019" TargetMode="External"/><Relationship Id="rId48" Type="http://schemas.openxmlformats.org/officeDocument/2006/relationships/hyperlink" Target="https://ssrn.com/abstract=946832" TargetMode="External"/><Relationship Id="rId8" Type="http://schemas.openxmlformats.org/officeDocument/2006/relationships/hyperlink" Target="mailto:sara.lorenzini-1@unitn.it"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coastfunds.ca/wp-content/uploads/2016/07/GBR_PDF.pdf" TargetMode="External"/><Relationship Id="rId17" Type="http://schemas.openxmlformats.org/officeDocument/2006/relationships/hyperlink" Target="https://news.gov.bc.ca/releases/2016FLNR0021-000311" TargetMode="External"/><Relationship Id="rId25" Type="http://schemas.openxmlformats.org/officeDocument/2006/relationships/hyperlink" Target="http://dx.doi.org/10.1007/s10202-003-0059-9" TargetMode="External"/><Relationship Id="rId33" Type="http://schemas.openxmlformats.org/officeDocument/2006/relationships/hyperlink" Target="https://doi.org/10.1016/j.jenvp.2017.03.002" TargetMode="External"/><Relationship Id="rId38" Type="http://schemas.openxmlformats.org/officeDocument/2006/relationships/hyperlink" Target="https://doi.org/10.1016/j.forpol.2021.102671" TargetMode="External"/><Relationship Id="rId46" Type="http://schemas.openxmlformats.org/officeDocument/2006/relationships/hyperlink" Target="https://www.ubcm.ca/sites/default/files/2021-07/Policy%2520Paper%25205-Task%2520Force%2520Report%2520on%2520the%2520Coast%2520Forest%2520Conservation%2520Initiative%2520%28CFCI%29-2000.pdf" TargetMode="External"/><Relationship Id="rId20" Type="http://schemas.openxmlformats.org/officeDocument/2006/relationships/hyperlink" Target="https://doi.org/10.3998/mpub.7687" TargetMode="External"/><Relationship Id="rId41" Type="http://schemas.openxmlformats.org/officeDocument/2006/relationships/hyperlink" Target="https://www.savethegreatbear.org/news/detail/great_bear_rainforest_agreement_delays_creating_ecological_uncertainty.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7sr8eoC04ahsq+kb/Vz+gm2bCA==">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7541</Words>
  <Characters>42988</Characters>
  <Application>Microsoft Office Word</Application>
  <DocSecurity>0</DocSecurity>
  <Lines>358</Lines>
  <Paragraphs>100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Lorenzini</dc:creator>
  <cp:lastModifiedBy>Sara Lorenzini</cp:lastModifiedBy>
  <cp:revision>2</cp:revision>
  <dcterms:created xsi:type="dcterms:W3CDTF">2025-11-25T17:50:00Z</dcterms:created>
  <dcterms:modified xsi:type="dcterms:W3CDTF">2025-11-25T17:50:00Z</dcterms:modified>
</cp:coreProperties>
</file>