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spacing w:before="100" w:after="100"/>
        <w:jc w:val="both"/>
        <w:rPr>
          <w:rFonts w:ascii="Garamond" w:cs="Garamond" w:hAnsi="Garamond" w:eastAsia="Garamond"/>
          <w:b w:val="1"/>
          <w:bCs w:val="1"/>
          <w:sz w:val="28"/>
          <w:szCs w:val="28"/>
        </w:rPr>
      </w:pPr>
      <w:r>
        <w:rPr>
          <w:rFonts w:ascii="Garamond" w:hAnsi="Garamond"/>
          <w:b w:val="1"/>
          <w:bCs w:val="1"/>
          <w:sz w:val="28"/>
          <w:szCs w:val="28"/>
          <w:rtl w:val="0"/>
          <w:lang w:val="de-DE"/>
        </w:rPr>
        <w:t>GREEN RHETORIC, GREY REALITY: ALGORITHMIC DETECTION AND ESG OVERSIGHT IN FINANCIAL MARKETS</w:t>
      </w:r>
    </w:p>
    <w:p>
      <w:pPr>
        <w:pStyle w:val="Body"/>
        <w:spacing w:before="100" w:after="100"/>
        <w:jc w:val="both"/>
        <w:outlineLvl w:val="0"/>
        <w:rPr>
          <w:rFonts w:ascii="Garamond" w:cs="Garamond" w:hAnsi="Garamond" w:eastAsia="Garamond"/>
        </w:rPr>
      </w:pPr>
      <w:r>
        <w:rPr>
          <w:rFonts w:ascii="Garamond" w:hAnsi="Garamond"/>
          <w:rtl w:val="0"/>
          <w:lang w:val="en-US"/>
        </w:rPr>
        <w:t>Umberto Nizza</w:t>
      </w:r>
    </w:p>
    <w:p>
      <w:pPr>
        <w:pStyle w:val="Body"/>
        <w:jc w:val="both"/>
        <w:rPr>
          <w:rFonts w:ascii="Garamond" w:cs="Garamond" w:hAnsi="Garamond" w:eastAsia="Garamond"/>
          <w:sz w:val="20"/>
          <w:szCs w:val="20"/>
        </w:rPr>
      </w:pPr>
      <w:r>
        <w:rPr>
          <w:rFonts w:ascii="Garamond" w:hAnsi="Garamond"/>
          <w:sz w:val="20"/>
          <w:szCs w:val="20"/>
          <w:rtl w:val="0"/>
          <w:lang w:val="en-US"/>
        </w:rPr>
        <w:t xml:space="preserve">Abstract: This paper investigates the systemic opacity and semantic vagueness characterizing environmental claims in the non-financial disclosures of major European banking institutions. By cross-referencing the emerging European legal framework </w:t>
      </w:r>
      <w:r>
        <w:rPr>
          <w:rFonts w:ascii="Garamond" w:hAnsi="Garamond" w:hint="default"/>
          <w:sz w:val="20"/>
          <w:szCs w:val="20"/>
          <w:rtl w:val="0"/>
          <w:lang w:val="en-US"/>
        </w:rPr>
        <w:t xml:space="preserve">– </w:t>
      </w:r>
      <w:r>
        <w:rPr>
          <w:rFonts w:ascii="Garamond" w:hAnsi="Garamond"/>
          <w:sz w:val="20"/>
          <w:szCs w:val="20"/>
          <w:rtl w:val="0"/>
          <w:lang w:val="en-US"/>
        </w:rPr>
        <w:t xml:space="preserve">in particular after the introduction of the new Directive 2024/825 </w:t>
      </w:r>
      <w:r>
        <w:rPr>
          <w:rFonts w:ascii="Garamond" w:hAnsi="Garamond" w:hint="default"/>
          <w:sz w:val="20"/>
          <w:szCs w:val="20"/>
          <w:rtl w:val="0"/>
          <w:lang w:val="en-US"/>
        </w:rPr>
        <w:t xml:space="preserve">– </w:t>
      </w:r>
      <w:r>
        <w:rPr>
          <w:rFonts w:ascii="Garamond" w:hAnsi="Garamond"/>
          <w:sz w:val="20"/>
          <w:szCs w:val="20"/>
          <w:rtl w:val="0"/>
          <w:lang w:val="en-US"/>
        </w:rPr>
        <w:t>with empirical findings obtained through algorithmic analysis of consolidated sustainability reports, the paper exposes widespread use of vague, unverifiable, and prospective ESG statements that could qualify as misleading under EU law. Using a Python-based natural language processing tool, the study identifies recurrent linguistic patterns that diverge from the transparency, verifiability, and measurability standards now mandated. It argues for the adoption of algorithmic auditing both as a preventive compliance mechanism and as a regulatory enforcement tool, proposing a shift towards a new model of semantic supervision capable of aligning rhetorical ESG narratives with demonstrable corporate commitments.</w:t>
      </w:r>
    </w:p>
    <w:p>
      <w:pPr>
        <w:pStyle w:val="Body"/>
        <w:rPr>
          <w:rFonts w:ascii="Garamond" w:cs="Garamond" w:hAnsi="Garamond" w:eastAsia="Garamond"/>
          <w:sz w:val="20"/>
          <w:szCs w:val="20"/>
        </w:rPr>
      </w:pPr>
    </w:p>
    <w:p>
      <w:pPr>
        <w:pStyle w:val="Body"/>
        <w:jc w:val="both"/>
        <w:rPr>
          <w:rFonts w:ascii="Garamond" w:cs="Garamond" w:hAnsi="Garamond" w:eastAsia="Garamond"/>
          <w:sz w:val="20"/>
          <w:szCs w:val="20"/>
        </w:rPr>
      </w:pPr>
      <w:r>
        <w:rPr>
          <w:rFonts w:ascii="Garamond" w:hAnsi="Garamond"/>
          <w:sz w:val="20"/>
          <w:szCs w:val="20"/>
          <w:rtl w:val="0"/>
          <w:lang w:val="en-US"/>
        </w:rPr>
        <w:t>Keywords: Greenwashing; ESG Disclosure; Artificial Intelligence and Legal Compliance; EU Sustainability Regulation; Algorithmic Supervision</w:t>
      </w:r>
    </w:p>
    <w:p>
      <w:pPr>
        <w:pStyle w:val="Body"/>
        <w:rPr>
          <w:rFonts w:ascii="Garamond" w:cs="Garamond" w:hAnsi="Garamond" w:eastAsia="Garamond"/>
          <w:sz w:val="20"/>
          <w:szCs w:val="20"/>
        </w:rPr>
      </w:pPr>
      <w:r>
        <w:rPr>
          <w:rFonts w:ascii="Garamond" w:hAnsi="Garamond"/>
          <w:sz w:val="20"/>
          <w:szCs w:val="20"/>
          <w:rtl w:val="0"/>
        </w:rPr>
        <w:t>JEL Codes: K23, K32</w:t>
      </w:r>
    </w:p>
    <w:p>
      <w:pPr>
        <w:pStyle w:val="Body"/>
        <w:rPr>
          <w:rFonts w:ascii="Garamond" w:cs="Garamond" w:hAnsi="Garamond" w:eastAsia="Garamond"/>
          <w:sz w:val="22"/>
          <w:szCs w:val="22"/>
        </w:rPr>
      </w:pPr>
    </w:p>
    <w:p>
      <w:pPr>
        <w:pStyle w:val="Body Text"/>
        <w:outlineLvl w:val="0"/>
        <w:rPr>
          <w:rFonts w:ascii="Garamond" w:cs="Garamond" w:hAnsi="Garamond" w:eastAsia="Garamond"/>
          <w:b w:val="1"/>
          <w:bCs w:val="1"/>
          <w:sz w:val="22"/>
          <w:szCs w:val="22"/>
          <w:lang w:val="en-US"/>
        </w:rPr>
      </w:pPr>
      <w:r>
        <w:rPr>
          <w:rFonts w:ascii="Garamond" w:hAnsi="Garamond"/>
          <w:b w:val="1"/>
          <w:bCs w:val="1"/>
          <w:sz w:val="22"/>
          <w:szCs w:val="22"/>
          <w:rtl w:val="0"/>
          <w:lang w:val="en-US"/>
        </w:rPr>
        <w:t>1. Introduction</w:t>
      </w:r>
    </w:p>
    <w:p>
      <w:pPr>
        <w:pStyle w:val="Body"/>
        <w:tabs>
          <w:tab w:val="left" w:pos="1749"/>
        </w:tabs>
        <w:spacing w:line="254" w:lineRule="auto"/>
        <w:ind w:firstLine="425"/>
        <w:jc w:val="both"/>
        <w:rPr>
          <w:rFonts w:ascii="Garamond" w:cs="Garamond" w:hAnsi="Garamond" w:eastAsia="Garamond"/>
          <w:outline w:val="0"/>
          <w:color w:val="231f20"/>
          <w:sz w:val="22"/>
          <w:szCs w:val="22"/>
          <w:u w:color="231f20"/>
          <w14:textFill>
            <w14:solidFill>
              <w14:srgbClr w14:val="231F20"/>
            </w14:solidFill>
          </w14:textFill>
        </w:rPr>
      </w:pPr>
    </w:p>
    <w:p>
      <w:pPr>
        <w:pStyle w:val="Body"/>
        <w:tabs>
          <w:tab w:val="left" w:pos="1749"/>
        </w:tabs>
        <w:spacing w:line="254" w:lineRule="auto"/>
        <w:ind w:firstLine="567"/>
        <w:jc w:val="both"/>
        <w:rPr>
          <w:rFonts w:ascii="Garamond" w:cs="Garamond" w:hAnsi="Garamond" w:eastAsia="Garamond"/>
          <w:outline w:val="0"/>
          <w:color w:val="231f20"/>
          <w:sz w:val="22"/>
          <w:szCs w:val="22"/>
          <w:u w:color="231f20"/>
          <w14:textFill>
            <w14:solidFill>
              <w14:srgbClr w14:val="231F20"/>
            </w14:solidFill>
          </w14:textFill>
        </w:rPr>
      </w:pPr>
      <w:r>
        <w:rPr>
          <w:rFonts w:ascii="Garamond" w:hAnsi="Garamond"/>
          <w:outline w:val="0"/>
          <w:color w:val="231f20"/>
          <w:sz w:val="22"/>
          <w:szCs w:val="22"/>
          <w:u w:color="231f20"/>
          <w:rtl w:val="0"/>
          <w:lang w:val="en-US"/>
          <w14:textFill>
            <w14:solidFill>
              <w14:srgbClr w14:val="231F20"/>
            </w14:solidFill>
          </w14:textFill>
        </w:rPr>
        <w:t xml:space="preserve">Over the past decade, there has been a growing focus on Environmental, Social, and Governance (ESG) factors, leading to a profound transformation in both the financial and industrial markets (Senadheera et al., 2022). This transformation is evident both from a regulatory perspective </w:t>
      </w:r>
      <w:r>
        <w:rPr>
          <w:rFonts w:ascii="Garamond" w:hAnsi="Garamond" w:hint="default"/>
          <w:outline w:val="0"/>
          <w:color w:val="231f20"/>
          <w:sz w:val="22"/>
          <w:szCs w:val="22"/>
          <w:u w:color="231f20"/>
          <w:rtl w:val="0"/>
          <w:lang w:val="en-US"/>
          <w14:textFill>
            <w14:solidFill>
              <w14:srgbClr w14:val="231F20"/>
            </w14:solidFill>
          </w14:textFill>
        </w:rPr>
        <w:t xml:space="preserve">– </w:t>
      </w:r>
      <w:r>
        <w:rPr>
          <w:rFonts w:ascii="Garamond" w:hAnsi="Garamond"/>
          <w:outline w:val="0"/>
          <w:color w:val="231f20"/>
          <w:sz w:val="22"/>
          <w:szCs w:val="22"/>
          <w:u w:color="231f20"/>
          <w:rtl w:val="0"/>
          <w:lang w:val="en-US"/>
          <w14:textFill>
            <w14:solidFill>
              <w14:srgbClr w14:val="231F20"/>
            </w14:solidFill>
          </w14:textFill>
        </w:rPr>
        <w:t xml:space="preserve">through the imposition of binding disclosure and reporting obligations on companies, economic operators, and institutional investors (Ho et al., 2019) </w:t>
      </w:r>
      <w:r>
        <w:rPr>
          <w:rFonts w:ascii="Garamond" w:hAnsi="Garamond" w:hint="default"/>
          <w:outline w:val="0"/>
          <w:color w:val="231f20"/>
          <w:sz w:val="22"/>
          <w:szCs w:val="22"/>
          <w:u w:color="231f20"/>
          <w:rtl w:val="0"/>
          <w:lang w:val="en-US"/>
          <w14:textFill>
            <w14:solidFill>
              <w14:srgbClr w14:val="231F20"/>
            </w14:solidFill>
          </w14:textFill>
        </w:rPr>
        <w:t xml:space="preserve">– </w:t>
      </w:r>
      <w:r>
        <w:rPr>
          <w:rFonts w:ascii="Garamond" w:hAnsi="Garamond"/>
          <w:outline w:val="0"/>
          <w:color w:val="231f20"/>
          <w:sz w:val="22"/>
          <w:szCs w:val="22"/>
          <w:u w:color="231f20"/>
          <w:rtl w:val="0"/>
          <w:lang w:val="en-US"/>
          <w14:textFill>
            <w14:solidFill>
              <w14:srgbClr w14:val="231F20"/>
            </w14:solidFill>
          </w14:textFill>
        </w:rPr>
        <w:t>and from an operational perspective, with the introduction of social responsibility measures for those who do not operate in a traceable, transparent, and coherent manner (Zervoudi et al., 2025) concerning non-financial information provided to the public and market participants (Green, 2018). This shift has also been influenced by value commitments towards greater sustainability (L</w:t>
      </w:r>
      <w:r>
        <w:rPr>
          <w:rFonts w:ascii="Garamond" w:hAnsi="Garamond" w:hint="default"/>
          <w:outline w:val="0"/>
          <w:color w:val="231f20"/>
          <w:sz w:val="22"/>
          <w:szCs w:val="22"/>
          <w:u w:color="231f20"/>
          <w:rtl w:val="0"/>
          <w:lang w:val="en-US"/>
          <w14:textFill>
            <w14:solidFill>
              <w14:srgbClr w14:val="231F20"/>
            </w14:solidFill>
          </w14:textFill>
        </w:rPr>
        <w:t>ó</w:t>
      </w:r>
      <w:r>
        <w:rPr>
          <w:rFonts w:ascii="Garamond" w:hAnsi="Garamond"/>
          <w:outline w:val="0"/>
          <w:color w:val="231f20"/>
          <w:sz w:val="22"/>
          <w:szCs w:val="22"/>
          <w:u w:color="231f20"/>
          <w:rtl w:val="0"/>
          <w:lang w:val="en-US"/>
          <w14:textFill>
            <w14:solidFill>
              <w14:srgbClr w14:val="231F20"/>
            </w14:solidFill>
          </w14:textFill>
        </w:rPr>
        <w:t>pez-Cabarcos et al., 2025) and the protection of intergenerational interests (Cheong, 2025), which demand the promotion of a lasting balance between economic growth (Diaye et al., 2022), social inclusion (Poggi, 2025), and environmental protection (Li &amp; Li, 2022), both in the short and long term. From this perspective, the environment is now legally and socially recognized as a primary and indispensable asset and an essential prerequisite for human survival (</w:t>
      </w:r>
      <w:r>
        <w:rPr>
          <w:rFonts w:ascii="Garamond" w:hAnsi="Garamond"/>
          <w:sz w:val="22"/>
          <w:szCs w:val="22"/>
          <w:rtl w:val="0"/>
          <w:lang w:val="de-DE"/>
        </w:rPr>
        <w:t>Bratspies, 2015</w:t>
      </w:r>
      <w:r>
        <w:rPr>
          <w:rFonts w:ascii="Garamond" w:hAnsi="Garamond"/>
          <w:outline w:val="0"/>
          <w:color w:val="231f20"/>
          <w:sz w:val="22"/>
          <w:szCs w:val="22"/>
          <w:u w:color="231f20"/>
          <w:rtl w:val="0"/>
          <w:lang w:val="en-US"/>
          <w14:textFill>
            <w14:solidFill>
              <w14:srgbClr w14:val="231F20"/>
            </w14:solidFill>
          </w14:textFill>
        </w:rPr>
        <w:t>), based on a responsibility and solidarity framework between businesses, citizens, and the environment (de Larrag</w:t>
      </w:r>
      <w:r>
        <w:rPr>
          <w:rFonts w:ascii="Garamond" w:hAnsi="Garamond" w:hint="default"/>
          <w:outline w:val="0"/>
          <w:color w:val="231f20"/>
          <w:sz w:val="22"/>
          <w:szCs w:val="22"/>
          <w:u w:color="231f20"/>
          <w:rtl w:val="0"/>
          <w:lang w:val="en-US"/>
          <w14:textFill>
            <w14:solidFill>
              <w14:srgbClr w14:val="231F20"/>
            </w14:solidFill>
          </w14:textFill>
        </w:rPr>
        <w:t>á</w:t>
      </w:r>
      <w:r>
        <w:rPr>
          <w:rFonts w:ascii="Garamond" w:hAnsi="Garamond"/>
          <w:outline w:val="0"/>
          <w:color w:val="231f20"/>
          <w:sz w:val="22"/>
          <w:szCs w:val="22"/>
          <w:u w:color="231f20"/>
          <w:rtl w:val="0"/>
          <w:lang w:val="en-US"/>
          <w14:textFill>
            <w14:solidFill>
              <w14:srgbClr w14:val="231F20"/>
            </w14:solidFill>
          </w14:textFill>
        </w:rPr>
        <w:t>n, 2011), with the need for businesses to align their management decisions with this limitation (Annesi et al., 2025).</w:t>
      </w:r>
    </w:p>
    <w:p>
      <w:pPr>
        <w:pStyle w:val="Body"/>
        <w:tabs>
          <w:tab w:val="left" w:pos="1749"/>
        </w:tabs>
        <w:spacing w:line="254" w:lineRule="auto"/>
        <w:ind w:firstLine="567"/>
        <w:jc w:val="both"/>
        <w:rPr>
          <w:rFonts w:ascii="Garamond" w:cs="Garamond" w:hAnsi="Garamond" w:eastAsia="Garamond"/>
          <w:outline w:val="0"/>
          <w:color w:val="231f20"/>
          <w:sz w:val="22"/>
          <w:szCs w:val="22"/>
          <w:u w:color="231f20"/>
          <w14:textFill>
            <w14:solidFill>
              <w14:srgbClr w14:val="231F20"/>
            </w14:solidFill>
          </w14:textFill>
        </w:rPr>
      </w:pPr>
      <w:r>
        <w:rPr>
          <w:rFonts w:ascii="Garamond" w:hAnsi="Garamond"/>
          <w:outline w:val="0"/>
          <w:color w:val="231f20"/>
          <w:sz w:val="22"/>
          <w:szCs w:val="22"/>
          <w:u w:color="231f20"/>
          <w:rtl w:val="0"/>
          <w:lang w:val="en-US"/>
          <w14:textFill>
            <w14:solidFill>
              <w14:srgbClr w14:val="231F20"/>
            </w14:solidFill>
          </w14:textFill>
        </w:rPr>
        <w:t xml:space="preserve">This societal shift </w:t>
      </w:r>
      <w:r>
        <w:rPr>
          <w:rFonts w:ascii="Garamond" w:hAnsi="Garamond" w:hint="default"/>
          <w:outline w:val="0"/>
          <w:color w:val="231f20"/>
          <w:sz w:val="22"/>
          <w:szCs w:val="22"/>
          <w:u w:color="231f20"/>
          <w:rtl w:val="0"/>
          <w:lang w:val="en-US"/>
          <w14:textFill>
            <w14:solidFill>
              <w14:srgbClr w14:val="231F20"/>
            </w14:solidFill>
          </w14:textFill>
        </w:rPr>
        <w:t xml:space="preserve">– </w:t>
      </w:r>
      <w:r>
        <w:rPr>
          <w:rFonts w:ascii="Garamond" w:hAnsi="Garamond"/>
          <w:outline w:val="0"/>
          <w:color w:val="231f20"/>
          <w:sz w:val="22"/>
          <w:szCs w:val="22"/>
          <w:u w:color="231f20"/>
          <w:rtl w:val="0"/>
          <w:lang w:val="en-US"/>
          <w14:textFill>
            <w14:solidFill>
              <w14:srgbClr w14:val="231F20"/>
            </w14:solidFill>
          </w14:textFill>
        </w:rPr>
        <w:t xml:space="preserve">manifesting in a new collective awareness that imposes growing obligations on businesses not only in terms of operational and managerial compliance with ESG principles but also in terms of truthful, transparent, accurate, and non-misleading communication of all initiatives undertaken in the environmental and social domains (Mollers, 2022) </w:t>
      </w:r>
      <w:r>
        <w:rPr>
          <w:rFonts w:ascii="Garamond" w:hAnsi="Garamond" w:hint="default"/>
          <w:outline w:val="0"/>
          <w:color w:val="231f20"/>
          <w:sz w:val="22"/>
          <w:szCs w:val="22"/>
          <w:u w:color="231f20"/>
          <w:rtl w:val="0"/>
          <w:lang w:val="en-US"/>
          <w14:textFill>
            <w14:solidFill>
              <w14:srgbClr w14:val="231F20"/>
            </w14:solidFill>
          </w14:textFill>
        </w:rPr>
        <w:t xml:space="preserve">– </w:t>
      </w:r>
      <w:r>
        <w:rPr>
          <w:rFonts w:ascii="Garamond" w:hAnsi="Garamond"/>
          <w:outline w:val="0"/>
          <w:color w:val="231f20"/>
          <w:sz w:val="22"/>
          <w:szCs w:val="22"/>
          <w:u w:color="231f20"/>
          <w:rtl w:val="0"/>
          <w:lang w:val="en-US"/>
          <w14:textFill>
            <w14:solidFill>
              <w14:srgbClr w14:val="231F20"/>
            </w14:solidFill>
          </w14:textFill>
        </w:rPr>
        <w:t>has made the market increasingly sensitive to the reputation and public perception of corporate actions (Khalid et al., 2024). The communication and transparency framework has become a competitive tool (Gao et al., 2025), capable of influencing purchasing decisions, investment policies, and, more generally, the competitive positioning of market operators, especially in a globalized and interconnected economic context. In the absence of accuracy and transparency, misleading practices may arise that fail to ensure consistency between the company</w:t>
      </w:r>
      <w:r>
        <w:rPr>
          <w:rFonts w:ascii="Garamond" w:hAnsi="Garamond" w:hint="default"/>
          <w:outline w:val="0"/>
          <w:color w:val="231f20"/>
          <w:sz w:val="22"/>
          <w:szCs w:val="22"/>
          <w:u w:color="231f20"/>
          <w:rtl w:val="0"/>
          <w:lang w:val="en-US"/>
          <w14:textFill>
            <w14:solidFill>
              <w14:srgbClr w14:val="231F20"/>
            </w14:solidFill>
          </w14:textFill>
        </w:rPr>
        <w:t>’</w:t>
      </w:r>
      <w:r>
        <w:rPr>
          <w:rFonts w:ascii="Garamond" w:hAnsi="Garamond"/>
          <w:outline w:val="0"/>
          <w:color w:val="231f20"/>
          <w:sz w:val="22"/>
          <w:szCs w:val="22"/>
          <w:u w:color="231f20"/>
          <w:rtl w:val="0"/>
          <w:lang w:val="en-US"/>
          <w14:textFill>
            <w14:solidFill>
              <w14:srgbClr w14:val="231F20"/>
            </w14:solidFill>
          </w14:textFill>
        </w:rPr>
        <w:t>s actual conduct and the public statements made (Utz, 2019), giving rise to forms of fa</w:t>
      </w:r>
      <w:r>
        <w:rPr>
          <w:rFonts w:ascii="Garamond" w:hAnsi="Garamond" w:hint="default"/>
          <w:outline w:val="0"/>
          <w:color w:val="231f20"/>
          <w:sz w:val="22"/>
          <w:szCs w:val="22"/>
          <w:u w:color="231f20"/>
          <w:rtl w:val="0"/>
          <w:lang w:val="en-US"/>
          <w14:textFill>
            <w14:solidFill>
              <w14:srgbClr w14:val="231F20"/>
            </w14:solidFill>
          </w14:textFill>
        </w:rPr>
        <w:t>ç</w:t>
      </w:r>
      <w:r>
        <w:rPr>
          <w:rFonts w:ascii="Garamond" w:hAnsi="Garamond"/>
          <w:outline w:val="0"/>
          <w:color w:val="231f20"/>
          <w:sz w:val="22"/>
          <w:szCs w:val="22"/>
          <w:u w:color="231f20"/>
          <w:rtl w:val="0"/>
          <w:lang w:val="en-US"/>
          <w14:textFill>
            <w14:solidFill>
              <w14:srgbClr w14:val="231F20"/>
            </w14:solidFill>
          </w14:textFill>
        </w:rPr>
        <w:t>ade environmentalism (Blandini et al., 2022) that artificially present positive environmental credentials, with the sole purpose of obtaining reputational advantages and economic returns based on asymmetric information between businesses, consumers, and competitors (Seele &amp; Schultz, 2022).</w:t>
      </w:r>
    </w:p>
    <w:p>
      <w:pPr>
        <w:pStyle w:val="Body"/>
        <w:tabs>
          <w:tab w:val="left" w:pos="1749"/>
        </w:tabs>
        <w:spacing w:line="254" w:lineRule="auto"/>
        <w:ind w:firstLine="567"/>
        <w:jc w:val="both"/>
        <w:rPr>
          <w:rFonts w:ascii="Garamond" w:cs="Garamond" w:hAnsi="Garamond" w:eastAsia="Garamond"/>
          <w:outline w:val="0"/>
          <w:color w:val="231f20"/>
          <w:sz w:val="22"/>
          <w:szCs w:val="22"/>
          <w:u w:color="231f20"/>
          <w14:textFill>
            <w14:solidFill>
              <w14:srgbClr w14:val="231F20"/>
            </w14:solidFill>
          </w14:textFill>
        </w:rPr>
      </w:pPr>
      <w:r>
        <w:rPr>
          <w:rFonts w:ascii="Garamond" w:hAnsi="Garamond"/>
          <w:outline w:val="0"/>
          <w:color w:val="231f20"/>
          <w:sz w:val="22"/>
          <w:szCs w:val="22"/>
          <w:u w:color="231f20"/>
          <w:rtl w:val="0"/>
          <w:lang w:val="en-US"/>
          <w14:textFill>
            <w14:solidFill>
              <w14:srgbClr w14:val="231F20"/>
            </w14:solidFill>
          </w14:textFill>
        </w:rPr>
        <w:t xml:space="preserve">In the banking and financial sector, greenwashing </w:t>
      </w:r>
      <w:r>
        <w:rPr>
          <w:rFonts w:ascii="Garamond" w:hAnsi="Garamond" w:hint="default"/>
          <w:outline w:val="0"/>
          <w:color w:val="231f20"/>
          <w:sz w:val="22"/>
          <w:szCs w:val="22"/>
          <w:u w:color="231f20"/>
          <w:rtl w:val="0"/>
          <w:lang w:val="en-US"/>
          <w14:textFill>
            <w14:solidFill>
              <w14:srgbClr w14:val="231F20"/>
            </w14:solidFill>
          </w14:textFill>
        </w:rPr>
        <w:t xml:space="preserve">– </w:t>
      </w:r>
      <w:r>
        <w:rPr>
          <w:rFonts w:ascii="Garamond" w:hAnsi="Garamond"/>
          <w:outline w:val="0"/>
          <w:color w:val="231f20"/>
          <w:sz w:val="22"/>
          <w:szCs w:val="22"/>
          <w:u w:color="231f20"/>
          <w:rtl w:val="0"/>
          <w:lang w:val="en-US"/>
          <w14:textFill>
            <w14:solidFill>
              <w14:srgbClr w14:val="231F20"/>
            </w14:solidFill>
          </w14:textFill>
        </w:rPr>
        <w:t xml:space="preserve">i.e., the promotion of superficial or misleading sustainability claims (de Freitas Netto et al., 2020) </w:t>
      </w:r>
      <w:r>
        <w:rPr>
          <w:rFonts w:ascii="Garamond" w:hAnsi="Garamond" w:hint="default"/>
          <w:outline w:val="0"/>
          <w:color w:val="231f20"/>
          <w:sz w:val="22"/>
          <w:szCs w:val="22"/>
          <w:u w:color="231f20"/>
          <w:rtl w:val="0"/>
          <w:lang w:val="en-US"/>
          <w14:textFill>
            <w14:solidFill>
              <w14:srgbClr w14:val="231F20"/>
            </w14:solidFill>
          </w14:textFill>
        </w:rPr>
        <w:t xml:space="preserve">– </w:t>
      </w:r>
      <w:r>
        <w:rPr>
          <w:rFonts w:ascii="Garamond" w:hAnsi="Garamond"/>
          <w:outline w:val="0"/>
          <w:color w:val="231f20"/>
          <w:sz w:val="22"/>
          <w:szCs w:val="22"/>
          <w:u w:color="231f20"/>
          <w:rtl w:val="0"/>
          <w:lang w:val="en-US"/>
          <w14:textFill>
            <w14:solidFill>
              <w14:srgbClr w14:val="231F20"/>
            </w14:solidFill>
          </w14:textFill>
        </w:rPr>
        <w:t>presents a particularly insidious risk, as it takes on multidimensional characteristics and may contribute to the systemic erosion of public trust in the sector's overall commitment to sustainability (Ghaemi Asl et al, 2025). This distorts, potentially significantly, the credibility and overall resilience of the banking market (</w:t>
      </w:r>
      <w:r>
        <w:rPr>
          <w:rFonts w:ascii="Garamond" w:hAnsi="Garamond"/>
          <w:sz w:val="22"/>
          <w:szCs w:val="22"/>
          <w:rtl w:val="0"/>
          <w:lang w:val="nl-NL"/>
        </w:rPr>
        <w:t>Neves Proen</w:t>
      </w:r>
      <w:r>
        <w:rPr>
          <w:rFonts w:ascii="Garamond" w:hAnsi="Garamond" w:hint="default"/>
          <w:sz w:val="22"/>
          <w:szCs w:val="22"/>
          <w:rtl w:val="0"/>
          <w:lang w:val="en-US"/>
        </w:rPr>
        <w:t>ç</w:t>
      </w:r>
      <w:r>
        <w:rPr>
          <w:rFonts w:ascii="Garamond" w:hAnsi="Garamond"/>
          <w:sz w:val="22"/>
          <w:szCs w:val="22"/>
          <w:rtl w:val="0"/>
        </w:rPr>
        <w:t>a</w:t>
      </w:r>
      <w:r>
        <w:rPr>
          <w:rFonts w:ascii="Garamond" w:hAnsi="Garamond"/>
          <w:outline w:val="0"/>
          <w:color w:val="231f20"/>
          <w:sz w:val="22"/>
          <w:szCs w:val="22"/>
          <w:u w:color="231f20"/>
          <w:rtl w:val="0"/>
          <w:lang w:val="en-US"/>
          <w14:textFill>
            <w14:solidFill>
              <w14:srgbClr w14:val="231F20"/>
            </w14:solidFill>
          </w14:textFill>
        </w:rPr>
        <w:t xml:space="preserve"> et al, 2025) which would require, instead, a proper allocation of resources and a high level of consumer trust. Greenwashing, instead, harms operators who genuinely invest in the ecological transition compared to those employing opportunistic communication strategies aimed at conveying an artificial image of their sustainability commitments (</w:t>
      </w:r>
      <w:r>
        <w:rPr>
          <w:rFonts w:ascii="Garamond" w:hAnsi="Garamond"/>
          <w:sz w:val="22"/>
          <w:szCs w:val="22"/>
          <w:rtl w:val="0"/>
          <w:lang w:val="de-DE"/>
        </w:rPr>
        <w:t>Senftleben, 2024)</w:t>
      </w:r>
      <w:r>
        <w:rPr>
          <w:rFonts w:ascii="Garamond" w:hAnsi="Garamond"/>
          <w:outline w:val="0"/>
          <w:color w:val="231f20"/>
          <w:sz w:val="22"/>
          <w:szCs w:val="22"/>
          <w:u w:color="231f20"/>
          <w:rtl w:val="0"/>
          <w:lang w:val="en-US"/>
          <w14:textFill>
            <w14:solidFill>
              <w14:srgbClr w14:val="231F20"/>
            </w14:solidFill>
          </w14:textFill>
        </w:rPr>
        <w:t>. Within the context of an economy increasingly focused on the internalization of environmental impacts (Eidelwein et al., 2018), the banking sector must also reformulate its operational and investment strategies according to ESG criteria (Menicucci, 2025), orienting itself towards a decarbonized, inclusive, and resilient economy that is not merely superficial, but that treats these criteria as intangible and essential assets (Lapinskait</w:t>
      </w:r>
      <w:r>
        <w:rPr>
          <w:rFonts w:ascii="Garamond" w:hAnsi="Garamond" w:hint="default"/>
          <w:outline w:val="0"/>
          <w:color w:val="231f20"/>
          <w:sz w:val="22"/>
          <w:szCs w:val="22"/>
          <w:u w:color="231f20"/>
          <w:rtl w:val="0"/>
          <w:lang w:val="en-US"/>
          <w14:textFill>
            <w14:solidFill>
              <w14:srgbClr w14:val="231F20"/>
            </w14:solidFill>
          </w14:textFill>
        </w:rPr>
        <w:t>ė</w:t>
      </w:r>
      <w:r>
        <w:rPr>
          <w:rFonts w:ascii="Garamond" w:hAnsi="Garamond"/>
          <w:outline w:val="0"/>
          <w:color w:val="231f20"/>
          <w:sz w:val="22"/>
          <w:szCs w:val="22"/>
          <w:u w:color="231f20"/>
          <w:rtl w:val="0"/>
          <w:lang w:val="en-US"/>
          <w14:textFill>
            <w14:solidFill>
              <w14:srgbClr w14:val="231F20"/>
            </w14:solidFill>
          </w14:textFill>
        </w:rPr>
        <w:t xml:space="preserve"> et al., 2025) for the proper functioning of financial markets. The urgency of this requirement is underscored by a systemic reality: the traditional axiological equation between economic development, social progress, and environmental protection has, in practice, resulted in a marked predominance of the former two dimensions over the latter (O'Hara, 2009). This has led to the progressive erosion of natural capital at an unsustainable rate, far exceeding the regenerative capacity of ecosystems (Nemetz, 2022).</w:t>
      </w:r>
    </w:p>
    <w:p>
      <w:pPr>
        <w:pStyle w:val="Body"/>
        <w:tabs>
          <w:tab w:val="left" w:pos="1749"/>
        </w:tabs>
        <w:spacing w:line="254" w:lineRule="auto"/>
        <w:ind w:firstLine="567"/>
        <w:jc w:val="both"/>
        <w:rPr>
          <w:rFonts w:ascii="Garamond" w:cs="Garamond" w:hAnsi="Garamond" w:eastAsia="Garamond"/>
          <w:outline w:val="0"/>
          <w:color w:val="231f20"/>
          <w:sz w:val="22"/>
          <w:szCs w:val="22"/>
          <w:u w:color="231f20"/>
          <w14:textFill>
            <w14:solidFill>
              <w14:srgbClr w14:val="231F20"/>
            </w14:solidFill>
          </w14:textFill>
        </w:rPr>
      </w:pPr>
      <w:r>
        <w:rPr>
          <w:rFonts w:ascii="Garamond" w:hAnsi="Garamond"/>
          <w:outline w:val="0"/>
          <w:color w:val="231f20"/>
          <w:sz w:val="22"/>
          <w:szCs w:val="22"/>
          <w:u w:color="231f20"/>
          <w:rtl w:val="0"/>
          <w:lang w:val="en-US"/>
          <w14:textFill>
            <w14:solidFill>
              <w14:srgbClr w14:val="231F20"/>
            </w14:solidFill>
          </w14:textFill>
        </w:rPr>
        <w:t xml:space="preserve">The field of sustainability and environmental protection has been the focus of numerous interventions by European Union (EU) lawmakers, aimed at significantly reducing the scope for market self-regulation, which has failed to deliver adequate results (Vigneau &amp; Adams, 2023). These structural responses, within the framework of the so-called Green Deal, aim to shift the regulatory axis from a voluntaristic paradigm to one based on stringent obligations capable of reorienting financial flows towards investments compatible with the EU's climate objectives (Bruno &amp; Lagasio, 2021). In light of these ambitious goals, lawmakers have established specific provisions "to tackle unfair commercial practices that mislead consumers and prevent them from making sustainable consumption choices," with regulations intended to combat </w:t>
      </w:r>
      <w:r>
        <w:rPr>
          <w:rFonts w:ascii="Garamond" w:hAnsi="Garamond" w:hint="default"/>
          <w:outline w:val="0"/>
          <w:color w:val="231f20"/>
          <w:sz w:val="22"/>
          <w:szCs w:val="22"/>
          <w:u w:color="231f20"/>
          <w:rtl w:val="0"/>
          <w:lang w:val="en-US"/>
          <w14:textFill>
            <w14:solidFill>
              <w14:srgbClr w14:val="231F20"/>
            </w14:solidFill>
          </w14:textFill>
        </w:rPr>
        <w:t>“</w:t>
      </w:r>
      <w:r>
        <w:rPr>
          <w:rFonts w:ascii="Garamond" w:hAnsi="Garamond"/>
          <w:outline w:val="0"/>
          <w:color w:val="231f20"/>
          <w:sz w:val="22"/>
          <w:szCs w:val="22"/>
          <w:u w:color="231f20"/>
          <w:rtl w:val="0"/>
          <w:lang w:val="en-US"/>
          <w14:textFill>
            <w14:solidFill>
              <w14:srgbClr w14:val="231F20"/>
            </w14:solidFill>
          </w14:textFill>
        </w:rPr>
        <w:t>misleading information about the social characteristics of products or traders</w:t>
      </w:r>
      <w:r>
        <w:rPr>
          <w:rFonts w:ascii="Garamond" w:hAnsi="Garamond" w:hint="default"/>
          <w:outline w:val="0"/>
          <w:color w:val="231f20"/>
          <w:sz w:val="22"/>
          <w:szCs w:val="22"/>
          <w:u w:color="231f20"/>
          <w:rtl w:val="0"/>
          <w:lang w:val="en-US"/>
          <w14:textFill>
            <w14:solidFill>
              <w14:srgbClr w14:val="231F20"/>
            </w14:solidFill>
          </w14:textFill>
        </w:rPr>
        <w:t xml:space="preserve">’ </w:t>
      </w:r>
      <w:r>
        <w:rPr>
          <w:rFonts w:ascii="Garamond" w:hAnsi="Garamond"/>
          <w:outline w:val="0"/>
          <w:color w:val="231f20"/>
          <w:sz w:val="22"/>
          <w:szCs w:val="22"/>
          <w:u w:color="231f20"/>
          <w:rtl w:val="0"/>
          <w:lang w:val="en-US"/>
          <w14:textFill>
            <w14:solidFill>
              <w14:srgbClr w14:val="231F20"/>
            </w14:solidFill>
          </w14:textFill>
        </w:rPr>
        <w:t>businesses, or non-transparent and non-credible sustainability labels" (Directive 2024/825). The European legislator pursues a dual objective: on one hand, to protect the average consumer from manipulative practices that can unduly influence purchasing decisions (Leblebici Kocer et al., 2023); on the other, to ensure fair competition among businesses (Agarwal, 2021), discouraging the instrumental use of sustainability as a marketing lever without real substance.</w:t>
      </w:r>
    </w:p>
    <w:p>
      <w:pPr>
        <w:pStyle w:val="Body"/>
        <w:tabs>
          <w:tab w:val="left" w:pos="1749"/>
        </w:tabs>
        <w:spacing w:line="254" w:lineRule="auto"/>
        <w:ind w:firstLine="567"/>
        <w:jc w:val="both"/>
        <w:rPr>
          <w:rFonts w:ascii="Garamond" w:cs="Garamond" w:hAnsi="Garamond" w:eastAsia="Garamond"/>
          <w:outline w:val="0"/>
          <w:color w:val="231f20"/>
          <w:sz w:val="22"/>
          <w:szCs w:val="22"/>
          <w:u w:color="231f20"/>
          <w14:textFill>
            <w14:solidFill>
              <w14:srgbClr w14:val="231F20"/>
            </w14:solidFill>
          </w14:textFill>
        </w:rPr>
      </w:pPr>
      <w:r>
        <w:rPr>
          <w:rFonts w:ascii="Garamond" w:hAnsi="Garamond"/>
          <w:outline w:val="0"/>
          <w:color w:val="231f20"/>
          <w:sz w:val="22"/>
          <w:szCs w:val="22"/>
          <w:u w:color="231f20"/>
          <w:rtl w:val="0"/>
          <w:lang w:val="en-US"/>
          <w14:textFill>
            <w14:solidFill>
              <w14:srgbClr w14:val="231F20"/>
            </w14:solidFill>
          </w14:textFill>
        </w:rPr>
        <w:t>In light of this regulatory framework, this paper aims to assess, through textual and semantic analysis facilitated by cutting-edge linguistic models, whether the most recent non-financial statements publicly available and produced by major European banking groups contain formulations that could potentially be categorized as misleading according to the EU legislative standards. The analysis is based on the premise that if environmental communication is to comply with transparency, truthfulness, and verifiability criteria (Dathe et al., 2024), such compliance cannot be deemed satisfied if non-financial statements merely set out future goals or commitments. Such goals would be indefinitely deferred and lack concrete, measurable, and current elements that would allow for an objective assessment. Without these factual prerequisites, the risk is that such assertive statements may mislead the recipient regarding the actual environmental sustainability of the economic operator, potentially constituting, at least abstractly, a misleading informational practice under European law on greenwashing and environmental sustainability.</w:t>
      </w:r>
    </w:p>
    <w:p>
      <w:pPr>
        <w:pStyle w:val="Body"/>
        <w:tabs>
          <w:tab w:val="left" w:pos="1749"/>
        </w:tabs>
        <w:spacing w:line="254" w:lineRule="auto"/>
        <w:ind w:firstLine="567"/>
        <w:jc w:val="both"/>
        <w:rPr>
          <w:rFonts w:ascii="Garamond" w:cs="Garamond" w:hAnsi="Garamond" w:eastAsia="Garamond"/>
          <w:outline w:val="0"/>
          <w:color w:val="231f20"/>
          <w:sz w:val="22"/>
          <w:szCs w:val="22"/>
          <w:u w:color="231f20"/>
          <w14:textFill>
            <w14:solidFill>
              <w14:srgbClr w14:val="231F20"/>
            </w14:solidFill>
          </w14:textFill>
        </w:rPr>
      </w:pPr>
      <w:r>
        <w:rPr>
          <w:rFonts w:ascii="Garamond" w:hAnsi="Garamond"/>
          <w:outline w:val="0"/>
          <w:color w:val="231f20"/>
          <w:sz w:val="22"/>
          <w:szCs w:val="22"/>
          <w:u w:color="231f20"/>
          <w:rtl w:val="0"/>
          <w:lang w:val="en-US"/>
          <w14:textFill>
            <w14:solidFill>
              <w14:srgbClr w14:val="231F20"/>
            </w14:solidFill>
          </w14:textFill>
        </w:rPr>
        <w:t xml:space="preserve">As this paper will show, empirical results highlight a widespread tendency to use expression patterns characterized by high semantic vagueness. These include the recurrent use of generic formulations, assertive statements not supported by documentary evidence, and unspecified or extended timeframes, with a rhetoric that takes the form of principled declarations that are difficult to reconcile with the transparency requirements set out by European legislation on financial reporting. The deadlines for adapting environmental statements have not yet expired, as Directive 2024/825 is expected to enter into force by September 27, 2026. Therefore, there is still time for banking institutions to review the quality of the information provided on sustainability. At the same time, given that these algorithmic tools can be employed both by companies </w:t>
      </w:r>
      <w:r>
        <w:rPr>
          <w:rFonts w:ascii="Garamond" w:hAnsi="Garamond" w:hint="default"/>
          <w:outline w:val="0"/>
          <w:color w:val="231f20"/>
          <w:sz w:val="22"/>
          <w:szCs w:val="22"/>
          <w:u w:color="231f20"/>
          <w:rtl w:val="0"/>
          <w:lang w:val="en-US"/>
          <w14:textFill>
            <w14:solidFill>
              <w14:srgbClr w14:val="231F20"/>
            </w14:solidFill>
          </w14:textFill>
        </w:rPr>
        <w:t xml:space="preserve">– </w:t>
      </w:r>
      <w:r>
        <w:rPr>
          <w:rFonts w:ascii="Garamond" w:hAnsi="Garamond"/>
          <w:i w:val="1"/>
          <w:iCs w:val="1"/>
          <w:outline w:val="0"/>
          <w:color w:val="231f20"/>
          <w:sz w:val="22"/>
          <w:szCs w:val="22"/>
          <w:u w:color="231f20"/>
          <w:rtl w:val="0"/>
          <w:lang w:val="es-ES_tradnl"/>
          <w14:textFill>
            <w14:solidFill>
              <w14:srgbClr w14:val="231F20"/>
            </w14:solidFill>
          </w14:textFill>
        </w:rPr>
        <w:t>ex ante</w:t>
      </w:r>
      <w:r>
        <w:rPr>
          <w:rFonts w:ascii="Garamond" w:hAnsi="Garamond"/>
          <w:outline w:val="0"/>
          <w:color w:val="231f20"/>
          <w:sz w:val="22"/>
          <w:szCs w:val="22"/>
          <w:u w:color="231f20"/>
          <w:rtl w:val="0"/>
          <w:lang w:val="en-US"/>
          <w14:textFill>
            <w14:solidFill>
              <w14:srgbClr w14:val="231F20"/>
            </w14:solidFill>
          </w14:textFill>
        </w:rPr>
        <w:t>, for greater compliance</w:t>
      </w:r>
      <w:r>
        <w:rPr>
          <w:rFonts w:ascii="Garamond" w:hAnsi="Garamond" w:hint="default"/>
          <w:outline w:val="0"/>
          <w:color w:val="231f20"/>
          <w:sz w:val="22"/>
          <w:szCs w:val="22"/>
          <w:u w:color="231f20"/>
          <w:rtl w:val="0"/>
          <w:lang w:val="en-US"/>
          <w14:textFill>
            <w14:solidFill>
              <w14:srgbClr w14:val="231F20"/>
            </w14:solidFill>
          </w14:textFill>
        </w:rPr>
        <w:t xml:space="preserve"> – </w:t>
      </w:r>
      <w:r>
        <w:rPr>
          <w:rFonts w:ascii="Garamond" w:hAnsi="Garamond"/>
          <w:outline w:val="0"/>
          <w:color w:val="231f20"/>
          <w:sz w:val="22"/>
          <w:szCs w:val="22"/>
          <w:u w:color="231f20"/>
          <w:rtl w:val="0"/>
          <w:lang w:val="en-US"/>
          <w14:textFill>
            <w14:solidFill>
              <w14:srgbClr w14:val="231F20"/>
            </w14:solidFill>
          </w14:textFill>
        </w:rPr>
        <w:t>and by regulators</w:t>
      </w:r>
      <w:r>
        <w:rPr>
          <w:rFonts w:ascii="Garamond" w:hAnsi="Garamond" w:hint="default"/>
          <w:outline w:val="0"/>
          <w:color w:val="231f20"/>
          <w:sz w:val="22"/>
          <w:szCs w:val="22"/>
          <w:u w:color="231f20"/>
          <w:rtl w:val="0"/>
          <w:lang w:val="en-US"/>
          <w14:textFill>
            <w14:solidFill>
              <w14:srgbClr w14:val="231F20"/>
            </w14:solidFill>
          </w14:textFill>
        </w:rPr>
        <w:t xml:space="preserve"> – </w:t>
      </w:r>
      <w:r>
        <w:rPr>
          <w:rFonts w:ascii="Garamond" w:hAnsi="Garamond"/>
          <w:i w:val="1"/>
          <w:iCs w:val="1"/>
          <w:outline w:val="0"/>
          <w:color w:val="231f20"/>
          <w:sz w:val="22"/>
          <w:szCs w:val="22"/>
          <w:u w:color="231f20"/>
          <w:rtl w:val="0"/>
          <w:lang w:val="fr-FR"/>
          <w14:textFill>
            <w14:solidFill>
              <w14:srgbClr w14:val="231F20"/>
            </w14:solidFill>
          </w14:textFill>
        </w:rPr>
        <w:t>ex post</w:t>
      </w:r>
      <w:r>
        <w:rPr>
          <w:rFonts w:ascii="Garamond" w:hAnsi="Garamond"/>
          <w:outline w:val="0"/>
          <w:color w:val="231f20"/>
          <w:sz w:val="22"/>
          <w:szCs w:val="22"/>
          <w:u w:color="231f20"/>
          <w:rtl w:val="0"/>
          <w:lang w:val="en-US"/>
          <w14:textFill>
            <w14:solidFill>
              <w14:srgbClr w14:val="231F20"/>
            </w14:solidFill>
          </w14:textFill>
        </w:rPr>
        <w:t>, to identify incorrect practices and impose sanctions</w:t>
      </w:r>
      <w:r>
        <w:rPr>
          <w:rFonts w:ascii="Garamond" w:hAnsi="Garamond" w:hint="default"/>
          <w:outline w:val="0"/>
          <w:color w:val="231f20"/>
          <w:sz w:val="22"/>
          <w:szCs w:val="22"/>
          <w:u w:color="231f20"/>
          <w:rtl w:val="0"/>
          <w:lang w:val="en-US"/>
          <w14:textFill>
            <w14:solidFill>
              <w14:srgbClr w14:val="231F20"/>
            </w14:solidFill>
          </w14:textFill>
        </w:rPr>
        <w:t xml:space="preserve"> – </w:t>
      </w:r>
      <w:r>
        <w:rPr>
          <w:rFonts w:ascii="Garamond" w:hAnsi="Garamond"/>
          <w:outline w:val="0"/>
          <w:color w:val="231f20"/>
          <w:sz w:val="22"/>
          <w:szCs w:val="22"/>
          <w:u w:color="231f20"/>
          <w:rtl w:val="0"/>
          <w:lang w:val="en-US"/>
          <w14:textFill>
            <w14:solidFill>
              <w14:srgbClr w14:val="231F20"/>
            </w14:solidFill>
          </w14:textFill>
        </w:rPr>
        <w:t>this paper argues that the use of natural language processing algorithms and, more generally, technology-based tools could play a pivotal role in restoring and enhancing communication transparency in the realm of ESG. In a complex legal analysis context, such tools could provide significant support for regulatory and oversight authorities</w:t>
      </w:r>
      <w:r>
        <w:rPr>
          <w:rFonts w:ascii="Garamond" w:hAnsi="Garamond" w:hint="default"/>
          <w:outline w:val="0"/>
          <w:color w:val="231f20"/>
          <w:sz w:val="22"/>
          <w:szCs w:val="22"/>
          <w:u w:color="231f20"/>
          <w:rtl w:val="0"/>
          <w:lang w:val="en-US"/>
          <w14:textFill>
            <w14:solidFill>
              <w14:srgbClr w14:val="231F20"/>
            </w14:solidFill>
          </w14:textFill>
        </w:rPr>
        <w:t xml:space="preserve"> – </w:t>
      </w:r>
      <w:r>
        <w:rPr>
          <w:rFonts w:ascii="Garamond" w:hAnsi="Garamond"/>
          <w:outline w:val="0"/>
          <w:color w:val="231f20"/>
          <w:sz w:val="22"/>
          <w:szCs w:val="22"/>
          <w:u w:color="231f20"/>
          <w:rtl w:val="0"/>
          <w:lang w:val="en-US"/>
          <w14:textFill>
            <w14:solidFill>
              <w14:srgbClr w14:val="231F20"/>
            </w14:solidFill>
          </w14:textFill>
        </w:rPr>
        <w:t xml:space="preserve">creating new standardized compliance policies </w:t>
      </w:r>
      <w:r>
        <w:rPr>
          <w:rFonts w:ascii="Garamond" w:hAnsi="Garamond" w:hint="default"/>
          <w:outline w:val="0"/>
          <w:color w:val="231f20"/>
          <w:sz w:val="22"/>
          <w:szCs w:val="22"/>
          <w:u w:color="231f20"/>
          <w:rtl w:val="0"/>
          <w:lang w:val="en-US"/>
          <w14:textFill>
            <w14:solidFill>
              <w14:srgbClr w14:val="231F20"/>
            </w14:solidFill>
          </w14:textFill>
        </w:rPr>
        <w:t xml:space="preserve">– </w:t>
      </w:r>
      <w:r>
        <w:rPr>
          <w:rFonts w:ascii="Garamond" w:hAnsi="Garamond"/>
          <w:outline w:val="0"/>
          <w:color w:val="231f20"/>
          <w:sz w:val="22"/>
          <w:szCs w:val="22"/>
          <w:u w:color="231f20"/>
          <w:rtl w:val="0"/>
          <w:lang w:val="en-US"/>
          <w14:textFill>
            <w14:solidFill>
              <w14:srgbClr w14:val="231F20"/>
            </w14:solidFill>
          </w14:textFill>
        </w:rPr>
        <w:t>in verifying any discrepancies between the content of non-financial statements and the normative criteria derived from EU law. Beyond their diagnostic function, artificial intelligence could assume a proactive role in the process of standardization and improvement of communication practices, helping to identify recurring patterns of potentially misleading communication, bridging the gap between regulatory expectations and the discursive practices adopted in the banking sector, which plays a central role in channeling financial flows towards sustainable economic activities in the long term.</w:t>
      </w:r>
    </w:p>
    <w:p>
      <w:pPr>
        <w:pStyle w:val="Body"/>
        <w:tabs>
          <w:tab w:val="left" w:pos="1749"/>
        </w:tabs>
        <w:spacing w:line="254" w:lineRule="auto"/>
        <w:jc w:val="both"/>
        <w:rPr>
          <w:rFonts w:ascii="Garamond" w:cs="Garamond" w:hAnsi="Garamond" w:eastAsia="Garamond"/>
          <w:outline w:val="0"/>
          <w:color w:val="231f20"/>
          <w:sz w:val="22"/>
          <w:szCs w:val="22"/>
          <w:u w:color="231f20"/>
          <w14:textFill>
            <w14:solidFill>
              <w14:srgbClr w14:val="231F20"/>
            </w14:solidFill>
          </w14:textFill>
        </w:rPr>
      </w:pPr>
      <w:r>
        <w:rPr>
          <w:rFonts w:ascii="Garamond" w:cs="Garamond" w:hAnsi="Garamond" w:eastAsia="Garamond"/>
          <w:outline w:val="0"/>
          <w:color w:val="231f20"/>
          <w:sz w:val="22"/>
          <w:szCs w:val="22"/>
          <w:u w:color="231f20"/>
          <w14:textFill>
            <w14:solidFill>
              <w14:srgbClr w14:val="231F20"/>
            </w14:solidFill>
          </w14:textFill>
        </w:rPr>
        <mc:AlternateContent>
          <mc:Choice Requires="wps">
            <w:drawing xmlns:a="http://schemas.openxmlformats.org/drawingml/2006/main">
              <wp:inline distT="0" distB="0" distL="0" distR="0">
                <wp:extent cx="4867148" cy="10400"/>
                <wp:effectExtent l="0" t="0" r="0" b="0"/>
                <wp:docPr id="1073741825" name="officeArt object" descr="Rectangle"/>
                <wp:cNvGraphicFramePr/>
                <a:graphic xmlns:a="http://schemas.openxmlformats.org/drawingml/2006/main">
                  <a:graphicData uri="http://schemas.microsoft.com/office/word/2010/wordprocessingShape">
                    <wps:wsp>
                      <wps:cNvSpPr/>
                      <wps:spPr>
                        <a:xfrm>
                          <a:off x="0" y="0"/>
                          <a:ext cx="4867148" cy="10400"/>
                        </a:xfrm>
                        <a:prstGeom prst="rect">
                          <a:avLst/>
                        </a:prstGeom>
                        <a:solidFill>
                          <a:srgbClr val="A0A0A0"/>
                        </a:solidFill>
                        <a:ln w="12700" cap="flat">
                          <a:noFill/>
                          <a:miter lim="400000"/>
                        </a:ln>
                        <a:effectLst/>
                      </wps:spPr>
                      <wps:bodyPr/>
                    </wps:wsp>
                  </a:graphicData>
                </a:graphic>
              </wp:inline>
            </w:drawing>
          </mc:Choice>
          <mc:Fallback>
            <w:pict>
              <v:rect id="_x0000_s1026" style="visibility:visible;width:383.2pt;height:0.8pt;">
                <v:fill color="#A0A0A0" opacity="100.0%" type="solid"/>
                <v:stroke on="f" weight="1.0pt" dashstyle="solid" endcap="flat" miterlimit="400.0%" joinstyle="miter" linestyle="single" startarrow="none" startarrowwidth="medium" startarrowlength="medium" endarrow="none" endarrowwidth="medium" endarrowlength="medium"/>
              </v:rect>
            </w:pict>
          </mc:Fallback>
        </mc:AlternateContent>
      </w:r>
    </w:p>
    <w:p>
      <w:pPr>
        <w:pStyle w:val="Body"/>
        <w:tabs>
          <w:tab w:val="left" w:pos="1749"/>
        </w:tabs>
        <w:spacing w:line="254" w:lineRule="auto"/>
        <w:jc w:val="both"/>
        <w:rPr>
          <w:rFonts w:ascii="Garamond" w:cs="Garamond" w:hAnsi="Garamond" w:eastAsia="Garamond"/>
          <w:outline w:val="0"/>
          <w:color w:val="231f20"/>
          <w:sz w:val="22"/>
          <w:szCs w:val="22"/>
          <w:u w:color="231f20"/>
          <w14:textFill>
            <w14:solidFill>
              <w14:srgbClr w14:val="231F20"/>
            </w14:solidFill>
          </w14:textFill>
        </w:rPr>
      </w:pPr>
    </w:p>
    <w:p>
      <w:pPr>
        <w:pStyle w:val="Body"/>
        <w:tabs>
          <w:tab w:val="left" w:pos="1749"/>
        </w:tabs>
        <w:spacing w:line="254" w:lineRule="auto"/>
        <w:jc w:val="both"/>
        <w:outlineLvl w:val="0"/>
        <w:rPr>
          <w:rFonts w:ascii="Garamond" w:cs="Garamond" w:hAnsi="Garamond" w:eastAsia="Garamond"/>
          <w:b w:val="1"/>
          <w:bCs w:val="1"/>
          <w:outline w:val="0"/>
          <w:color w:val="231f20"/>
          <w:sz w:val="22"/>
          <w:szCs w:val="22"/>
          <w:u w:color="231f20"/>
          <w14:textFill>
            <w14:solidFill>
              <w14:srgbClr w14:val="231F20"/>
            </w14:solidFill>
          </w14:textFill>
        </w:rPr>
      </w:pPr>
      <w:r>
        <w:rPr>
          <w:rFonts w:ascii="Garamond" w:hAnsi="Garamond"/>
          <w:b w:val="1"/>
          <w:bCs w:val="1"/>
          <w:outline w:val="0"/>
          <w:color w:val="231f20"/>
          <w:sz w:val="22"/>
          <w:szCs w:val="22"/>
          <w:u w:color="231f20"/>
          <w:rtl w:val="0"/>
          <w:lang w:val="en-US"/>
          <w14:textFill>
            <w14:solidFill>
              <w14:srgbClr w14:val="231F20"/>
            </w14:solidFill>
          </w14:textFill>
        </w:rPr>
        <w:t>2. The European Regulatory Framework on Sustainability: Transparency, Verifiability, and the Fight Against Greenwashing</w:t>
      </w:r>
    </w:p>
    <w:p>
      <w:pPr>
        <w:pStyle w:val="Body"/>
        <w:tabs>
          <w:tab w:val="left" w:pos="1749"/>
        </w:tabs>
        <w:spacing w:line="254" w:lineRule="auto"/>
        <w:jc w:val="both"/>
        <w:rPr>
          <w:rFonts w:ascii="Garamond" w:cs="Garamond" w:hAnsi="Garamond" w:eastAsia="Garamond"/>
          <w:outline w:val="0"/>
          <w:color w:val="231f20"/>
          <w:sz w:val="22"/>
          <w:szCs w:val="22"/>
          <w:u w:color="231f20"/>
          <w14:textFill>
            <w14:solidFill>
              <w14:srgbClr w14:val="231F20"/>
            </w14:solidFill>
          </w14:textFill>
        </w:rPr>
      </w:pPr>
    </w:p>
    <w:p>
      <w:pPr>
        <w:pStyle w:val="Body"/>
        <w:tabs>
          <w:tab w:val="left" w:pos="1749"/>
        </w:tabs>
        <w:spacing w:line="254" w:lineRule="auto"/>
        <w:ind w:firstLine="567"/>
        <w:jc w:val="both"/>
        <w:rPr>
          <w:rFonts w:ascii="Garamond" w:cs="Garamond" w:hAnsi="Garamond" w:eastAsia="Garamond"/>
          <w:outline w:val="0"/>
          <w:color w:val="231f20"/>
          <w:sz w:val="22"/>
          <w:szCs w:val="22"/>
          <w:u w:color="231f20"/>
          <w14:textFill>
            <w14:solidFill>
              <w14:srgbClr w14:val="231F20"/>
            </w14:solidFill>
          </w14:textFill>
        </w:rPr>
      </w:pPr>
      <w:r>
        <w:rPr>
          <w:rFonts w:ascii="Garamond" w:hAnsi="Garamond"/>
          <w:outline w:val="0"/>
          <w:color w:val="231f20"/>
          <w:sz w:val="22"/>
          <w:szCs w:val="22"/>
          <w:u w:color="231f20"/>
          <w:rtl w:val="0"/>
          <w:lang w:val="en-US"/>
          <w14:textFill>
            <w14:solidFill>
              <w14:srgbClr w14:val="231F20"/>
            </w14:solidFill>
          </w14:textFill>
        </w:rPr>
        <w:t xml:space="preserve">From a regulatory perspective, the first impulses towards sustainability practices emerged in the late 1990s, with the Brundtland Report (also known as </w:t>
      </w:r>
      <w:r>
        <w:rPr>
          <w:rFonts w:ascii="Garamond" w:hAnsi="Garamond" w:hint="default"/>
          <w:outline w:val="0"/>
          <w:color w:val="231f20"/>
          <w:sz w:val="22"/>
          <w:szCs w:val="22"/>
          <w:u w:color="231f20"/>
          <w:rtl w:val="0"/>
          <w:lang w:val="en-US"/>
          <w14:textFill>
            <w14:solidFill>
              <w14:srgbClr w14:val="231F20"/>
            </w14:solidFill>
          </w14:textFill>
        </w:rPr>
        <w:t>“</w:t>
      </w:r>
      <w:r>
        <w:rPr>
          <w:rFonts w:ascii="Garamond" w:hAnsi="Garamond"/>
          <w:outline w:val="0"/>
          <w:color w:val="231f20"/>
          <w:sz w:val="22"/>
          <w:szCs w:val="22"/>
          <w:u w:color="231f20"/>
          <w:rtl w:val="0"/>
          <w14:textFill>
            <w14:solidFill>
              <w14:srgbClr w14:val="231F20"/>
            </w14:solidFill>
          </w14:textFill>
        </w:rPr>
        <w:t>Our Common Future</w:t>
      </w:r>
      <w:r>
        <w:rPr>
          <w:rFonts w:ascii="Garamond" w:hAnsi="Garamond" w:hint="default"/>
          <w:outline w:val="0"/>
          <w:color w:val="231f20"/>
          <w:sz w:val="22"/>
          <w:szCs w:val="22"/>
          <w:u w:color="231f20"/>
          <w:rtl w:val="0"/>
          <w:lang w:val="en-US"/>
          <w14:textFill>
            <w14:solidFill>
              <w14:srgbClr w14:val="231F20"/>
            </w14:solidFill>
          </w14:textFill>
        </w:rPr>
        <w:t>”</w:t>
      </w:r>
      <w:r>
        <w:rPr>
          <w:rFonts w:ascii="Garamond" w:hAnsi="Garamond"/>
          <w:outline w:val="0"/>
          <w:color w:val="231f20"/>
          <w:sz w:val="22"/>
          <w:szCs w:val="22"/>
          <w:u w:color="231f20"/>
          <w:rtl w:val="0"/>
          <w:lang w:val="en-US"/>
          <w14:textFill>
            <w14:solidFill>
              <w14:srgbClr w14:val="231F20"/>
            </w14:solidFill>
          </w14:textFill>
        </w:rPr>
        <w:t>) from the World Commission on Environment and Development, which enshrined the necessity to meet present needs without compromising the ability of future generations to meet their own needs (Del Sarto, 2025). Over time, this evolved into a broad concept of ESG balance and durability (Cl</w:t>
      </w:r>
      <w:r>
        <w:rPr>
          <w:rFonts w:ascii="Garamond" w:hAnsi="Garamond" w:hint="default"/>
          <w:outline w:val="0"/>
          <w:color w:val="231f20"/>
          <w:sz w:val="22"/>
          <w:szCs w:val="22"/>
          <w:u w:color="231f20"/>
          <w:rtl w:val="0"/>
          <w:lang w:val="en-US"/>
          <w14:textFill>
            <w14:solidFill>
              <w14:srgbClr w14:val="231F20"/>
            </w14:solidFill>
          </w14:textFill>
        </w:rPr>
        <w:t>é</w:t>
      </w:r>
      <w:r>
        <w:rPr>
          <w:rFonts w:ascii="Garamond" w:hAnsi="Garamond"/>
          <w:outline w:val="0"/>
          <w:color w:val="231f20"/>
          <w:sz w:val="22"/>
          <w:szCs w:val="22"/>
          <w:u w:color="231f20"/>
          <w:rtl w:val="0"/>
          <w:lang w:val="en-US"/>
          <w14:textFill>
            <w14:solidFill>
              <w14:srgbClr w14:val="231F20"/>
            </w14:solidFill>
          </w14:textFill>
        </w:rPr>
        <w:t>ment et al., 2022), applicable to both private and public actors with decision-making roles. This concept eventually converged into initiatives aimed at combating climate change</w:t>
      </w:r>
      <w:r>
        <w:rPr>
          <w:rFonts w:ascii="Garamond" w:hAnsi="Garamond" w:hint="default"/>
          <w:outline w:val="0"/>
          <w:color w:val="231f20"/>
          <w:sz w:val="22"/>
          <w:szCs w:val="22"/>
          <w:u w:color="231f20"/>
          <w:rtl w:val="0"/>
          <w:lang w:val="en-US"/>
          <w14:textFill>
            <w14:solidFill>
              <w14:srgbClr w14:val="231F20"/>
            </w14:solidFill>
          </w14:textFill>
        </w:rPr>
        <w:t xml:space="preserve"> – </w:t>
      </w:r>
      <w:r>
        <w:rPr>
          <w:rFonts w:ascii="Garamond" w:hAnsi="Garamond"/>
          <w:outline w:val="0"/>
          <w:color w:val="231f20"/>
          <w:sz w:val="22"/>
          <w:szCs w:val="22"/>
          <w:u w:color="231f20"/>
          <w:rtl w:val="0"/>
          <w:lang w:val="en-US"/>
          <w14:textFill>
            <w14:solidFill>
              <w14:srgbClr w14:val="231F20"/>
            </w14:solidFill>
          </w14:textFill>
        </w:rPr>
        <w:t>such as the Paris Agreement, the UN 2030 Agenda, and subsequently the European Green Deal</w:t>
      </w:r>
      <w:r>
        <w:rPr>
          <w:rFonts w:ascii="Garamond" w:hAnsi="Garamond" w:hint="default"/>
          <w:outline w:val="0"/>
          <w:color w:val="231f20"/>
          <w:sz w:val="22"/>
          <w:szCs w:val="22"/>
          <w:u w:color="231f20"/>
          <w:rtl w:val="0"/>
          <w:lang w:val="en-US"/>
          <w14:textFill>
            <w14:solidFill>
              <w14:srgbClr w14:val="231F20"/>
            </w14:solidFill>
          </w14:textFill>
        </w:rPr>
        <w:t xml:space="preserve"> – </w:t>
      </w:r>
      <w:r>
        <w:rPr>
          <w:rFonts w:ascii="Garamond" w:hAnsi="Garamond"/>
          <w:outline w:val="0"/>
          <w:color w:val="231f20"/>
          <w:sz w:val="22"/>
          <w:szCs w:val="22"/>
          <w:u w:color="231f20"/>
          <w:rtl w:val="0"/>
          <w:lang w:val="en-US"/>
          <w14:textFill>
            <w14:solidFill>
              <w14:srgbClr w14:val="231F20"/>
            </w14:solidFill>
          </w14:textFill>
        </w:rPr>
        <w:t xml:space="preserve">along with the improvement of the green transition. These initiatives emphasize greater inclusivity (Almeida et al., 2023), territorial cohesion (Sielker et al., 2021), and improvements across environmental, economic, institutional, political, and social spheres (Adamowicz, 2022). The European legislator has imposed transparency and disclosure obligations on all products with sustainable investment objectives or those promoting environmental and social characteristics, particularly through Regulation 2019/2088 and Regulation 2020/852, to be discussed </w:t>
      </w:r>
      <w:r>
        <w:rPr>
          <w:rFonts w:ascii="Garamond" w:hAnsi="Garamond"/>
          <w:i w:val="1"/>
          <w:iCs w:val="1"/>
          <w:outline w:val="0"/>
          <w:color w:val="231f20"/>
          <w:sz w:val="22"/>
          <w:szCs w:val="22"/>
          <w:u w:color="231f20"/>
          <w:rtl w:val="0"/>
          <w14:textFill>
            <w14:solidFill>
              <w14:srgbClr w14:val="231F20"/>
            </w14:solidFill>
          </w14:textFill>
        </w:rPr>
        <w:t>infra</w:t>
      </w:r>
      <w:r>
        <w:rPr>
          <w:rFonts w:ascii="Garamond" w:hAnsi="Garamond"/>
          <w:outline w:val="0"/>
          <w:color w:val="231f20"/>
          <w:sz w:val="22"/>
          <w:szCs w:val="22"/>
          <w:u w:color="231f20"/>
          <w:rtl w:val="0"/>
          <w14:textFill>
            <w14:solidFill>
              <w14:srgbClr w14:val="231F20"/>
            </w14:solidFill>
          </w14:textFill>
        </w:rPr>
        <w:t>.</w:t>
      </w:r>
    </w:p>
    <w:p>
      <w:pPr>
        <w:pStyle w:val="Body"/>
        <w:tabs>
          <w:tab w:val="left" w:pos="1749"/>
        </w:tabs>
        <w:spacing w:line="254" w:lineRule="auto"/>
        <w:ind w:firstLine="567"/>
        <w:jc w:val="both"/>
        <w:rPr>
          <w:rFonts w:ascii="Garamond" w:cs="Garamond" w:hAnsi="Garamond" w:eastAsia="Garamond"/>
          <w:outline w:val="0"/>
          <w:color w:val="231f20"/>
          <w:sz w:val="22"/>
          <w:szCs w:val="22"/>
          <w:u w:color="231f20"/>
          <w14:textFill>
            <w14:solidFill>
              <w14:srgbClr w14:val="231F20"/>
            </w14:solidFill>
          </w14:textFill>
        </w:rPr>
      </w:pPr>
      <w:r>
        <w:rPr>
          <w:rFonts w:ascii="Garamond" w:hAnsi="Garamond"/>
          <w:outline w:val="0"/>
          <w:color w:val="231f20"/>
          <w:sz w:val="22"/>
          <w:szCs w:val="22"/>
          <w:u w:color="231f20"/>
          <w:rtl w:val="0"/>
          <w:lang w:val="en-US"/>
          <w14:textFill>
            <w14:solidFill>
              <w14:srgbClr w14:val="231F20"/>
            </w14:solidFill>
          </w14:textFill>
        </w:rPr>
        <w:t xml:space="preserve">The Sustainability Disclosure Regulation </w:t>
      </w:r>
      <w:r>
        <w:rPr>
          <w:rFonts w:ascii="Garamond" w:hAnsi="Garamond" w:hint="default"/>
          <w:outline w:val="0"/>
          <w:color w:val="231f20"/>
          <w:sz w:val="22"/>
          <w:szCs w:val="22"/>
          <w:u w:color="231f20"/>
          <w:rtl w:val="0"/>
          <w:lang w:val="en-US"/>
          <w14:textFill>
            <w14:solidFill>
              <w14:srgbClr w14:val="231F20"/>
            </w14:solidFill>
          </w14:textFill>
        </w:rPr>
        <w:t xml:space="preserve">– </w:t>
      </w:r>
      <w:r>
        <w:rPr>
          <w:rFonts w:ascii="Garamond" w:hAnsi="Garamond"/>
          <w:outline w:val="0"/>
          <w:color w:val="231f20"/>
          <w:sz w:val="22"/>
          <w:szCs w:val="22"/>
          <w:u w:color="231f20"/>
          <w:rtl w:val="0"/>
          <w:lang w:val="en-US"/>
          <w14:textFill>
            <w14:solidFill>
              <w14:srgbClr w14:val="231F20"/>
            </w14:solidFill>
          </w14:textFill>
        </w:rPr>
        <w:t xml:space="preserve">i.e., Regulation 2019/2088 </w:t>
      </w:r>
      <w:r>
        <w:rPr>
          <w:rFonts w:ascii="Garamond" w:hAnsi="Garamond" w:hint="default"/>
          <w:outline w:val="0"/>
          <w:color w:val="231f20"/>
          <w:sz w:val="22"/>
          <w:szCs w:val="22"/>
          <w:u w:color="231f20"/>
          <w:rtl w:val="0"/>
          <w:lang w:val="en-US"/>
          <w14:textFill>
            <w14:solidFill>
              <w14:srgbClr w14:val="231F20"/>
            </w14:solidFill>
          </w14:textFill>
        </w:rPr>
        <w:t xml:space="preserve">– </w:t>
      </w:r>
      <w:r>
        <w:rPr>
          <w:rFonts w:ascii="Garamond" w:hAnsi="Garamond"/>
          <w:outline w:val="0"/>
          <w:color w:val="231f20"/>
          <w:sz w:val="22"/>
          <w:szCs w:val="22"/>
          <w:u w:color="231f20"/>
          <w:rtl w:val="0"/>
          <w:lang w:val="en-US"/>
          <w14:textFill>
            <w14:solidFill>
              <w14:srgbClr w14:val="231F20"/>
            </w14:solidFill>
          </w14:textFill>
        </w:rPr>
        <w:t xml:space="preserve">clarifies in Article 2, point 17, that a sustainable investment is one that </w:t>
      </w:r>
      <w:r>
        <w:rPr>
          <w:rFonts w:ascii="Garamond" w:hAnsi="Garamond" w:hint="default"/>
          <w:outline w:val="0"/>
          <w:color w:val="231f20"/>
          <w:sz w:val="22"/>
          <w:szCs w:val="22"/>
          <w:u w:color="231f20"/>
          <w:rtl w:val="0"/>
          <w:lang w:val="en-US"/>
          <w14:textFill>
            <w14:solidFill>
              <w14:srgbClr w14:val="231F20"/>
            </w14:solidFill>
          </w14:textFill>
        </w:rPr>
        <w:t>“</w:t>
      </w:r>
      <w:r>
        <w:rPr>
          <w:rFonts w:ascii="Garamond" w:hAnsi="Garamond"/>
          <w:outline w:val="0"/>
          <w:color w:val="231f20"/>
          <w:sz w:val="22"/>
          <w:szCs w:val="22"/>
          <w:u w:color="231f20"/>
          <w:rtl w:val="0"/>
          <w:lang w:val="en-US"/>
          <w14:textFill>
            <w14:solidFill>
              <w14:srgbClr w14:val="231F20"/>
            </w14:solidFill>
          </w14:textFill>
        </w:rPr>
        <w:t>contributes to an environmental objective, as measured, for example, by key resource efficiency indicators on the use of energy, renewable energy, raw materials, water and land, on the production of waste, and greenhouse gas emissions, or on its impact on biodiversity and the circular economy, or an investment in an economic activity that contributes to a social objective, in particular an investment that contributes to tackling inequality or that fosters social cohesion, social integration and labor relations, or an investment in human capital or economically or socially disadvantaged communities, provided that such investments do not significantly harm any of those objectives and that the investee companies follow good governance practices, in particular with respect to sound management structures, employee relations, remuneration of staff and tax compliance.</w:t>
      </w:r>
      <w:r>
        <w:rPr>
          <w:rFonts w:ascii="Garamond" w:hAnsi="Garamond" w:hint="default"/>
          <w:outline w:val="0"/>
          <w:color w:val="231f20"/>
          <w:sz w:val="22"/>
          <w:szCs w:val="22"/>
          <w:u w:color="231f20"/>
          <w:rtl w:val="0"/>
          <w:lang w:val="en-US"/>
          <w14:textFill>
            <w14:solidFill>
              <w14:srgbClr w14:val="231F20"/>
            </w14:solidFill>
          </w14:textFill>
        </w:rPr>
        <w:t>”</w:t>
      </w:r>
      <w:r>
        <w:rPr>
          <w:rFonts w:ascii="Garamond" w:hAnsi="Garamond"/>
          <w:outline w:val="0"/>
          <w:color w:val="231f20"/>
          <w:sz w:val="22"/>
          <w:szCs w:val="22"/>
          <w:u w:color="231f20"/>
          <w:rtl w:val="0"/>
          <w:lang w:val="en-US"/>
          <w14:textFill>
            <w14:solidFill>
              <w14:srgbClr w14:val="231F20"/>
            </w14:solidFill>
          </w14:textFill>
        </w:rPr>
        <w:t xml:space="preserve"> The same regulation mandates, in Article 3, that all operators must provide </w:t>
      </w:r>
      <w:r>
        <w:rPr>
          <w:rFonts w:ascii="Garamond" w:hAnsi="Garamond" w:hint="default"/>
          <w:outline w:val="0"/>
          <w:color w:val="231f20"/>
          <w:sz w:val="22"/>
          <w:szCs w:val="22"/>
          <w:u w:color="231f20"/>
          <w:rtl w:val="0"/>
          <w:lang w:val="en-US"/>
          <w14:textFill>
            <w14:solidFill>
              <w14:srgbClr w14:val="231F20"/>
            </w14:solidFill>
          </w14:textFill>
        </w:rPr>
        <w:t>“</w:t>
      </w:r>
      <w:r>
        <w:rPr>
          <w:rFonts w:ascii="Garamond" w:hAnsi="Garamond"/>
          <w:outline w:val="0"/>
          <w:color w:val="231f20"/>
          <w:sz w:val="22"/>
          <w:szCs w:val="22"/>
          <w:u w:color="231f20"/>
          <w:rtl w:val="0"/>
          <w:lang w:val="en-US"/>
          <w14:textFill>
            <w14:solidFill>
              <w14:srgbClr w14:val="231F20"/>
            </w14:solidFill>
          </w14:textFill>
        </w:rPr>
        <w:t>information about their policies on the integration of sustainability risks in their investment decision</w:t>
      </w:r>
      <w:r>
        <w:rPr>
          <w:rFonts w:ascii="Cambria Math" w:cs="Cambria Math" w:hAnsi="Cambria Math" w:eastAsia="Cambria Math"/>
          <w:outline w:val="0"/>
          <w:color w:val="231f20"/>
          <w:sz w:val="22"/>
          <w:szCs w:val="22"/>
          <w:u w:color="231f20"/>
          <w:rtl w:val="0"/>
          <w:lang w:val="en-US"/>
          <w14:textFill>
            <w14:solidFill>
              <w14:srgbClr w14:val="231F20"/>
            </w14:solidFill>
          </w14:textFill>
        </w:rPr>
        <w:t>‐</w:t>
      </w:r>
      <w:r>
        <w:rPr>
          <w:rFonts w:ascii="Garamond" w:hAnsi="Garamond"/>
          <w:outline w:val="0"/>
          <w:color w:val="231f20"/>
          <w:sz w:val="22"/>
          <w:szCs w:val="22"/>
          <w:u w:color="231f20"/>
          <w:rtl w:val="0"/>
          <w:lang w:val="en-US"/>
          <w14:textFill>
            <w14:solidFill>
              <w14:srgbClr w14:val="231F20"/>
            </w14:solidFill>
          </w14:textFill>
        </w:rPr>
        <w:t>making process,</w:t>
      </w:r>
      <w:r>
        <w:rPr>
          <w:rFonts w:ascii="Garamond" w:hAnsi="Garamond" w:hint="default"/>
          <w:outline w:val="0"/>
          <w:color w:val="231f20"/>
          <w:sz w:val="22"/>
          <w:szCs w:val="22"/>
          <w:u w:color="231f20"/>
          <w:rtl w:val="0"/>
          <w:lang w:val="en-US"/>
          <w14:textFill>
            <w14:solidFill>
              <w14:srgbClr w14:val="231F20"/>
            </w14:solidFill>
          </w14:textFill>
        </w:rPr>
        <w:t xml:space="preserve">” </w:t>
      </w:r>
      <w:r>
        <w:rPr>
          <w:rFonts w:ascii="Garamond" w:hAnsi="Garamond"/>
          <w:outline w:val="0"/>
          <w:color w:val="231f20"/>
          <w:sz w:val="22"/>
          <w:szCs w:val="22"/>
          <w:u w:color="231f20"/>
          <w:rtl w:val="0"/>
          <w14:textFill>
            <w14:solidFill>
              <w14:srgbClr w14:val="231F20"/>
            </w14:solidFill>
          </w14:textFill>
        </w:rPr>
        <w:t xml:space="preserve">or </w:t>
      </w:r>
      <w:r>
        <w:rPr>
          <w:rFonts w:ascii="Garamond" w:hAnsi="Garamond" w:hint="default"/>
          <w:outline w:val="0"/>
          <w:color w:val="231f20"/>
          <w:sz w:val="22"/>
          <w:szCs w:val="22"/>
          <w:u w:color="231f20"/>
          <w:rtl w:val="0"/>
          <w:lang w:val="en-US"/>
          <w14:textFill>
            <w14:solidFill>
              <w14:srgbClr w14:val="231F20"/>
            </w14:solidFill>
          </w14:textFill>
        </w:rPr>
        <w:t>“</w:t>
      </w:r>
      <w:r>
        <w:rPr>
          <w:rFonts w:ascii="Garamond" w:hAnsi="Garamond"/>
          <w:outline w:val="0"/>
          <w:color w:val="231f20"/>
          <w:sz w:val="22"/>
          <w:szCs w:val="22"/>
          <w:u w:color="231f20"/>
          <w:rtl w:val="0"/>
          <w:lang w:val="en-US"/>
          <w14:textFill>
            <w14:solidFill>
              <w14:srgbClr w14:val="231F20"/>
            </w14:solidFill>
          </w14:textFill>
        </w:rPr>
        <w:t>investment advice or insurance advice,</w:t>
      </w:r>
      <w:r>
        <w:rPr>
          <w:rFonts w:ascii="Garamond" w:hAnsi="Garamond" w:hint="default"/>
          <w:outline w:val="0"/>
          <w:color w:val="231f20"/>
          <w:sz w:val="22"/>
          <w:szCs w:val="22"/>
          <w:u w:color="231f20"/>
          <w:rtl w:val="0"/>
          <w:lang w:val="en-US"/>
          <w14:textFill>
            <w14:solidFill>
              <w14:srgbClr w14:val="231F20"/>
            </w14:solidFill>
          </w14:textFill>
        </w:rPr>
        <w:t xml:space="preserve">” </w:t>
      </w:r>
      <w:r>
        <w:rPr>
          <w:rFonts w:ascii="Garamond" w:hAnsi="Garamond"/>
          <w:outline w:val="0"/>
          <w:color w:val="231f20"/>
          <w:sz w:val="22"/>
          <w:szCs w:val="22"/>
          <w:u w:color="231f20"/>
          <w:rtl w:val="0"/>
          <w:lang w:val="en-US"/>
          <w14:textFill>
            <w14:solidFill>
              <w14:srgbClr w14:val="231F20"/>
            </w14:solidFill>
          </w14:textFill>
        </w:rPr>
        <w:t>with the clear aim of building an investment trajectory within the EU that supports the climate transition.</w:t>
      </w:r>
    </w:p>
    <w:p>
      <w:pPr>
        <w:pStyle w:val="Body"/>
        <w:tabs>
          <w:tab w:val="left" w:pos="1749"/>
        </w:tabs>
        <w:spacing w:line="254" w:lineRule="auto"/>
        <w:ind w:firstLine="567"/>
        <w:jc w:val="both"/>
        <w:rPr>
          <w:rFonts w:ascii="Garamond" w:cs="Garamond" w:hAnsi="Garamond" w:eastAsia="Garamond"/>
          <w:outline w:val="0"/>
          <w:color w:val="231f20"/>
          <w:sz w:val="22"/>
          <w:szCs w:val="22"/>
          <w:u w:color="231f20"/>
          <w14:textFill>
            <w14:solidFill>
              <w14:srgbClr w14:val="231F20"/>
            </w14:solidFill>
          </w14:textFill>
        </w:rPr>
      </w:pPr>
      <w:r>
        <w:rPr>
          <w:rFonts w:ascii="Garamond" w:hAnsi="Garamond"/>
          <w:outline w:val="0"/>
          <w:color w:val="231f20"/>
          <w:sz w:val="22"/>
          <w:szCs w:val="22"/>
          <w:u w:color="231f20"/>
          <w:rtl w:val="0"/>
          <w:lang w:val="en-US"/>
          <w14:textFill>
            <w14:solidFill>
              <w14:srgbClr w14:val="231F20"/>
            </w14:solidFill>
          </w14:textFill>
        </w:rPr>
        <w:t xml:space="preserve">To complement the disclosure obligations regarding sustainability, the Regulation establishing a framework to promote sustainable investments </w:t>
      </w:r>
      <w:r>
        <w:rPr>
          <w:rFonts w:ascii="Garamond" w:hAnsi="Garamond" w:hint="default"/>
          <w:outline w:val="0"/>
          <w:color w:val="231f20"/>
          <w:sz w:val="22"/>
          <w:szCs w:val="22"/>
          <w:u w:color="231f20"/>
          <w:rtl w:val="0"/>
          <w:lang w:val="en-US"/>
          <w14:textFill>
            <w14:solidFill>
              <w14:srgbClr w14:val="231F20"/>
            </w14:solidFill>
          </w14:textFill>
        </w:rPr>
        <w:t xml:space="preserve">– </w:t>
      </w:r>
      <w:r>
        <w:rPr>
          <w:rFonts w:ascii="Garamond" w:hAnsi="Garamond"/>
          <w:outline w:val="0"/>
          <w:color w:val="231f20"/>
          <w:sz w:val="22"/>
          <w:szCs w:val="22"/>
          <w:u w:color="231f20"/>
          <w:rtl w:val="0"/>
          <w:lang w:val="en-US"/>
          <w14:textFill>
            <w14:solidFill>
              <w14:srgbClr w14:val="231F20"/>
            </w14:solidFill>
          </w14:textFill>
        </w:rPr>
        <w:t xml:space="preserve">i.e., Regulation 2020/852, also known as the </w:t>
      </w:r>
      <w:r>
        <w:rPr>
          <w:rFonts w:ascii="Garamond" w:hAnsi="Garamond" w:hint="default"/>
          <w:outline w:val="0"/>
          <w:color w:val="231f20"/>
          <w:sz w:val="22"/>
          <w:szCs w:val="22"/>
          <w:u w:color="231f20"/>
          <w:rtl w:val="0"/>
          <w:lang w:val="en-US"/>
          <w14:textFill>
            <w14:solidFill>
              <w14:srgbClr w14:val="231F20"/>
            </w14:solidFill>
          </w14:textFill>
        </w:rPr>
        <w:t>“</w:t>
      </w:r>
      <w:r>
        <w:rPr>
          <w:rFonts w:ascii="Garamond" w:hAnsi="Garamond"/>
          <w:outline w:val="0"/>
          <w:color w:val="231f20"/>
          <w:sz w:val="22"/>
          <w:szCs w:val="22"/>
          <w:u w:color="231f20"/>
          <w:rtl w:val="0"/>
          <w:lang w:val="en-US"/>
          <w14:textFill>
            <w14:solidFill>
              <w14:srgbClr w14:val="231F20"/>
            </w14:solidFill>
          </w14:textFill>
        </w:rPr>
        <w:t>Taxonomy Regulation</w:t>
      </w:r>
      <w:r>
        <w:rPr>
          <w:rFonts w:ascii="Garamond" w:hAnsi="Garamond" w:hint="default"/>
          <w:outline w:val="0"/>
          <w:color w:val="231f20"/>
          <w:sz w:val="22"/>
          <w:szCs w:val="22"/>
          <w:u w:color="231f20"/>
          <w:rtl w:val="0"/>
          <w:lang w:val="en-US"/>
          <w14:textFill>
            <w14:solidFill>
              <w14:srgbClr w14:val="231F20"/>
            </w14:solidFill>
          </w14:textFill>
        </w:rPr>
        <w:t xml:space="preserve">” – </w:t>
      </w:r>
      <w:r>
        <w:rPr>
          <w:rFonts w:ascii="Garamond" w:hAnsi="Garamond"/>
          <w:outline w:val="0"/>
          <w:color w:val="231f20"/>
          <w:sz w:val="22"/>
          <w:szCs w:val="22"/>
          <w:u w:color="231f20"/>
          <w:rtl w:val="0"/>
          <w:lang w:val="en-US"/>
          <w14:textFill>
            <w14:solidFill>
              <w14:srgbClr w14:val="231F20"/>
            </w14:solidFill>
          </w14:textFill>
        </w:rPr>
        <w:t xml:space="preserve">aware of the urgent nature of the climate challenge (de Oliveira Neves, 2022) and the costs associated with the fragmentation of the previous regulatory framework (Villiers, 2022) as well as the risk of undermining investor trust in sustainable investments (Dempere et al., 2024), defined conditions and uniform criteria for classifying an economic activity and investment as eco-sustainable. The Regulation also describes how to address </w:t>
      </w:r>
      <w:r>
        <w:rPr>
          <w:rFonts w:ascii="Garamond" w:hAnsi="Garamond" w:hint="default"/>
          <w:outline w:val="0"/>
          <w:color w:val="231f20"/>
          <w:sz w:val="22"/>
          <w:szCs w:val="22"/>
          <w:u w:color="231f20"/>
          <w:rtl w:val="0"/>
          <w:lang w:val="en-US"/>
          <w14:textFill>
            <w14:solidFill>
              <w14:srgbClr w14:val="231F20"/>
            </w14:solidFill>
          </w14:textFill>
        </w:rPr>
        <w:t>“</w:t>
      </w:r>
      <w:r>
        <w:rPr>
          <w:rFonts w:ascii="Garamond" w:hAnsi="Garamond"/>
          <w:outline w:val="0"/>
          <w:color w:val="231f20"/>
          <w:sz w:val="22"/>
          <w:szCs w:val="22"/>
          <w:u w:color="231f20"/>
          <w:rtl w:val="0"/>
          <w:lang w:val="en-US"/>
          <w14:textFill>
            <w14:solidFill>
              <w14:srgbClr w14:val="231F20"/>
            </w14:solidFill>
          </w14:textFill>
        </w:rPr>
        <w:t>greenwashing</w:t>
      </w:r>
      <w:r>
        <w:rPr>
          <w:rFonts w:ascii="Garamond" w:hAnsi="Garamond" w:hint="default"/>
          <w:outline w:val="0"/>
          <w:color w:val="231f20"/>
          <w:sz w:val="22"/>
          <w:szCs w:val="22"/>
          <w:u w:color="231f20"/>
          <w:rtl w:val="0"/>
          <w:lang w:val="en-US"/>
          <w14:textFill>
            <w14:solidFill>
              <w14:srgbClr w14:val="231F20"/>
            </w14:solidFill>
          </w14:textFill>
        </w:rPr>
        <w:t xml:space="preserve">” </w:t>
      </w:r>
      <w:r>
        <w:rPr>
          <w:rFonts w:ascii="Garamond" w:hAnsi="Garamond"/>
          <w:outline w:val="0"/>
          <w:color w:val="231f20"/>
          <w:sz w:val="22"/>
          <w:szCs w:val="22"/>
          <w:u w:color="231f20"/>
          <w:rtl w:val="0"/>
          <w:lang w:val="en-US"/>
          <w14:textFill>
            <w14:solidFill>
              <w14:srgbClr w14:val="231F20"/>
            </w14:solidFill>
          </w14:textFill>
        </w:rPr>
        <w:t>practices, considering that such behavior involve marketing a financial product as eco-friendly when, in reality, it fails to meet basic environmental standards (Nygaard, 2023), thus allowing the perpetrator to gain an unfair competitive advantage. With this regulation, the legislator introduced additional obligations in the corporate sector to disclose management policies, aiming to promote a comprehensive strategic vision focused on sustainability and long-term orientation (Siri &amp; Zhu, 2024). The goal was to prevent market participants from obstructing, through their communications, the European-wide objectives of creating a fully sustainable European financial system (Papathanassiou &amp; Nieto, 2025). Failure to comply would result in a significant compromise of the transparency now required by the market (van Oostrum, 2021), along with prejudice to the correct allocation of financial resources towards activities that genuinely align with the environmental goals established by the Union (Steuer &amp; Tr</w:t>
      </w:r>
      <w:r>
        <w:rPr>
          <w:rFonts w:ascii="Garamond" w:hAnsi="Garamond" w:hint="default"/>
          <w:outline w:val="0"/>
          <w:color w:val="231f20"/>
          <w:sz w:val="22"/>
          <w:szCs w:val="22"/>
          <w:u w:color="231f20"/>
          <w:rtl w:val="0"/>
          <w:lang w:val="en-US"/>
          <w14:textFill>
            <w14:solidFill>
              <w14:srgbClr w14:val="231F20"/>
            </w14:solidFill>
          </w14:textFill>
        </w:rPr>
        <w:t>ö</w:t>
      </w:r>
      <w:r>
        <w:rPr>
          <w:rFonts w:ascii="Garamond" w:hAnsi="Garamond"/>
          <w:outline w:val="0"/>
          <w:color w:val="231f20"/>
          <w:sz w:val="22"/>
          <w:szCs w:val="22"/>
          <w:u w:color="231f20"/>
          <w:rtl w:val="0"/>
          <w:lang w:val="en-US"/>
          <w14:textFill>
            <w14:solidFill>
              <w14:srgbClr w14:val="231F20"/>
            </w14:solidFill>
          </w14:textFill>
        </w:rPr>
        <w:t>ger, 2022), hindering the challenging process of ecological and climate transition under the Green Deal.</w:t>
      </w:r>
    </w:p>
    <w:p>
      <w:pPr>
        <w:pStyle w:val="Body"/>
        <w:tabs>
          <w:tab w:val="left" w:pos="1749"/>
        </w:tabs>
        <w:spacing w:line="254" w:lineRule="auto"/>
        <w:ind w:firstLine="567"/>
        <w:jc w:val="both"/>
        <w:rPr>
          <w:rFonts w:ascii="Garamond" w:cs="Garamond" w:hAnsi="Garamond" w:eastAsia="Garamond"/>
          <w:outline w:val="0"/>
          <w:color w:val="231f20"/>
          <w:sz w:val="22"/>
          <w:szCs w:val="22"/>
          <w:u w:color="231f20"/>
          <w14:textFill>
            <w14:solidFill>
              <w14:srgbClr w14:val="231F20"/>
            </w14:solidFill>
          </w14:textFill>
        </w:rPr>
      </w:pPr>
      <w:r>
        <w:rPr>
          <w:rFonts w:ascii="Garamond" w:hAnsi="Garamond"/>
          <w:outline w:val="0"/>
          <w:color w:val="231f20"/>
          <w:sz w:val="22"/>
          <w:szCs w:val="22"/>
          <w:u w:color="231f20"/>
          <w:rtl w:val="0"/>
          <w:lang w:val="en-US"/>
          <w14:textFill>
            <w14:solidFill>
              <w14:srgbClr w14:val="231F20"/>
            </w14:solidFill>
          </w14:textFill>
        </w:rPr>
        <w:t xml:space="preserve">Lastly, the legislator, through Directive 2024/825, prohibited all environmental claims that </w:t>
      </w:r>
      <w:r>
        <w:rPr>
          <w:rFonts w:ascii="Garamond" w:hAnsi="Garamond" w:hint="default"/>
          <w:outline w:val="0"/>
          <w:color w:val="231f20"/>
          <w:sz w:val="22"/>
          <w:szCs w:val="22"/>
          <w:u w:color="231f20"/>
          <w:rtl w:val="0"/>
          <w:lang w:val="en-US"/>
          <w14:textFill>
            <w14:solidFill>
              <w14:srgbClr w14:val="231F20"/>
            </w14:solidFill>
          </w14:textFill>
        </w:rPr>
        <w:t>“</w:t>
      </w:r>
      <w:r>
        <w:rPr>
          <w:rFonts w:ascii="Garamond" w:hAnsi="Garamond"/>
          <w:outline w:val="0"/>
          <w:color w:val="231f20"/>
          <w:sz w:val="22"/>
          <w:szCs w:val="22"/>
          <w:u w:color="231f20"/>
          <w:rtl w:val="0"/>
          <w:lang w:val="en-US"/>
          <w14:textFill>
            <w14:solidFill>
              <w14:srgbClr w14:val="231F20"/>
            </w14:solidFill>
          </w14:textFill>
        </w:rPr>
        <w:t>clear, objective, publicly available and verifiable commitments and targets</w:t>
      </w:r>
      <w:r>
        <w:rPr>
          <w:rFonts w:ascii="Garamond" w:hAnsi="Garamond" w:hint="default"/>
          <w:outline w:val="0"/>
          <w:color w:val="231f20"/>
          <w:sz w:val="22"/>
          <w:szCs w:val="22"/>
          <w:u w:color="231f20"/>
          <w:rtl w:val="0"/>
          <w:lang w:val="en-US"/>
          <w14:textFill>
            <w14:solidFill>
              <w14:srgbClr w14:val="231F20"/>
            </w14:solidFill>
          </w14:textFill>
        </w:rPr>
        <w:t xml:space="preserve">” </w:t>
      </w:r>
      <w:r>
        <w:rPr>
          <w:rFonts w:ascii="Garamond" w:hAnsi="Garamond"/>
          <w:outline w:val="0"/>
          <w:color w:val="231f20"/>
          <w:sz w:val="22"/>
          <w:szCs w:val="22"/>
          <w:u w:color="231f20"/>
          <w:rtl w:val="0"/>
          <w:lang w:val="en-US"/>
          <w14:textFill>
            <w14:solidFill>
              <w14:srgbClr w14:val="231F20"/>
            </w14:solidFill>
          </w14:textFill>
        </w:rPr>
        <w:t xml:space="preserve">set by the economic operator, defined in a </w:t>
      </w:r>
      <w:r>
        <w:rPr>
          <w:rFonts w:ascii="Garamond" w:hAnsi="Garamond" w:hint="default"/>
          <w:outline w:val="0"/>
          <w:color w:val="231f20"/>
          <w:sz w:val="22"/>
          <w:szCs w:val="22"/>
          <w:u w:color="231f20"/>
          <w:rtl w:val="0"/>
          <w:lang w:val="en-US"/>
          <w14:textFill>
            <w14:solidFill>
              <w14:srgbClr w14:val="231F20"/>
            </w14:solidFill>
          </w14:textFill>
        </w:rPr>
        <w:t>“</w:t>
      </w:r>
      <w:r>
        <w:rPr>
          <w:rFonts w:ascii="Garamond" w:hAnsi="Garamond"/>
          <w:outline w:val="0"/>
          <w:color w:val="231f20"/>
          <w:sz w:val="22"/>
          <w:szCs w:val="22"/>
          <w:u w:color="231f20"/>
          <w:rtl w:val="0"/>
          <w:lang w:val="en-US"/>
          <w14:textFill>
            <w14:solidFill>
              <w14:srgbClr w14:val="231F20"/>
            </w14:solidFill>
          </w14:textFill>
        </w:rPr>
        <w:t>detailed and realistic implementation plan that shows how those commitments and targets will be achieved and that allocates resources to that end.</w:t>
      </w:r>
      <w:r>
        <w:rPr>
          <w:rFonts w:ascii="Garamond" w:hAnsi="Garamond" w:hint="default"/>
          <w:outline w:val="0"/>
          <w:color w:val="231f20"/>
          <w:sz w:val="22"/>
          <w:szCs w:val="22"/>
          <w:u w:color="231f20"/>
          <w:rtl w:val="0"/>
          <w:lang w:val="en-US"/>
          <w14:textFill>
            <w14:solidFill>
              <w14:srgbClr w14:val="231F20"/>
            </w14:solidFill>
          </w14:textFill>
        </w:rPr>
        <w:t xml:space="preserve">” </w:t>
      </w:r>
      <w:r>
        <w:rPr>
          <w:rFonts w:ascii="Garamond" w:hAnsi="Garamond"/>
          <w:outline w:val="0"/>
          <w:color w:val="231f20"/>
          <w:sz w:val="22"/>
          <w:szCs w:val="22"/>
          <w:u w:color="231f20"/>
          <w:rtl w:val="0"/>
          <w:lang w:val="en-US"/>
          <w14:textFill>
            <w14:solidFill>
              <w14:srgbClr w14:val="231F20"/>
            </w14:solidFill>
          </w14:textFill>
        </w:rPr>
        <w:t xml:space="preserve">The directive clarified that vague, generic, or unverifiable environmental claims are contrary to Union law, preferring instead </w:t>
      </w:r>
      <w:r>
        <w:rPr>
          <w:rFonts w:ascii="Garamond" w:hAnsi="Garamond" w:hint="default"/>
          <w:outline w:val="0"/>
          <w:color w:val="231f20"/>
          <w:sz w:val="22"/>
          <w:szCs w:val="22"/>
          <w:u w:color="231f20"/>
          <w:rtl w:val="0"/>
          <w:lang w:val="en-US"/>
          <w14:textFill>
            <w14:solidFill>
              <w14:srgbClr w14:val="231F20"/>
            </w14:solidFill>
          </w14:textFill>
        </w:rPr>
        <w:t>“</w:t>
      </w:r>
      <w:r>
        <w:rPr>
          <w:rFonts w:ascii="Garamond" w:hAnsi="Garamond"/>
          <w:outline w:val="0"/>
          <w:color w:val="231f20"/>
          <w:sz w:val="22"/>
          <w:szCs w:val="22"/>
          <w:u w:color="231f20"/>
          <w:rtl w:val="0"/>
          <w:lang w:val="en-US"/>
          <w14:textFill>
            <w14:solidFill>
              <w14:srgbClr w14:val="231F20"/>
            </w14:solidFill>
          </w14:textFill>
        </w:rPr>
        <w:t>fair, understandable, and reliable</w:t>
      </w:r>
      <w:r>
        <w:rPr>
          <w:rFonts w:ascii="Garamond" w:hAnsi="Garamond" w:hint="default"/>
          <w:outline w:val="0"/>
          <w:color w:val="231f20"/>
          <w:sz w:val="22"/>
          <w:szCs w:val="22"/>
          <w:u w:color="231f20"/>
          <w:rtl w:val="0"/>
          <w:lang w:val="en-US"/>
          <w14:textFill>
            <w14:solidFill>
              <w14:srgbClr w14:val="231F20"/>
            </w14:solidFill>
          </w14:textFill>
        </w:rPr>
        <w:t xml:space="preserve">” </w:t>
      </w:r>
      <w:r>
        <w:rPr>
          <w:rFonts w:ascii="Garamond" w:hAnsi="Garamond"/>
          <w:outline w:val="0"/>
          <w:color w:val="231f20"/>
          <w:sz w:val="22"/>
          <w:szCs w:val="22"/>
          <w:u w:color="231f20"/>
          <w:rtl w:val="0"/>
          <w:lang w:val="en-US"/>
          <w14:textFill>
            <w14:solidFill>
              <w14:srgbClr w14:val="231F20"/>
            </w14:solidFill>
          </w14:textFill>
        </w:rPr>
        <w:t xml:space="preserve">statements based </w:t>
      </w:r>
      <w:r>
        <w:rPr>
          <w:rFonts w:ascii="Garamond" w:hAnsi="Garamond" w:hint="default"/>
          <w:outline w:val="0"/>
          <w:color w:val="231f20"/>
          <w:sz w:val="22"/>
          <w:szCs w:val="22"/>
          <w:u w:color="231f20"/>
          <w:rtl w:val="0"/>
          <w:lang w:val="en-US"/>
          <w14:textFill>
            <w14:solidFill>
              <w14:srgbClr w14:val="231F20"/>
            </w14:solidFill>
          </w14:textFill>
        </w:rPr>
        <w:t>“</w:t>
      </w:r>
      <w:r>
        <w:rPr>
          <w:rFonts w:ascii="Garamond" w:hAnsi="Garamond"/>
          <w:outline w:val="0"/>
          <w:color w:val="231f20"/>
          <w:sz w:val="22"/>
          <w:szCs w:val="22"/>
          <w:u w:color="231f20"/>
          <w:rtl w:val="0"/>
          <w:lang w:val="en-US"/>
          <w14:textFill>
            <w14:solidFill>
              <w14:srgbClr w14:val="231F20"/>
            </w14:solidFill>
          </w14:textFill>
        </w:rPr>
        <w:t>exclusively on recognized excellence in environmental performance,</w:t>
      </w:r>
      <w:r>
        <w:rPr>
          <w:rFonts w:ascii="Garamond" w:hAnsi="Garamond" w:hint="default"/>
          <w:outline w:val="0"/>
          <w:color w:val="231f20"/>
          <w:sz w:val="22"/>
          <w:szCs w:val="22"/>
          <w:u w:color="231f20"/>
          <w:rtl w:val="0"/>
          <w:lang w:val="en-US"/>
          <w14:textFill>
            <w14:solidFill>
              <w14:srgbClr w14:val="231F20"/>
            </w14:solidFill>
          </w14:textFill>
        </w:rPr>
        <w:t xml:space="preserve">” </w:t>
      </w:r>
      <w:r>
        <w:rPr>
          <w:rFonts w:ascii="Garamond" w:hAnsi="Garamond"/>
          <w:outline w:val="0"/>
          <w:color w:val="231f20"/>
          <w:sz w:val="22"/>
          <w:szCs w:val="22"/>
          <w:u w:color="231f20"/>
          <w:rtl w:val="0"/>
          <w:lang w:val="en-US"/>
          <w14:textFill>
            <w14:solidFill>
              <w14:srgbClr w14:val="231F20"/>
            </w14:solidFill>
          </w14:textFill>
        </w:rPr>
        <w:t>with the aim of encouraging competition by leading to more eco-sustainable products and reducing the negative environmental impact. Compared to previous regulatory interventions, this directive reflects a more mature understanding of the impact corporate communications can have on the contractual choices of economic operators, representing a significant evolution in the effort to address the evolving</w:t>
      </w:r>
      <w:r>
        <w:rPr>
          <w:rFonts w:ascii="Garamond" w:hAnsi="Garamond" w:hint="default"/>
          <w:outline w:val="0"/>
          <w:color w:val="231f20"/>
          <w:sz w:val="22"/>
          <w:szCs w:val="22"/>
          <w:u w:color="231f20"/>
          <w:rtl w:val="0"/>
          <w:lang w:val="en-US"/>
          <w14:textFill>
            <w14:solidFill>
              <w14:srgbClr w14:val="231F20"/>
            </w14:solidFill>
          </w14:textFill>
        </w:rPr>
        <w:t> </w:t>
      </w:r>
      <w:r>
        <w:rPr>
          <w:rFonts w:ascii="Garamond" w:hAnsi="Garamond"/>
          <w:outline w:val="0"/>
          <w:color w:val="231f20"/>
          <w:sz w:val="22"/>
          <w:szCs w:val="22"/>
          <w:u w:color="231f20"/>
          <w:rtl w:val="0"/>
          <w:lang w:val="en-US"/>
          <w14:textFill>
            <w14:solidFill>
              <w14:srgbClr w14:val="231F20"/>
            </w14:solidFill>
          </w14:textFill>
        </w:rPr>
        <w:t>nature of greenwashing tactics (Sciortino et al., 2025).</w:t>
      </w:r>
    </w:p>
    <w:p>
      <w:pPr>
        <w:pStyle w:val="Body"/>
        <w:ind w:firstLine="567"/>
        <w:jc w:val="both"/>
        <w:rPr>
          <w:rFonts w:ascii="Garamond" w:cs="Garamond" w:hAnsi="Garamond" w:eastAsia="Garamond"/>
          <w:outline w:val="0"/>
          <w:color w:val="231f20"/>
          <w:sz w:val="22"/>
          <w:szCs w:val="22"/>
          <w:u w:color="231f20"/>
          <w14:textFill>
            <w14:solidFill>
              <w14:srgbClr w14:val="231F20"/>
            </w14:solidFill>
          </w14:textFill>
        </w:rPr>
      </w:pPr>
      <w:r>
        <w:rPr>
          <w:rFonts w:ascii="Garamond" w:hAnsi="Garamond"/>
          <w:outline w:val="0"/>
          <w:color w:val="231f20"/>
          <w:sz w:val="22"/>
          <w:szCs w:val="22"/>
          <w:u w:color="231f20"/>
          <w:rtl w:val="0"/>
          <w:lang w:val="en-US"/>
          <w14:textFill>
            <w14:solidFill>
              <w14:srgbClr w14:val="231F20"/>
            </w14:solidFill>
          </w14:textFill>
        </w:rPr>
        <w:t xml:space="preserve">According to the framework established by this latest regulatory intervention, all environmental claims referring to </w:t>
      </w:r>
      <w:r>
        <w:rPr>
          <w:rFonts w:ascii="Garamond" w:hAnsi="Garamond" w:hint="default"/>
          <w:outline w:val="0"/>
          <w:color w:val="231f20"/>
          <w:sz w:val="22"/>
          <w:szCs w:val="22"/>
          <w:u w:color="231f20"/>
          <w:rtl w:val="0"/>
          <w:lang w:val="en-US"/>
          <w14:textFill>
            <w14:solidFill>
              <w14:srgbClr w14:val="231F20"/>
            </w14:solidFill>
          </w14:textFill>
        </w:rPr>
        <w:t>“</w:t>
      </w:r>
      <w:r>
        <w:rPr>
          <w:rFonts w:ascii="Garamond" w:hAnsi="Garamond"/>
          <w:outline w:val="0"/>
          <w:color w:val="231f20"/>
          <w:sz w:val="22"/>
          <w:szCs w:val="22"/>
          <w:u w:color="231f20"/>
          <w:rtl w:val="0"/>
          <w:lang w:val="en-US"/>
          <w14:textFill>
            <w14:solidFill>
              <w14:srgbClr w14:val="231F20"/>
            </w14:solidFill>
          </w14:textFill>
        </w:rPr>
        <w:t>future performance in the form of a transition to carbon or climate neutrality</w:t>
      </w:r>
      <w:r>
        <w:rPr>
          <w:rFonts w:ascii="Garamond" w:hAnsi="Garamond" w:hint="default"/>
          <w:outline w:val="0"/>
          <w:color w:val="231f20"/>
          <w:sz w:val="22"/>
          <w:szCs w:val="22"/>
          <w:u w:color="231f20"/>
          <w:rtl w:val="0"/>
          <w:lang w:val="en-US"/>
          <w14:textFill>
            <w14:solidFill>
              <w14:srgbClr w14:val="231F20"/>
            </w14:solidFill>
          </w14:textFill>
        </w:rPr>
        <w:t xml:space="preserve">” – </w:t>
      </w:r>
      <w:r>
        <w:rPr>
          <w:rFonts w:ascii="Garamond" w:hAnsi="Garamond"/>
          <w:outline w:val="0"/>
          <w:color w:val="231f20"/>
          <w:sz w:val="22"/>
          <w:szCs w:val="22"/>
          <w:u w:color="231f20"/>
          <w:rtl w:val="0"/>
          <w14:textFill>
            <w14:solidFill>
              <w14:srgbClr w14:val="231F20"/>
            </w14:solidFill>
          </w14:textFill>
        </w:rPr>
        <w:t>i.e.,</w:t>
      </w:r>
      <w:r>
        <w:rPr>
          <w:rFonts w:ascii="Garamond" w:hAnsi="Garamond" w:hint="default"/>
          <w:outline w:val="0"/>
          <w:color w:val="231f20"/>
          <w:sz w:val="22"/>
          <w:szCs w:val="22"/>
          <w:u w:color="231f20"/>
          <w:rtl w:val="0"/>
          <w:lang w:val="en-US"/>
          <w14:textFill>
            <w14:solidFill>
              <w14:srgbClr w14:val="231F20"/>
            </w14:solidFill>
          </w14:textFill>
        </w:rPr>
        <w:t xml:space="preserve"> “</w:t>
      </w:r>
      <w:r>
        <w:rPr>
          <w:rFonts w:ascii="Garamond" w:hAnsi="Garamond"/>
          <w:outline w:val="0"/>
          <w:color w:val="231f20"/>
          <w:sz w:val="22"/>
          <w:szCs w:val="22"/>
          <w:u w:color="231f20"/>
          <w:rtl w:val="0"/>
          <w:lang w:val="fr-FR"/>
          <w14:textFill>
            <w14:solidFill>
              <w14:srgbClr w14:val="231F20"/>
            </w14:solidFill>
          </w14:textFill>
        </w:rPr>
        <w:t>future claims</w:t>
      </w:r>
      <w:r>
        <w:rPr>
          <w:rFonts w:ascii="Garamond" w:hAnsi="Garamond" w:hint="default"/>
          <w:outline w:val="0"/>
          <w:color w:val="231f20"/>
          <w:sz w:val="22"/>
          <w:szCs w:val="22"/>
          <w:u w:color="231f20"/>
          <w:rtl w:val="0"/>
          <w:lang w:val="en-US"/>
          <w14:textFill>
            <w14:solidFill>
              <w14:srgbClr w14:val="231F20"/>
            </w14:solidFill>
          </w14:textFill>
        </w:rPr>
        <w:t xml:space="preserve">” </w:t>
      </w:r>
      <w:r>
        <w:rPr>
          <w:rFonts w:ascii="Garamond" w:hAnsi="Garamond"/>
          <w:outline w:val="0"/>
          <w:color w:val="231f20"/>
          <w:sz w:val="22"/>
          <w:szCs w:val="22"/>
          <w:u w:color="231f20"/>
          <w:rtl w:val="0"/>
          <w14:textFill>
            <w14:solidFill>
              <w14:srgbClr w14:val="231F20"/>
            </w14:solidFill>
          </w14:textFill>
        </w:rPr>
        <w:t xml:space="preserve">or </w:t>
      </w:r>
      <w:r>
        <w:rPr>
          <w:rFonts w:ascii="Garamond" w:hAnsi="Garamond" w:hint="default"/>
          <w:outline w:val="0"/>
          <w:color w:val="231f20"/>
          <w:sz w:val="22"/>
          <w:szCs w:val="22"/>
          <w:u w:color="231f20"/>
          <w:rtl w:val="0"/>
          <w:lang w:val="en-US"/>
          <w14:textFill>
            <w14:solidFill>
              <w14:srgbClr w14:val="231F20"/>
            </w14:solidFill>
          </w14:textFill>
        </w:rPr>
        <w:t>“</w:t>
      </w:r>
      <w:r>
        <w:rPr>
          <w:rFonts w:ascii="Garamond" w:hAnsi="Garamond"/>
          <w:outline w:val="0"/>
          <w:color w:val="231f20"/>
          <w:sz w:val="22"/>
          <w:szCs w:val="22"/>
          <w:u w:color="231f20"/>
          <w:rtl w:val="0"/>
          <w:lang w:val="en-US"/>
          <w14:textFill>
            <w14:solidFill>
              <w14:srgbClr w14:val="231F20"/>
            </w14:solidFill>
          </w14:textFill>
        </w:rPr>
        <w:t>forward-looking claims</w:t>
      </w:r>
      <w:r>
        <w:rPr>
          <w:rFonts w:ascii="Garamond" w:hAnsi="Garamond" w:hint="default"/>
          <w:outline w:val="0"/>
          <w:color w:val="231f20"/>
          <w:sz w:val="22"/>
          <w:szCs w:val="22"/>
          <w:u w:color="231f20"/>
          <w:rtl w:val="0"/>
          <w:lang w:val="en-US"/>
          <w14:textFill>
            <w14:solidFill>
              <w14:srgbClr w14:val="231F20"/>
            </w14:solidFill>
          </w14:textFill>
        </w:rPr>
        <w:t xml:space="preserve">” – </w:t>
      </w:r>
      <w:r>
        <w:rPr>
          <w:rFonts w:ascii="Garamond" w:hAnsi="Garamond"/>
          <w:outline w:val="0"/>
          <w:color w:val="231f20"/>
          <w:sz w:val="22"/>
          <w:szCs w:val="22"/>
          <w:u w:color="231f20"/>
          <w:rtl w:val="0"/>
          <w:lang w:val="en-US"/>
          <w14:textFill>
            <w14:solidFill>
              <w14:srgbClr w14:val="231F20"/>
            </w14:solidFill>
          </w14:textFill>
        </w:rPr>
        <w:t xml:space="preserve">are considered deemed misleading because they </w:t>
      </w:r>
      <w:r>
        <w:rPr>
          <w:rFonts w:ascii="Garamond" w:hAnsi="Garamond" w:hint="default"/>
          <w:outline w:val="0"/>
          <w:color w:val="231f20"/>
          <w:sz w:val="22"/>
          <w:szCs w:val="22"/>
          <w:u w:color="231f20"/>
          <w:rtl w:val="0"/>
          <w:lang w:val="en-US"/>
          <w14:textFill>
            <w14:solidFill>
              <w14:srgbClr w14:val="231F20"/>
            </w14:solidFill>
          </w14:textFill>
        </w:rPr>
        <w:t>“</w:t>
      </w:r>
      <w:r>
        <w:rPr>
          <w:rFonts w:ascii="Garamond" w:hAnsi="Garamond"/>
          <w:outline w:val="0"/>
          <w:color w:val="231f20"/>
          <w:sz w:val="22"/>
          <w:szCs w:val="22"/>
          <w:u w:color="231f20"/>
          <w:rtl w:val="0"/>
          <w:lang w:val="en-US"/>
          <w14:textFill>
            <w14:solidFill>
              <w14:srgbClr w14:val="231F20"/>
            </w14:solidFill>
          </w14:textFill>
        </w:rPr>
        <w:t>create the impression that consumers contribute to a low-carbon economy by purchasing their products</w:t>
      </w:r>
      <w:r>
        <w:rPr>
          <w:rFonts w:ascii="Garamond" w:hAnsi="Garamond" w:hint="default"/>
          <w:outline w:val="0"/>
          <w:color w:val="231f20"/>
          <w:sz w:val="22"/>
          <w:szCs w:val="22"/>
          <w:u w:color="231f20"/>
          <w:rtl w:val="0"/>
          <w:lang w:val="en-US"/>
          <w14:textFill>
            <w14:solidFill>
              <w14:srgbClr w14:val="231F20"/>
            </w14:solidFill>
          </w14:textFill>
        </w:rPr>
        <w:t xml:space="preserve">” </w:t>
      </w:r>
      <w:r>
        <w:rPr>
          <w:rFonts w:ascii="Garamond" w:hAnsi="Garamond"/>
          <w:outline w:val="0"/>
          <w:color w:val="231f20"/>
          <w:sz w:val="22"/>
          <w:szCs w:val="22"/>
          <w:u w:color="231f20"/>
          <w:rtl w:val="0"/>
          <w:lang w:val="en-US"/>
          <w14:textFill>
            <w14:solidFill>
              <w14:srgbClr w14:val="231F20"/>
            </w14:solidFill>
          </w14:textFill>
        </w:rPr>
        <w:t>that are not accompanied by clearly defined, objective, publicly accessible commitments and goals susceptible to verification, as formalized in an implementation plan</w:t>
      </w:r>
      <w:r>
        <w:rPr>
          <w:rFonts w:ascii="Garamond" w:cs="Garamond" w:hAnsi="Garamond" w:eastAsia="Garamond"/>
          <w:outline w:val="0"/>
          <w:color w:val="231f20"/>
          <w:sz w:val="22"/>
          <w:szCs w:val="22"/>
          <w:u w:color="231f20"/>
          <w:vertAlign w:val="superscript"/>
          <w14:textFill>
            <w14:solidFill>
              <w14:srgbClr w14:val="231F20"/>
            </w14:solidFill>
          </w14:textFill>
        </w:rPr>
        <w:footnoteReference w:id="1"/>
      </w:r>
      <w:r>
        <w:rPr>
          <w:rFonts w:ascii="Garamond" w:hAnsi="Garamond"/>
          <w:outline w:val="0"/>
          <w:color w:val="231f20"/>
          <w:sz w:val="22"/>
          <w:szCs w:val="22"/>
          <w:u w:color="231f20"/>
          <w:rtl w:val="0"/>
          <w:lang w:val="en-US"/>
          <w14:textFill>
            <w14:solidFill>
              <w14:srgbClr w14:val="231F20"/>
            </w14:solidFill>
          </w14:textFill>
        </w:rPr>
        <w:t xml:space="preserve">. These claims do not reflect concrete, measurable, and time-bound objectives (Amatucci &amp; Mollo, 2024). Simultaneously, any generic references to environmental or social values, such as </w:t>
      </w:r>
      <w:r>
        <w:rPr>
          <w:outline w:val="0"/>
          <w:color w:val="231f20"/>
          <w:sz w:val="22"/>
          <w:szCs w:val="22"/>
          <w:u w:color="231f20"/>
          <w:rtl w:val="1"/>
          <w:lang w:val="ar-SA" w:bidi="ar-SA"/>
          <w14:textFill>
            <w14:solidFill>
              <w14:srgbClr w14:val="231F20"/>
            </w14:solidFill>
          </w14:textFill>
        </w:rPr>
        <w:t>“</w:t>
      </w:r>
      <w:r>
        <w:rPr>
          <w:rFonts w:ascii="Garamond" w:hAnsi="Garamond"/>
          <w:outline w:val="0"/>
          <w:color w:val="231f20"/>
          <w:sz w:val="22"/>
          <w:szCs w:val="22"/>
          <w:u w:color="231f20"/>
          <w:rtl w:val="0"/>
          <w:lang w:val="en-US"/>
          <w14:textFill>
            <w14:solidFill>
              <w14:srgbClr w14:val="231F20"/>
            </w14:solidFill>
          </w14:textFill>
        </w:rPr>
        <w:t>environmentally friendly</w:t>
      </w:r>
      <w:r>
        <w:rPr>
          <w:outline w:val="0"/>
          <w:color w:val="231f20"/>
          <w:sz w:val="22"/>
          <w:szCs w:val="22"/>
          <w:u w:color="231f20"/>
          <w:rtl w:val="0"/>
          <w14:textFill>
            <w14:solidFill>
              <w14:srgbClr w14:val="231F20"/>
            </w14:solidFill>
          </w14:textFill>
        </w:rPr>
        <w:t>,</w:t>
      </w:r>
      <w:r>
        <w:rPr>
          <w:outline w:val="0"/>
          <w:color w:val="231f20"/>
          <w:sz w:val="22"/>
          <w:szCs w:val="22"/>
          <w:u w:color="231f20"/>
          <w:rtl w:val="0"/>
          <w14:textFill>
            <w14:solidFill>
              <w14:srgbClr w14:val="231F20"/>
            </w14:solidFill>
          </w14:textFill>
        </w:rPr>
        <w:t>”</w:t>
      </w:r>
      <w:r>
        <w:rPr>
          <w:rFonts w:ascii="Garamond" w:hAnsi="Garamond"/>
          <w:outline w:val="0"/>
          <w:color w:val="231f20"/>
          <w:sz w:val="22"/>
          <w:szCs w:val="22"/>
          <w:u w:color="231f20"/>
          <w:rtl w:val="0"/>
          <w14:textFill>
            <w14:solidFill>
              <w14:srgbClr w14:val="231F20"/>
            </w14:solidFill>
          </w14:textFill>
        </w:rPr>
        <w:t xml:space="preserve"> </w:t>
      </w:r>
      <w:r>
        <w:rPr>
          <w:outline w:val="0"/>
          <w:color w:val="231f20"/>
          <w:sz w:val="22"/>
          <w:szCs w:val="22"/>
          <w:u w:color="231f20"/>
          <w:rtl w:val="1"/>
          <w:lang w:val="ar-SA" w:bidi="ar-SA"/>
          <w14:textFill>
            <w14:solidFill>
              <w14:srgbClr w14:val="231F20"/>
            </w14:solidFill>
          </w14:textFill>
        </w:rPr>
        <w:t>“</w:t>
      </w:r>
      <w:r>
        <w:rPr>
          <w:rFonts w:ascii="Garamond" w:hAnsi="Garamond"/>
          <w:outline w:val="0"/>
          <w:color w:val="231f20"/>
          <w:sz w:val="22"/>
          <w:szCs w:val="22"/>
          <w:u w:color="231f20"/>
          <w:rtl w:val="0"/>
          <w:lang w:val="en-US"/>
          <w14:textFill>
            <w14:solidFill>
              <w14:srgbClr w14:val="231F20"/>
            </w14:solidFill>
          </w14:textFill>
        </w:rPr>
        <w:t>eco-friendly</w:t>
      </w:r>
      <w:r>
        <w:rPr>
          <w:outline w:val="0"/>
          <w:color w:val="231f20"/>
          <w:sz w:val="22"/>
          <w:szCs w:val="22"/>
          <w:u w:color="231f20"/>
          <w:rtl w:val="0"/>
          <w14:textFill>
            <w14:solidFill>
              <w14:srgbClr w14:val="231F20"/>
            </w14:solidFill>
          </w14:textFill>
        </w:rPr>
        <w:t>,</w:t>
      </w:r>
      <w:r>
        <w:rPr>
          <w:outline w:val="0"/>
          <w:color w:val="231f20"/>
          <w:sz w:val="22"/>
          <w:szCs w:val="22"/>
          <w:u w:color="231f20"/>
          <w:rtl w:val="0"/>
          <w14:textFill>
            <w14:solidFill>
              <w14:srgbClr w14:val="231F20"/>
            </w14:solidFill>
          </w14:textFill>
        </w:rPr>
        <w:t>”</w:t>
      </w:r>
      <w:r>
        <w:rPr>
          <w:rFonts w:ascii="Garamond" w:hAnsi="Garamond"/>
          <w:outline w:val="0"/>
          <w:color w:val="231f20"/>
          <w:sz w:val="22"/>
          <w:szCs w:val="22"/>
          <w:u w:color="231f20"/>
          <w:rtl w:val="0"/>
          <w14:textFill>
            <w14:solidFill>
              <w14:srgbClr w14:val="231F20"/>
            </w14:solidFill>
          </w14:textFill>
        </w:rPr>
        <w:t xml:space="preserve"> </w:t>
      </w:r>
      <w:r>
        <w:rPr>
          <w:outline w:val="0"/>
          <w:color w:val="231f20"/>
          <w:sz w:val="22"/>
          <w:szCs w:val="22"/>
          <w:u w:color="231f20"/>
          <w:rtl w:val="1"/>
          <w:lang w:val="ar-SA" w:bidi="ar-SA"/>
          <w14:textFill>
            <w14:solidFill>
              <w14:srgbClr w14:val="231F20"/>
            </w14:solidFill>
          </w14:textFill>
        </w:rPr>
        <w:t>“</w:t>
      </w:r>
      <w:r>
        <w:rPr>
          <w:rFonts w:ascii="Garamond" w:hAnsi="Garamond"/>
          <w:outline w:val="0"/>
          <w:color w:val="231f20"/>
          <w:sz w:val="22"/>
          <w:szCs w:val="22"/>
          <w:u w:color="231f20"/>
          <w:rtl w:val="0"/>
          <w:lang w:val="en-US"/>
          <w14:textFill>
            <w14:solidFill>
              <w14:srgbClr w14:val="231F20"/>
            </w14:solidFill>
          </w14:textFill>
        </w:rPr>
        <w:t>green</w:t>
      </w:r>
      <w:r>
        <w:rPr>
          <w:outline w:val="0"/>
          <w:color w:val="231f20"/>
          <w:sz w:val="22"/>
          <w:szCs w:val="22"/>
          <w:u w:color="231f20"/>
          <w:rtl w:val="0"/>
          <w14:textFill>
            <w14:solidFill>
              <w14:srgbClr w14:val="231F20"/>
            </w14:solidFill>
          </w14:textFill>
        </w:rPr>
        <w:t>,</w:t>
      </w:r>
      <w:r>
        <w:rPr>
          <w:outline w:val="0"/>
          <w:color w:val="231f20"/>
          <w:sz w:val="22"/>
          <w:szCs w:val="22"/>
          <w:u w:color="231f20"/>
          <w:rtl w:val="0"/>
          <w14:textFill>
            <w14:solidFill>
              <w14:srgbClr w14:val="231F20"/>
            </w14:solidFill>
          </w14:textFill>
        </w:rPr>
        <w:t>”</w:t>
      </w:r>
      <w:r>
        <w:rPr>
          <w:rFonts w:ascii="Garamond" w:hAnsi="Garamond"/>
          <w:outline w:val="0"/>
          <w:color w:val="231f20"/>
          <w:sz w:val="22"/>
          <w:szCs w:val="22"/>
          <w:u w:color="231f20"/>
          <w:rtl w:val="0"/>
          <w14:textFill>
            <w14:solidFill>
              <w14:srgbClr w14:val="231F20"/>
            </w14:solidFill>
          </w14:textFill>
        </w:rPr>
        <w:t xml:space="preserve"> </w:t>
      </w:r>
      <w:r>
        <w:rPr>
          <w:outline w:val="0"/>
          <w:color w:val="231f20"/>
          <w:sz w:val="22"/>
          <w:szCs w:val="22"/>
          <w:u w:color="231f20"/>
          <w:rtl w:val="1"/>
          <w:lang w:val="ar-SA" w:bidi="ar-SA"/>
          <w14:textFill>
            <w14:solidFill>
              <w14:srgbClr w14:val="231F20"/>
            </w14:solidFill>
          </w14:textFill>
        </w:rPr>
        <w:t>“</w:t>
      </w:r>
      <w:r>
        <w:rPr>
          <w:rFonts w:ascii="Garamond" w:hAnsi="Garamond"/>
          <w:outline w:val="0"/>
          <w:color w:val="231f20"/>
          <w:sz w:val="22"/>
          <w:szCs w:val="22"/>
          <w:u w:color="231f20"/>
          <w:rtl w:val="0"/>
          <w14:textFill>
            <w14:solidFill>
              <w14:srgbClr w14:val="231F20"/>
            </w14:solidFill>
          </w14:textFill>
        </w:rPr>
        <w:t>nature</w:t>
      </w:r>
      <w:r>
        <w:rPr>
          <w:outline w:val="0"/>
          <w:color w:val="231f20"/>
          <w:sz w:val="22"/>
          <w:szCs w:val="22"/>
          <w:u w:color="231f20"/>
          <w:rtl w:val="0"/>
          <w14:textFill>
            <w14:solidFill>
              <w14:srgbClr w14:val="231F20"/>
            </w14:solidFill>
          </w14:textFill>
        </w:rPr>
        <w:t>”</w:t>
      </w:r>
      <w:r>
        <w:rPr>
          <w:rFonts w:ascii="Garamond" w:hAnsi="Garamond"/>
          <w:outline w:val="0"/>
          <w:color w:val="231f20"/>
          <w:sz w:val="22"/>
          <w:szCs w:val="22"/>
          <w:u w:color="231f20"/>
          <w:rtl w:val="0"/>
          <w:lang w:val="en-US"/>
          <w14:textFill>
            <w14:solidFill>
              <w14:srgbClr w14:val="231F20"/>
            </w14:solidFill>
          </w14:textFill>
        </w:rPr>
        <w:t>s friend</w:t>
      </w:r>
      <w:r>
        <w:rPr>
          <w:outline w:val="0"/>
          <w:color w:val="231f20"/>
          <w:sz w:val="22"/>
          <w:szCs w:val="22"/>
          <w:u w:color="231f20"/>
          <w:rtl w:val="0"/>
          <w14:textFill>
            <w14:solidFill>
              <w14:srgbClr w14:val="231F20"/>
            </w14:solidFill>
          </w14:textFill>
        </w:rPr>
        <w:t>,</w:t>
      </w:r>
      <w:r>
        <w:rPr>
          <w:outline w:val="0"/>
          <w:color w:val="231f20"/>
          <w:sz w:val="22"/>
          <w:szCs w:val="22"/>
          <w:u w:color="231f20"/>
          <w:rtl w:val="0"/>
          <w14:textFill>
            <w14:solidFill>
              <w14:srgbClr w14:val="231F20"/>
            </w14:solidFill>
          </w14:textFill>
        </w:rPr>
        <w:t>”</w:t>
      </w:r>
      <w:r>
        <w:rPr>
          <w:rFonts w:ascii="Garamond" w:hAnsi="Garamond"/>
          <w:outline w:val="0"/>
          <w:color w:val="231f20"/>
          <w:sz w:val="22"/>
          <w:szCs w:val="22"/>
          <w:u w:color="231f20"/>
          <w:rtl w:val="0"/>
          <w14:textFill>
            <w14:solidFill>
              <w14:srgbClr w14:val="231F20"/>
            </w14:solidFill>
          </w14:textFill>
        </w:rPr>
        <w:t xml:space="preserve"> </w:t>
      </w:r>
      <w:r>
        <w:rPr>
          <w:outline w:val="0"/>
          <w:color w:val="231f20"/>
          <w:sz w:val="22"/>
          <w:szCs w:val="22"/>
          <w:u w:color="231f20"/>
          <w:rtl w:val="1"/>
          <w:lang w:val="ar-SA" w:bidi="ar-SA"/>
          <w14:textFill>
            <w14:solidFill>
              <w14:srgbClr w14:val="231F20"/>
            </w14:solidFill>
          </w14:textFill>
        </w:rPr>
        <w:t>“</w:t>
      </w:r>
      <w:r>
        <w:rPr>
          <w:rFonts w:ascii="Garamond" w:hAnsi="Garamond"/>
          <w:outline w:val="0"/>
          <w:color w:val="231f20"/>
          <w:sz w:val="22"/>
          <w:szCs w:val="22"/>
          <w:u w:color="231f20"/>
          <w:rtl w:val="0"/>
          <w:lang w:val="it-IT"/>
          <w14:textFill>
            <w14:solidFill>
              <w14:srgbClr w14:val="231F20"/>
            </w14:solidFill>
          </w14:textFill>
        </w:rPr>
        <w:t>ecological</w:t>
      </w:r>
      <w:r>
        <w:rPr>
          <w:outline w:val="0"/>
          <w:color w:val="231f20"/>
          <w:sz w:val="22"/>
          <w:szCs w:val="22"/>
          <w:u w:color="231f20"/>
          <w:rtl w:val="0"/>
          <w14:textFill>
            <w14:solidFill>
              <w14:srgbClr w14:val="231F20"/>
            </w14:solidFill>
          </w14:textFill>
        </w:rPr>
        <w:t>,</w:t>
      </w:r>
      <w:r>
        <w:rPr>
          <w:outline w:val="0"/>
          <w:color w:val="231f20"/>
          <w:sz w:val="22"/>
          <w:szCs w:val="22"/>
          <w:u w:color="231f20"/>
          <w:rtl w:val="0"/>
          <w14:textFill>
            <w14:solidFill>
              <w14:srgbClr w14:val="231F20"/>
            </w14:solidFill>
          </w14:textFill>
        </w:rPr>
        <w:t>”</w:t>
      </w:r>
      <w:r>
        <w:rPr>
          <w:rFonts w:ascii="Garamond" w:hAnsi="Garamond"/>
          <w:outline w:val="0"/>
          <w:color w:val="231f20"/>
          <w:sz w:val="22"/>
          <w:szCs w:val="22"/>
          <w:u w:color="231f20"/>
          <w:rtl w:val="0"/>
          <w14:textFill>
            <w14:solidFill>
              <w14:srgbClr w14:val="231F20"/>
            </w14:solidFill>
          </w14:textFill>
        </w:rPr>
        <w:t xml:space="preserve"> </w:t>
      </w:r>
      <w:r>
        <w:rPr>
          <w:outline w:val="0"/>
          <w:color w:val="231f20"/>
          <w:sz w:val="22"/>
          <w:szCs w:val="22"/>
          <w:u w:color="231f20"/>
          <w:rtl w:val="1"/>
          <w:lang w:val="ar-SA" w:bidi="ar-SA"/>
          <w14:textFill>
            <w14:solidFill>
              <w14:srgbClr w14:val="231F20"/>
            </w14:solidFill>
          </w14:textFill>
        </w:rPr>
        <w:t>“</w:t>
      </w:r>
      <w:r>
        <w:rPr>
          <w:rFonts w:ascii="Garamond" w:hAnsi="Garamond"/>
          <w:outline w:val="0"/>
          <w:color w:val="231f20"/>
          <w:sz w:val="22"/>
          <w:szCs w:val="22"/>
          <w:u w:color="231f20"/>
          <w:rtl w:val="0"/>
          <w:lang w:val="en-US"/>
          <w14:textFill>
            <w14:solidFill>
              <w14:srgbClr w14:val="231F20"/>
            </w14:solidFill>
          </w14:textFill>
        </w:rPr>
        <w:t>environmentally correct</w:t>
      </w:r>
      <w:r>
        <w:rPr>
          <w:outline w:val="0"/>
          <w:color w:val="231f20"/>
          <w:sz w:val="22"/>
          <w:szCs w:val="22"/>
          <w:u w:color="231f20"/>
          <w:rtl w:val="0"/>
          <w14:textFill>
            <w14:solidFill>
              <w14:srgbClr w14:val="231F20"/>
            </w14:solidFill>
          </w14:textFill>
        </w:rPr>
        <w:t>,</w:t>
      </w:r>
      <w:r>
        <w:rPr>
          <w:outline w:val="0"/>
          <w:color w:val="231f20"/>
          <w:sz w:val="22"/>
          <w:szCs w:val="22"/>
          <w:u w:color="231f20"/>
          <w:rtl w:val="0"/>
          <w14:textFill>
            <w14:solidFill>
              <w14:srgbClr w14:val="231F20"/>
            </w14:solidFill>
          </w14:textFill>
        </w:rPr>
        <w:t>”</w:t>
      </w:r>
      <w:r>
        <w:rPr>
          <w:rFonts w:ascii="Garamond" w:hAnsi="Garamond"/>
          <w:outline w:val="0"/>
          <w:color w:val="231f20"/>
          <w:sz w:val="22"/>
          <w:szCs w:val="22"/>
          <w:u w:color="231f20"/>
          <w:rtl w:val="0"/>
          <w14:textFill>
            <w14:solidFill>
              <w14:srgbClr w14:val="231F20"/>
            </w14:solidFill>
          </w14:textFill>
        </w:rPr>
        <w:t xml:space="preserve"> </w:t>
      </w:r>
      <w:r>
        <w:rPr>
          <w:outline w:val="0"/>
          <w:color w:val="231f20"/>
          <w:sz w:val="22"/>
          <w:szCs w:val="22"/>
          <w:u w:color="231f20"/>
          <w:rtl w:val="1"/>
          <w:lang w:val="ar-SA" w:bidi="ar-SA"/>
          <w14:textFill>
            <w14:solidFill>
              <w14:srgbClr w14:val="231F20"/>
            </w14:solidFill>
          </w14:textFill>
        </w:rPr>
        <w:t>“</w:t>
      </w:r>
      <w:r>
        <w:rPr>
          <w:rFonts w:ascii="Garamond" w:hAnsi="Garamond"/>
          <w:outline w:val="0"/>
          <w:color w:val="231f20"/>
          <w:sz w:val="22"/>
          <w:szCs w:val="22"/>
          <w:u w:color="231f20"/>
          <w:rtl w:val="0"/>
          <w:lang w:val="en-US"/>
          <w14:textFill>
            <w14:solidFill>
              <w14:srgbClr w14:val="231F20"/>
            </w14:solidFill>
          </w14:textFill>
        </w:rPr>
        <w:t>climate friendly</w:t>
      </w:r>
      <w:r>
        <w:rPr>
          <w:outline w:val="0"/>
          <w:color w:val="231f20"/>
          <w:sz w:val="22"/>
          <w:szCs w:val="22"/>
          <w:u w:color="231f20"/>
          <w:rtl w:val="0"/>
          <w14:textFill>
            <w14:solidFill>
              <w14:srgbClr w14:val="231F20"/>
            </w14:solidFill>
          </w14:textFill>
        </w:rPr>
        <w:t>,</w:t>
      </w:r>
      <w:r>
        <w:rPr>
          <w:outline w:val="0"/>
          <w:color w:val="231f20"/>
          <w:sz w:val="22"/>
          <w:szCs w:val="22"/>
          <w:u w:color="231f20"/>
          <w:rtl w:val="0"/>
          <w14:textFill>
            <w14:solidFill>
              <w14:srgbClr w14:val="231F20"/>
            </w14:solidFill>
          </w14:textFill>
        </w:rPr>
        <w:t>”</w:t>
      </w:r>
      <w:r>
        <w:rPr>
          <w:rFonts w:ascii="Garamond" w:hAnsi="Garamond"/>
          <w:outline w:val="0"/>
          <w:color w:val="231f20"/>
          <w:sz w:val="22"/>
          <w:szCs w:val="22"/>
          <w:u w:color="231f20"/>
          <w:rtl w:val="0"/>
          <w14:textFill>
            <w14:solidFill>
              <w14:srgbClr w14:val="231F20"/>
            </w14:solidFill>
          </w14:textFill>
        </w:rPr>
        <w:t xml:space="preserve"> </w:t>
      </w:r>
      <w:r>
        <w:rPr>
          <w:outline w:val="0"/>
          <w:color w:val="231f20"/>
          <w:sz w:val="22"/>
          <w:szCs w:val="22"/>
          <w:u w:color="231f20"/>
          <w:rtl w:val="1"/>
          <w:lang w:val="ar-SA" w:bidi="ar-SA"/>
          <w14:textFill>
            <w14:solidFill>
              <w14:srgbClr w14:val="231F20"/>
            </w14:solidFill>
          </w14:textFill>
        </w:rPr>
        <w:t>“</w:t>
      </w:r>
      <w:r>
        <w:rPr>
          <w:rFonts w:ascii="Garamond" w:hAnsi="Garamond"/>
          <w:outline w:val="0"/>
          <w:color w:val="231f20"/>
          <w:sz w:val="22"/>
          <w:szCs w:val="22"/>
          <w:u w:color="231f20"/>
          <w:rtl w:val="0"/>
          <w:lang w:val="en-US"/>
          <w14:textFill>
            <w14:solidFill>
              <w14:srgbClr w14:val="231F20"/>
            </w14:solidFill>
          </w14:textFill>
        </w:rPr>
        <w:t>gentle on the environment</w:t>
      </w:r>
      <w:r>
        <w:rPr>
          <w:outline w:val="0"/>
          <w:color w:val="231f20"/>
          <w:sz w:val="22"/>
          <w:szCs w:val="22"/>
          <w:u w:color="231f20"/>
          <w:rtl w:val="0"/>
          <w14:textFill>
            <w14:solidFill>
              <w14:srgbClr w14:val="231F20"/>
            </w14:solidFill>
          </w14:textFill>
        </w:rPr>
        <w:t>,</w:t>
      </w:r>
      <w:r>
        <w:rPr>
          <w:outline w:val="0"/>
          <w:color w:val="231f20"/>
          <w:sz w:val="22"/>
          <w:szCs w:val="22"/>
          <w:u w:color="231f20"/>
          <w:rtl w:val="0"/>
          <w14:textFill>
            <w14:solidFill>
              <w14:srgbClr w14:val="231F20"/>
            </w14:solidFill>
          </w14:textFill>
        </w:rPr>
        <w:t>”</w:t>
      </w:r>
      <w:r>
        <w:rPr>
          <w:rFonts w:ascii="Garamond" w:hAnsi="Garamond"/>
          <w:outline w:val="0"/>
          <w:color w:val="231f20"/>
          <w:sz w:val="22"/>
          <w:szCs w:val="22"/>
          <w:u w:color="231f20"/>
          <w:rtl w:val="0"/>
          <w14:textFill>
            <w14:solidFill>
              <w14:srgbClr w14:val="231F20"/>
            </w14:solidFill>
          </w14:textFill>
        </w:rPr>
        <w:t xml:space="preserve"> </w:t>
      </w:r>
      <w:r>
        <w:rPr>
          <w:outline w:val="0"/>
          <w:color w:val="231f20"/>
          <w:sz w:val="22"/>
          <w:szCs w:val="22"/>
          <w:u w:color="231f20"/>
          <w:rtl w:val="1"/>
          <w:lang w:val="ar-SA" w:bidi="ar-SA"/>
          <w14:textFill>
            <w14:solidFill>
              <w14:srgbClr w14:val="231F20"/>
            </w14:solidFill>
          </w14:textFill>
        </w:rPr>
        <w:t>“</w:t>
      </w:r>
      <w:r>
        <w:rPr>
          <w:rFonts w:ascii="Garamond" w:hAnsi="Garamond"/>
          <w:outline w:val="0"/>
          <w:color w:val="231f20"/>
          <w:sz w:val="22"/>
          <w:szCs w:val="22"/>
          <w:u w:color="231f20"/>
          <w:rtl w:val="0"/>
          <w:lang w:val="en-US"/>
          <w14:textFill>
            <w14:solidFill>
              <w14:srgbClr w14:val="231F20"/>
            </w14:solidFill>
          </w14:textFill>
        </w:rPr>
        <w:t>carbon friendly</w:t>
      </w:r>
      <w:r>
        <w:rPr>
          <w:outline w:val="0"/>
          <w:color w:val="231f20"/>
          <w:sz w:val="22"/>
          <w:szCs w:val="22"/>
          <w:u w:color="231f20"/>
          <w:rtl w:val="0"/>
          <w14:textFill>
            <w14:solidFill>
              <w14:srgbClr w14:val="231F20"/>
            </w14:solidFill>
          </w14:textFill>
        </w:rPr>
        <w:t>,</w:t>
      </w:r>
      <w:r>
        <w:rPr>
          <w:outline w:val="0"/>
          <w:color w:val="231f20"/>
          <w:sz w:val="22"/>
          <w:szCs w:val="22"/>
          <w:u w:color="231f20"/>
          <w:rtl w:val="0"/>
          <w14:textFill>
            <w14:solidFill>
              <w14:srgbClr w14:val="231F20"/>
            </w14:solidFill>
          </w14:textFill>
        </w:rPr>
        <w:t>”</w:t>
      </w:r>
      <w:r>
        <w:rPr>
          <w:rFonts w:ascii="Garamond" w:hAnsi="Garamond"/>
          <w:outline w:val="0"/>
          <w:color w:val="231f20"/>
          <w:sz w:val="22"/>
          <w:szCs w:val="22"/>
          <w:u w:color="231f20"/>
          <w:rtl w:val="0"/>
          <w14:textFill>
            <w14:solidFill>
              <w14:srgbClr w14:val="231F20"/>
            </w14:solidFill>
          </w14:textFill>
        </w:rPr>
        <w:t xml:space="preserve"> </w:t>
      </w:r>
      <w:r>
        <w:rPr>
          <w:outline w:val="0"/>
          <w:color w:val="231f20"/>
          <w:sz w:val="22"/>
          <w:szCs w:val="22"/>
          <w:u w:color="231f20"/>
          <w:rtl w:val="1"/>
          <w:lang w:val="ar-SA" w:bidi="ar-SA"/>
          <w14:textFill>
            <w14:solidFill>
              <w14:srgbClr w14:val="231F20"/>
            </w14:solidFill>
          </w14:textFill>
        </w:rPr>
        <w:t>“</w:t>
      </w:r>
      <w:r>
        <w:rPr>
          <w:rFonts w:ascii="Garamond" w:hAnsi="Garamond"/>
          <w:outline w:val="0"/>
          <w:color w:val="231f20"/>
          <w:sz w:val="22"/>
          <w:szCs w:val="22"/>
          <w:u w:color="231f20"/>
          <w:rtl w:val="0"/>
          <w14:textFill>
            <w14:solidFill>
              <w14:srgbClr w14:val="231F20"/>
            </w14:solidFill>
          </w14:textFill>
        </w:rPr>
        <w:t>energy efficient</w:t>
      </w:r>
      <w:r>
        <w:rPr>
          <w:outline w:val="0"/>
          <w:color w:val="231f20"/>
          <w:sz w:val="22"/>
          <w:szCs w:val="22"/>
          <w:u w:color="231f20"/>
          <w:rtl w:val="0"/>
          <w14:textFill>
            <w14:solidFill>
              <w14:srgbClr w14:val="231F20"/>
            </w14:solidFill>
          </w14:textFill>
        </w:rPr>
        <w:t>,</w:t>
      </w:r>
      <w:r>
        <w:rPr>
          <w:outline w:val="0"/>
          <w:color w:val="231f20"/>
          <w:sz w:val="22"/>
          <w:szCs w:val="22"/>
          <w:u w:color="231f20"/>
          <w:rtl w:val="0"/>
          <w14:textFill>
            <w14:solidFill>
              <w14:srgbClr w14:val="231F20"/>
            </w14:solidFill>
          </w14:textFill>
        </w:rPr>
        <w:t>”</w:t>
      </w:r>
      <w:r>
        <w:rPr>
          <w:rFonts w:ascii="Garamond" w:hAnsi="Garamond"/>
          <w:outline w:val="0"/>
          <w:color w:val="231f20"/>
          <w:sz w:val="22"/>
          <w:szCs w:val="22"/>
          <w:u w:color="231f20"/>
          <w:rtl w:val="0"/>
          <w14:textFill>
            <w14:solidFill>
              <w14:srgbClr w14:val="231F20"/>
            </w14:solidFill>
          </w14:textFill>
        </w:rPr>
        <w:t xml:space="preserve"> </w:t>
      </w:r>
      <w:r>
        <w:rPr>
          <w:outline w:val="0"/>
          <w:color w:val="231f20"/>
          <w:sz w:val="22"/>
          <w:szCs w:val="22"/>
          <w:u w:color="231f20"/>
          <w:rtl w:val="1"/>
          <w:lang w:val="ar-SA" w:bidi="ar-SA"/>
          <w14:textFill>
            <w14:solidFill>
              <w14:srgbClr w14:val="231F20"/>
            </w14:solidFill>
          </w14:textFill>
        </w:rPr>
        <w:t>“</w:t>
      </w:r>
      <w:r>
        <w:rPr>
          <w:rFonts w:ascii="Garamond" w:hAnsi="Garamond"/>
          <w:outline w:val="0"/>
          <w:color w:val="231f20"/>
          <w:sz w:val="22"/>
          <w:szCs w:val="22"/>
          <w:u w:color="231f20"/>
          <w:rtl w:val="0"/>
          <w:lang w:val="es-ES_tradnl"/>
          <w14:textFill>
            <w14:solidFill>
              <w14:srgbClr w14:val="231F20"/>
            </w14:solidFill>
          </w14:textFill>
        </w:rPr>
        <w:t>biodegradable</w:t>
      </w:r>
      <w:r>
        <w:rPr>
          <w:outline w:val="0"/>
          <w:color w:val="231f20"/>
          <w:sz w:val="22"/>
          <w:szCs w:val="22"/>
          <w:u w:color="231f20"/>
          <w:rtl w:val="0"/>
          <w14:textFill>
            <w14:solidFill>
              <w14:srgbClr w14:val="231F20"/>
            </w14:solidFill>
          </w14:textFill>
        </w:rPr>
        <w:t>,</w:t>
      </w:r>
      <w:r>
        <w:rPr>
          <w:outline w:val="0"/>
          <w:color w:val="231f20"/>
          <w:sz w:val="22"/>
          <w:szCs w:val="22"/>
          <w:u w:color="231f20"/>
          <w:rtl w:val="0"/>
          <w14:textFill>
            <w14:solidFill>
              <w14:srgbClr w14:val="231F20"/>
            </w14:solidFill>
          </w14:textFill>
        </w:rPr>
        <w:t>”</w:t>
      </w:r>
      <w:r>
        <w:rPr>
          <w:rFonts w:ascii="Garamond" w:hAnsi="Garamond"/>
          <w:outline w:val="0"/>
          <w:color w:val="231f20"/>
          <w:sz w:val="22"/>
          <w:szCs w:val="22"/>
          <w:u w:color="231f20"/>
          <w:rtl w:val="0"/>
          <w14:textFill>
            <w14:solidFill>
              <w14:srgbClr w14:val="231F20"/>
            </w14:solidFill>
          </w14:textFill>
        </w:rPr>
        <w:t xml:space="preserve"> </w:t>
      </w:r>
      <w:r>
        <w:rPr>
          <w:outline w:val="0"/>
          <w:color w:val="231f20"/>
          <w:sz w:val="22"/>
          <w:szCs w:val="22"/>
          <w:u w:color="231f20"/>
          <w:rtl w:val="1"/>
          <w:lang w:val="ar-SA" w:bidi="ar-SA"/>
          <w14:textFill>
            <w14:solidFill>
              <w14:srgbClr w14:val="231F20"/>
            </w14:solidFill>
          </w14:textFill>
        </w:rPr>
        <w:t>“</w:t>
      </w:r>
      <w:r>
        <w:rPr>
          <w:rFonts w:ascii="Garamond" w:hAnsi="Garamond"/>
          <w:outline w:val="0"/>
          <w:color w:val="231f20"/>
          <w:sz w:val="22"/>
          <w:szCs w:val="22"/>
          <w:u w:color="231f20"/>
          <w:rtl w:val="0"/>
          <w:lang w:val="en-US"/>
          <w14:textFill>
            <w14:solidFill>
              <w14:srgbClr w14:val="231F20"/>
            </w14:solidFill>
          </w14:textFill>
        </w:rPr>
        <w:t>biobased</w:t>
      </w:r>
      <w:r>
        <w:rPr>
          <w:outline w:val="0"/>
          <w:color w:val="231f20"/>
          <w:sz w:val="22"/>
          <w:szCs w:val="22"/>
          <w:u w:color="231f20"/>
          <w:rtl w:val="0"/>
          <w14:textFill>
            <w14:solidFill>
              <w14:srgbClr w14:val="231F20"/>
            </w14:solidFill>
          </w14:textFill>
        </w:rPr>
        <w:t>,</w:t>
      </w:r>
      <w:r>
        <w:rPr>
          <w:outline w:val="0"/>
          <w:color w:val="231f20"/>
          <w:sz w:val="22"/>
          <w:szCs w:val="22"/>
          <w:u w:color="231f20"/>
          <w:rtl w:val="0"/>
          <w14:textFill>
            <w14:solidFill>
              <w14:srgbClr w14:val="231F20"/>
            </w14:solidFill>
          </w14:textFill>
        </w:rPr>
        <w:t xml:space="preserve">” </w:t>
      </w:r>
      <w:r>
        <w:rPr>
          <w:rFonts w:ascii="Garamond" w:hAnsi="Garamond"/>
          <w:outline w:val="0"/>
          <w:color w:val="231f20"/>
          <w:sz w:val="22"/>
          <w:szCs w:val="22"/>
          <w:u w:color="231f20"/>
          <w:rtl w:val="0"/>
          <w:lang w:val="en-US"/>
          <w14:textFill>
            <w14:solidFill>
              <w14:srgbClr w14:val="231F20"/>
            </w14:solidFill>
          </w14:textFill>
        </w:rPr>
        <w:t>or similar statements that suggest or create the impression of excellent environmental performance are deemed illegitimate and misleading unless they can demonstrate that the product, service, or organization to which they refer achieves a level of environmental and social performance that is genuinely verifiable and defined over time</w:t>
      </w:r>
      <w:r>
        <w:rPr>
          <w:rFonts w:ascii="Garamond" w:cs="Garamond" w:hAnsi="Garamond" w:eastAsia="Garamond"/>
          <w:outline w:val="0"/>
          <w:color w:val="231f20"/>
          <w:sz w:val="22"/>
          <w:szCs w:val="22"/>
          <w:u w:color="231f20"/>
          <w:vertAlign w:val="superscript"/>
          <w14:textFill>
            <w14:solidFill>
              <w14:srgbClr w14:val="231F20"/>
            </w14:solidFill>
          </w14:textFill>
        </w:rPr>
        <w:footnoteReference w:id="2"/>
      </w:r>
      <w:r>
        <w:rPr>
          <w:rFonts w:ascii="Garamond" w:hAnsi="Garamond"/>
          <w:outline w:val="0"/>
          <w:color w:val="231f20"/>
          <w:sz w:val="22"/>
          <w:szCs w:val="22"/>
          <w:u w:color="231f20"/>
          <w:rtl w:val="0"/>
          <w:lang w:val="en-US"/>
          <w14:textFill>
            <w14:solidFill>
              <w14:srgbClr w14:val="231F20"/>
            </w14:solidFill>
          </w14:textFill>
        </w:rPr>
        <w:t>. The legislative choice, therefore, led to the adoption of an analytical and detailed approach (MacLennan &amp; De Catelle, 2025), outlining precisely the information the intermediary must provide, along with a comprehensive list of unfair commercial practices that are prohibited. The question is whether this implies that sustainability, eco-compatibility, and environmental soundness of products and services should be assessed in an analytical and restrictive manner, following the principle that where the law is silent, it is not to be presumed (Koszowski, 2016)</w:t>
      </w:r>
      <w:r>
        <w:rPr>
          <w:rFonts w:ascii="Garamond" w:cs="Garamond" w:hAnsi="Garamond" w:eastAsia="Garamond"/>
          <w:outline w:val="0"/>
          <w:color w:val="231f20"/>
          <w:sz w:val="22"/>
          <w:szCs w:val="22"/>
          <w:u w:color="231f20"/>
          <w:vertAlign w:val="superscript"/>
          <w14:textFill>
            <w14:solidFill>
              <w14:srgbClr w14:val="231F20"/>
            </w14:solidFill>
          </w14:textFill>
        </w:rPr>
        <w:footnoteReference w:id="3"/>
      </w:r>
      <w:r>
        <w:rPr>
          <w:rFonts w:ascii="Garamond" w:hAnsi="Garamond"/>
          <w:outline w:val="0"/>
          <w:color w:val="231f20"/>
          <w:sz w:val="22"/>
          <w:szCs w:val="22"/>
          <w:u w:color="231f20"/>
          <w:rtl w:val="0"/>
          <w14:textFill>
            <w14:solidFill>
              <w14:srgbClr w14:val="231F20"/>
            </w14:solidFill>
          </w14:textFill>
        </w:rPr>
        <w:t>.</w:t>
      </w:r>
    </w:p>
    <w:p>
      <w:pPr>
        <w:pStyle w:val="Body"/>
        <w:tabs>
          <w:tab w:val="left" w:pos="1749"/>
        </w:tabs>
        <w:spacing w:line="254" w:lineRule="auto"/>
        <w:ind w:firstLine="567"/>
        <w:jc w:val="both"/>
        <w:rPr>
          <w:rFonts w:ascii="Garamond" w:cs="Garamond" w:hAnsi="Garamond" w:eastAsia="Garamond"/>
          <w:outline w:val="0"/>
          <w:color w:val="231f20"/>
          <w:sz w:val="22"/>
          <w:szCs w:val="22"/>
          <w:u w:color="231f20"/>
          <w14:textFill>
            <w14:solidFill>
              <w14:srgbClr w14:val="231F20"/>
            </w14:solidFill>
          </w14:textFill>
        </w:rPr>
      </w:pPr>
      <w:r>
        <w:rPr>
          <w:rFonts w:ascii="Garamond" w:hAnsi="Garamond"/>
          <w:outline w:val="0"/>
          <w:color w:val="231f20"/>
          <w:sz w:val="22"/>
          <w:szCs w:val="22"/>
          <w:u w:color="231f20"/>
          <w:rtl w:val="0"/>
          <w:lang w:val="en-US"/>
          <w14:textFill>
            <w14:solidFill>
              <w14:srgbClr w14:val="231F20"/>
            </w14:solidFill>
          </w14:textFill>
        </w:rPr>
        <w:t>Within the framework outlined by the European regulatory landscape, it can be argued that, as in other areas of banking analysis</w:t>
      </w:r>
      <w:r>
        <w:rPr>
          <w:rFonts w:ascii="Garamond" w:hAnsi="Garamond" w:hint="default"/>
          <w:outline w:val="0"/>
          <w:color w:val="231f20"/>
          <w:sz w:val="22"/>
          <w:szCs w:val="22"/>
          <w:u w:color="231f20"/>
          <w:rtl w:val="0"/>
          <w:lang w:val="en-US"/>
          <w14:textFill>
            <w14:solidFill>
              <w14:srgbClr w14:val="231F20"/>
            </w14:solidFill>
          </w14:textFill>
        </w:rPr>
        <w:t xml:space="preserve"> – </w:t>
      </w:r>
      <w:r>
        <w:rPr>
          <w:rFonts w:ascii="Garamond" w:hAnsi="Garamond"/>
          <w:outline w:val="0"/>
          <w:color w:val="231f20"/>
          <w:sz w:val="22"/>
          <w:szCs w:val="22"/>
          <w:u w:color="231f20"/>
          <w:rtl w:val="0"/>
          <w:lang w:val="en-US"/>
          <w14:textFill>
            <w14:solidFill>
              <w14:srgbClr w14:val="231F20"/>
            </w14:solidFill>
          </w14:textFill>
        </w:rPr>
        <w:t xml:space="preserve">where algorithmic processing plays an important role in systematically assessing credit risk (Montevechi, 2024; Bello, 2023; Shi et al., 2022; Chen et al., 2016) </w:t>
      </w:r>
      <w:r>
        <w:rPr>
          <w:rFonts w:ascii="Garamond" w:hAnsi="Garamond" w:hint="default"/>
          <w:outline w:val="0"/>
          <w:color w:val="231f20"/>
          <w:sz w:val="22"/>
          <w:szCs w:val="22"/>
          <w:u w:color="231f20"/>
          <w:rtl w:val="0"/>
          <w:lang w:val="en-US"/>
          <w14:textFill>
            <w14:solidFill>
              <w14:srgbClr w14:val="231F20"/>
            </w14:solidFill>
          </w14:textFill>
        </w:rPr>
        <w:t xml:space="preserve">– </w:t>
      </w:r>
      <w:r>
        <w:rPr>
          <w:rFonts w:ascii="Garamond" w:hAnsi="Garamond"/>
          <w:outline w:val="0"/>
          <w:color w:val="231f20"/>
          <w:sz w:val="22"/>
          <w:szCs w:val="22"/>
          <w:u w:color="231f20"/>
          <w:rtl w:val="0"/>
          <w:lang w:val="en-US"/>
          <w14:textFill>
            <w14:solidFill>
              <w14:srgbClr w14:val="231F20"/>
            </w14:solidFill>
          </w14:textFill>
        </w:rPr>
        <w:t>it would be desirable to apply algorithmic systems to verify the consistency of sustainability reports (Brown et al., 2016) with the aforementioned provisions on misleading environmental claims. These tools can assist in identifying critical elements and consequently preventing them. The comprehensive disclosure obligations imposed by the Union are well-suited to automated analysis using computational models capable of performing a structured comparison between declared data and the requirements imposed regarding transparency, verifiability, consistency, and measurability. Such tools could provide an efficient, objective, and replicable evaluation of the compliance of environmental and social claims made by market participants (Beyrer et al., 2022), supporting the monitoring and supervision of environmental declarations, and providing a tool for regulators. At the same time, these tools might encourage a higher level of responsibility among financial operators, as they strongly discourage evasive or manipulative conduct due to the systemic nature and the depth and detail of the analyses. This would represent a technological-regulatory application (Brownsword, 2019), consistent with the broader European strategy to prevent consumer fraud and the misallocation of resources (Weber, 2016) to truly sustainable investments. Greenwashing phenomena undermine investor and consumer confidence in a sustainable and lasting ecological transition (Teichmann et al., 2023), as they showcase only apparent, superficial, illusory, and misleading forms of sustainability.</w:t>
      </w:r>
    </w:p>
    <w:p>
      <w:pPr>
        <w:pStyle w:val="Body"/>
        <w:tabs>
          <w:tab w:val="left" w:pos="1749"/>
        </w:tabs>
        <w:spacing w:line="254" w:lineRule="auto"/>
        <w:ind w:firstLine="567"/>
        <w:jc w:val="both"/>
        <w:rPr>
          <w:rFonts w:ascii="Garamond" w:cs="Garamond" w:hAnsi="Garamond" w:eastAsia="Garamond"/>
          <w:outline w:val="0"/>
          <w:color w:val="231f20"/>
          <w:sz w:val="22"/>
          <w:szCs w:val="22"/>
          <w:u w:color="231f20"/>
          <w14:textFill>
            <w14:solidFill>
              <w14:srgbClr w14:val="231F20"/>
            </w14:solidFill>
          </w14:textFill>
        </w:rPr>
      </w:pPr>
      <w:r>
        <w:rPr>
          <w:rFonts w:ascii="Garamond" w:hAnsi="Garamond"/>
          <w:outline w:val="0"/>
          <w:color w:val="231f20"/>
          <w:sz w:val="22"/>
          <w:szCs w:val="22"/>
          <w:u w:color="231f20"/>
          <w:rtl w:val="0"/>
          <w:lang w:val="en-US"/>
          <w14:textFill>
            <w14:solidFill>
              <w14:srgbClr w14:val="231F20"/>
            </w14:solidFill>
          </w14:textFill>
        </w:rPr>
        <w:t>From a technical-operational perspective, it should be noted that implementing such automated control is not particularly complex and is, in fact, fully achievable given current technological capabilities. In particular, considering the evolution of large language models (Singh &amp; Namin, 2025), trained on extensive textual datasets and endowed with advanced semantic and syntactic competencies, it is now possible to subject very complex and specialized texts (Veeramachaneni, 2025), such as non-financial consolidated statements (Villacampa-Porta et al., 2025) prepared by banking operators, to automatic reading and interpretation (Liu et al., 2025) to detect forbidden terms as stipulated by the regulations, and to identify ambiguous, assertive, prospective formulations (Davenport, 2025) that lack objective verifiability, which could be considered in violation of the aforementioned regulations. In light of the above, the following sections will provide an illustrative example of an algorithmic tool that could operate to identify statements that lack the required verifiability, consistency, and measurability as set by European sustainability laws, offering the reader a clear and direct representation of the scope and effectiveness of such an algorithmic approach in identifying potential greenwashing practices.</w:t>
      </w:r>
    </w:p>
    <w:p>
      <w:pPr>
        <w:pStyle w:val="Body"/>
        <w:tabs>
          <w:tab w:val="left" w:pos="1749"/>
        </w:tabs>
        <w:spacing w:line="254" w:lineRule="auto"/>
        <w:jc w:val="both"/>
        <w:rPr>
          <w:rFonts w:ascii="Garamond" w:cs="Garamond" w:hAnsi="Garamond" w:eastAsia="Garamond"/>
          <w:outline w:val="0"/>
          <w:color w:val="231f20"/>
          <w:sz w:val="22"/>
          <w:szCs w:val="22"/>
          <w:u w:color="231f20"/>
          <w14:textFill>
            <w14:solidFill>
              <w14:srgbClr w14:val="231F20"/>
            </w14:solidFill>
          </w14:textFill>
        </w:rPr>
      </w:pPr>
      <w:r>
        <w:rPr>
          <w:rFonts w:ascii="Garamond" w:cs="Garamond" w:hAnsi="Garamond" w:eastAsia="Garamond"/>
          <w:outline w:val="0"/>
          <w:color w:val="231f20"/>
          <w:sz w:val="22"/>
          <w:szCs w:val="22"/>
          <w:u w:color="231f20"/>
          <w14:textFill>
            <w14:solidFill>
              <w14:srgbClr w14:val="231F20"/>
            </w14:solidFill>
          </w14:textFill>
        </w:rPr>
        <mc:AlternateContent>
          <mc:Choice Requires="wps">
            <w:drawing xmlns:a="http://schemas.openxmlformats.org/drawingml/2006/main">
              <wp:inline distT="0" distB="0" distL="0" distR="0">
                <wp:extent cx="4867148" cy="10400"/>
                <wp:effectExtent l="0" t="0" r="0" b="0"/>
                <wp:docPr id="1073741826" name="officeArt object" descr="Rectangle"/>
                <wp:cNvGraphicFramePr/>
                <a:graphic xmlns:a="http://schemas.openxmlformats.org/drawingml/2006/main">
                  <a:graphicData uri="http://schemas.microsoft.com/office/word/2010/wordprocessingShape">
                    <wps:wsp>
                      <wps:cNvSpPr/>
                      <wps:spPr>
                        <a:xfrm>
                          <a:off x="0" y="0"/>
                          <a:ext cx="4867148" cy="10400"/>
                        </a:xfrm>
                        <a:prstGeom prst="rect">
                          <a:avLst/>
                        </a:prstGeom>
                        <a:solidFill>
                          <a:srgbClr val="A0A0A0"/>
                        </a:solidFill>
                        <a:ln w="12700" cap="flat">
                          <a:noFill/>
                          <a:miter lim="400000"/>
                        </a:ln>
                        <a:effectLst/>
                      </wps:spPr>
                      <wps:bodyPr/>
                    </wps:wsp>
                  </a:graphicData>
                </a:graphic>
              </wp:inline>
            </w:drawing>
          </mc:Choice>
          <mc:Fallback>
            <w:pict>
              <v:rect id="_x0000_s1027" style="visibility:visible;width:383.2pt;height:0.8pt;">
                <v:fill color="#A0A0A0" opacity="100.0%" type="solid"/>
                <v:stroke on="f" weight="1.0pt" dashstyle="solid" endcap="flat" miterlimit="400.0%" joinstyle="miter" linestyle="single" startarrow="none" startarrowwidth="medium" startarrowlength="medium" endarrow="none" endarrowwidth="medium" endarrowlength="medium"/>
              </v:rect>
            </w:pict>
          </mc:Fallback>
        </mc:AlternateContent>
      </w:r>
    </w:p>
    <w:p>
      <w:pPr>
        <w:pStyle w:val="Body Text"/>
        <w:spacing w:before="1" w:line="254" w:lineRule="auto"/>
        <w:ind w:right="178" w:firstLine="383"/>
        <w:jc w:val="both"/>
        <w:rPr>
          <w:rFonts w:ascii="Garamond" w:cs="Garamond" w:hAnsi="Garamond" w:eastAsia="Garamond"/>
          <w:b w:val="1"/>
          <w:bCs w:val="1"/>
          <w:outline w:val="0"/>
          <w:color w:val="231f20"/>
          <w:sz w:val="22"/>
          <w:szCs w:val="22"/>
          <w:u w:color="231f20"/>
          <w:lang w:val="en-US"/>
          <w14:textFill>
            <w14:solidFill>
              <w14:srgbClr w14:val="231F20"/>
            </w14:solidFill>
          </w14:textFill>
        </w:rPr>
      </w:pPr>
    </w:p>
    <w:p>
      <w:pPr>
        <w:pStyle w:val="Body Text"/>
        <w:spacing w:before="1" w:line="254" w:lineRule="auto"/>
        <w:ind w:right="178" w:firstLine="383"/>
        <w:jc w:val="both"/>
        <w:outlineLvl w:val="0"/>
        <w:rPr>
          <w:rFonts w:ascii="Garamond" w:cs="Garamond" w:hAnsi="Garamond" w:eastAsia="Garamond"/>
          <w:b w:val="1"/>
          <w:bCs w:val="1"/>
          <w:outline w:val="0"/>
          <w:color w:val="231f20"/>
          <w:sz w:val="22"/>
          <w:szCs w:val="22"/>
          <w:u w:color="231f20"/>
          <w:lang w:val="en-US"/>
          <w14:textFill>
            <w14:solidFill>
              <w14:srgbClr w14:val="231F20"/>
            </w14:solidFill>
          </w14:textFill>
        </w:rPr>
      </w:pPr>
      <w:r>
        <w:rPr>
          <w:rFonts w:ascii="Garamond" w:hAnsi="Garamond"/>
          <w:b w:val="1"/>
          <w:bCs w:val="1"/>
          <w:outline w:val="0"/>
          <w:color w:val="231f20"/>
          <w:sz w:val="22"/>
          <w:szCs w:val="22"/>
          <w:u w:color="231f20"/>
          <w:rtl w:val="0"/>
          <w:lang w:val="en-US"/>
          <w14:textFill>
            <w14:solidFill>
              <w14:srgbClr w14:val="231F20"/>
            </w14:solidFill>
          </w14:textFill>
        </w:rPr>
        <w:t>3. Automated Analysis of Environmental Disclosures: A Case Study on Banking Sector Compliance with EU Greenwashing Regulations</w:t>
      </w:r>
    </w:p>
    <w:p>
      <w:pPr>
        <w:pStyle w:val="Body Text"/>
        <w:spacing w:before="1" w:line="254" w:lineRule="auto"/>
        <w:ind w:right="178"/>
        <w:jc w:val="both"/>
        <w:rPr>
          <w:rFonts w:ascii="Garamond" w:cs="Garamond" w:hAnsi="Garamond" w:eastAsia="Garamond"/>
          <w:outline w:val="0"/>
          <w:color w:val="231f20"/>
          <w:sz w:val="22"/>
          <w:szCs w:val="22"/>
          <w:u w:color="231f20"/>
          <w:lang w:val="en-US"/>
          <w14:textFill>
            <w14:solidFill>
              <w14:srgbClr w14:val="231F20"/>
            </w14:solidFill>
          </w14:textFill>
        </w:rPr>
      </w:pPr>
    </w:p>
    <w:p>
      <w:pPr>
        <w:pStyle w:val="Body Text"/>
        <w:spacing w:before="1" w:line="254" w:lineRule="auto"/>
        <w:ind w:right="178" w:firstLine="383"/>
        <w:jc w:val="both"/>
        <w:rPr>
          <w:rFonts w:ascii="Garamond" w:cs="Garamond" w:hAnsi="Garamond" w:eastAsia="Garamond"/>
          <w:outline w:val="0"/>
          <w:color w:val="231f20"/>
          <w:sz w:val="22"/>
          <w:szCs w:val="22"/>
          <w:u w:color="231f20"/>
          <w:lang w:val="en-US"/>
          <w14:textFill>
            <w14:solidFill>
              <w14:srgbClr w14:val="231F20"/>
            </w14:solidFill>
          </w14:textFill>
        </w:rPr>
      </w:pPr>
      <w:r>
        <w:rPr>
          <w:rFonts w:ascii="Garamond" w:hAnsi="Garamond"/>
          <w:outline w:val="0"/>
          <w:color w:val="231f20"/>
          <w:sz w:val="22"/>
          <w:szCs w:val="22"/>
          <w:u w:color="231f20"/>
          <w:rtl w:val="0"/>
          <w:lang w:val="en-US"/>
          <w14:textFill>
            <w14:solidFill>
              <w14:srgbClr w14:val="231F20"/>
            </w14:solidFill>
          </w14:textFill>
        </w:rPr>
        <w:t xml:space="preserve">It has been argued, above, that the currently available algorithms are capable of providing an automated reading of banking documentation (Gerling &amp; Lessmann, 2025), in particular on environmental statements and offering a useful tool to assess whether these statements violate the aforementioned regulations or, additionally, whether they consist of mere prospective assessments that hinder the final user from evaluating their concreteness, as they lack a defined and verifiable time horizon in the short or medium term. As will be shown shortly, in fact, algorithms can conduct a systematic search for keywords (Delgado-Chaves et al., 2025) </w:t>
      </w:r>
      <w:r>
        <w:rPr>
          <w:rFonts w:ascii="Garamond" w:hAnsi="Garamond" w:hint="default"/>
          <w:outline w:val="0"/>
          <w:color w:val="231f20"/>
          <w:sz w:val="22"/>
          <w:szCs w:val="22"/>
          <w:u w:color="231f20"/>
          <w:rtl w:val="0"/>
          <w:lang w:val="en-US"/>
          <w14:textFill>
            <w14:solidFill>
              <w14:srgbClr w14:val="231F20"/>
            </w14:solidFill>
          </w14:textFill>
        </w:rPr>
        <w:t xml:space="preserve">– </w:t>
      </w:r>
      <w:r>
        <w:rPr>
          <w:rFonts w:ascii="Garamond" w:hAnsi="Garamond"/>
          <w:outline w:val="0"/>
          <w:color w:val="231f20"/>
          <w:sz w:val="22"/>
          <w:szCs w:val="22"/>
          <w:u w:color="231f20"/>
          <w:rtl w:val="0"/>
          <w:lang w:val="en-US"/>
          <w14:textFill>
            <w14:solidFill>
              <w14:srgbClr w14:val="231F20"/>
            </w14:solidFill>
          </w14:textFill>
        </w:rPr>
        <w:t xml:space="preserve">such as those selected by the legislator for environmental disclosure practices deemed prohibited </w:t>
      </w:r>
      <w:r>
        <w:rPr>
          <w:rFonts w:ascii="Garamond" w:hAnsi="Garamond" w:hint="default"/>
          <w:outline w:val="0"/>
          <w:color w:val="231f20"/>
          <w:sz w:val="22"/>
          <w:szCs w:val="22"/>
          <w:u w:color="231f20"/>
          <w:rtl w:val="0"/>
          <w:lang w:val="en-US"/>
          <w14:textFill>
            <w14:solidFill>
              <w14:srgbClr w14:val="231F20"/>
            </w14:solidFill>
          </w14:textFill>
        </w:rPr>
        <w:t xml:space="preserve">– </w:t>
      </w:r>
      <w:r>
        <w:rPr>
          <w:rFonts w:ascii="Garamond" w:hAnsi="Garamond"/>
          <w:outline w:val="0"/>
          <w:color w:val="231f20"/>
          <w:sz w:val="22"/>
          <w:szCs w:val="22"/>
          <w:u w:color="231f20"/>
          <w:rtl w:val="0"/>
          <w:lang w:val="en-US"/>
          <w14:textFill>
            <w14:solidFill>
              <w14:srgbClr w14:val="231F20"/>
            </w14:solidFill>
          </w14:textFill>
        </w:rPr>
        <w:t xml:space="preserve">within the texts extracted from the sustainability reports contained in the consolidated non-financial statements, using pattern-matching techniques (Gu et al., 2025) that can detect the presence of expressions even in flexible forms or with minimal syntactical variations (Cong, 2025). As will be seen, the empirical analysis reveals that, with very few exceptions, almost all the consolidated non-financial statements examined contain at least one of the generic environmental expressions identified as misleading by Directive 2024/825 and </w:t>
      </w:r>
      <w:r>
        <w:rPr>
          <w:rFonts w:ascii="Garamond" w:hAnsi="Garamond" w:hint="default"/>
          <w:outline w:val="0"/>
          <w:color w:val="231f20"/>
          <w:sz w:val="22"/>
          <w:szCs w:val="22"/>
          <w:u w:color="231f20"/>
          <w:rtl w:val="0"/>
          <w:lang w:val="en-US"/>
          <w14:textFill>
            <w14:solidFill>
              <w14:srgbClr w14:val="231F20"/>
            </w14:solidFill>
          </w14:textFill>
        </w:rPr>
        <w:t xml:space="preserve">– </w:t>
      </w:r>
      <w:r>
        <w:rPr>
          <w:rFonts w:ascii="Garamond" w:hAnsi="Garamond"/>
          <w:outline w:val="0"/>
          <w:color w:val="231f20"/>
          <w:sz w:val="22"/>
          <w:szCs w:val="22"/>
          <w:u w:color="231f20"/>
          <w:rtl w:val="0"/>
          <w:lang w:val="en-US"/>
          <w14:textFill>
            <w14:solidFill>
              <w14:srgbClr w14:val="231F20"/>
            </w14:solidFill>
          </w14:textFill>
        </w:rPr>
        <w:t xml:space="preserve">across all the banking groups analyzed </w:t>
      </w:r>
      <w:r>
        <w:rPr>
          <w:rFonts w:ascii="Garamond" w:hAnsi="Garamond" w:hint="default"/>
          <w:outline w:val="0"/>
          <w:color w:val="231f20"/>
          <w:sz w:val="22"/>
          <w:szCs w:val="22"/>
          <w:u w:color="231f20"/>
          <w:rtl w:val="0"/>
          <w:lang w:val="en-US"/>
          <w14:textFill>
            <w14:solidFill>
              <w14:srgbClr w14:val="231F20"/>
            </w14:solidFill>
          </w14:textFill>
        </w:rPr>
        <w:t xml:space="preserve">– </w:t>
      </w:r>
      <w:r>
        <w:rPr>
          <w:rFonts w:ascii="Garamond" w:hAnsi="Garamond"/>
          <w:outline w:val="0"/>
          <w:color w:val="231f20"/>
          <w:sz w:val="22"/>
          <w:szCs w:val="22"/>
          <w:u w:color="231f20"/>
          <w:rtl w:val="0"/>
          <w:lang w:val="en-US"/>
          <w14:textFill>
            <w14:solidFill>
              <w14:srgbClr w14:val="231F20"/>
            </w14:solidFill>
          </w14:textFill>
        </w:rPr>
        <w:t>the recurrence of merely prospective formulation, indicative of a generalized tendency to use future projections or intentions that are not sufficiently specified from a temporal perspective.</w:t>
      </w:r>
    </w:p>
    <w:p>
      <w:pPr>
        <w:pStyle w:val="Body Text"/>
        <w:spacing w:before="1" w:line="254" w:lineRule="auto"/>
        <w:ind w:right="178" w:firstLine="383"/>
        <w:jc w:val="both"/>
        <w:rPr>
          <w:rFonts w:ascii="Garamond" w:cs="Garamond" w:hAnsi="Garamond" w:eastAsia="Garamond"/>
          <w:outline w:val="0"/>
          <w:color w:val="231f20"/>
          <w:sz w:val="22"/>
          <w:szCs w:val="22"/>
          <w:u w:color="231f20"/>
          <w:lang w:val="en-US"/>
          <w14:textFill>
            <w14:solidFill>
              <w14:srgbClr w14:val="231F20"/>
            </w14:solidFill>
          </w14:textFill>
        </w:rPr>
      </w:pPr>
      <w:r>
        <w:rPr>
          <w:rFonts w:ascii="Garamond" w:hAnsi="Garamond"/>
          <w:outline w:val="0"/>
          <w:color w:val="231f20"/>
          <w:sz w:val="22"/>
          <w:szCs w:val="22"/>
          <w:u w:color="231f20"/>
          <w:rtl w:val="0"/>
          <w:lang w:val="en-US"/>
          <w14:textFill>
            <w14:solidFill>
              <w14:srgbClr w14:val="231F20"/>
            </w14:solidFill>
          </w14:textFill>
        </w:rPr>
        <w:t xml:space="preserve">From a methodological standpoint, the study employed an algorithm developed in </w:t>
      </w:r>
      <w:r>
        <w:rPr>
          <w:rFonts w:ascii="Garamond" w:hAnsi="Garamond"/>
          <w:i w:val="1"/>
          <w:iCs w:val="1"/>
          <w:outline w:val="0"/>
          <w:color w:val="231f20"/>
          <w:sz w:val="22"/>
          <w:szCs w:val="22"/>
          <w:u w:color="231f20"/>
          <w:rtl w:val="0"/>
          <w:lang w:val="en-US"/>
          <w14:textFill>
            <w14:solidFill>
              <w14:srgbClr w14:val="231F20"/>
            </w14:solidFill>
          </w14:textFill>
        </w:rPr>
        <w:t>Python</w:t>
      </w:r>
      <w:r>
        <w:rPr>
          <w:rFonts w:ascii="Garamond" w:hAnsi="Garamond"/>
          <w:outline w:val="0"/>
          <w:color w:val="231f20"/>
          <w:sz w:val="22"/>
          <w:szCs w:val="22"/>
          <w:u w:color="231f20"/>
          <w:rtl w:val="0"/>
          <w:lang w:val="en-US"/>
          <w14:textFill>
            <w14:solidFill>
              <w14:srgbClr w14:val="231F20"/>
            </w14:solidFill>
          </w14:textFill>
        </w:rPr>
        <w:t>, specifically programmed to automatically detect the presence and frequency of generic and potentially misleading environmental expressions, as hypothesized by European regulations. The algorithm was structured to extract the text of the consolidated non-financial statements made available by the top ten European banking groups by total assets</w:t>
      </w:r>
      <w:r>
        <w:rPr>
          <w:rFonts w:ascii="Garamond" w:cs="Garamond" w:hAnsi="Garamond" w:eastAsia="Garamond"/>
          <w:outline w:val="0"/>
          <w:color w:val="231f20"/>
          <w:sz w:val="22"/>
          <w:szCs w:val="22"/>
          <w:u w:color="231f20"/>
          <w:vertAlign w:val="superscript"/>
          <w:lang w:val="en-US"/>
          <w14:textFill>
            <w14:solidFill>
              <w14:srgbClr w14:val="231F20"/>
            </w14:solidFill>
          </w14:textFill>
        </w:rPr>
        <w:footnoteReference w:id="4"/>
      </w:r>
      <w:r>
        <w:rPr>
          <w:rFonts w:ascii="Garamond" w:hAnsi="Garamond"/>
          <w:outline w:val="0"/>
          <w:color w:val="231f20"/>
          <w:sz w:val="22"/>
          <w:szCs w:val="22"/>
          <w:u w:color="231f20"/>
          <w:rtl w:val="0"/>
          <w:lang w:val="en-US"/>
          <w14:textFill>
            <w14:solidFill>
              <w14:srgbClr w14:val="231F20"/>
            </w14:solidFill>
          </w14:textFill>
        </w:rPr>
        <w:t xml:space="preserve"> retrieving all the text contained within them. Then, it searched </w:t>
      </w:r>
      <w:r>
        <w:rPr>
          <w:rFonts w:ascii="Garamond" w:hAnsi="Garamond" w:hint="default"/>
          <w:outline w:val="0"/>
          <w:color w:val="231f20"/>
          <w:sz w:val="22"/>
          <w:szCs w:val="22"/>
          <w:u w:color="231f20"/>
          <w:rtl w:val="0"/>
          <w:lang w:val="en-US"/>
          <w14:textFill>
            <w14:solidFill>
              <w14:srgbClr w14:val="231F20"/>
            </w14:solidFill>
          </w14:textFill>
        </w:rPr>
        <w:t xml:space="preserve">– </w:t>
      </w:r>
      <w:r>
        <w:rPr>
          <w:rFonts w:ascii="Garamond" w:hAnsi="Garamond"/>
          <w:outline w:val="0"/>
          <w:color w:val="231f20"/>
          <w:sz w:val="22"/>
          <w:szCs w:val="22"/>
          <w:u w:color="231f20"/>
          <w:rtl w:val="0"/>
          <w:lang w:val="en-US"/>
          <w14:textFill>
            <w14:solidFill>
              <w14:srgbClr w14:val="231F20"/>
            </w14:solidFill>
          </w14:textFill>
        </w:rPr>
        <w:t xml:space="preserve">through the </w:t>
      </w:r>
      <w:r>
        <w:rPr>
          <w:rFonts w:ascii="Garamond" w:hAnsi="Garamond"/>
          <w:i w:val="1"/>
          <w:iCs w:val="1"/>
          <w:outline w:val="0"/>
          <w:color w:val="231f20"/>
          <w:sz w:val="22"/>
          <w:szCs w:val="22"/>
          <w:u w:color="231f20"/>
          <w:rtl w:val="0"/>
          <w:lang w:val="en-US"/>
          <w14:textFill>
            <w14:solidFill>
              <w14:srgbClr w14:val="231F20"/>
            </w14:solidFill>
          </w14:textFill>
        </w:rPr>
        <w:t>re</w:t>
      </w:r>
      <w:r>
        <w:rPr>
          <w:rFonts w:ascii="Garamond" w:hAnsi="Garamond"/>
          <w:outline w:val="0"/>
          <w:color w:val="231f20"/>
          <w:sz w:val="22"/>
          <w:szCs w:val="22"/>
          <w:u w:color="231f20"/>
          <w:rtl w:val="0"/>
          <w:lang w:val="en-US"/>
          <w14:textFill>
            <w14:solidFill>
              <w14:srgbClr w14:val="231F20"/>
            </w14:solidFill>
          </w14:textFill>
        </w:rPr>
        <w:t xml:space="preserve"> package, an abbreviation for regular expressions from </w:t>
      </w:r>
      <w:r>
        <w:rPr>
          <w:rFonts w:ascii="Garamond" w:hAnsi="Garamond"/>
          <w:i w:val="1"/>
          <w:iCs w:val="1"/>
          <w:outline w:val="0"/>
          <w:color w:val="231f20"/>
          <w:sz w:val="22"/>
          <w:szCs w:val="22"/>
          <w:u w:color="231f20"/>
          <w:rtl w:val="0"/>
          <w:lang w:val="en-US"/>
          <w14:textFill>
            <w14:solidFill>
              <w14:srgbClr w14:val="231F20"/>
            </w14:solidFill>
          </w14:textFill>
        </w:rPr>
        <w:t>Python</w:t>
      </w:r>
      <w:r>
        <w:rPr>
          <w:rFonts w:ascii="Garamond" w:hAnsi="Garamond" w:hint="default"/>
          <w:outline w:val="0"/>
          <w:color w:val="231f20"/>
          <w:sz w:val="22"/>
          <w:szCs w:val="22"/>
          <w:u w:color="231f20"/>
          <w:rtl w:val="0"/>
          <w:lang w:val="en-US"/>
          <w14:textFill>
            <w14:solidFill>
              <w14:srgbClr w14:val="231F20"/>
            </w14:solidFill>
          </w14:textFill>
        </w:rPr>
        <w:t>’</w:t>
      </w:r>
      <w:r>
        <w:rPr>
          <w:rFonts w:ascii="Garamond" w:hAnsi="Garamond"/>
          <w:outline w:val="0"/>
          <w:color w:val="231f20"/>
          <w:sz w:val="22"/>
          <w:szCs w:val="22"/>
          <w:u w:color="231f20"/>
          <w:rtl w:val="0"/>
          <w:lang w:val="en-US"/>
          <w14:textFill>
            <w14:solidFill>
              <w14:srgbClr w14:val="231F20"/>
            </w14:solidFill>
          </w14:textFill>
        </w:rPr>
        <w:t xml:space="preserve">s standard library </w:t>
      </w:r>
      <w:r>
        <w:rPr>
          <w:rFonts w:ascii="Garamond" w:hAnsi="Garamond" w:hint="default"/>
          <w:outline w:val="0"/>
          <w:color w:val="231f20"/>
          <w:sz w:val="22"/>
          <w:szCs w:val="22"/>
          <w:u w:color="231f20"/>
          <w:rtl w:val="0"/>
          <w:lang w:val="en-US"/>
          <w14:textFill>
            <w14:solidFill>
              <w14:srgbClr w14:val="231F20"/>
            </w14:solidFill>
          </w14:textFill>
        </w:rPr>
        <w:t xml:space="preserve">– </w:t>
      </w:r>
      <w:r>
        <w:rPr>
          <w:rFonts w:ascii="Garamond" w:hAnsi="Garamond"/>
          <w:outline w:val="0"/>
          <w:color w:val="231f20"/>
          <w:sz w:val="22"/>
          <w:szCs w:val="22"/>
          <w:u w:color="231f20"/>
          <w:rtl w:val="0"/>
          <w:lang w:val="en-US"/>
          <w14:textFill>
            <w14:solidFill>
              <w14:srgbClr w14:val="231F20"/>
            </w14:solidFill>
          </w14:textFill>
        </w:rPr>
        <w:t>for the expressions considered as generic environmental claims by the legislator</w:t>
      </w:r>
      <w:r>
        <w:rPr>
          <w:rFonts w:ascii="Garamond" w:cs="Garamond" w:hAnsi="Garamond" w:eastAsia="Garamond"/>
          <w:outline w:val="0"/>
          <w:color w:val="231f20"/>
          <w:sz w:val="22"/>
          <w:szCs w:val="22"/>
          <w:u w:color="231f20"/>
          <w:vertAlign w:val="superscript"/>
          <w:lang w:val="en-US"/>
          <w14:textFill>
            <w14:solidFill>
              <w14:srgbClr w14:val="231F20"/>
            </w14:solidFill>
          </w14:textFill>
        </w:rPr>
        <w:footnoteReference w:id="5"/>
      </w:r>
      <w:r>
        <w:rPr>
          <w:rFonts w:ascii="Garamond" w:hAnsi="Garamond"/>
          <w:outline w:val="0"/>
          <w:color w:val="231f20"/>
          <w:sz w:val="22"/>
          <w:szCs w:val="22"/>
          <w:u w:color="231f20"/>
          <w:rtl w:val="0"/>
          <w:lang w:val="en-US"/>
          <w14:textFill>
            <w14:solidFill>
              <w14:srgbClr w14:val="231F20"/>
            </w14:solidFill>
          </w14:textFill>
        </w:rPr>
        <w:t>. These keywords were codified into a list and systematically compared to the textual content of each statement, associating each sustainability report with a score that links the banking group</w:t>
      </w:r>
      <w:r>
        <w:rPr>
          <w:rFonts w:ascii="Garamond" w:hAnsi="Garamond" w:hint="default"/>
          <w:outline w:val="0"/>
          <w:color w:val="231f20"/>
          <w:sz w:val="22"/>
          <w:szCs w:val="22"/>
          <w:u w:color="231f20"/>
          <w:rtl w:val="0"/>
          <w:lang w:val="en-US"/>
          <w14:textFill>
            <w14:solidFill>
              <w14:srgbClr w14:val="231F20"/>
            </w14:solidFill>
          </w14:textFill>
        </w:rPr>
        <w:t>’</w:t>
      </w:r>
      <w:r>
        <w:rPr>
          <w:rFonts w:ascii="Garamond" w:hAnsi="Garamond"/>
          <w:outline w:val="0"/>
          <w:color w:val="231f20"/>
          <w:sz w:val="22"/>
          <w:szCs w:val="22"/>
          <w:u w:color="231f20"/>
          <w:rtl w:val="0"/>
          <w:lang w:val="en-US"/>
          <w14:textFill>
            <w14:solidFill>
              <w14:srgbClr w14:val="231F20"/>
            </w14:solidFill>
          </w14:textFill>
        </w:rPr>
        <w:t xml:space="preserve">s name to a respective numerical value, encoding the frequency with which the generic environmental claims identified in recital 9 of Directive 2024/825 are repeated. To facilitate readability and interpretation of the result, the results were grouped in a bar chart that offers, visually, a direct comparison between the different operators. The results of the empirical analysis are shown in </w:t>
      </w:r>
      <w:r>
        <w:rPr>
          <w:rStyle w:val="Hyperlink.1"/>
          <w:rFonts w:ascii="Garamond" w:cs="Garamond" w:hAnsi="Garamond" w:eastAsia="Garamond"/>
          <w:outline w:val="0"/>
          <w:color w:val="595959"/>
          <w:sz w:val="22"/>
          <w:szCs w:val="22"/>
          <w:u w:color="595959"/>
          <w:lang w:val="en-US"/>
          <w14:textFill>
            <w14:solidFill>
              <w14:srgbClr w14:val="595959"/>
            </w14:solidFill>
          </w14:textFill>
        </w:rPr>
        <w:fldChar w:fldCharType="begin" w:fldLock="0"/>
      </w:r>
      <w:r>
        <w:rPr>
          <w:rStyle w:val="Hyperlink.1"/>
          <w:rFonts w:ascii="Garamond" w:cs="Garamond" w:hAnsi="Garamond" w:eastAsia="Garamond"/>
          <w:outline w:val="0"/>
          <w:color w:val="595959"/>
          <w:sz w:val="22"/>
          <w:szCs w:val="22"/>
          <w:u w:color="595959"/>
          <w:lang w:val="en-US"/>
          <w14:textFill>
            <w14:solidFill>
              <w14:srgbClr w14:val="595959"/>
            </w14:solidFill>
          </w14:textFill>
        </w:rPr>
        <w:instrText xml:space="preserve"> HYPERLINK \l "Figure1" </w:instrText>
      </w:r>
      <w:r>
        <w:rPr>
          <w:rStyle w:val="Hyperlink.1"/>
          <w:rFonts w:ascii="Garamond" w:cs="Garamond" w:hAnsi="Garamond" w:eastAsia="Garamond"/>
          <w:outline w:val="0"/>
          <w:color w:val="595959"/>
          <w:sz w:val="22"/>
          <w:szCs w:val="22"/>
          <w:u w:color="595959"/>
          <w:lang w:val="en-US"/>
          <w14:textFill>
            <w14:solidFill>
              <w14:srgbClr w14:val="595959"/>
            </w14:solidFill>
          </w14:textFill>
        </w:rPr>
        <w:fldChar w:fldCharType="separate" w:fldLock="0"/>
      </w:r>
      <w:r>
        <w:rPr>
          <w:rStyle w:val="Hyperlink.1"/>
          <w:rFonts w:ascii="Garamond" w:hAnsi="Garamond"/>
          <w:outline w:val="0"/>
          <w:color w:val="595959"/>
          <w:sz w:val="22"/>
          <w:szCs w:val="22"/>
          <w:u w:color="595959"/>
          <w:rtl w:val="0"/>
          <w:lang w:val="en-US"/>
          <w14:textFill>
            <w14:solidFill>
              <w14:srgbClr w14:val="595959"/>
            </w14:solidFill>
          </w14:textFill>
        </w:rPr>
        <w:t>Figure 1</w:t>
      </w:r>
      <w:r>
        <w:rPr>
          <w:lang w:val="en-US"/>
        </w:rPr>
        <w:fldChar w:fldCharType="end" w:fldLock="0"/>
      </w:r>
      <w:r>
        <w:rPr>
          <w:rFonts w:ascii="Garamond" w:hAnsi="Garamond"/>
          <w:outline w:val="0"/>
          <w:color w:val="231f20"/>
          <w:sz w:val="22"/>
          <w:szCs w:val="22"/>
          <w:u w:color="231f20"/>
          <w:rtl w:val="0"/>
          <w:lang w:val="en-US"/>
          <w14:textFill>
            <w14:solidFill>
              <w14:srgbClr w14:val="231F20"/>
            </w14:solidFill>
          </w14:textFill>
        </w:rPr>
        <w:t>, which demonstrates that almost all of the analyzed banking groups report at least one of the terms prohibited by the European legislator.</w:t>
      </w:r>
    </w:p>
    <w:p>
      <w:pPr>
        <w:pStyle w:val="Body Text"/>
        <w:spacing w:before="240" w:line="254" w:lineRule="auto"/>
        <w:ind w:right="176"/>
        <w:jc w:val="both"/>
        <w:outlineLvl w:val="0"/>
        <w:rPr>
          <w:rFonts w:ascii="Garamond" w:cs="Garamond" w:hAnsi="Garamond" w:eastAsia="Garamond"/>
          <w:b w:val="1"/>
          <w:bCs w:val="1"/>
          <w:outline w:val="0"/>
          <w:color w:val="231f20"/>
          <w:sz w:val="22"/>
          <w:szCs w:val="22"/>
          <w:u w:color="231f20"/>
          <w:lang w:val="en-US"/>
          <w14:textFill>
            <w14:solidFill>
              <w14:srgbClr w14:val="231F20"/>
            </w14:solidFill>
          </w14:textFill>
        </w:rPr>
      </w:pPr>
      <w:r>
        <w:rPr>
          <w:rFonts w:ascii="Garamond" w:hAnsi="Garamond"/>
          <w:b w:val="1"/>
          <w:bCs w:val="1"/>
          <w:outline w:val="0"/>
          <w:color w:val="231f20"/>
          <w:sz w:val="22"/>
          <w:szCs w:val="22"/>
          <w:u w:color="231f20"/>
          <w:rtl w:val="0"/>
          <w:lang w:val="en-US"/>
          <w14:textFill>
            <w14:solidFill>
              <w14:srgbClr w14:val="231F20"/>
            </w14:solidFill>
          </w14:textFill>
        </w:rPr>
        <w:t>Figure 1:</w:t>
      </w:r>
    </w:p>
    <w:p>
      <w:pPr>
        <w:pStyle w:val="Body Text"/>
        <w:spacing w:before="1" w:line="254" w:lineRule="auto"/>
        <w:ind w:right="178"/>
        <w:jc w:val="both"/>
        <w:rPr>
          <w:rFonts w:ascii="Garamond" w:cs="Garamond" w:hAnsi="Garamond" w:eastAsia="Garamond"/>
          <w:outline w:val="0"/>
          <w:color w:val="231f20"/>
          <w:sz w:val="22"/>
          <w:szCs w:val="22"/>
          <w:u w:color="231f20"/>
          <w14:textFill>
            <w14:solidFill>
              <w14:srgbClr w14:val="231F20"/>
            </w14:solidFill>
          </w14:textFill>
        </w:rPr>
      </w:pPr>
      <w:bookmarkStart w:name="Figure1" w:id="0"/>
      <w:r>
        <w:rPr>
          <w:rFonts w:ascii="Garamond" w:cs="Garamond" w:hAnsi="Garamond" w:eastAsia="Garamond"/>
          <w:outline w:val="0"/>
          <w:color w:val="231f20"/>
          <w:sz w:val="22"/>
          <w:szCs w:val="22"/>
          <w:u w:color="231f20"/>
          <w14:textFill>
            <w14:solidFill>
              <w14:srgbClr w14:val="231F20"/>
            </w14:solidFill>
          </w14:textFill>
        </w:rPr>
        <w:drawing xmlns:a="http://schemas.openxmlformats.org/drawingml/2006/main">
          <wp:inline distT="0" distB="0" distL="0" distR="0">
            <wp:extent cx="4754119" cy="2852471"/>
            <wp:effectExtent l="0" t="0" r="0" b="0"/>
            <wp:docPr id="1073741827" name="officeArt object" descr="Picture 6"/>
            <wp:cNvGraphicFramePr/>
            <a:graphic xmlns:a="http://schemas.openxmlformats.org/drawingml/2006/main">
              <a:graphicData uri="http://schemas.openxmlformats.org/drawingml/2006/picture">
                <pic:pic xmlns:pic="http://schemas.openxmlformats.org/drawingml/2006/picture">
                  <pic:nvPicPr>
                    <pic:cNvPr id="1073741827" name="Picture 6" descr="Picture 6"/>
                    <pic:cNvPicPr>
                      <a:picLocks noChangeAspect="1"/>
                    </pic:cNvPicPr>
                  </pic:nvPicPr>
                  <pic:blipFill>
                    <a:blip r:embed="rId4">
                      <a:extLst/>
                    </a:blip>
                    <a:stretch>
                      <a:fillRect/>
                    </a:stretch>
                  </pic:blipFill>
                  <pic:spPr>
                    <a:xfrm>
                      <a:off x="0" y="0"/>
                      <a:ext cx="4754119" cy="2852471"/>
                    </a:xfrm>
                    <a:prstGeom prst="rect">
                      <a:avLst/>
                    </a:prstGeom>
                    <a:ln w="12700" cap="flat">
                      <a:noFill/>
                      <a:miter lim="400000"/>
                    </a:ln>
                    <a:effectLst/>
                  </pic:spPr>
                </pic:pic>
              </a:graphicData>
            </a:graphic>
          </wp:inline>
        </w:drawing>
      </w:r>
      <w:bookmarkEnd w:id="0"/>
    </w:p>
    <w:p>
      <w:pPr>
        <w:pStyle w:val="Body Text"/>
        <w:spacing w:before="1" w:after="240" w:line="254" w:lineRule="auto"/>
        <w:ind w:right="176"/>
        <w:jc w:val="both"/>
        <w:rPr>
          <w:rFonts w:ascii="Garamond" w:cs="Garamond" w:hAnsi="Garamond" w:eastAsia="Garamond"/>
          <w:outline w:val="0"/>
          <w:color w:val="231f20"/>
          <w:u w:color="231f20"/>
          <w:lang w:val="en-US"/>
          <w14:textFill>
            <w14:solidFill>
              <w14:srgbClr w14:val="231F20"/>
            </w14:solidFill>
          </w14:textFill>
        </w:rPr>
      </w:pPr>
      <w:r>
        <w:rPr>
          <w:rFonts w:ascii="Garamond" w:hAnsi="Garamond"/>
          <w:outline w:val="0"/>
          <w:color w:val="231f20"/>
          <w:u w:color="231f20"/>
          <w:rtl w:val="0"/>
          <w:lang w:val="en-US"/>
          <w14:textFill>
            <w14:solidFill>
              <w14:srgbClr w14:val="231F20"/>
            </w14:solidFill>
          </w14:textFill>
        </w:rPr>
        <w:t>Note: The graph shows the proportion of occurrences of generic claims related to greenwashing practices, as derived from the list provided by Directive 2024/825, based on the text contained in the consolidated non-financial statements of the top ten European banking institutions by capitalization. Each bar represents a single banking operator, with the horizontal axis showing the bank names and the vertical axis indicating the number of generic environmental claims identified in the text. The dashed blue line represents the median number of occurrences, providing a robust central measure relative to the extremes.</w:t>
      </w:r>
    </w:p>
    <w:p>
      <w:pPr>
        <w:pStyle w:val="Body Text"/>
        <w:spacing w:before="1" w:line="254" w:lineRule="auto"/>
        <w:ind w:right="178" w:firstLine="383"/>
        <w:jc w:val="both"/>
        <w:rPr>
          <w:rFonts w:ascii="Garamond" w:cs="Garamond" w:hAnsi="Garamond" w:eastAsia="Garamond"/>
          <w:outline w:val="0"/>
          <w:color w:val="231f20"/>
          <w:sz w:val="22"/>
          <w:szCs w:val="22"/>
          <w:u w:color="231f20"/>
          <w:lang w:val="en-US"/>
          <w14:textFill>
            <w14:solidFill>
              <w14:srgbClr w14:val="231F20"/>
            </w14:solidFill>
          </w14:textFill>
        </w:rPr>
      </w:pPr>
      <w:r>
        <w:rPr>
          <w:rFonts w:ascii="Garamond" w:hAnsi="Garamond"/>
          <w:outline w:val="0"/>
          <w:color w:val="231f20"/>
          <w:sz w:val="22"/>
          <w:szCs w:val="22"/>
          <w:u w:color="231f20"/>
          <w:rtl w:val="0"/>
          <w:lang w:val="en-US"/>
          <w14:textFill>
            <w14:solidFill>
              <w14:srgbClr w14:val="231F20"/>
            </w14:solidFill>
          </w14:textFill>
        </w:rPr>
        <w:t xml:space="preserve">As shown in the graph above, the results demonstrate a widespread tendency, although not homogeneous, to use generic formulations that are considered by the European legislator as misleading and deceptive environmental claims. There is notable variability between the different operators, but what stands out from a systemic perspective is the cross-cutting presence of statements that do not seem compatible with the clarity, reliability, and verifiability requirements set by European regulations. The empirical analysis shows a disconnect between the formal presence of information and the substantial requirement for its reliability, clearly indicating a widespread communicative practice that could, in theory, generate an undue and potentially unlawful reputational advantage under the scope of the generic environmental claims prohibited by Directive 2024/825. The prohibition on using expressions that, while not strictly false, are capable of misleading the average consumer </w:t>
      </w:r>
      <w:r>
        <w:rPr>
          <w:rFonts w:ascii="Garamond" w:hAnsi="Garamond" w:hint="default"/>
          <w:outline w:val="0"/>
          <w:color w:val="231f20"/>
          <w:sz w:val="22"/>
          <w:szCs w:val="22"/>
          <w:u w:color="231f20"/>
          <w:rtl w:val="0"/>
          <w:lang w:val="en-US"/>
          <w14:textFill>
            <w14:solidFill>
              <w14:srgbClr w14:val="231F20"/>
            </w14:solidFill>
          </w14:textFill>
        </w:rPr>
        <w:t xml:space="preserve">– </w:t>
      </w:r>
      <w:r>
        <w:rPr>
          <w:rFonts w:ascii="Garamond" w:hAnsi="Garamond"/>
          <w:outline w:val="0"/>
          <w:color w:val="231f20"/>
          <w:sz w:val="22"/>
          <w:szCs w:val="22"/>
          <w:u w:color="231f20"/>
          <w:rtl w:val="0"/>
          <w:lang w:val="en-US"/>
          <w14:textFill>
            <w14:solidFill>
              <w14:srgbClr w14:val="231F20"/>
            </w14:solidFill>
          </w14:textFill>
        </w:rPr>
        <w:t xml:space="preserve">due to their vagueness, lack of contextual references, and absence of measurability or verifiability (Van der Ven, 2019) </w:t>
      </w:r>
      <w:r>
        <w:rPr>
          <w:rFonts w:ascii="Garamond" w:hAnsi="Garamond" w:hint="default"/>
          <w:outline w:val="0"/>
          <w:color w:val="231f20"/>
          <w:sz w:val="22"/>
          <w:szCs w:val="22"/>
          <w:u w:color="231f20"/>
          <w:rtl w:val="0"/>
          <w:lang w:val="en-US"/>
          <w14:textFill>
            <w14:solidFill>
              <w14:srgbClr w14:val="231F20"/>
            </w14:solidFill>
          </w14:textFill>
        </w:rPr>
        <w:t xml:space="preserve">– </w:t>
      </w:r>
      <w:r>
        <w:rPr>
          <w:rFonts w:ascii="Garamond" w:hAnsi="Garamond"/>
          <w:outline w:val="0"/>
          <w:color w:val="231f20"/>
          <w:sz w:val="22"/>
          <w:szCs w:val="22"/>
          <w:u w:color="231f20"/>
          <w:rtl w:val="0"/>
          <w:lang w:val="en-US"/>
          <w14:textFill>
            <w14:solidFill>
              <w14:srgbClr w14:val="231F20"/>
            </w14:solidFill>
          </w14:textFill>
        </w:rPr>
        <w:t>stems from the European recognition that environmental semantics is a crucial competitive lever and, as such, needs to be subject to both formal and substantial constraints. In this context, it is evident that banking institutions will need, in the near future, to radically reformulate their sustainability statements, at least in relation to the syntactical and semantic quality of the environmental claims contained in their consolidated non-financial statements.</w:t>
      </w:r>
    </w:p>
    <w:p>
      <w:pPr>
        <w:pStyle w:val="Body Text"/>
        <w:spacing w:before="1" w:line="254" w:lineRule="auto"/>
        <w:ind w:right="178" w:firstLine="383"/>
        <w:jc w:val="both"/>
        <w:rPr>
          <w:rFonts w:ascii="Garamond" w:cs="Garamond" w:hAnsi="Garamond" w:eastAsia="Garamond"/>
          <w:outline w:val="0"/>
          <w:color w:val="231f20"/>
          <w:sz w:val="22"/>
          <w:szCs w:val="22"/>
          <w:u w:color="231f20"/>
          <w:lang w:val="en-US"/>
          <w14:textFill>
            <w14:solidFill>
              <w14:srgbClr w14:val="231F20"/>
            </w14:solidFill>
          </w14:textFill>
        </w:rPr>
      </w:pPr>
      <w:r>
        <w:rPr>
          <w:rFonts w:ascii="Garamond" w:hAnsi="Garamond"/>
          <w:outline w:val="0"/>
          <w:color w:val="231f20"/>
          <w:sz w:val="22"/>
          <w:szCs w:val="22"/>
          <w:u w:color="231f20"/>
          <w:rtl w:val="0"/>
          <w:lang w:val="en-US"/>
          <w14:textFill>
            <w14:solidFill>
              <w14:srgbClr w14:val="231F20"/>
            </w14:solidFill>
          </w14:textFill>
        </w:rPr>
        <w:t>The need for a reconsideration of communication strategies concerning sustainability and non-financial disclosures becomes even clearer when analyzing the presence of purely prospective claims within these reports</w:t>
      </w:r>
      <w:r>
        <w:rPr>
          <w:rFonts w:ascii="Garamond" w:cs="Garamond" w:hAnsi="Garamond" w:eastAsia="Garamond"/>
          <w:outline w:val="0"/>
          <w:color w:val="231f20"/>
          <w:sz w:val="22"/>
          <w:szCs w:val="22"/>
          <w:u w:color="231f20"/>
          <w:vertAlign w:val="superscript"/>
          <w:lang w:val="en-US"/>
          <w14:textFill>
            <w14:solidFill>
              <w14:srgbClr w14:val="231F20"/>
            </w14:solidFill>
          </w14:textFill>
        </w:rPr>
        <w:footnoteReference w:id="6"/>
      </w:r>
      <w:r>
        <w:rPr>
          <w:rFonts w:ascii="Garamond" w:hAnsi="Garamond"/>
          <w:outline w:val="0"/>
          <w:color w:val="231f20"/>
          <w:sz w:val="22"/>
          <w:szCs w:val="22"/>
          <w:u w:color="231f20"/>
          <w:rtl w:val="0"/>
          <w:lang w:val="en-US"/>
          <w14:textFill>
            <w14:solidFill>
              <w14:srgbClr w14:val="231F20"/>
            </w14:solidFill>
          </w14:textFill>
        </w:rPr>
        <w:t xml:space="preserve">. In this case, using another algorithm </w:t>
      </w:r>
      <w:r>
        <w:rPr>
          <w:rFonts w:ascii="Garamond" w:hAnsi="Garamond" w:hint="default"/>
          <w:outline w:val="0"/>
          <w:color w:val="231f20"/>
          <w:sz w:val="22"/>
          <w:szCs w:val="22"/>
          <w:u w:color="231f20"/>
          <w:rtl w:val="0"/>
          <w:lang w:val="en-US"/>
          <w14:textFill>
            <w14:solidFill>
              <w14:srgbClr w14:val="231F20"/>
            </w14:solidFill>
          </w14:textFill>
        </w:rPr>
        <w:t xml:space="preserve">– </w:t>
      </w:r>
      <w:r>
        <w:rPr>
          <w:rFonts w:ascii="Garamond" w:hAnsi="Garamond"/>
          <w:outline w:val="0"/>
          <w:color w:val="231f20"/>
          <w:sz w:val="22"/>
          <w:szCs w:val="22"/>
          <w:u w:color="231f20"/>
          <w:rtl w:val="0"/>
          <w:lang w:val="en-US"/>
          <w14:textFill>
            <w14:solidFill>
              <w14:srgbClr w14:val="231F20"/>
            </w14:solidFill>
          </w14:textFill>
        </w:rPr>
        <w:t xml:space="preserve">based on the combination of </w:t>
      </w:r>
      <w:r>
        <w:rPr>
          <w:rFonts w:ascii="Garamond" w:hAnsi="Garamond"/>
          <w:i w:val="1"/>
          <w:iCs w:val="1"/>
          <w:outline w:val="0"/>
          <w:color w:val="231f20"/>
          <w:sz w:val="22"/>
          <w:szCs w:val="22"/>
          <w:u w:color="231f20"/>
          <w:rtl w:val="0"/>
          <w:lang w:val="en-US"/>
          <w14:textFill>
            <w14:solidFill>
              <w14:srgbClr w14:val="231F20"/>
            </w14:solidFill>
          </w14:textFill>
        </w:rPr>
        <w:t>re</w:t>
      </w:r>
      <w:r>
        <w:rPr>
          <w:rFonts w:ascii="Garamond" w:hAnsi="Garamond"/>
          <w:outline w:val="0"/>
          <w:color w:val="231f20"/>
          <w:sz w:val="22"/>
          <w:szCs w:val="22"/>
          <w:u w:color="231f20"/>
          <w:rtl w:val="0"/>
          <w:lang w:val="en-US"/>
          <w14:textFill>
            <w14:solidFill>
              <w14:srgbClr w14:val="231F20"/>
            </w14:solidFill>
          </w14:textFill>
        </w:rPr>
        <w:t xml:space="preserve"> with the additional Python package </w:t>
      </w:r>
      <w:r>
        <w:rPr>
          <w:rFonts w:ascii="Garamond" w:hAnsi="Garamond"/>
          <w:i w:val="1"/>
          <w:iCs w:val="1"/>
          <w:outline w:val="0"/>
          <w:color w:val="231f20"/>
          <w:sz w:val="22"/>
          <w:szCs w:val="22"/>
          <w:u w:color="231f20"/>
          <w:rtl w:val="0"/>
          <w:lang w:val="en-US"/>
          <w14:textFill>
            <w14:solidFill>
              <w14:srgbClr w14:val="231F20"/>
            </w14:solidFill>
          </w14:textFill>
        </w:rPr>
        <w:t xml:space="preserve">contextlib </w:t>
      </w:r>
      <w:r>
        <w:rPr>
          <w:rFonts w:ascii="Garamond" w:hAnsi="Garamond"/>
          <w:outline w:val="0"/>
          <w:color w:val="231f20"/>
          <w:sz w:val="22"/>
          <w:szCs w:val="22"/>
          <w:u w:color="231f20"/>
          <w:rtl w:val="0"/>
          <w:lang w:val="en-US"/>
          <w14:textFill>
            <w14:solidFill>
              <w14:srgbClr w14:val="231F20"/>
            </w14:solidFill>
          </w14:textFill>
        </w:rPr>
        <w:t xml:space="preserve">for evaluating regular expressions </w:t>
      </w:r>
      <w:r>
        <w:rPr>
          <w:rFonts w:ascii="Garamond" w:hAnsi="Garamond" w:hint="default"/>
          <w:outline w:val="0"/>
          <w:color w:val="231f20"/>
          <w:sz w:val="22"/>
          <w:szCs w:val="22"/>
          <w:u w:color="231f20"/>
          <w:rtl w:val="0"/>
          <w:lang w:val="en-US"/>
          <w14:textFill>
            <w14:solidFill>
              <w14:srgbClr w14:val="231F20"/>
            </w14:solidFill>
          </w14:textFill>
        </w:rPr>
        <w:t xml:space="preserve">– </w:t>
      </w:r>
      <w:r>
        <w:rPr>
          <w:rFonts w:ascii="Garamond" w:hAnsi="Garamond"/>
          <w:outline w:val="0"/>
          <w:color w:val="231f20"/>
          <w:sz w:val="22"/>
          <w:szCs w:val="22"/>
          <w:u w:color="231f20"/>
          <w:rtl w:val="0"/>
          <w:lang w:val="en-US"/>
          <w14:textFill>
            <w14:solidFill>
              <w14:srgbClr w14:val="231F20"/>
            </w14:solidFill>
          </w14:textFill>
        </w:rPr>
        <w:t xml:space="preserve">it is possible to identify occurrences of linguistic formulations indicative of a form of </w:t>
      </w:r>
      <w:r>
        <w:rPr>
          <w:rFonts w:ascii="Garamond" w:hAnsi="Garamond" w:hint="default"/>
          <w:outline w:val="0"/>
          <w:color w:val="231f20"/>
          <w:sz w:val="22"/>
          <w:szCs w:val="22"/>
          <w:u w:color="231f20"/>
          <w:rtl w:val="0"/>
          <w:lang w:val="en-US"/>
          <w14:textFill>
            <w14:solidFill>
              <w14:srgbClr w14:val="231F20"/>
            </w14:solidFill>
          </w14:textFill>
        </w:rPr>
        <w:t>“</w:t>
      </w:r>
      <w:r>
        <w:rPr>
          <w:rFonts w:ascii="Garamond" w:hAnsi="Garamond"/>
          <w:outline w:val="0"/>
          <w:color w:val="231f20"/>
          <w:sz w:val="22"/>
          <w:szCs w:val="22"/>
          <w:u w:color="231f20"/>
          <w:rtl w:val="0"/>
          <w:lang w:val="en-US"/>
          <w14:textFill>
            <w14:solidFill>
              <w14:srgbClr w14:val="231F20"/>
            </w14:solidFill>
          </w14:textFill>
        </w:rPr>
        <w:t>prospective greenwashing,</w:t>
      </w:r>
      <w:r>
        <w:rPr>
          <w:rFonts w:ascii="Garamond" w:hAnsi="Garamond" w:hint="default"/>
          <w:outline w:val="0"/>
          <w:color w:val="231f20"/>
          <w:sz w:val="22"/>
          <w:szCs w:val="22"/>
          <w:u w:color="231f20"/>
          <w:rtl w:val="0"/>
          <w:lang w:val="en-US"/>
          <w14:textFill>
            <w14:solidFill>
              <w14:srgbClr w14:val="231F20"/>
            </w14:solidFill>
          </w14:textFill>
        </w:rPr>
        <w:t xml:space="preserve">” </w:t>
      </w:r>
      <w:r>
        <w:rPr>
          <w:rFonts w:ascii="Garamond" w:hAnsi="Garamond"/>
          <w:outline w:val="0"/>
          <w:color w:val="231f20"/>
          <w:sz w:val="22"/>
          <w:szCs w:val="22"/>
          <w:u w:color="231f20"/>
          <w:rtl w:val="0"/>
          <w:lang w:val="en-US"/>
          <w14:textFill>
            <w14:solidFill>
              <w14:srgbClr w14:val="231F20"/>
            </w14:solidFill>
          </w14:textFill>
        </w:rPr>
        <w:t xml:space="preserve">i.e., formulas referring to mere, unquantified future commitments. These expressions refer to goals in the process of definition or statements that, while referring to environmental sustainability, constitute non-binding claims or fail to provide objective feedback about current environmental performance. This approach aims to empirically quantify the use of potentially elusive environmental rhetoric, providing a synthetic indicator of the use of purely prospective environmental rhetoric, which may be misleading. The results of this empirical exercise are presented in </w:t>
      </w:r>
      <w:r>
        <w:rPr>
          <w:rStyle w:val="Hyperlink.1"/>
          <w:rFonts w:ascii="Garamond" w:cs="Garamond" w:hAnsi="Garamond" w:eastAsia="Garamond"/>
          <w:outline w:val="0"/>
          <w:color w:val="595959"/>
          <w:sz w:val="22"/>
          <w:szCs w:val="22"/>
          <w:u w:color="595959"/>
          <w:lang w:val="en-US"/>
          <w14:textFill>
            <w14:solidFill>
              <w14:srgbClr w14:val="595959"/>
            </w14:solidFill>
          </w14:textFill>
        </w:rPr>
        <w:fldChar w:fldCharType="begin" w:fldLock="0"/>
      </w:r>
      <w:r>
        <w:rPr>
          <w:rStyle w:val="Hyperlink.1"/>
          <w:rFonts w:ascii="Garamond" w:cs="Garamond" w:hAnsi="Garamond" w:eastAsia="Garamond"/>
          <w:outline w:val="0"/>
          <w:color w:val="595959"/>
          <w:sz w:val="22"/>
          <w:szCs w:val="22"/>
          <w:u w:color="595959"/>
          <w:lang w:val="en-US"/>
          <w14:textFill>
            <w14:solidFill>
              <w14:srgbClr w14:val="595959"/>
            </w14:solidFill>
          </w14:textFill>
        </w:rPr>
        <w:instrText xml:space="preserve"> HYPERLINK \l "Figure2" </w:instrText>
      </w:r>
      <w:r>
        <w:rPr>
          <w:rStyle w:val="Hyperlink.1"/>
          <w:rFonts w:ascii="Garamond" w:cs="Garamond" w:hAnsi="Garamond" w:eastAsia="Garamond"/>
          <w:outline w:val="0"/>
          <w:color w:val="595959"/>
          <w:sz w:val="22"/>
          <w:szCs w:val="22"/>
          <w:u w:color="595959"/>
          <w:lang w:val="en-US"/>
          <w14:textFill>
            <w14:solidFill>
              <w14:srgbClr w14:val="595959"/>
            </w14:solidFill>
          </w14:textFill>
        </w:rPr>
        <w:fldChar w:fldCharType="separate" w:fldLock="0"/>
      </w:r>
      <w:r>
        <w:rPr>
          <w:rStyle w:val="Hyperlink.1"/>
          <w:rFonts w:ascii="Garamond" w:hAnsi="Garamond"/>
          <w:outline w:val="0"/>
          <w:color w:val="595959"/>
          <w:sz w:val="22"/>
          <w:szCs w:val="22"/>
          <w:u w:color="595959"/>
          <w:rtl w:val="0"/>
          <w:lang w:val="en-US"/>
          <w14:textFill>
            <w14:solidFill>
              <w14:srgbClr w14:val="595959"/>
            </w14:solidFill>
          </w14:textFill>
        </w:rPr>
        <w:t>Figure 2</w:t>
      </w:r>
      <w:r>
        <w:rPr>
          <w:lang w:val="en-US"/>
        </w:rPr>
        <w:fldChar w:fldCharType="end" w:fldLock="0"/>
      </w:r>
      <w:r>
        <w:rPr>
          <w:rFonts w:ascii="Garamond" w:hAnsi="Garamond"/>
          <w:outline w:val="0"/>
          <w:color w:val="231f20"/>
          <w:sz w:val="22"/>
          <w:szCs w:val="22"/>
          <w:u w:color="231f20"/>
          <w:rtl w:val="0"/>
          <w:lang w:val="en-US"/>
          <w14:textFill>
            <w14:solidFill>
              <w14:srgbClr w14:val="231F20"/>
            </w14:solidFill>
          </w14:textFill>
        </w:rPr>
        <w:t>.</w:t>
      </w:r>
    </w:p>
    <w:p>
      <w:pPr>
        <w:pStyle w:val="Body Text"/>
        <w:spacing w:before="1" w:line="254" w:lineRule="auto"/>
        <w:ind w:right="178" w:firstLine="383"/>
        <w:jc w:val="both"/>
        <w:rPr>
          <w:rFonts w:ascii="Garamond" w:cs="Garamond" w:hAnsi="Garamond" w:eastAsia="Garamond"/>
          <w:b w:val="1"/>
          <w:bCs w:val="1"/>
          <w:outline w:val="0"/>
          <w:color w:val="231f20"/>
          <w:sz w:val="22"/>
          <w:szCs w:val="22"/>
          <w:u w:color="231f20"/>
          <w:lang w:val="en-US"/>
          <w14:textFill>
            <w14:solidFill>
              <w14:srgbClr w14:val="231F20"/>
            </w14:solidFill>
          </w14:textFill>
        </w:rPr>
      </w:pPr>
    </w:p>
    <w:p>
      <w:pPr>
        <w:pStyle w:val="Body Text"/>
        <w:spacing w:before="1" w:line="254" w:lineRule="auto"/>
        <w:ind w:right="178"/>
        <w:jc w:val="both"/>
        <w:outlineLvl w:val="0"/>
        <w:rPr>
          <w:rFonts w:ascii="Garamond" w:cs="Garamond" w:hAnsi="Garamond" w:eastAsia="Garamond"/>
          <w:b w:val="1"/>
          <w:bCs w:val="1"/>
          <w:outline w:val="0"/>
          <w:color w:val="231f20"/>
          <w:sz w:val="22"/>
          <w:szCs w:val="22"/>
          <w:u w:color="231f20"/>
          <w:lang w:val="en-US"/>
          <w14:textFill>
            <w14:solidFill>
              <w14:srgbClr w14:val="231F20"/>
            </w14:solidFill>
          </w14:textFill>
        </w:rPr>
      </w:pPr>
      <w:r>
        <w:rPr>
          <w:rFonts w:ascii="Garamond" w:hAnsi="Garamond"/>
          <w:b w:val="1"/>
          <w:bCs w:val="1"/>
          <w:outline w:val="0"/>
          <w:color w:val="231f20"/>
          <w:sz w:val="22"/>
          <w:szCs w:val="22"/>
          <w:u w:color="231f20"/>
          <w:rtl w:val="0"/>
          <w:lang w:val="en-US"/>
          <w14:textFill>
            <w14:solidFill>
              <w14:srgbClr w14:val="231F20"/>
            </w14:solidFill>
          </w14:textFill>
        </w:rPr>
        <w:t>Figure 2:</w:t>
      </w:r>
    </w:p>
    <w:p>
      <w:pPr>
        <w:pStyle w:val="Body Text"/>
        <w:spacing w:before="1" w:line="254" w:lineRule="auto"/>
        <w:ind w:right="178"/>
        <w:jc w:val="both"/>
        <w:rPr>
          <w:rFonts w:ascii="Garamond" w:cs="Garamond" w:hAnsi="Garamond" w:eastAsia="Garamond"/>
          <w:outline w:val="0"/>
          <w:color w:val="231f20"/>
          <w:sz w:val="22"/>
          <w:szCs w:val="22"/>
          <w:u w:color="231f20"/>
          <w14:textFill>
            <w14:solidFill>
              <w14:srgbClr w14:val="231F20"/>
            </w14:solidFill>
          </w14:textFill>
        </w:rPr>
      </w:pPr>
      <w:bookmarkStart w:name="Figure2" w:id="1"/>
      <w:r>
        <w:rPr>
          <w:rFonts w:ascii="Garamond" w:cs="Garamond" w:hAnsi="Garamond" w:eastAsia="Garamond"/>
          <w:outline w:val="0"/>
          <w:color w:val="231f20"/>
          <w:sz w:val="22"/>
          <w:szCs w:val="22"/>
          <w:u w:color="231f20"/>
          <w14:textFill>
            <w14:solidFill>
              <w14:srgbClr w14:val="231F20"/>
            </w14:solidFill>
          </w14:textFill>
        </w:rPr>
        <w:drawing xmlns:a="http://schemas.openxmlformats.org/drawingml/2006/main">
          <wp:inline distT="0" distB="0" distL="0" distR="0">
            <wp:extent cx="4754119" cy="2852471"/>
            <wp:effectExtent l="0" t="0" r="0" b="0"/>
            <wp:docPr id="1073741828" name="officeArt object" descr="Picture 5"/>
            <wp:cNvGraphicFramePr/>
            <a:graphic xmlns:a="http://schemas.openxmlformats.org/drawingml/2006/main">
              <a:graphicData uri="http://schemas.openxmlformats.org/drawingml/2006/picture">
                <pic:pic xmlns:pic="http://schemas.openxmlformats.org/drawingml/2006/picture">
                  <pic:nvPicPr>
                    <pic:cNvPr id="1073741828" name="Picture 5" descr="Picture 5"/>
                    <pic:cNvPicPr>
                      <a:picLocks noChangeAspect="1"/>
                    </pic:cNvPicPr>
                  </pic:nvPicPr>
                  <pic:blipFill>
                    <a:blip r:embed="rId5">
                      <a:extLst/>
                    </a:blip>
                    <a:stretch>
                      <a:fillRect/>
                    </a:stretch>
                  </pic:blipFill>
                  <pic:spPr>
                    <a:xfrm>
                      <a:off x="0" y="0"/>
                      <a:ext cx="4754119" cy="2852471"/>
                    </a:xfrm>
                    <a:prstGeom prst="rect">
                      <a:avLst/>
                    </a:prstGeom>
                    <a:ln w="12700" cap="flat">
                      <a:noFill/>
                      <a:miter lim="400000"/>
                    </a:ln>
                    <a:effectLst/>
                  </pic:spPr>
                </pic:pic>
              </a:graphicData>
            </a:graphic>
          </wp:inline>
        </w:drawing>
      </w:r>
      <w:bookmarkEnd w:id="1"/>
    </w:p>
    <w:p>
      <w:pPr>
        <w:pStyle w:val="Body Text"/>
        <w:spacing w:before="1" w:after="240" w:line="254" w:lineRule="auto"/>
        <w:ind w:right="176"/>
        <w:jc w:val="both"/>
        <w:rPr>
          <w:rFonts w:ascii="Garamond" w:cs="Garamond" w:hAnsi="Garamond" w:eastAsia="Garamond"/>
          <w:outline w:val="0"/>
          <w:color w:val="231f20"/>
          <w:u w:color="231f20"/>
          <w:lang w:val="en-US"/>
          <w14:textFill>
            <w14:solidFill>
              <w14:srgbClr w14:val="231F20"/>
            </w14:solidFill>
          </w14:textFill>
        </w:rPr>
      </w:pPr>
      <w:r>
        <w:rPr>
          <w:rFonts w:ascii="Garamond" w:hAnsi="Garamond"/>
          <w:outline w:val="0"/>
          <w:color w:val="231f20"/>
          <w:u w:color="231f20"/>
          <w:rtl w:val="0"/>
          <w:lang w:val="en-US"/>
          <w14:textFill>
            <w14:solidFill>
              <w14:srgbClr w14:val="231F20"/>
            </w14:solidFill>
          </w14:textFill>
        </w:rPr>
        <w:t>Note: The graph shows the number of occurrences, per page, of purely prospective claims that could, in theory, be considered forms of greenwashing under Directive 2024/825. The analysis is based on the content of the consolidated non-financial statements of the top ten European banking institutions by market capitalization. Each bar represents a single banking operator, with the horizontal axis showing the bank names and the vertical axis indicating the rate of prospective environmental claims identified in the text.</w:t>
      </w:r>
    </w:p>
    <w:p>
      <w:pPr>
        <w:pStyle w:val="Body Text"/>
        <w:spacing w:before="1" w:line="254" w:lineRule="auto"/>
        <w:ind w:right="178" w:firstLine="383"/>
        <w:jc w:val="both"/>
        <w:rPr>
          <w:rFonts w:ascii="Garamond" w:cs="Garamond" w:hAnsi="Garamond" w:eastAsia="Garamond"/>
          <w:outline w:val="0"/>
          <w:color w:val="231f20"/>
          <w:sz w:val="22"/>
          <w:szCs w:val="22"/>
          <w:u w:color="231f20"/>
          <w:lang w:val="en-US"/>
          <w14:textFill>
            <w14:solidFill>
              <w14:srgbClr w14:val="231F20"/>
            </w14:solidFill>
          </w14:textFill>
        </w:rPr>
      </w:pPr>
      <w:r>
        <w:rPr>
          <w:rFonts w:ascii="Garamond" w:hAnsi="Garamond"/>
          <w:outline w:val="0"/>
          <w:color w:val="231f20"/>
          <w:sz w:val="22"/>
          <w:szCs w:val="22"/>
          <w:u w:color="231f20"/>
          <w:rtl w:val="0"/>
          <w:lang w:val="en-US"/>
          <w14:textFill>
            <w14:solidFill>
              <w14:srgbClr w14:val="231F20"/>
            </w14:solidFill>
          </w14:textFill>
        </w:rPr>
        <w:t>The empirical results provide an objective assessment of the material soundness of the strategies declared by the various banking groups analyzed. It is clear, from the analysis, that all the banks in the study present communications based on future perspectives that, under Directive 2024/825, appear to be vague and unsubstantiated being, in prospective, be divergent to the provisions set by the European legislator. The decision to include flexible forms and syntactic variations in the algorithm allows for an in-depth analysis of all the different communicative facets and aspirational linguistic formulas used by the analyzed banking groups. The results obtained from this analytical exercise demonstrate a persistent abuse of expressions lacking an objective reference to defined deadlines, with the risk, when the directive will come into force, that all the analyzed statements could be considered misleading and unlawful, and, as such, considered misleading commercial practices according to the obligations set by European law on greenwashing. There is literature suggesting significant heterogeneity in the communication practices of the banking operators (Bantel &amp; Jackson, 1989), but the common factor is that none of them are free from dilatory and non-binding rhetoric, as the algorithm analyzes the presence of vague and purely prospective commitments</w:t>
      </w:r>
      <w:r>
        <w:rPr>
          <w:rFonts w:ascii="Garamond" w:cs="Garamond" w:hAnsi="Garamond" w:eastAsia="Garamond"/>
          <w:outline w:val="0"/>
          <w:color w:val="231f20"/>
          <w:sz w:val="22"/>
          <w:szCs w:val="22"/>
          <w:u w:color="231f20"/>
          <w:vertAlign w:val="superscript"/>
          <w:lang w:val="en-US"/>
          <w14:textFill>
            <w14:solidFill>
              <w14:srgbClr w14:val="231F20"/>
            </w14:solidFill>
          </w14:textFill>
        </w:rPr>
        <w:footnoteReference w:id="7"/>
      </w:r>
      <w:r>
        <w:rPr>
          <w:rFonts w:ascii="Garamond" w:hAnsi="Garamond"/>
          <w:outline w:val="0"/>
          <w:color w:val="231f20"/>
          <w:sz w:val="22"/>
          <w:szCs w:val="22"/>
          <w:u w:color="231f20"/>
          <w:rtl w:val="0"/>
          <w:lang w:val="en-US"/>
          <w14:textFill>
            <w14:solidFill>
              <w14:srgbClr w14:val="231F20"/>
            </w14:solidFill>
          </w14:textFill>
        </w:rPr>
        <w:t>. The empirical findings reveal that all the analyzed banks extensively use statements referring to future intentions, programs, projects, or ambitions, creating a shared and consolidated communicative register that reflects a way of conceiving sustainability not as a truly achieved asset, but rather as an ongoing prospective horizon. What stands out is the frequency and systemic nature of greenwashing violations that contradicts sustainability narratives (Ruggeri et al., 2025) among ESG reporting, given a predominantly programmatic rather than conclusive structure.</w:t>
      </w:r>
    </w:p>
    <w:p>
      <w:pPr>
        <w:pStyle w:val="Body Text"/>
        <w:spacing w:before="1" w:line="254" w:lineRule="auto"/>
        <w:ind w:right="178" w:firstLine="383"/>
        <w:jc w:val="both"/>
        <w:rPr>
          <w:rFonts w:ascii="Garamond" w:cs="Garamond" w:hAnsi="Garamond" w:eastAsia="Garamond"/>
          <w:outline w:val="0"/>
          <w:color w:val="231f20"/>
          <w:sz w:val="22"/>
          <w:szCs w:val="22"/>
          <w:u w:color="231f20"/>
          <w:lang w:val="en-US"/>
          <w14:textFill>
            <w14:solidFill>
              <w14:srgbClr w14:val="231F20"/>
            </w14:solidFill>
          </w14:textFill>
        </w:rPr>
      </w:pPr>
      <w:r>
        <w:rPr>
          <w:rFonts w:ascii="Garamond" w:hAnsi="Garamond"/>
          <w:outline w:val="0"/>
          <w:color w:val="231f20"/>
          <w:sz w:val="22"/>
          <w:szCs w:val="22"/>
          <w:u w:color="231f20"/>
          <w:rtl w:val="0"/>
          <w:lang w:val="en-US"/>
          <w14:textFill>
            <w14:solidFill>
              <w14:srgbClr w14:val="231F20"/>
            </w14:solidFill>
          </w14:textFill>
        </w:rPr>
        <w:t xml:space="preserve">In general terms, the empirical results </w:t>
      </w:r>
      <w:r>
        <w:rPr>
          <w:rFonts w:ascii="Garamond" w:hAnsi="Garamond" w:hint="default"/>
          <w:outline w:val="0"/>
          <w:color w:val="231f20"/>
          <w:sz w:val="22"/>
          <w:szCs w:val="22"/>
          <w:u w:color="231f20"/>
          <w:rtl w:val="0"/>
          <w:lang w:val="en-US"/>
          <w14:textFill>
            <w14:solidFill>
              <w14:srgbClr w14:val="231F20"/>
            </w14:solidFill>
          </w14:textFill>
        </w:rPr>
        <w:t xml:space="preserve">– </w:t>
      </w:r>
      <w:r>
        <w:rPr>
          <w:rFonts w:ascii="Garamond" w:hAnsi="Garamond"/>
          <w:outline w:val="0"/>
          <w:color w:val="231f20"/>
          <w:sz w:val="22"/>
          <w:szCs w:val="22"/>
          <w:u w:color="231f20"/>
          <w:rtl w:val="0"/>
          <w:lang w:val="en-US"/>
          <w14:textFill>
            <w14:solidFill>
              <w14:srgbClr w14:val="231F20"/>
            </w14:solidFill>
          </w14:textFill>
        </w:rPr>
        <w:t xml:space="preserve">see </w:t>
      </w:r>
      <w:r>
        <w:rPr>
          <w:rStyle w:val="Hyperlink.1"/>
          <w:rFonts w:ascii="Garamond" w:cs="Garamond" w:hAnsi="Garamond" w:eastAsia="Garamond"/>
          <w:outline w:val="0"/>
          <w:color w:val="595959"/>
          <w:sz w:val="22"/>
          <w:szCs w:val="22"/>
          <w:u w:color="595959"/>
          <w:lang w:val="en-US"/>
          <w14:textFill>
            <w14:solidFill>
              <w14:srgbClr w14:val="595959"/>
            </w14:solidFill>
          </w14:textFill>
        </w:rPr>
        <w:fldChar w:fldCharType="begin" w:fldLock="0"/>
      </w:r>
      <w:r>
        <w:rPr>
          <w:rStyle w:val="Hyperlink.1"/>
          <w:rFonts w:ascii="Garamond" w:cs="Garamond" w:hAnsi="Garamond" w:eastAsia="Garamond"/>
          <w:outline w:val="0"/>
          <w:color w:val="595959"/>
          <w:sz w:val="22"/>
          <w:szCs w:val="22"/>
          <w:u w:color="595959"/>
          <w:lang w:val="en-US"/>
          <w14:textFill>
            <w14:solidFill>
              <w14:srgbClr w14:val="595959"/>
            </w14:solidFill>
          </w14:textFill>
        </w:rPr>
        <w:instrText xml:space="preserve"> HYPERLINK \l "Figure1" </w:instrText>
      </w:r>
      <w:r>
        <w:rPr>
          <w:rStyle w:val="Hyperlink.1"/>
          <w:rFonts w:ascii="Garamond" w:cs="Garamond" w:hAnsi="Garamond" w:eastAsia="Garamond"/>
          <w:outline w:val="0"/>
          <w:color w:val="595959"/>
          <w:sz w:val="22"/>
          <w:szCs w:val="22"/>
          <w:u w:color="595959"/>
          <w:lang w:val="en-US"/>
          <w14:textFill>
            <w14:solidFill>
              <w14:srgbClr w14:val="595959"/>
            </w14:solidFill>
          </w14:textFill>
        </w:rPr>
        <w:fldChar w:fldCharType="separate" w:fldLock="0"/>
      </w:r>
      <w:r>
        <w:rPr>
          <w:rStyle w:val="Hyperlink.1"/>
          <w:rFonts w:ascii="Garamond" w:hAnsi="Garamond"/>
          <w:outline w:val="0"/>
          <w:color w:val="595959"/>
          <w:sz w:val="22"/>
          <w:szCs w:val="22"/>
          <w:u w:color="595959"/>
          <w:rtl w:val="0"/>
          <w:lang w:val="en-US"/>
          <w14:textFill>
            <w14:solidFill>
              <w14:srgbClr w14:val="595959"/>
            </w14:solidFill>
          </w14:textFill>
        </w:rPr>
        <w:t>Figure 1</w:t>
      </w:r>
      <w:r>
        <w:rPr>
          <w:lang w:val="en-US"/>
        </w:rPr>
        <w:fldChar w:fldCharType="end" w:fldLock="0"/>
      </w:r>
      <w:r>
        <w:rPr>
          <w:rFonts w:ascii="Garamond" w:hAnsi="Garamond"/>
          <w:outline w:val="0"/>
          <w:color w:val="231f20"/>
          <w:sz w:val="22"/>
          <w:szCs w:val="22"/>
          <w:u w:color="231f20"/>
          <w:rtl w:val="0"/>
          <w:lang w:val="en-US"/>
          <w14:textFill>
            <w14:solidFill>
              <w14:srgbClr w14:val="231F20"/>
            </w14:solidFill>
          </w14:textFill>
        </w:rPr>
        <w:t xml:space="preserve"> and </w:t>
      </w:r>
      <w:r>
        <w:rPr>
          <w:rStyle w:val="Hyperlink.1"/>
          <w:rFonts w:ascii="Garamond" w:cs="Garamond" w:hAnsi="Garamond" w:eastAsia="Garamond"/>
          <w:outline w:val="0"/>
          <w:color w:val="595959"/>
          <w:sz w:val="22"/>
          <w:szCs w:val="22"/>
          <w:u w:color="595959"/>
          <w:lang w:val="en-US"/>
          <w14:textFill>
            <w14:solidFill>
              <w14:srgbClr w14:val="595959"/>
            </w14:solidFill>
          </w14:textFill>
        </w:rPr>
        <w:fldChar w:fldCharType="begin" w:fldLock="0"/>
      </w:r>
      <w:r>
        <w:rPr>
          <w:rStyle w:val="Hyperlink.1"/>
          <w:rFonts w:ascii="Garamond" w:cs="Garamond" w:hAnsi="Garamond" w:eastAsia="Garamond"/>
          <w:outline w:val="0"/>
          <w:color w:val="595959"/>
          <w:sz w:val="22"/>
          <w:szCs w:val="22"/>
          <w:u w:color="595959"/>
          <w:lang w:val="en-US"/>
          <w14:textFill>
            <w14:solidFill>
              <w14:srgbClr w14:val="595959"/>
            </w14:solidFill>
          </w14:textFill>
        </w:rPr>
        <w:instrText xml:space="preserve"> HYPERLINK \l "Figure2" </w:instrText>
      </w:r>
      <w:r>
        <w:rPr>
          <w:rStyle w:val="Hyperlink.1"/>
          <w:rFonts w:ascii="Garamond" w:cs="Garamond" w:hAnsi="Garamond" w:eastAsia="Garamond"/>
          <w:outline w:val="0"/>
          <w:color w:val="595959"/>
          <w:sz w:val="22"/>
          <w:szCs w:val="22"/>
          <w:u w:color="595959"/>
          <w:lang w:val="en-US"/>
          <w14:textFill>
            <w14:solidFill>
              <w14:srgbClr w14:val="595959"/>
            </w14:solidFill>
          </w14:textFill>
        </w:rPr>
        <w:fldChar w:fldCharType="separate" w:fldLock="0"/>
      </w:r>
      <w:r>
        <w:rPr>
          <w:rStyle w:val="Hyperlink.1"/>
          <w:rFonts w:ascii="Garamond" w:hAnsi="Garamond"/>
          <w:outline w:val="0"/>
          <w:color w:val="595959"/>
          <w:sz w:val="22"/>
          <w:szCs w:val="22"/>
          <w:u w:color="595959"/>
          <w:rtl w:val="0"/>
          <w:lang w:val="en-US"/>
          <w14:textFill>
            <w14:solidFill>
              <w14:srgbClr w14:val="595959"/>
            </w14:solidFill>
          </w14:textFill>
        </w:rPr>
        <w:t>Figure 2</w:t>
      </w:r>
      <w:r>
        <w:rPr>
          <w:lang w:val="en-US"/>
        </w:rPr>
        <w:fldChar w:fldCharType="end" w:fldLock="0"/>
      </w:r>
      <w:r>
        <w:rPr>
          <w:rFonts w:ascii="Garamond" w:hAnsi="Garamond" w:hint="default"/>
          <w:outline w:val="0"/>
          <w:color w:val="231f20"/>
          <w:sz w:val="22"/>
          <w:szCs w:val="22"/>
          <w:u w:color="231f20"/>
          <w:rtl w:val="0"/>
          <w:lang w:val="en-US"/>
          <w14:textFill>
            <w14:solidFill>
              <w14:srgbClr w14:val="231F20"/>
            </w14:solidFill>
          </w14:textFill>
        </w:rPr>
        <w:t xml:space="preserve"> – </w:t>
      </w:r>
      <w:r>
        <w:rPr>
          <w:rFonts w:ascii="Garamond" w:hAnsi="Garamond"/>
          <w:outline w:val="0"/>
          <w:color w:val="231f20"/>
          <w:sz w:val="22"/>
          <w:szCs w:val="22"/>
          <w:u w:color="231f20"/>
          <w:rtl w:val="0"/>
          <w:lang w:val="en-US"/>
          <w14:textFill>
            <w14:solidFill>
              <w14:srgbClr w14:val="231F20"/>
            </w14:solidFill>
          </w14:textFill>
        </w:rPr>
        <w:t xml:space="preserve">demonstrate that the vast majority of the banking groups analyzed are still relying on communication models that do not comply with the new European regulatory framework. Therefore, the quantitative data presented highlights a latent risk indicator, as all the market operators analyzed could face increasing responsibilities (Lashitew, 2021), reputational damage (Santos et al., 2024a), and potential sanctions (Free et al., 2024) from the competent banking supervisory authorities in the near future. In a context of growing demand for the promotion of a sustainable and transparent economic transition within the banking sector (Bouma et al., 2017), all practices linked to false sustainability or mere "greenwashing" are now identified as a significant source of market distortion (Marcatajo, 2023), as they undermine the Union's efforts to create a unified and credible system of environmental responsibility and sustainable development (Kluza et al., 2021), damaging the trust of consumers (Hossain et al., 2025) and investors (Haidar, 2025) in the truly responsible management of scarce resources. In this context of collective responsibility (Ardoin et al., 2023), when a company simulates pursuing specific environmental commitments without actually implementing concrete measures, it not only gains undue reputational (Wang et al., 2025) and competitive advantages (Ioannou et al., 2023) but can also divert resources, both in terms of trust and investment, away from economic operators who pursue genuinely responsible socio-environmental objectives (Shuang et al., 2024). This phenomenon </w:t>
      </w:r>
      <w:r>
        <w:rPr>
          <w:rFonts w:ascii="Garamond" w:hAnsi="Garamond" w:hint="default"/>
          <w:outline w:val="0"/>
          <w:color w:val="231f20"/>
          <w:sz w:val="22"/>
          <w:szCs w:val="22"/>
          <w:u w:color="231f20"/>
          <w:rtl w:val="0"/>
          <w:lang w:val="en-US"/>
          <w14:textFill>
            <w14:solidFill>
              <w14:srgbClr w14:val="231F20"/>
            </w14:solidFill>
          </w14:textFill>
        </w:rPr>
        <w:t xml:space="preserve">–  </w:t>
      </w:r>
      <w:r>
        <w:rPr>
          <w:rFonts w:ascii="Garamond" w:hAnsi="Garamond"/>
          <w:outline w:val="0"/>
          <w:color w:val="231f20"/>
          <w:sz w:val="22"/>
          <w:szCs w:val="22"/>
          <w:u w:color="231f20"/>
          <w:rtl w:val="0"/>
          <w:lang w:val="en-US"/>
          <w14:textFill>
            <w14:solidFill>
              <w14:srgbClr w14:val="231F20"/>
            </w14:solidFill>
          </w14:textFill>
        </w:rPr>
        <w:t xml:space="preserve">undermining the credibility of the entire sustainability system (Santos et al., 2024b) and compromising the effectiveness of public policies aimed at promoting an economically neutral and socially fair economy (Liang &amp; Gao, 2025) </w:t>
      </w:r>
      <w:r>
        <w:rPr>
          <w:rFonts w:ascii="Garamond" w:hAnsi="Garamond" w:hint="default"/>
          <w:outline w:val="0"/>
          <w:color w:val="231f20"/>
          <w:sz w:val="22"/>
          <w:szCs w:val="22"/>
          <w:u w:color="231f20"/>
          <w:rtl w:val="0"/>
          <w:lang w:val="en-US"/>
          <w14:textFill>
            <w14:solidFill>
              <w14:srgbClr w14:val="231F20"/>
            </w14:solidFill>
          </w14:textFill>
        </w:rPr>
        <w:t xml:space="preserve">– </w:t>
      </w:r>
      <w:r>
        <w:rPr>
          <w:rFonts w:ascii="Garamond" w:hAnsi="Garamond"/>
          <w:outline w:val="0"/>
          <w:color w:val="231f20"/>
          <w:sz w:val="22"/>
          <w:szCs w:val="22"/>
          <w:u w:color="231f20"/>
          <w:rtl w:val="0"/>
          <w:lang w:val="en-US"/>
          <w14:textFill>
            <w14:solidFill>
              <w14:srgbClr w14:val="231F20"/>
            </w14:solidFill>
          </w14:textFill>
        </w:rPr>
        <w:t>slows down, as a whole, the diffusion of virtuous practices, rendering ineffective market instruments intended to promote sustainable behaviors.</w:t>
      </w:r>
    </w:p>
    <w:p>
      <w:pPr>
        <w:pStyle w:val="Body Text"/>
        <w:spacing w:before="1" w:line="254" w:lineRule="auto"/>
        <w:ind w:right="178" w:firstLine="383"/>
        <w:jc w:val="both"/>
        <w:rPr>
          <w:rFonts w:ascii="Garamond" w:cs="Garamond" w:hAnsi="Garamond" w:eastAsia="Garamond"/>
          <w:outline w:val="0"/>
          <w:color w:val="231f20"/>
          <w:sz w:val="22"/>
          <w:szCs w:val="22"/>
          <w:u w:color="231f20"/>
          <w:lang w:val="en-US"/>
          <w14:textFill>
            <w14:solidFill>
              <w14:srgbClr w14:val="231F20"/>
            </w14:solidFill>
          </w14:textFill>
        </w:rPr>
      </w:pPr>
      <w:r>
        <w:rPr>
          <w:rFonts w:ascii="Garamond" w:hAnsi="Garamond"/>
          <w:outline w:val="0"/>
          <w:color w:val="231f20"/>
          <w:sz w:val="22"/>
          <w:szCs w:val="22"/>
          <w:u w:color="231f20"/>
          <w:rtl w:val="0"/>
          <w:lang w:val="en-US"/>
          <w14:textFill>
            <w14:solidFill>
              <w14:srgbClr w14:val="231F20"/>
            </w14:solidFill>
          </w14:textFill>
        </w:rPr>
        <w:t>The results of the analysis conducted so far clearly demonstrate that there are significant opportunities to apply transparent and replicable computational methodologies to support all environmental compliance and disclosure activities. The aim of this empirical exercise was to show how a range of technical tools exist that can actively contribute to the legislator</w:t>
      </w:r>
      <w:r>
        <w:rPr>
          <w:rFonts w:ascii="Garamond" w:hAnsi="Garamond" w:hint="default"/>
          <w:outline w:val="0"/>
          <w:color w:val="231f20"/>
          <w:sz w:val="22"/>
          <w:szCs w:val="22"/>
          <w:u w:color="231f20"/>
          <w:rtl w:val="0"/>
          <w:lang w:val="en-US"/>
          <w14:textFill>
            <w14:solidFill>
              <w14:srgbClr w14:val="231F20"/>
            </w14:solidFill>
          </w14:textFill>
        </w:rPr>
        <w:t>’</w:t>
      </w:r>
      <w:r>
        <w:rPr>
          <w:rFonts w:ascii="Garamond" w:hAnsi="Garamond"/>
          <w:outline w:val="0"/>
          <w:color w:val="231f20"/>
          <w:sz w:val="22"/>
          <w:szCs w:val="22"/>
          <w:u w:color="231f20"/>
          <w:rtl w:val="0"/>
          <w:lang w:val="en-US"/>
          <w14:textFill>
            <w14:solidFill>
              <w14:srgbClr w14:val="231F20"/>
            </w14:solidFill>
          </w14:textFill>
        </w:rPr>
        <w:t xml:space="preserve">s efforts to improve market transparency in line with the principle of prevention and the goals of the European Green Deal, as well as combat misleading and distorting practices. In particular, the ability to subject consolidated non-financial statements to automated analysis based on syntactic and semantic criteria consistent with regulatory standards paves the way for a new paradigm of assisted compliance, overcoming the structural limitations of purely manual and discretionary controls. In other words, this would make operational a form of predictive oversight that, in compliance with the principles of legality and proportionality, can intercept textual indicators symptomatic of misleading environmental information practices </w:t>
      </w:r>
      <w:r>
        <w:rPr>
          <w:rFonts w:ascii="Garamond" w:hAnsi="Garamond" w:hint="default"/>
          <w:outline w:val="0"/>
          <w:color w:val="231f20"/>
          <w:sz w:val="22"/>
          <w:szCs w:val="22"/>
          <w:u w:color="231f20"/>
          <w:rtl w:val="0"/>
          <w:lang w:val="en-US"/>
          <w14:textFill>
            <w14:solidFill>
              <w14:srgbClr w14:val="231F20"/>
            </w14:solidFill>
          </w14:textFill>
        </w:rPr>
        <w:t xml:space="preserve">– </w:t>
      </w:r>
      <w:r>
        <w:rPr>
          <w:rFonts w:ascii="Garamond" w:hAnsi="Garamond"/>
          <w:outline w:val="0"/>
          <w:color w:val="231f20"/>
          <w:sz w:val="22"/>
          <w:szCs w:val="22"/>
          <w:u w:color="231f20"/>
          <w:rtl w:val="0"/>
          <w:lang w:val="en-US"/>
          <w14:textFill>
            <w14:solidFill>
              <w14:srgbClr w14:val="231F20"/>
            </w14:solidFill>
          </w14:textFill>
        </w:rPr>
        <w:t xml:space="preserve">i.e., greenwashing </w:t>
      </w:r>
      <w:r>
        <w:rPr>
          <w:rFonts w:ascii="Garamond" w:hAnsi="Garamond" w:hint="default"/>
          <w:outline w:val="0"/>
          <w:color w:val="231f20"/>
          <w:sz w:val="22"/>
          <w:szCs w:val="22"/>
          <w:u w:color="231f20"/>
          <w:rtl w:val="0"/>
          <w:lang w:val="en-US"/>
          <w14:textFill>
            <w14:solidFill>
              <w14:srgbClr w14:val="231F20"/>
            </w14:solidFill>
          </w14:textFill>
        </w:rPr>
        <w:t xml:space="preserve">– </w:t>
      </w:r>
      <w:r>
        <w:rPr>
          <w:rFonts w:ascii="Garamond" w:hAnsi="Garamond"/>
          <w:outline w:val="0"/>
          <w:color w:val="231f20"/>
          <w:sz w:val="22"/>
          <w:szCs w:val="22"/>
          <w:u w:color="231f20"/>
          <w:rtl w:val="0"/>
          <w:lang w:val="en-US"/>
          <w14:textFill>
            <w14:solidFill>
              <w14:srgbClr w14:val="231F20"/>
            </w14:solidFill>
          </w14:textFill>
        </w:rPr>
        <w:t>acting, in potential, before they generate distorting effects on stakeholder behavior (Torelli et al., 2020). Such an approach would not only increase control efficiency but also promote a new culture of reporting, where companies do not limit themselves to merely producing ESG data according to a logic of formal compliance but internalize sustainability as a substantive obligation. The reported evidence shows that artificial intelligence and algorithms can serve as ESG-washing detection tools (Lagasio, 2024) and potential tools for achieving greater compliance (Kamruzzaman et al., 2025) and systemic coherence (De Conca, 2022), strengthening the information symmetry between the economic operator and the final recipient of the statement, serving as an external guarantor of the reliability of the information provided by the banks.</w:t>
      </w:r>
    </w:p>
    <w:p>
      <w:pPr>
        <w:pStyle w:val="Body Text"/>
        <w:spacing w:before="1" w:line="254" w:lineRule="auto"/>
        <w:ind w:right="178"/>
        <w:jc w:val="both"/>
        <w:rPr>
          <w:rFonts w:ascii="Garamond" w:cs="Garamond" w:hAnsi="Garamond" w:eastAsia="Garamond"/>
          <w:outline w:val="0"/>
          <w:color w:val="231f20"/>
          <w:sz w:val="22"/>
          <w:szCs w:val="22"/>
          <w:u w:color="231f20"/>
          <w14:textFill>
            <w14:solidFill>
              <w14:srgbClr w14:val="231F20"/>
            </w14:solidFill>
          </w14:textFill>
        </w:rPr>
      </w:pPr>
      <w:r>
        <w:rPr>
          <w:rFonts w:ascii="Garamond" w:cs="Garamond" w:hAnsi="Garamond" w:eastAsia="Garamond"/>
          <w:outline w:val="0"/>
          <w:color w:val="231f20"/>
          <w:sz w:val="22"/>
          <w:szCs w:val="22"/>
          <w:u w:color="231f20"/>
          <w14:textFill>
            <w14:solidFill>
              <w14:srgbClr w14:val="231F20"/>
            </w14:solidFill>
          </w14:textFill>
        </w:rPr>
        <mc:AlternateContent>
          <mc:Choice Requires="wps">
            <w:drawing xmlns:a="http://schemas.openxmlformats.org/drawingml/2006/main">
              <wp:inline distT="0" distB="0" distL="0" distR="0">
                <wp:extent cx="4754119" cy="10398"/>
                <wp:effectExtent l="0" t="0" r="0" b="0"/>
                <wp:docPr id="1073741829" name="officeArt object" descr="Rectangle"/>
                <wp:cNvGraphicFramePr/>
                <a:graphic xmlns:a="http://schemas.openxmlformats.org/drawingml/2006/main">
                  <a:graphicData uri="http://schemas.microsoft.com/office/word/2010/wordprocessingShape">
                    <wps:wsp>
                      <wps:cNvSpPr/>
                      <wps:spPr>
                        <a:xfrm>
                          <a:off x="0" y="0"/>
                          <a:ext cx="4754119" cy="10398"/>
                        </a:xfrm>
                        <a:prstGeom prst="rect">
                          <a:avLst/>
                        </a:prstGeom>
                        <a:solidFill>
                          <a:srgbClr val="A0A0A0"/>
                        </a:solidFill>
                        <a:ln w="12700" cap="flat">
                          <a:noFill/>
                          <a:miter lim="400000"/>
                        </a:ln>
                        <a:effectLst/>
                      </wps:spPr>
                      <wps:bodyPr/>
                    </wps:wsp>
                  </a:graphicData>
                </a:graphic>
              </wp:inline>
            </w:drawing>
          </mc:Choice>
          <mc:Fallback>
            <w:pict>
              <v:rect id="_x0000_s1028" style="visibility:visible;width:374.3pt;height:0.8pt;">
                <v:fill color="#A0A0A0" opacity="100.0%" type="solid"/>
                <v:stroke on="f" weight="1.0pt" dashstyle="solid" endcap="flat" miterlimit="400.0%" joinstyle="miter" linestyle="single" startarrow="none" startarrowwidth="medium" startarrowlength="medium" endarrow="none" endarrowwidth="medium" endarrowlength="medium"/>
              </v:rect>
            </w:pict>
          </mc:Fallback>
        </mc:AlternateContent>
      </w:r>
    </w:p>
    <w:p>
      <w:pPr>
        <w:pStyle w:val="Body Text"/>
        <w:spacing w:before="1" w:line="254" w:lineRule="auto"/>
        <w:ind w:right="178" w:firstLine="383"/>
        <w:jc w:val="both"/>
        <w:rPr>
          <w:rFonts w:ascii="Garamond" w:cs="Garamond" w:hAnsi="Garamond" w:eastAsia="Garamond"/>
          <w:outline w:val="0"/>
          <w:color w:val="231f20"/>
          <w:sz w:val="22"/>
          <w:szCs w:val="22"/>
          <w:u w:color="231f20"/>
          <w14:textFill>
            <w14:solidFill>
              <w14:srgbClr w14:val="231F20"/>
            </w14:solidFill>
          </w14:textFill>
        </w:rPr>
      </w:pPr>
    </w:p>
    <w:p>
      <w:pPr>
        <w:pStyle w:val="Body Text"/>
        <w:spacing w:before="1" w:line="254" w:lineRule="auto"/>
        <w:ind w:right="178" w:firstLine="383"/>
        <w:jc w:val="both"/>
        <w:outlineLvl w:val="0"/>
        <w:rPr>
          <w:rFonts w:ascii="Garamond" w:cs="Garamond" w:hAnsi="Garamond" w:eastAsia="Garamond"/>
          <w:b w:val="1"/>
          <w:bCs w:val="1"/>
          <w:outline w:val="0"/>
          <w:color w:val="231f20"/>
          <w:sz w:val="22"/>
          <w:szCs w:val="22"/>
          <w:u w:color="231f20"/>
          <w:lang w:val="en-US"/>
          <w14:textFill>
            <w14:solidFill>
              <w14:srgbClr w14:val="231F20"/>
            </w14:solidFill>
          </w14:textFill>
        </w:rPr>
      </w:pPr>
      <w:r>
        <w:rPr>
          <w:rFonts w:ascii="Garamond" w:hAnsi="Garamond"/>
          <w:b w:val="1"/>
          <w:bCs w:val="1"/>
          <w:outline w:val="0"/>
          <w:color w:val="231f20"/>
          <w:sz w:val="22"/>
          <w:szCs w:val="22"/>
          <w:u w:color="231f20"/>
          <w:rtl w:val="0"/>
          <w:lang w:val="en-US"/>
          <w14:textFill>
            <w14:solidFill>
              <w14:srgbClr w14:val="231F20"/>
            </w14:solidFill>
          </w14:textFill>
        </w:rPr>
        <w:t>4. From Rhetoric to Regulation: Algorithmic Standards for ESG Disclosure Compliance</w:t>
      </w:r>
    </w:p>
    <w:p>
      <w:pPr>
        <w:pStyle w:val="Body Text"/>
        <w:spacing w:before="1" w:line="254" w:lineRule="auto"/>
        <w:ind w:right="178"/>
        <w:jc w:val="both"/>
        <w:rPr>
          <w:rFonts w:ascii="Garamond" w:cs="Garamond" w:hAnsi="Garamond" w:eastAsia="Garamond"/>
          <w:outline w:val="0"/>
          <w:color w:val="231f20"/>
          <w:sz w:val="22"/>
          <w:szCs w:val="22"/>
          <w:u w:color="231f20"/>
          <w:lang w:val="en-US"/>
          <w14:textFill>
            <w14:solidFill>
              <w14:srgbClr w14:val="231F20"/>
            </w14:solidFill>
          </w14:textFill>
        </w:rPr>
      </w:pPr>
    </w:p>
    <w:p>
      <w:pPr>
        <w:pStyle w:val="Body Text"/>
        <w:spacing w:before="1" w:line="254" w:lineRule="auto"/>
        <w:ind w:right="178" w:firstLine="383"/>
        <w:jc w:val="both"/>
        <w:rPr>
          <w:rFonts w:ascii="Garamond" w:cs="Garamond" w:hAnsi="Garamond" w:eastAsia="Garamond"/>
          <w:outline w:val="0"/>
          <w:color w:val="231f20"/>
          <w:sz w:val="22"/>
          <w:szCs w:val="22"/>
          <w:u w:color="231f20"/>
          <w:lang w:val="en-US"/>
          <w14:textFill>
            <w14:solidFill>
              <w14:srgbClr w14:val="231F20"/>
            </w14:solidFill>
          </w14:textFill>
        </w:rPr>
      </w:pPr>
      <w:r>
        <w:rPr>
          <w:rFonts w:ascii="Garamond" w:hAnsi="Garamond"/>
          <w:outline w:val="0"/>
          <w:color w:val="231f20"/>
          <w:sz w:val="22"/>
          <w:szCs w:val="22"/>
          <w:u w:color="231f20"/>
          <w:rtl w:val="0"/>
          <w:lang w:val="en-US"/>
          <w14:textFill>
            <w14:solidFill>
              <w14:srgbClr w14:val="231F20"/>
            </w14:solidFill>
          </w14:textFill>
        </w:rPr>
        <w:t>In light of the considerations developed so far, the concerns repeatedly expressed by the European Commission</w:t>
      </w:r>
      <w:r>
        <w:rPr>
          <w:rFonts w:ascii="Garamond" w:cs="Garamond" w:hAnsi="Garamond" w:eastAsia="Garamond"/>
          <w:outline w:val="0"/>
          <w:color w:val="231f20"/>
          <w:sz w:val="22"/>
          <w:szCs w:val="22"/>
          <w:u w:color="231f20"/>
          <w:vertAlign w:val="superscript"/>
          <w:lang w:val="en-US"/>
          <w14:textFill>
            <w14:solidFill>
              <w14:srgbClr w14:val="231F20"/>
            </w14:solidFill>
          </w14:textFill>
        </w:rPr>
        <w:footnoteReference w:id="8"/>
      </w:r>
      <w:r>
        <w:rPr>
          <w:rFonts w:ascii="Garamond" w:hAnsi="Garamond"/>
          <w:outline w:val="0"/>
          <w:color w:val="231f20"/>
          <w:sz w:val="22"/>
          <w:szCs w:val="22"/>
          <w:u w:color="231f20"/>
          <w:rtl w:val="0"/>
          <w:lang w:val="en-US"/>
          <w14:textFill>
            <w14:solidFill>
              <w14:srgbClr w14:val="231F20"/>
            </w14:solidFill>
          </w14:textFill>
        </w:rPr>
        <w:t xml:space="preserve"> seem to be confirmed, regarding the exponential growth of generic, vague, or unverifiable environmental claims, i.e., sustainability statements that do not provide sufficient elements to assess the accuracy of the declarations, offering vague, misleading, and unfounded information. This represents a genuine and urgent problem that needs to be swiftly addressed (Conti &amp; Seele, 2025). The results of the analysis conducted in this study reveal a systemic dysfunction within the banking sustainability reporting framework, with recurring and recursive linguistic formulations that, although not strictly false, fail to meet the transparency, verifiability, and specificity requirements imposed by the new European regulatory framework. The presence of numerous misleading environmental claims in the non-financial banking disclosures highlights a longstanding trend, tolerated in practice, but now in contrast with the emerging regulatory structure, which demands an upgrade, even in terms of monitoring tools. It is in this direction that the proposal for a systematic and consistent use of algorithmic technologies and computational models to safeguard ESG compliance fits. In fact, many areas of banking law already see the use of artificial intelligence-based tools and credit rating and prudential risk management algorithms (Srivastava et al., 2024). Therefore, it is not clear why these same tools cannot find similar applications in the assessment of informational transparency, especially in the context of environmental statements, which are highly prone to semantic ambiguity and informational asymmetry between regulators and the regulated parties.</w:t>
      </w:r>
    </w:p>
    <w:p>
      <w:pPr>
        <w:pStyle w:val="Body Text"/>
        <w:spacing w:before="1" w:line="254" w:lineRule="auto"/>
        <w:ind w:right="178" w:firstLine="383"/>
        <w:jc w:val="both"/>
        <w:rPr>
          <w:rFonts w:ascii="Garamond" w:cs="Garamond" w:hAnsi="Garamond" w:eastAsia="Garamond"/>
          <w:outline w:val="0"/>
          <w:color w:val="231f20"/>
          <w:sz w:val="22"/>
          <w:szCs w:val="22"/>
          <w:u w:color="231f20"/>
          <w:lang w:val="en-US"/>
          <w14:textFill>
            <w14:solidFill>
              <w14:srgbClr w14:val="231F20"/>
            </w14:solidFill>
          </w14:textFill>
        </w:rPr>
      </w:pPr>
      <w:r>
        <w:rPr>
          <w:rFonts w:ascii="Garamond" w:hAnsi="Garamond"/>
          <w:outline w:val="0"/>
          <w:color w:val="231f20"/>
          <w:sz w:val="22"/>
          <w:szCs w:val="22"/>
          <w:u w:color="231f20"/>
          <w:rtl w:val="0"/>
          <w:lang w:val="en-US"/>
          <w14:textFill>
            <w14:solidFill>
              <w14:srgbClr w14:val="231F20"/>
            </w14:solidFill>
          </w14:textFill>
        </w:rPr>
        <w:t xml:space="preserve">In combating these distorting practices, within the framework of market supervision activities that ensure healthy competition among companies investing and fully supporting sustainability (Xu et al., 2025 it is surprising that, at least for the moment, algorithmic analysis systems are not being used to check if the sustainability declared by companies corresponds to actual commitments, verifying the indeterminacy, relevance, and lack of real environmental sustainability criteria by market operators. There is, beyond the empirical evidence mentioned above, numerous confirmations of the usefulness of proceeding with these computational tools for the systematic identification of superficial statements within environmental disclosure documents (Chuang et al., 2025). Artificial intelligence and natural language processing technologies, in fact, can recognize vague or misleading expressions even within lengthy documents, images, and tables, systematically and almost automatically evaluating all the statements banks provide about their environmental resilience and sustainability strategy. This would essentially be a preliminary screening tool capable of significantly extending the control capacity compared to traditional tools, which are not currently supported by quantitative analysis, providing new investigative, selection, and alert capabilities in the context of an exploratory analysis of vague, dilatory, or unverifiable linguistic expressions that could be subject to interpretation. The use of scalable diagnostic tools based on predefined parameters could be an essential step toward a structural transformation of supervisory practices (Khan et al., 2024), laying the groundwork for an effective and efficient oversight system capable of responding to market "gray" dynamics with objective, replicable, and scalable analysis tools. These tools are crucial both for regulatory authorities </w:t>
      </w:r>
      <w:r>
        <w:rPr>
          <w:rFonts w:ascii="Garamond" w:hAnsi="Garamond" w:hint="default"/>
          <w:outline w:val="0"/>
          <w:color w:val="231f20"/>
          <w:sz w:val="22"/>
          <w:szCs w:val="22"/>
          <w:u w:color="231f20"/>
          <w:rtl w:val="0"/>
          <w:lang w:val="en-US"/>
          <w14:textFill>
            <w14:solidFill>
              <w14:srgbClr w14:val="231F20"/>
            </w14:solidFill>
          </w14:textFill>
        </w:rPr>
        <w:t xml:space="preserve">– </w:t>
      </w:r>
      <w:r>
        <w:rPr>
          <w:rFonts w:ascii="Garamond" w:hAnsi="Garamond"/>
          <w:outline w:val="0"/>
          <w:color w:val="231f20"/>
          <w:sz w:val="22"/>
          <w:szCs w:val="22"/>
          <w:u w:color="231f20"/>
          <w:rtl w:val="0"/>
          <w:lang w:val="en-US"/>
          <w14:textFill>
            <w14:solidFill>
              <w14:srgbClr w14:val="231F20"/>
            </w14:solidFill>
          </w14:textFill>
        </w:rPr>
        <w:t xml:space="preserve">which could strengthen their surveillance functions (Aldasoro et al., 2025) </w:t>
      </w:r>
      <w:r>
        <w:rPr>
          <w:rFonts w:ascii="Garamond" w:hAnsi="Garamond" w:hint="default"/>
          <w:outline w:val="0"/>
          <w:color w:val="231f20"/>
          <w:sz w:val="22"/>
          <w:szCs w:val="22"/>
          <w:u w:color="231f20"/>
          <w:rtl w:val="0"/>
          <w:lang w:val="en-US"/>
          <w14:textFill>
            <w14:solidFill>
              <w14:srgbClr w14:val="231F20"/>
            </w14:solidFill>
          </w14:textFill>
        </w:rPr>
        <w:t xml:space="preserve">– </w:t>
      </w:r>
      <w:r>
        <w:rPr>
          <w:rFonts w:ascii="Garamond" w:hAnsi="Garamond"/>
          <w:outline w:val="0"/>
          <w:color w:val="231f20"/>
          <w:sz w:val="22"/>
          <w:szCs w:val="22"/>
          <w:u w:color="231f20"/>
          <w:rtl w:val="0"/>
          <w:lang w:val="en-US"/>
          <w14:textFill>
            <w14:solidFill>
              <w14:srgbClr w14:val="231F20"/>
            </w14:solidFill>
          </w14:textFill>
        </w:rPr>
        <w:t xml:space="preserve">and for economic operators </w:t>
      </w:r>
      <w:r>
        <w:rPr>
          <w:rFonts w:ascii="Garamond" w:hAnsi="Garamond" w:hint="default"/>
          <w:outline w:val="0"/>
          <w:color w:val="231f20"/>
          <w:sz w:val="22"/>
          <w:szCs w:val="22"/>
          <w:u w:color="231f20"/>
          <w:rtl w:val="0"/>
          <w:lang w:val="en-US"/>
          <w14:textFill>
            <w14:solidFill>
              <w14:srgbClr w14:val="231F20"/>
            </w14:solidFill>
          </w14:textFill>
        </w:rPr>
        <w:t xml:space="preserve">– </w:t>
      </w:r>
      <w:r>
        <w:rPr>
          <w:rFonts w:ascii="Garamond" w:hAnsi="Garamond"/>
          <w:outline w:val="0"/>
          <w:color w:val="231f20"/>
          <w:sz w:val="22"/>
          <w:szCs w:val="22"/>
          <w:u w:color="231f20"/>
          <w:rtl w:val="0"/>
          <w:lang w:val="en-US"/>
          <w14:textFill>
            <w14:solidFill>
              <w14:srgbClr w14:val="231F20"/>
            </w14:solidFill>
          </w14:textFill>
        </w:rPr>
        <w:t>who could use them to improve banking compliance (Mer et al., 2024).</w:t>
      </w:r>
    </w:p>
    <w:p>
      <w:pPr>
        <w:pStyle w:val="Body Text"/>
        <w:spacing w:before="1" w:line="254" w:lineRule="auto"/>
        <w:ind w:right="178" w:firstLine="383"/>
        <w:jc w:val="both"/>
        <w:rPr>
          <w:rFonts w:ascii="Garamond" w:cs="Garamond" w:hAnsi="Garamond" w:eastAsia="Garamond"/>
          <w:outline w:val="0"/>
          <w:color w:val="231f20"/>
          <w:sz w:val="22"/>
          <w:szCs w:val="22"/>
          <w:u w:color="231f20"/>
          <w:lang w:val="en-US"/>
          <w14:textFill>
            <w14:solidFill>
              <w14:srgbClr w14:val="231F20"/>
            </w14:solidFill>
          </w14:textFill>
        </w:rPr>
      </w:pPr>
      <w:r>
        <w:rPr>
          <w:rFonts w:ascii="Garamond" w:hAnsi="Garamond"/>
          <w:outline w:val="0"/>
          <w:color w:val="231f20"/>
          <w:sz w:val="22"/>
          <w:szCs w:val="22"/>
          <w:u w:color="231f20"/>
          <w:rtl w:val="0"/>
          <w:lang w:val="en-US"/>
          <w14:textFill>
            <w14:solidFill>
              <w14:srgbClr w14:val="231F20"/>
            </w14:solidFill>
          </w14:textFill>
        </w:rPr>
        <w:t>In this context, it would be logically coherent to entrust computational and systemic systems with the task of identifying elusive linguistic formulations within vast document corpora (Wu et al., 2024), aiming to increase the reliability and effectiveness of transparency and environmental responsibility policies (Pappachan et al., 2024). The adoption of a proactive supervisory model based on textual data analysis could, in this sense, strengthen the effectiveness of greenwashing regulations, which, due to their technical complexity could greatly benefit from these analysis tools. The algorithm used here, in its simplicity, represents an experimental proposal for technical instrumentation to complement traditional control tools, capable of providing objective and replicable support (Borgogno &amp; Perrazzelli, 2025) in verifying the consistency between public statements and the tangible commitments made by market operators, in the context of environmental protection and the welfare of future generations, which now assumes a systemic and compelling character, in light of a diacronic and synchronic solidarity between individuals that must continually self-sustain and improve(Fusco Girard, 2024).</w:t>
      </w:r>
    </w:p>
    <w:p>
      <w:pPr>
        <w:pStyle w:val="Body Text"/>
        <w:spacing w:before="1" w:line="254" w:lineRule="auto"/>
        <w:ind w:right="178" w:firstLine="383"/>
        <w:jc w:val="both"/>
        <w:rPr>
          <w:rFonts w:ascii="Garamond" w:cs="Garamond" w:hAnsi="Garamond" w:eastAsia="Garamond"/>
          <w:outline w:val="0"/>
          <w:color w:val="231f20"/>
          <w:sz w:val="22"/>
          <w:szCs w:val="22"/>
          <w:u w:color="231f20"/>
          <w:lang w:val="en-US"/>
          <w14:textFill>
            <w14:solidFill>
              <w14:srgbClr w14:val="231F20"/>
            </w14:solidFill>
          </w14:textFill>
        </w:rPr>
      </w:pPr>
      <w:r>
        <w:rPr>
          <w:rFonts w:ascii="Garamond" w:hAnsi="Garamond"/>
          <w:outline w:val="0"/>
          <w:color w:val="231f20"/>
          <w:sz w:val="22"/>
          <w:szCs w:val="22"/>
          <w:u w:color="231f20"/>
          <w:rtl w:val="0"/>
          <w:lang w:val="en-US"/>
          <w14:textFill>
            <w14:solidFill>
              <w14:srgbClr w14:val="231F20"/>
            </w14:solidFill>
          </w14:textFill>
        </w:rPr>
        <w:t xml:space="preserve">The advantages of an algorithmic approach are particularly evident and far-reaching. From the perspective of legislators and regulatory authorities, implementing algorithmic analysis technologies </w:t>
      </w:r>
      <w:r>
        <w:rPr>
          <w:rFonts w:ascii="Garamond" w:hAnsi="Garamond" w:hint="default"/>
          <w:outline w:val="0"/>
          <w:color w:val="231f20"/>
          <w:sz w:val="22"/>
          <w:szCs w:val="22"/>
          <w:u w:color="231f20"/>
          <w:rtl w:val="0"/>
          <w:lang w:val="en-US"/>
          <w14:textFill>
            <w14:solidFill>
              <w14:srgbClr w14:val="231F20"/>
            </w14:solidFill>
          </w14:textFill>
        </w:rPr>
        <w:t xml:space="preserve">– </w:t>
      </w:r>
      <w:r>
        <w:rPr>
          <w:rFonts w:ascii="Garamond" w:hAnsi="Garamond"/>
          <w:outline w:val="0"/>
          <w:color w:val="231f20"/>
          <w:sz w:val="22"/>
          <w:szCs w:val="22"/>
          <w:u w:color="231f20"/>
          <w:rtl w:val="0"/>
          <w:lang w:val="en-US"/>
          <w14:textFill>
            <w14:solidFill>
              <w14:srgbClr w14:val="231F20"/>
            </w14:solidFill>
          </w14:textFill>
        </w:rPr>
        <w:t xml:space="preserve">whose codes could be public, open-source, and verifiable ex ante by operators, investors, and consumers </w:t>
      </w:r>
      <w:r>
        <w:rPr>
          <w:rFonts w:ascii="Garamond" w:hAnsi="Garamond" w:hint="default"/>
          <w:outline w:val="0"/>
          <w:color w:val="231f20"/>
          <w:sz w:val="22"/>
          <w:szCs w:val="22"/>
          <w:u w:color="231f20"/>
          <w:rtl w:val="0"/>
          <w:lang w:val="en-US"/>
          <w14:textFill>
            <w14:solidFill>
              <w14:srgbClr w14:val="231F20"/>
            </w14:solidFill>
          </w14:textFill>
        </w:rPr>
        <w:t xml:space="preserve">– </w:t>
      </w:r>
      <w:r>
        <w:rPr>
          <w:rFonts w:ascii="Garamond" w:hAnsi="Garamond"/>
          <w:outline w:val="0"/>
          <w:color w:val="231f20"/>
          <w:sz w:val="22"/>
          <w:szCs w:val="22"/>
          <w:u w:color="231f20"/>
          <w:rtl w:val="0"/>
          <w:lang w:val="en-US"/>
          <w14:textFill>
            <w14:solidFill>
              <w14:srgbClr w14:val="231F20"/>
            </w14:solidFill>
          </w14:textFill>
        </w:rPr>
        <w:t xml:space="preserve">would optimize available resources and analyze vast amounts of data compared to what could be achieved with human experts alone, guiding control policies in a targeted and proactive way to detect manipulations of information or inconsistent environmental statements, which are sustainable only on paper. A secondary, but not insignificant, aspect is that the use of transparent, verifiable, and replicable algorithms would also foster greater trust among market operators, who would face a system of surveillance that is understandable, clear, and predictable </w:t>
      </w:r>
      <w:r>
        <w:rPr>
          <w:rFonts w:ascii="Garamond" w:hAnsi="Garamond"/>
          <w:i w:val="1"/>
          <w:iCs w:val="1"/>
          <w:outline w:val="0"/>
          <w:color w:val="231f20"/>
          <w:sz w:val="22"/>
          <w:szCs w:val="22"/>
          <w:u w:color="231f20"/>
          <w:rtl w:val="0"/>
          <w:lang w:val="en-US"/>
          <w14:textFill>
            <w14:solidFill>
              <w14:srgbClr w14:val="231F20"/>
            </w14:solidFill>
          </w14:textFill>
        </w:rPr>
        <w:t>ex ante</w:t>
      </w:r>
      <w:r>
        <w:rPr>
          <w:rFonts w:ascii="Garamond" w:hAnsi="Garamond"/>
          <w:outline w:val="0"/>
          <w:color w:val="231f20"/>
          <w:sz w:val="22"/>
          <w:szCs w:val="22"/>
          <w:u w:color="231f20"/>
          <w:rtl w:val="0"/>
          <w:lang w:val="en-US"/>
          <w14:textFill>
            <w14:solidFill>
              <w14:srgbClr w14:val="231F20"/>
            </w14:solidFill>
          </w14:textFill>
        </w:rPr>
        <w:t xml:space="preserve">. </w:t>
      </w:r>
    </w:p>
    <w:p>
      <w:pPr>
        <w:pStyle w:val="Body Text"/>
        <w:spacing w:before="1" w:line="254" w:lineRule="auto"/>
        <w:ind w:right="178" w:firstLine="383"/>
        <w:jc w:val="both"/>
        <w:rPr>
          <w:rFonts w:ascii="Garamond" w:cs="Garamond" w:hAnsi="Garamond" w:eastAsia="Garamond"/>
          <w:outline w:val="0"/>
          <w:color w:val="231f20"/>
          <w:sz w:val="22"/>
          <w:szCs w:val="22"/>
          <w:u w:color="231f20"/>
          <w:lang w:val="en-US"/>
          <w14:textFill>
            <w14:solidFill>
              <w14:srgbClr w14:val="231F20"/>
            </w14:solidFill>
          </w14:textFill>
        </w:rPr>
      </w:pPr>
      <w:r>
        <w:rPr>
          <w:rFonts w:ascii="Garamond" w:hAnsi="Garamond"/>
          <w:outline w:val="0"/>
          <w:color w:val="231f20"/>
          <w:sz w:val="22"/>
          <w:szCs w:val="22"/>
          <w:u w:color="231f20"/>
          <w:rtl w:val="0"/>
          <w:lang w:val="en-US"/>
          <w14:textFill>
            <w14:solidFill>
              <w14:srgbClr w14:val="231F20"/>
            </w14:solidFill>
          </w14:textFill>
        </w:rPr>
        <w:t xml:space="preserve">The efficiency of such a process for analyzing non-financial statements could also represent a form of systemic deterrence for all operators who intend to use potentially misleading declarations, as each linguistic formulation or presented data could be scrutinized for inconsistency or misalignment with concrete actions. As a result, operators could </w:t>
      </w:r>
      <w:r>
        <w:rPr>
          <w:rFonts w:ascii="Garamond" w:hAnsi="Garamond" w:hint="default"/>
          <w:outline w:val="0"/>
          <w:color w:val="231f20"/>
          <w:sz w:val="22"/>
          <w:szCs w:val="22"/>
          <w:u w:color="231f20"/>
          <w:rtl w:val="0"/>
          <w:lang w:val="en-US"/>
          <w14:textFill>
            <w14:solidFill>
              <w14:srgbClr w14:val="231F20"/>
            </w14:solidFill>
          </w14:textFill>
        </w:rPr>
        <w:t xml:space="preserve">– </w:t>
      </w:r>
      <w:r>
        <w:rPr>
          <w:rFonts w:ascii="Garamond" w:hAnsi="Garamond"/>
          <w:outline w:val="0"/>
          <w:color w:val="231f20"/>
          <w:sz w:val="22"/>
          <w:szCs w:val="22"/>
          <w:u w:color="231f20"/>
          <w:rtl w:val="0"/>
          <w:lang w:val="en-US"/>
          <w14:textFill>
            <w14:solidFill>
              <w14:srgbClr w14:val="231F20"/>
            </w14:solidFill>
          </w14:textFill>
        </w:rPr>
        <w:t xml:space="preserve">even before publishing their declarations </w:t>
      </w:r>
      <w:r>
        <w:rPr>
          <w:rFonts w:ascii="Garamond" w:hAnsi="Garamond" w:hint="default"/>
          <w:outline w:val="0"/>
          <w:color w:val="231f20"/>
          <w:sz w:val="22"/>
          <w:szCs w:val="22"/>
          <w:u w:color="231f20"/>
          <w:rtl w:val="0"/>
          <w:lang w:val="en-US"/>
          <w14:textFill>
            <w14:solidFill>
              <w14:srgbClr w14:val="231F20"/>
            </w14:solidFill>
          </w14:textFill>
        </w:rPr>
        <w:t xml:space="preserve">– </w:t>
      </w:r>
      <w:r>
        <w:rPr>
          <w:rFonts w:ascii="Garamond" w:hAnsi="Garamond"/>
          <w:outline w:val="0"/>
          <w:color w:val="231f20"/>
          <w:sz w:val="22"/>
          <w:szCs w:val="22"/>
          <w:u w:color="231f20"/>
          <w:rtl w:val="0"/>
          <w:lang w:val="en-US"/>
          <w14:textFill>
            <w14:solidFill>
              <w14:srgbClr w14:val="231F20"/>
            </w14:solidFill>
          </w14:textFill>
        </w:rPr>
        <w:t>verify and anticipate potential violations before they materialize, thus avoiding reputational damages that could affect the credibility of the sustainability strategies pursued. It is worth noting that this does not necessarily imply a complete replacement of human labor traditionally involved in monitoring and surveillance practices, but rather a synergistic integration between quantitative data and qualitative assessments of more complex or ambiguous situations (Fragiadakis et al., 2024). There is nothing preventing this evolution, given that the technological tool would respect the criteria of transparency, objectivity, neutrality, efficiency, cost-effectiveness, and simplification of supervisory activities, providing an efficient response to banks' need to meet regulatory compliance and reporting requirements (Kothandapani, 2025) demanded by the market systematically.</w:t>
      </w:r>
    </w:p>
    <w:p>
      <w:pPr>
        <w:pStyle w:val="Body Text"/>
        <w:spacing w:before="1" w:line="254" w:lineRule="auto"/>
        <w:ind w:right="178" w:firstLine="383"/>
        <w:jc w:val="both"/>
        <w:rPr>
          <w:rFonts w:ascii="Garamond" w:cs="Garamond" w:hAnsi="Garamond" w:eastAsia="Garamond"/>
          <w:outline w:val="0"/>
          <w:color w:val="231f20"/>
          <w:sz w:val="22"/>
          <w:szCs w:val="22"/>
          <w:u w:color="231f20"/>
          <w:lang w:val="en-US"/>
          <w14:textFill>
            <w14:solidFill>
              <w14:srgbClr w14:val="231F20"/>
            </w14:solidFill>
          </w14:textFill>
        </w:rPr>
      </w:pPr>
      <w:r>
        <w:rPr>
          <w:rFonts w:ascii="Garamond" w:hAnsi="Garamond"/>
          <w:outline w:val="0"/>
          <w:color w:val="231f20"/>
          <w:sz w:val="22"/>
          <w:szCs w:val="22"/>
          <w:u w:color="231f20"/>
          <w:rtl w:val="0"/>
          <w:lang w:val="en-US"/>
          <w14:textFill>
            <w14:solidFill>
              <w14:srgbClr w14:val="231F20"/>
            </w14:solidFill>
          </w14:textFill>
        </w:rPr>
        <w:t xml:space="preserve">By utilizing pattern recognition, semantic matching, and language modeling techniques, a dual environmental strategy is fostered: on the one hand, it indirectly promotes the adoption of algorithmic self-assessment tools by market operators and, on the other hand, equips supervisory authorities with computational tools that are dedicated and easily integrated into risk-based supervision models, capable of detecting discursive anomalies, rhetorical recurrences, and semantic deviations from the standards set by the European legislator. This would overcome the current limitations of oversight concerning the objectives set by the Green Deal, avoiding reliance on reactive ex post phenomena and hierarchical logic in which operators perceive environmental compliance as a cost rather than an opportunity for growth. Supervisory algorithms could, in this sense, contribute to promoting a virtuous process of voluntary adjustment, in which the market, made aware that reporting will no longer be judged </w:t>
      </w:r>
      <w:r>
        <w:rPr>
          <w:rFonts w:ascii="Garamond" w:hAnsi="Garamond" w:hint="default"/>
          <w:outline w:val="0"/>
          <w:color w:val="231f20"/>
          <w:sz w:val="22"/>
          <w:szCs w:val="22"/>
          <w:u w:color="231f20"/>
          <w:rtl w:val="0"/>
          <w:lang w:val="en-US"/>
          <w14:textFill>
            <w14:solidFill>
              <w14:srgbClr w14:val="231F20"/>
            </w14:solidFill>
          </w14:textFill>
        </w:rPr>
        <w:t xml:space="preserve">– </w:t>
      </w:r>
      <w:r>
        <w:rPr>
          <w:rFonts w:ascii="Garamond" w:hAnsi="Garamond"/>
          <w:outline w:val="0"/>
          <w:color w:val="231f20"/>
          <w:sz w:val="22"/>
          <w:szCs w:val="22"/>
          <w:u w:color="231f20"/>
          <w:rtl w:val="0"/>
          <w:lang w:val="en-US"/>
          <w14:textFill>
            <w14:solidFill>
              <w14:srgbClr w14:val="231F20"/>
            </w14:solidFill>
          </w14:textFill>
        </w:rPr>
        <w:t xml:space="preserve">under Directive 2024/825 </w:t>
      </w:r>
      <w:r>
        <w:rPr>
          <w:rFonts w:ascii="Garamond" w:hAnsi="Garamond" w:hint="default"/>
          <w:outline w:val="0"/>
          <w:color w:val="231f20"/>
          <w:sz w:val="22"/>
          <w:szCs w:val="22"/>
          <w:u w:color="231f20"/>
          <w:rtl w:val="0"/>
          <w:lang w:val="en-US"/>
          <w14:textFill>
            <w14:solidFill>
              <w14:srgbClr w14:val="231F20"/>
            </w14:solidFill>
          </w14:textFill>
        </w:rPr>
        <w:t xml:space="preserve">– </w:t>
      </w:r>
      <w:r>
        <w:rPr>
          <w:rFonts w:ascii="Garamond" w:hAnsi="Garamond"/>
          <w:outline w:val="0"/>
          <w:color w:val="231f20"/>
          <w:sz w:val="22"/>
          <w:szCs w:val="22"/>
          <w:u w:color="231f20"/>
          <w:rtl w:val="0"/>
          <w:lang w:val="en-US"/>
          <w14:textFill>
            <w14:solidFill>
              <w14:srgbClr w14:val="231F20"/>
            </w14:solidFill>
          </w14:textFill>
        </w:rPr>
        <w:t>based on the overall content, but also regarding the linguistic quality and semantic coherence of the statements, will be naturally incentivized to reformulate their communication strategies in a more rigorous and transparent manner.</w:t>
      </w:r>
    </w:p>
    <w:p>
      <w:pPr>
        <w:pStyle w:val="Body Text"/>
        <w:spacing w:before="1" w:line="254" w:lineRule="auto"/>
        <w:ind w:right="178" w:firstLine="383"/>
        <w:jc w:val="both"/>
        <w:rPr>
          <w:rFonts w:ascii="Garamond" w:cs="Garamond" w:hAnsi="Garamond" w:eastAsia="Garamond"/>
          <w:outline w:val="0"/>
          <w:color w:val="231f20"/>
          <w:sz w:val="22"/>
          <w:szCs w:val="22"/>
          <w:u w:color="231f20"/>
          <w:lang w:val="en-US"/>
          <w14:textFill>
            <w14:solidFill>
              <w14:srgbClr w14:val="231F20"/>
            </w14:solidFill>
          </w14:textFill>
        </w:rPr>
      </w:pPr>
      <w:r>
        <w:rPr>
          <w:rFonts w:ascii="Garamond" w:hAnsi="Garamond"/>
          <w:outline w:val="0"/>
          <w:color w:val="231f20"/>
          <w:sz w:val="22"/>
          <w:szCs w:val="22"/>
          <w:u w:color="231f20"/>
          <w:rtl w:val="0"/>
          <w:lang w:val="en-US"/>
          <w14:textFill>
            <w14:solidFill>
              <w14:srgbClr w14:val="231F20"/>
            </w14:solidFill>
          </w14:textFill>
        </w:rPr>
        <w:t xml:space="preserve">Preliminary analysis activities by companies could further be integrated by using large-scale linguistic models and artificial intelligence systems to measure non-compliance risk, as well as to precisely identify the structural weaknesses in their environmental communications, promptly detecting any issues requiring urgent corrective action (Surampudi, 2024). At the same time, given that, in banking, management analyses through algorithms and machine learning are a strong point, there are ample opportunities to rethink a coherent, transparent, and legitimate application of these technologies. </w:t>
      </w:r>
    </w:p>
    <w:p>
      <w:pPr>
        <w:pStyle w:val="Body Text"/>
        <w:spacing w:before="1" w:line="254" w:lineRule="auto"/>
        <w:ind w:right="178" w:firstLine="383"/>
        <w:jc w:val="both"/>
        <w:rPr>
          <w:rFonts w:ascii="Garamond" w:cs="Garamond" w:hAnsi="Garamond" w:eastAsia="Garamond"/>
          <w:outline w:val="0"/>
          <w:color w:val="231f20"/>
          <w:sz w:val="22"/>
          <w:szCs w:val="22"/>
          <w:u w:color="231f20"/>
          <w:lang w:val="en-US"/>
          <w14:textFill>
            <w14:solidFill>
              <w14:srgbClr w14:val="231F20"/>
            </w14:solidFill>
          </w14:textFill>
        </w:rPr>
      </w:pPr>
      <w:r>
        <w:rPr>
          <w:rFonts w:ascii="Garamond" w:hAnsi="Garamond"/>
          <w:outline w:val="0"/>
          <w:color w:val="231f20"/>
          <w:sz w:val="22"/>
          <w:szCs w:val="22"/>
          <w:u w:color="231f20"/>
          <w:rtl w:val="0"/>
          <w:lang w:val="en-US"/>
          <w14:textFill>
            <w14:solidFill>
              <w14:srgbClr w14:val="231F20"/>
            </w14:solidFill>
          </w14:textFill>
        </w:rPr>
        <w:t xml:space="preserve">Ultimately, it is up to the legislator to provide any necessary guarantees for the transparency of these tools (Quttainah et al., 2024), which, far from absolving economic actors of responsibility, could strengthen their obligations of truth, thereby improving the trust-based relationship between companies and society in the pursuit of long-term sustainability goals. This evolution towards a form of compliance-by-design (Terzidou, 2025) and algorithmization of supervision (Leeuw, 2025) would also shift the enforcement focus from a repressive logic to a structural one, capable of correcting systemic distortions, compliance errors, and discrepancies through a technologically-assisted regulatory environment that combines pragmatic consistency assessments between ESG statements and the concrete commitments made to investors and consumers. One could even envision, </w:t>
      </w:r>
      <w:r>
        <w:rPr>
          <w:rFonts w:ascii="Garamond" w:hAnsi="Garamond"/>
          <w:i w:val="1"/>
          <w:iCs w:val="1"/>
          <w:outline w:val="0"/>
          <w:color w:val="231f20"/>
          <w:sz w:val="22"/>
          <w:szCs w:val="22"/>
          <w:u w:color="231f20"/>
          <w:rtl w:val="0"/>
          <w:lang w:val="en-US"/>
          <w14:textFill>
            <w14:solidFill>
              <w14:srgbClr w14:val="231F20"/>
            </w14:solidFill>
          </w14:textFill>
        </w:rPr>
        <w:t>de iure condendo</w:t>
      </w:r>
      <w:r>
        <w:rPr>
          <w:rFonts w:ascii="Garamond" w:hAnsi="Garamond"/>
          <w:outline w:val="0"/>
          <w:color w:val="231f20"/>
          <w:sz w:val="22"/>
          <w:szCs w:val="22"/>
          <w:u w:color="231f20"/>
          <w:rtl w:val="0"/>
          <w:lang w:val="en-US"/>
          <w14:textFill>
            <w14:solidFill>
              <w14:srgbClr w14:val="231F20"/>
            </w14:solidFill>
          </w14:textFill>
        </w:rPr>
        <w:t>, implementing a new operational approach for supervisory authorities on a systemic scale, in which, rather than relying solely on selective and limited checks, they could have access to a platform capable of automatically processing all consolidated non-financial statements filed annually, returning targeted alerts, semantic risk clusters, and inconsistency maps between sustainability report statements and potential risk classification mechanisms, creating a form of "augmented supervision" in which algorithms and artificial intelligence guide, filter, and enhance human evaluations.</w:t>
      </w:r>
    </w:p>
    <w:p>
      <w:pPr>
        <w:pStyle w:val="Body Text"/>
        <w:spacing w:before="1" w:line="254" w:lineRule="auto"/>
        <w:ind w:right="178" w:firstLine="383"/>
        <w:jc w:val="both"/>
        <w:rPr>
          <w:rFonts w:ascii="Garamond" w:cs="Garamond" w:hAnsi="Garamond" w:eastAsia="Garamond"/>
          <w:outline w:val="0"/>
          <w:color w:val="231f20"/>
          <w:sz w:val="22"/>
          <w:szCs w:val="22"/>
          <w:u w:color="231f20"/>
          <w:lang w:val="en-US"/>
          <w14:textFill>
            <w14:solidFill>
              <w14:srgbClr w14:val="231F20"/>
            </w14:solidFill>
          </w14:textFill>
        </w:rPr>
      </w:pPr>
    </w:p>
    <w:p>
      <w:pPr>
        <w:pStyle w:val="Body Text"/>
        <w:spacing w:before="1" w:line="254" w:lineRule="auto"/>
        <w:ind w:right="178"/>
        <w:jc w:val="both"/>
        <w:rPr>
          <w:rFonts w:ascii="Garamond" w:cs="Garamond" w:hAnsi="Garamond" w:eastAsia="Garamond"/>
          <w:outline w:val="0"/>
          <w:color w:val="231f20"/>
          <w:sz w:val="22"/>
          <w:szCs w:val="22"/>
          <w:u w:color="231f20"/>
          <w14:textFill>
            <w14:solidFill>
              <w14:srgbClr w14:val="231F20"/>
            </w14:solidFill>
          </w14:textFill>
        </w:rPr>
      </w:pPr>
      <w:r>
        <w:rPr>
          <w:rFonts w:ascii="Garamond" w:cs="Garamond" w:hAnsi="Garamond" w:eastAsia="Garamond"/>
          <w:outline w:val="0"/>
          <w:color w:val="231f20"/>
          <w:sz w:val="22"/>
          <w:szCs w:val="22"/>
          <w:u w:color="231f20"/>
          <w14:textFill>
            <w14:solidFill>
              <w14:srgbClr w14:val="231F20"/>
            </w14:solidFill>
          </w14:textFill>
        </w:rPr>
        <mc:AlternateContent>
          <mc:Choice Requires="wps">
            <w:drawing xmlns:a="http://schemas.openxmlformats.org/drawingml/2006/main">
              <wp:inline distT="0" distB="0" distL="0" distR="0">
                <wp:extent cx="4754119" cy="10398"/>
                <wp:effectExtent l="0" t="0" r="0" b="0"/>
                <wp:docPr id="1073741830" name="officeArt object" descr="Rectangle"/>
                <wp:cNvGraphicFramePr/>
                <a:graphic xmlns:a="http://schemas.openxmlformats.org/drawingml/2006/main">
                  <a:graphicData uri="http://schemas.microsoft.com/office/word/2010/wordprocessingShape">
                    <wps:wsp>
                      <wps:cNvSpPr/>
                      <wps:spPr>
                        <a:xfrm>
                          <a:off x="0" y="0"/>
                          <a:ext cx="4754119" cy="10398"/>
                        </a:xfrm>
                        <a:prstGeom prst="rect">
                          <a:avLst/>
                        </a:prstGeom>
                        <a:solidFill>
                          <a:srgbClr val="A0A0A0"/>
                        </a:solidFill>
                        <a:ln w="12700" cap="flat">
                          <a:noFill/>
                          <a:miter lim="400000"/>
                        </a:ln>
                        <a:effectLst/>
                      </wps:spPr>
                      <wps:bodyPr/>
                    </wps:wsp>
                  </a:graphicData>
                </a:graphic>
              </wp:inline>
            </w:drawing>
          </mc:Choice>
          <mc:Fallback>
            <w:pict>
              <v:rect id="_x0000_s1029" style="visibility:visible;width:374.3pt;height:0.8pt;">
                <v:fill color="#A0A0A0" opacity="100.0%" type="solid"/>
                <v:stroke on="f" weight="1.0pt" dashstyle="solid" endcap="flat" miterlimit="400.0%" joinstyle="miter" linestyle="single" startarrow="none" startarrowwidth="medium" startarrowlength="medium" endarrow="none" endarrowwidth="medium" endarrowlength="medium"/>
              </v:rect>
            </w:pict>
          </mc:Fallback>
        </mc:AlternateContent>
      </w:r>
    </w:p>
    <w:p>
      <w:pPr>
        <w:pStyle w:val="Body Text"/>
        <w:spacing w:before="1" w:line="254" w:lineRule="auto"/>
        <w:ind w:right="178" w:firstLine="383"/>
        <w:jc w:val="both"/>
        <w:rPr>
          <w:rFonts w:ascii="Garamond" w:cs="Garamond" w:hAnsi="Garamond" w:eastAsia="Garamond"/>
          <w:outline w:val="0"/>
          <w:color w:val="231f20"/>
          <w:sz w:val="22"/>
          <w:szCs w:val="22"/>
          <w:u w:color="231f20"/>
          <w14:textFill>
            <w14:solidFill>
              <w14:srgbClr w14:val="231F20"/>
            </w14:solidFill>
          </w14:textFill>
        </w:rPr>
      </w:pPr>
    </w:p>
    <w:p>
      <w:pPr>
        <w:pStyle w:val="Body Text"/>
        <w:spacing w:before="1" w:line="254" w:lineRule="auto"/>
        <w:ind w:right="178" w:firstLine="383"/>
        <w:jc w:val="both"/>
        <w:outlineLvl w:val="0"/>
        <w:rPr>
          <w:rFonts w:ascii="Garamond" w:cs="Garamond" w:hAnsi="Garamond" w:eastAsia="Garamond"/>
          <w:b w:val="1"/>
          <w:bCs w:val="1"/>
          <w:outline w:val="0"/>
          <w:color w:val="231f20"/>
          <w:sz w:val="22"/>
          <w:szCs w:val="22"/>
          <w:u w:color="231f20"/>
          <w:lang w:val="en-US"/>
          <w14:textFill>
            <w14:solidFill>
              <w14:srgbClr w14:val="231F20"/>
            </w14:solidFill>
          </w14:textFill>
        </w:rPr>
      </w:pPr>
      <w:r>
        <w:rPr>
          <w:rFonts w:ascii="Garamond" w:hAnsi="Garamond"/>
          <w:b w:val="1"/>
          <w:bCs w:val="1"/>
          <w:outline w:val="0"/>
          <w:color w:val="231f20"/>
          <w:sz w:val="22"/>
          <w:szCs w:val="22"/>
          <w:u w:color="231f20"/>
          <w:rtl w:val="0"/>
          <w:lang w:val="en-US"/>
          <w14:textFill>
            <w14:solidFill>
              <w14:srgbClr w14:val="231F20"/>
            </w14:solidFill>
          </w14:textFill>
        </w:rPr>
        <w:t>5. Reassessing Misleading ESG Claims Through a Tripartite Legal-Economic Framework</w:t>
      </w:r>
    </w:p>
    <w:p>
      <w:pPr>
        <w:pStyle w:val="Body Text"/>
        <w:spacing w:before="1" w:line="254" w:lineRule="auto"/>
        <w:ind w:right="178"/>
        <w:jc w:val="both"/>
        <w:rPr>
          <w:rFonts w:ascii="Garamond" w:cs="Garamond" w:hAnsi="Garamond" w:eastAsia="Garamond"/>
          <w:outline w:val="0"/>
          <w:color w:val="231f20"/>
          <w:sz w:val="22"/>
          <w:szCs w:val="22"/>
          <w:u w:color="231f20"/>
          <w:lang w:val="en-US"/>
          <w14:textFill>
            <w14:solidFill>
              <w14:srgbClr w14:val="231F20"/>
            </w14:solidFill>
          </w14:textFill>
        </w:rPr>
      </w:pPr>
    </w:p>
    <w:p>
      <w:pPr>
        <w:pStyle w:val="Body Text"/>
        <w:spacing w:before="1" w:line="254" w:lineRule="auto"/>
        <w:ind w:right="178" w:firstLine="383"/>
        <w:jc w:val="both"/>
        <w:rPr>
          <w:rFonts w:ascii="Garamond" w:cs="Garamond" w:hAnsi="Garamond" w:eastAsia="Garamond"/>
          <w:outline w:val="0"/>
          <w:color w:val="231f20"/>
          <w:sz w:val="22"/>
          <w:szCs w:val="22"/>
          <w:u w:color="231f20"/>
          <w:lang w:val="en-US"/>
          <w14:textFill>
            <w14:solidFill>
              <w14:srgbClr w14:val="231F20"/>
            </w14:solidFill>
          </w14:textFill>
        </w:rPr>
      </w:pPr>
      <w:r>
        <w:rPr>
          <w:rFonts w:ascii="Garamond" w:hAnsi="Garamond"/>
          <w:outline w:val="0"/>
          <w:color w:val="231f20"/>
          <w:sz w:val="22"/>
          <w:szCs w:val="22"/>
          <w:u w:color="231f20"/>
          <w:rtl w:val="0"/>
          <w:lang w:val="en-US"/>
          <w14:textFill>
            <w14:solidFill>
              <w14:srgbClr w14:val="231F20"/>
            </w14:solidFill>
          </w14:textFill>
        </w:rPr>
        <w:t xml:space="preserve">The preceding chapters have provided both normative and empirical evidence that the communication of environmental sustainability claims by major European banking institutions often fails to meet the standards of clarity, verifiability, and measurability now imposed by the European legal framework. Nonetheless, we might contextualize these findings within a more structured model of analysis, drawing on established principles of consumer protection law and adapting them to the specificities of ESG disclosure in the banking sector. In particular, the tripartite structure of assessment </w:t>
      </w:r>
      <w:r>
        <w:rPr>
          <w:rFonts w:ascii="Garamond" w:hAnsi="Garamond" w:hint="default"/>
          <w:outline w:val="0"/>
          <w:color w:val="231f20"/>
          <w:sz w:val="22"/>
          <w:szCs w:val="22"/>
          <w:u w:color="231f20"/>
          <w:rtl w:val="0"/>
          <w:lang w:val="en-US"/>
          <w14:textFill>
            <w14:solidFill>
              <w14:srgbClr w14:val="231F20"/>
            </w14:solidFill>
          </w14:textFill>
        </w:rPr>
        <w:t xml:space="preserve">– </w:t>
      </w:r>
      <w:r>
        <w:rPr>
          <w:rFonts w:ascii="Garamond" w:hAnsi="Garamond"/>
          <w:outline w:val="0"/>
          <w:color w:val="231f20"/>
          <w:sz w:val="22"/>
          <w:szCs w:val="22"/>
          <w:u w:color="231f20"/>
          <w:rtl w:val="0"/>
          <w:lang w:val="en-US"/>
          <w14:textFill>
            <w14:solidFill>
              <w14:srgbClr w14:val="231F20"/>
            </w14:solidFill>
          </w14:textFill>
        </w:rPr>
        <w:t xml:space="preserve">based on the detection of misleading content, the evaluation of its interpretive effects on the average recipient, and the examination of its economic materiality (Avi, 2025) </w:t>
      </w:r>
      <w:r>
        <w:rPr>
          <w:rFonts w:ascii="Garamond" w:hAnsi="Garamond" w:hint="default"/>
          <w:outline w:val="0"/>
          <w:color w:val="231f20"/>
          <w:sz w:val="22"/>
          <w:szCs w:val="22"/>
          <w:u w:color="231f20"/>
          <w:rtl w:val="0"/>
          <w:lang w:val="en-US"/>
          <w14:textFill>
            <w14:solidFill>
              <w14:srgbClr w14:val="231F20"/>
            </w14:solidFill>
          </w14:textFill>
        </w:rPr>
        <w:t xml:space="preserve">– </w:t>
      </w:r>
      <w:r>
        <w:rPr>
          <w:rFonts w:ascii="Garamond" w:hAnsi="Garamond"/>
          <w:outline w:val="0"/>
          <w:color w:val="231f20"/>
          <w:sz w:val="22"/>
          <w:szCs w:val="22"/>
          <w:u w:color="231f20"/>
          <w:rtl w:val="0"/>
          <w:lang w:val="en-US"/>
          <w14:textFill>
            <w14:solidFill>
              <w14:srgbClr w14:val="231F20"/>
            </w14:solidFill>
          </w14:textFill>
        </w:rPr>
        <w:t>might offer a coherent analytical framework through which the potential illegitimacy of environmental statements can be rigorously ascertained from a material perspective (Shvyreva &amp; Petukh, 2018).</w:t>
      </w:r>
    </w:p>
    <w:p>
      <w:pPr>
        <w:pStyle w:val="Body Text"/>
        <w:spacing w:before="1" w:line="254" w:lineRule="auto"/>
        <w:ind w:right="178" w:firstLine="383"/>
        <w:jc w:val="both"/>
        <w:rPr>
          <w:rFonts w:ascii="Garamond" w:cs="Garamond" w:hAnsi="Garamond" w:eastAsia="Garamond"/>
          <w:outline w:val="0"/>
          <w:color w:val="231f20"/>
          <w:sz w:val="22"/>
          <w:szCs w:val="22"/>
          <w:u w:color="231f20"/>
          <w:lang w:val="en-US"/>
          <w14:textFill>
            <w14:solidFill>
              <w14:srgbClr w14:val="231F20"/>
            </w14:solidFill>
          </w14:textFill>
        </w:rPr>
      </w:pPr>
      <w:r>
        <w:rPr>
          <w:rFonts w:ascii="Garamond" w:hAnsi="Garamond"/>
          <w:outline w:val="0"/>
          <w:color w:val="231f20"/>
          <w:sz w:val="22"/>
          <w:szCs w:val="22"/>
          <w:u w:color="231f20"/>
          <w:rtl w:val="0"/>
          <w:lang w:val="en-US"/>
          <w14:textFill>
            <w14:solidFill>
              <w14:srgbClr w14:val="231F20"/>
            </w14:solidFill>
          </w14:textFill>
        </w:rPr>
        <w:t xml:space="preserve">The first stage of this model focuses on the objective nature of the information provided. Here, the central question is whether the statement </w:t>
      </w:r>
      <w:r>
        <w:rPr>
          <w:rFonts w:ascii="Garamond" w:hAnsi="Garamond" w:hint="default"/>
          <w:outline w:val="0"/>
          <w:color w:val="231f20"/>
          <w:sz w:val="22"/>
          <w:szCs w:val="22"/>
          <w:u w:color="231f20"/>
          <w:rtl w:val="0"/>
          <w:lang w:val="en-US"/>
          <w14:textFill>
            <w14:solidFill>
              <w14:srgbClr w14:val="231F20"/>
            </w14:solidFill>
          </w14:textFill>
        </w:rPr>
        <w:t xml:space="preserve">– </w:t>
      </w:r>
      <w:r>
        <w:rPr>
          <w:rFonts w:ascii="Garamond" w:hAnsi="Garamond"/>
          <w:outline w:val="0"/>
          <w:color w:val="231f20"/>
          <w:sz w:val="22"/>
          <w:szCs w:val="22"/>
          <w:u w:color="231f20"/>
          <w:rtl w:val="0"/>
          <w:lang w:val="en-US"/>
          <w14:textFill>
            <w14:solidFill>
              <w14:srgbClr w14:val="231F20"/>
            </w14:solidFill>
          </w14:textFill>
        </w:rPr>
        <w:t xml:space="preserve">whether verbal, visual, or multimodal </w:t>
      </w:r>
      <w:r>
        <w:rPr>
          <w:rFonts w:ascii="Garamond" w:hAnsi="Garamond" w:hint="default"/>
          <w:outline w:val="0"/>
          <w:color w:val="231f20"/>
          <w:sz w:val="22"/>
          <w:szCs w:val="22"/>
          <w:u w:color="231f20"/>
          <w:rtl w:val="0"/>
          <w:lang w:val="en-US"/>
          <w14:textFill>
            <w14:solidFill>
              <w14:srgbClr w14:val="231F20"/>
            </w14:solidFill>
          </w14:textFill>
        </w:rPr>
        <w:t xml:space="preserve">– </w:t>
      </w:r>
      <w:r>
        <w:rPr>
          <w:rFonts w:ascii="Garamond" w:hAnsi="Garamond"/>
          <w:outline w:val="0"/>
          <w:color w:val="231f20"/>
          <w:sz w:val="22"/>
          <w:szCs w:val="22"/>
          <w:u w:color="231f20"/>
          <w:rtl w:val="0"/>
          <w:lang w:val="en-US"/>
          <w14:textFill>
            <w14:solidFill>
              <w14:srgbClr w14:val="231F20"/>
            </w14:solidFill>
          </w14:textFill>
        </w:rPr>
        <w:t xml:space="preserve">corresponds to the factual characteristics of the product, service, or institutional behavior it purports to describe. Under the logic of current regulatory standards, the misleading character of a claim may arise not only from falsity in the strict sense, but also from its indeterminacy, non-verifiability, or selective omission of relevant data. This is particularly salient in the case of ESG declarations that rely on aspirational language, generalized commitments, or future-oriented objectives without any present reference to measurable indicators or resource allocation. Although such claims may appear benign from a discursive standpoint, they risk creating an unjustified perception of environmental performance or commitment that is not supported by the underlying factual reality. In this sense, the normative criterion of </w:t>
      </w:r>
      <w:r>
        <w:rPr>
          <w:rFonts w:ascii="Garamond" w:hAnsi="Garamond"/>
          <w:i w:val="1"/>
          <w:iCs w:val="1"/>
          <w:outline w:val="0"/>
          <w:color w:val="231f20"/>
          <w:sz w:val="22"/>
          <w:szCs w:val="22"/>
          <w:u w:color="231f20"/>
          <w:rtl w:val="0"/>
          <w:lang w:val="en-US"/>
          <w14:textFill>
            <w14:solidFill>
              <w14:srgbClr w14:val="231F20"/>
            </w14:solidFill>
          </w14:textFill>
        </w:rPr>
        <w:t>truthfulness</w:t>
      </w:r>
      <w:r>
        <w:rPr>
          <w:rFonts w:ascii="Garamond" w:hAnsi="Garamond"/>
          <w:outline w:val="0"/>
          <w:color w:val="231f20"/>
          <w:sz w:val="22"/>
          <w:szCs w:val="22"/>
          <w:u w:color="231f20"/>
          <w:rtl w:val="0"/>
          <w:lang w:val="en-US"/>
          <w14:textFill>
            <w14:solidFill>
              <w14:srgbClr w14:val="231F20"/>
            </w14:solidFill>
          </w14:textFill>
        </w:rPr>
        <w:t xml:space="preserve"> encompasses not only what is said, but also how it is said and what is left unsaid.</w:t>
      </w:r>
    </w:p>
    <w:p>
      <w:pPr>
        <w:pStyle w:val="Body Text"/>
        <w:spacing w:before="1" w:line="254" w:lineRule="auto"/>
        <w:ind w:right="178" w:firstLine="383"/>
        <w:jc w:val="both"/>
        <w:rPr>
          <w:rFonts w:ascii="Garamond" w:cs="Garamond" w:hAnsi="Garamond" w:eastAsia="Garamond"/>
          <w:outline w:val="0"/>
          <w:color w:val="231f20"/>
          <w:sz w:val="22"/>
          <w:szCs w:val="22"/>
          <w:u w:color="231f20"/>
          <w:lang w:val="en-US"/>
          <w14:textFill>
            <w14:solidFill>
              <w14:srgbClr w14:val="231F20"/>
            </w14:solidFill>
          </w14:textFill>
        </w:rPr>
      </w:pPr>
      <w:r>
        <w:rPr>
          <w:rFonts w:ascii="Garamond" w:hAnsi="Garamond"/>
          <w:outline w:val="0"/>
          <w:color w:val="231f20"/>
          <w:sz w:val="22"/>
          <w:szCs w:val="22"/>
          <w:u w:color="231f20"/>
          <w:rtl w:val="0"/>
          <w:lang w:val="en-US"/>
          <w14:textFill>
            <w14:solidFill>
              <w14:srgbClr w14:val="231F20"/>
            </w14:solidFill>
          </w14:textFill>
        </w:rPr>
        <w:t xml:space="preserve">The second stage relates to the interpretive impact of the claim on the average recipient. The regulatory doctrine, particularly in the European context, is not concerned exclusively with whether a statement is misleading </w:t>
      </w:r>
      <w:r>
        <w:rPr>
          <w:rFonts w:ascii="Garamond" w:hAnsi="Garamond"/>
          <w:i w:val="1"/>
          <w:iCs w:val="1"/>
          <w:outline w:val="0"/>
          <w:color w:val="231f20"/>
          <w:sz w:val="22"/>
          <w:szCs w:val="22"/>
          <w:u w:color="231f20"/>
          <w:rtl w:val="0"/>
          <w:lang w:val="en-US"/>
          <w14:textFill>
            <w14:solidFill>
              <w14:srgbClr w14:val="231F20"/>
            </w14:solidFill>
          </w14:textFill>
        </w:rPr>
        <w:t>per se</w:t>
      </w:r>
      <w:r>
        <w:rPr>
          <w:rFonts w:ascii="Garamond" w:hAnsi="Garamond"/>
          <w:outline w:val="0"/>
          <w:color w:val="231f20"/>
          <w:sz w:val="22"/>
          <w:szCs w:val="22"/>
          <w:u w:color="231f20"/>
          <w:rtl w:val="0"/>
          <w:lang w:val="en-US"/>
          <w14:textFill>
            <w14:solidFill>
              <w14:srgbClr w14:val="231F20"/>
            </w14:solidFill>
          </w14:textFill>
        </w:rPr>
        <w:t xml:space="preserve">, but also with whether it is </w:t>
      </w:r>
      <w:r>
        <w:rPr>
          <w:rFonts w:ascii="Garamond" w:hAnsi="Garamond"/>
          <w:i w:val="1"/>
          <w:iCs w:val="1"/>
          <w:outline w:val="0"/>
          <w:color w:val="231f20"/>
          <w:sz w:val="22"/>
          <w:szCs w:val="22"/>
          <w:u w:color="231f20"/>
          <w:rtl w:val="0"/>
          <w:lang w:val="en-US"/>
          <w14:textFill>
            <w14:solidFill>
              <w14:srgbClr w14:val="231F20"/>
            </w14:solidFill>
          </w14:textFill>
        </w:rPr>
        <w:t>likely to mislead</w:t>
      </w:r>
      <w:r>
        <w:rPr>
          <w:rFonts w:ascii="Garamond" w:hAnsi="Garamond"/>
          <w:outline w:val="0"/>
          <w:color w:val="231f20"/>
          <w:sz w:val="22"/>
          <w:szCs w:val="22"/>
          <w:u w:color="231f20"/>
          <w:rtl w:val="0"/>
          <w:lang w:val="en-US"/>
          <w14:textFill>
            <w14:solidFill>
              <w14:srgbClr w14:val="231F20"/>
            </w14:solidFill>
          </w14:textFill>
        </w:rPr>
        <w:t>, given the cognitive and informational position of the average consumer or investor. This introduces a behavioral dimension into the legal analysis, which requires assessing the probable effects of the message on the interpretive framework of its addressee. In the ESG context, this assessment must take into account the asymmetries in expertise, access to information, and capacity to verify sustainability claims that characterize the relationship between financial institutions and their stakeholders. As a result, even statements that may not be demonstrably false can qualify as misleading if they plausibly induce recipients to form mistaken impressions about the bank</w:t>
      </w:r>
      <w:r>
        <w:rPr>
          <w:rFonts w:ascii="Garamond" w:hAnsi="Garamond" w:hint="default"/>
          <w:outline w:val="0"/>
          <w:color w:val="231f20"/>
          <w:sz w:val="22"/>
          <w:szCs w:val="22"/>
          <w:u w:color="231f20"/>
          <w:rtl w:val="0"/>
          <w:lang w:val="en-US"/>
          <w14:textFill>
            <w14:solidFill>
              <w14:srgbClr w14:val="231F20"/>
            </w14:solidFill>
          </w14:textFill>
        </w:rPr>
        <w:t>’</w:t>
      </w:r>
      <w:r>
        <w:rPr>
          <w:rFonts w:ascii="Garamond" w:hAnsi="Garamond"/>
          <w:outline w:val="0"/>
          <w:color w:val="231f20"/>
          <w:sz w:val="22"/>
          <w:szCs w:val="22"/>
          <w:u w:color="231f20"/>
          <w:rtl w:val="0"/>
          <w:lang w:val="en-US"/>
          <w14:textFill>
            <w14:solidFill>
              <w14:srgbClr w14:val="231F20"/>
            </w14:solidFill>
          </w14:textFill>
        </w:rPr>
        <w:t>s environmental performance or strategic orientation.</w:t>
      </w:r>
    </w:p>
    <w:p>
      <w:pPr>
        <w:pStyle w:val="Body Text"/>
        <w:spacing w:before="1" w:line="254" w:lineRule="auto"/>
        <w:ind w:right="178" w:firstLine="383"/>
        <w:jc w:val="both"/>
        <w:rPr>
          <w:rFonts w:ascii="Garamond" w:cs="Garamond" w:hAnsi="Garamond" w:eastAsia="Garamond"/>
          <w:outline w:val="0"/>
          <w:color w:val="231f20"/>
          <w:sz w:val="22"/>
          <w:szCs w:val="22"/>
          <w:u w:color="231f20"/>
          <w:lang w:val="en-US"/>
          <w14:textFill>
            <w14:solidFill>
              <w14:srgbClr w14:val="231F20"/>
            </w14:solidFill>
          </w14:textFill>
        </w:rPr>
      </w:pPr>
      <w:r>
        <w:rPr>
          <w:rFonts w:ascii="Garamond" w:hAnsi="Garamond"/>
          <w:outline w:val="0"/>
          <w:color w:val="231f20"/>
          <w:sz w:val="22"/>
          <w:szCs w:val="22"/>
          <w:u w:color="231f20"/>
          <w:rtl w:val="0"/>
          <w:lang w:val="en-US"/>
          <w14:textFill>
            <w14:solidFill>
              <w14:srgbClr w14:val="231F20"/>
            </w14:solidFill>
          </w14:textFill>
        </w:rPr>
        <w:t>The third and final stage is that of materiality, which functions as a normative threshold to determine whether the misleading nature of the statement is legally relevant. In this context, a claim is deemed materially misleading if it is likely to influence the economic behavior of the recipient</w:t>
      </w:r>
      <w:r>
        <w:rPr>
          <w:rFonts w:ascii="Garamond" w:hAnsi="Garamond" w:hint="default"/>
          <w:outline w:val="0"/>
          <w:color w:val="231f20"/>
          <w:sz w:val="22"/>
          <w:szCs w:val="22"/>
          <w:u w:color="231f20"/>
          <w:rtl w:val="0"/>
          <w:lang w:val="en-US"/>
          <w14:textFill>
            <w14:solidFill>
              <w14:srgbClr w14:val="231F20"/>
            </w14:solidFill>
          </w14:textFill>
        </w:rPr>
        <w:t>—</w:t>
      </w:r>
      <w:r>
        <w:rPr>
          <w:rFonts w:ascii="Garamond" w:hAnsi="Garamond"/>
          <w:outline w:val="0"/>
          <w:color w:val="231f20"/>
          <w:sz w:val="22"/>
          <w:szCs w:val="22"/>
          <w:u w:color="231f20"/>
          <w:rtl w:val="0"/>
          <w:lang w:val="en-US"/>
          <w14:textFill>
            <w14:solidFill>
              <w14:srgbClr w14:val="231F20"/>
            </w14:solidFill>
          </w14:textFill>
        </w:rPr>
        <w:t>that is, to cause a change in the recipient</w:t>
      </w:r>
      <w:r>
        <w:rPr>
          <w:rFonts w:ascii="Garamond" w:hAnsi="Garamond" w:hint="default"/>
          <w:outline w:val="0"/>
          <w:color w:val="231f20"/>
          <w:sz w:val="22"/>
          <w:szCs w:val="22"/>
          <w:u w:color="231f20"/>
          <w:rtl w:val="0"/>
          <w:lang w:val="en-US"/>
          <w14:textFill>
            <w14:solidFill>
              <w14:srgbClr w14:val="231F20"/>
            </w14:solidFill>
          </w14:textFill>
        </w:rPr>
        <w:t>’</w:t>
      </w:r>
      <w:r>
        <w:rPr>
          <w:rFonts w:ascii="Garamond" w:hAnsi="Garamond"/>
          <w:outline w:val="0"/>
          <w:color w:val="231f20"/>
          <w:sz w:val="22"/>
          <w:szCs w:val="22"/>
          <w:u w:color="231f20"/>
          <w:rtl w:val="0"/>
          <w:lang w:val="en-US"/>
          <w14:textFill>
            <w14:solidFill>
              <w14:srgbClr w14:val="231F20"/>
            </w14:solidFill>
          </w14:textFill>
        </w:rPr>
        <w:t>s purchasing decision, investment choice, or any other market-relevant conduct. This requirement reflects the principle that regulatory intervention should be limited to informational practices that have an appreciable effect on market dynamics or consumer autonomy. In the context of sustainability disclosures, the materiality test acquires particular significance: claims concerning environmental conduct are not peripheral, but often central to a bank</w:t>
      </w:r>
      <w:r>
        <w:rPr>
          <w:rFonts w:ascii="Garamond" w:hAnsi="Garamond" w:hint="default"/>
          <w:outline w:val="0"/>
          <w:color w:val="231f20"/>
          <w:sz w:val="22"/>
          <w:szCs w:val="22"/>
          <w:u w:color="231f20"/>
          <w:rtl w:val="0"/>
          <w:lang w:val="en-US"/>
          <w14:textFill>
            <w14:solidFill>
              <w14:srgbClr w14:val="231F20"/>
            </w14:solidFill>
          </w14:textFill>
        </w:rPr>
        <w:t>’</w:t>
      </w:r>
      <w:r>
        <w:rPr>
          <w:rFonts w:ascii="Garamond" w:hAnsi="Garamond"/>
          <w:outline w:val="0"/>
          <w:color w:val="231f20"/>
          <w:sz w:val="22"/>
          <w:szCs w:val="22"/>
          <w:u w:color="231f20"/>
          <w:rtl w:val="0"/>
          <w:lang w:val="en-US"/>
          <w14:textFill>
            <w14:solidFill>
              <w14:srgbClr w14:val="231F20"/>
            </w14:solidFill>
          </w14:textFill>
        </w:rPr>
        <w:t>s reputation, brand value, and capacity to attract ESG-oriented capital. It follows that even subtle deviations from factual accuracy</w:t>
      </w:r>
      <w:r>
        <w:rPr>
          <w:rFonts w:ascii="Garamond" w:hAnsi="Garamond" w:hint="default"/>
          <w:outline w:val="0"/>
          <w:color w:val="231f20"/>
          <w:sz w:val="22"/>
          <w:szCs w:val="22"/>
          <w:u w:color="231f20"/>
          <w:rtl w:val="0"/>
          <w:lang w:val="en-US"/>
          <w14:textFill>
            <w14:solidFill>
              <w14:srgbClr w14:val="231F20"/>
            </w14:solidFill>
          </w14:textFill>
        </w:rPr>
        <w:t>—</w:t>
      </w:r>
      <w:r>
        <w:rPr>
          <w:rFonts w:ascii="Garamond" w:hAnsi="Garamond"/>
          <w:outline w:val="0"/>
          <w:color w:val="231f20"/>
          <w:sz w:val="22"/>
          <w:szCs w:val="22"/>
          <w:u w:color="231f20"/>
          <w:rtl w:val="0"/>
          <w:lang w:val="en-US"/>
          <w14:textFill>
            <w14:solidFill>
              <w14:srgbClr w14:val="231F20"/>
            </w14:solidFill>
          </w14:textFill>
        </w:rPr>
        <w:t>especially if systematic</w:t>
      </w:r>
      <w:r>
        <w:rPr>
          <w:rFonts w:ascii="Garamond" w:hAnsi="Garamond" w:hint="default"/>
          <w:outline w:val="0"/>
          <w:color w:val="231f20"/>
          <w:sz w:val="22"/>
          <w:szCs w:val="22"/>
          <w:u w:color="231f20"/>
          <w:rtl w:val="0"/>
          <w:lang w:val="en-US"/>
          <w14:textFill>
            <w14:solidFill>
              <w14:srgbClr w14:val="231F20"/>
            </w14:solidFill>
          </w14:textFill>
        </w:rPr>
        <w:t>—</w:t>
      </w:r>
      <w:r>
        <w:rPr>
          <w:rFonts w:ascii="Garamond" w:hAnsi="Garamond"/>
          <w:outline w:val="0"/>
          <w:color w:val="231f20"/>
          <w:sz w:val="22"/>
          <w:szCs w:val="22"/>
          <w:u w:color="231f20"/>
          <w:rtl w:val="0"/>
          <w:lang w:val="en-US"/>
          <w14:textFill>
            <w14:solidFill>
              <w14:srgbClr w14:val="231F20"/>
            </w14:solidFill>
          </w14:textFill>
        </w:rPr>
        <w:t>can lead to a distortion of market expectations, with consequences that are both private (e.g., misallocation of investor trust) and systemic (e.g., undercutting of regulatory goals related to sustainable finance).</w:t>
      </w:r>
    </w:p>
    <w:p>
      <w:pPr>
        <w:pStyle w:val="Body Text"/>
        <w:spacing w:before="1" w:line="254" w:lineRule="auto"/>
        <w:ind w:right="178" w:firstLine="383"/>
        <w:jc w:val="both"/>
        <w:rPr>
          <w:rFonts w:ascii="Garamond" w:cs="Garamond" w:hAnsi="Garamond" w:eastAsia="Garamond"/>
          <w:outline w:val="0"/>
          <w:color w:val="231f20"/>
          <w:sz w:val="22"/>
          <w:szCs w:val="22"/>
          <w:u w:color="231f20"/>
          <w:lang w:val="en-US"/>
          <w14:textFill>
            <w14:solidFill>
              <w14:srgbClr w14:val="231F20"/>
            </w14:solidFill>
          </w14:textFill>
        </w:rPr>
      </w:pPr>
      <w:r>
        <w:rPr>
          <w:rFonts w:ascii="Garamond" w:hAnsi="Garamond"/>
          <w:outline w:val="0"/>
          <w:color w:val="231f20"/>
          <w:sz w:val="22"/>
          <w:szCs w:val="22"/>
          <w:u w:color="231f20"/>
          <w:rtl w:val="0"/>
          <w:lang w:val="en-US"/>
          <w14:textFill>
            <w14:solidFill>
              <w14:srgbClr w14:val="231F20"/>
            </w14:solidFill>
          </w14:textFill>
        </w:rPr>
        <w:t xml:space="preserve">Applied to the domain of greenwashing in financial reporting, this tripartite model reveals the normative deficiencies of the current communicative practices of many banking institutions. The widespread use of generalized expressions (e.g., </w:t>
      </w:r>
      <w:r>
        <w:rPr>
          <w:rFonts w:ascii="Garamond" w:hAnsi="Garamond" w:hint="default"/>
          <w:outline w:val="0"/>
          <w:color w:val="231f20"/>
          <w:sz w:val="22"/>
          <w:szCs w:val="22"/>
          <w:u w:color="231f20"/>
          <w:rtl w:val="0"/>
          <w:lang w:val="en-US"/>
          <w14:textFill>
            <w14:solidFill>
              <w14:srgbClr w14:val="231F20"/>
            </w14:solidFill>
          </w14:textFill>
        </w:rPr>
        <w:t>“</w:t>
      </w:r>
      <w:r>
        <w:rPr>
          <w:rFonts w:ascii="Garamond" w:hAnsi="Garamond"/>
          <w:outline w:val="0"/>
          <w:color w:val="231f20"/>
          <w:sz w:val="22"/>
          <w:szCs w:val="22"/>
          <w:u w:color="231f20"/>
          <w:rtl w:val="0"/>
          <w:lang w:val="en-US"/>
          <w14:textFill>
            <w14:solidFill>
              <w14:srgbClr w14:val="231F20"/>
            </w14:solidFill>
          </w14:textFill>
        </w:rPr>
        <w:t>we are committed to sustainability</w:t>
      </w:r>
      <w:r>
        <w:rPr>
          <w:rFonts w:ascii="Garamond" w:hAnsi="Garamond" w:hint="default"/>
          <w:outline w:val="0"/>
          <w:color w:val="231f20"/>
          <w:sz w:val="22"/>
          <w:szCs w:val="22"/>
          <w:u w:color="231f20"/>
          <w:rtl w:val="0"/>
          <w:lang w:val="en-US"/>
          <w14:textFill>
            <w14:solidFill>
              <w14:srgbClr w14:val="231F20"/>
            </w14:solidFill>
          </w14:textFill>
        </w:rPr>
        <w:t>”</w:t>
      </w:r>
      <w:r>
        <w:rPr>
          <w:rFonts w:ascii="Garamond" w:hAnsi="Garamond"/>
          <w:outline w:val="0"/>
          <w:color w:val="231f20"/>
          <w:sz w:val="22"/>
          <w:szCs w:val="22"/>
          <w:u w:color="231f20"/>
          <w:rtl w:val="0"/>
          <w:lang w:val="en-US"/>
          <w14:textFill>
            <w14:solidFill>
              <w14:srgbClr w14:val="231F20"/>
            </w14:solidFill>
          </w14:textFill>
        </w:rPr>
        <w:t xml:space="preserve">) and future-oriented language (e.g., </w:t>
      </w:r>
      <w:r>
        <w:rPr>
          <w:rFonts w:ascii="Garamond" w:hAnsi="Garamond" w:hint="default"/>
          <w:outline w:val="0"/>
          <w:color w:val="231f20"/>
          <w:sz w:val="22"/>
          <w:szCs w:val="22"/>
          <w:u w:color="231f20"/>
          <w:rtl w:val="0"/>
          <w:lang w:val="en-US"/>
          <w14:textFill>
            <w14:solidFill>
              <w14:srgbClr w14:val="231F20"/>
            </w14:solidFill>
          </w14:textFill>
        </w:rPr>
        <w:t>“</w:t>
      </w:r>
      <w:r>
        <w:rPr>
          <w:rFonts w:ascii="Garamond" w:hAnsi="Garamond"/>
          <w:outline w:val="0"/>
          <w:color w:val="231f20"/>
          <w:sz w:val="22"/>
          <w:szCs w:val="22"/>
          <w:u w:color="231f20"/>
          <w:rtl w:val="0"/>
          <w:lang w:val="en-US"/>
          <w14:textFill>
            <w14:solidFill>
              <w14:srgbClr w14:val="231F20"/>
            </w14:solidFill>
          </w14:textFill>
        </w:rPr>
        <w:t>we aim to be carbon neutral by 2050</w:t>
      </w:r>
      <w:r>
        <w:rPr>
          <w:rFonts w:ascii="Garamond" w:hAnsi="Garamond" w:hint="default"/>
          <w:outline w:val="0"/>
          <w:color w:val="231f20"/>
          <w:sz w:val="22"/>
          <w:szCs w:val="22"/>
          <w:u w:color="231f20"/>
          <w:rtl w:val="0"/>
          <w:lang w:val="en-US"/>
          <w14:textFill>
            <w14:solidFill>
              <w14:srgbClr w14:val="231F20"/>
            </w14:solidFill>
          </w14:textFill>
        </w:rPr>
        <w:t>”</w:t>
      </w:r>
      <w:r>
        <w:rPr>
          <w:rFonts w:ascii="Garamond" w:hAnsi="Garamond"/>
          <w:outline w:val="0"/>
          <w:color w:val="231f20"/>
          <w:sz w:val="22"/>
          <w:szCs w:val="22"/>
          <w:u w:color="231f20"/>
          <w:rtl w:val="0"/>
          <w:lang w:val="en-US"/>
          <w14:textFill>
            <w14:solidFill>
              <w14:srgbClr w14:val="231F20"/>
            </w14:solidFill>
          </w14:textFill>
        </w:rPr>
        <w:t>) without an accompanying implementation plan or evidence of present actions renders the statement susceptible to legal scrutiny under all three stages of the model. First, it is semantically vague and unsupported by verifiable data; second, it is capable of producing misleading inferences in the mind of the reasonable investor or consumer; third, it pertains to a dimension of institutional identity</w:t>
      </w:r>
      <w:r>
        <w:rPr>
          <w:rFonts w:ascii="Garamond" w:hAnsi="Garamond" w:hint="default"/>
          <w:outline w:val="0"/>
          <w:color w:val="231f20"/>
          <w:sz w:val="22"/>
          <w:szCs w:val="22"/>
          <w:u w:color="231f20"/>
          <w:rtl w:val="0"/>
          <w:lang w:val="en-US"/>
          <w14:textFill>
            <w14:solidFill>
              <w14:srgbClr w14:val="231F20"/>
            </w14:solidFill>
          </w14:textFill>
        </w:rPr>
        <w:t>—</w:t>
      </w:r>
      <w:r>
        <w:rPr>
          <w:rFonts w:ascii="Garamond" w:hAnsi="Garamond"/>
          <w:outline w:val="0"/>
          <w:color w:val="231f20"/>
          <w:sz w:val="22"/>
          <w:szCs w:val="22"/>
          <w:u w:color="231f20"/>
          <w:rtl w:val="0"/>
          <w:lang w:val="en-US"/>
          <w14:textFill>
            <w14:solidFill>
              <w14:srgbClr w14:val="231F20"/>
            </w14:solidFill>
          </w14:textFill>
        </w:rPr>
        <w:t>namely, environmental performance</w:t>
      </w:r>
      <w:r>
        <w:rPr>
          <w:rFonts w:ascii="Garamond" w:hAnsi="Garamond" w:hint="default"/>
          <w:outline w:val="0"/>
          <w:color w:val="231f20"/>
          <w:sz w:val="22"/>
          <w:szCs w:val="22"/>
          <w:u w:color="231f20"/>
          <w:rtl w:val="0"/>
          <w:lang w:val="en-US"/>
          <w14:textFill>
            <w14:solidFill>
              <w14:srgbClr w14:val="231F20"/>
            </w14:solidFill>
          </w14:textFill>
        </w:rPr>
        <w:t>—</w:t>
      </w:r>
      <w:r>
        <w:rPr>
          <w:rFonts w:ascii="Garamond" w:hAnsi="Garamond"/>
          <w:outline w:val="0"/>
          <w:color w:val="231f20"/>
          <w:sz w:val="22"/>
          <w:szCs w:val="22"/>
          <w:u w:color="231f20"/>
          <w:rtl w:val="0"/>
          <w:lang w:val="en-US"/>
          <w14:textFill>
            <w14:solidFill>
              <w14:srgbClr w14:val="231F20"/>
            </w14:solidFill>
          </w14:textFill>
        </w:rPr>
        <w:t>that is increasingly determinant in shaping market decisions and competitive positioning.</w:t>
      </w:r>
    </w:p>
    <w:p>
      <w:pPr>
        <w:pStyle w:val="Body Text"/>
        <w:spacing w:before="1" w:line="254" w:lineRule="auto"/>
        <w:ind w:right="178" w:firstLine="383"/>
        <w:jc w:val="both"/>
        <w:rPr>
          <w:rFonts w:ascii="Garamond" w:cs="Garamond" w:hAnsi="Garamond" w:eastAsia="Garamond"/>
          <w:outline w:val="0"/>
          <w:color w:val="231f20"/>
          <w:sz w:val="22"/>
          <w:szCs w:val="22"/>
          <w:u w:color="231f20"/>
          <w:lang w:val="en-US"/>
          <w14:textFill>
            <w14:solidFill>
              <w14:srgbClr w14:val="231F20"/>
            </w14:solidFill>
          </w14:textFill>
        </w:rPr>
      </w:pPr>
      <w:r>
        <w:rPr>
          <w:rFonts w:ascii="Garamond" w:hAnsi="Garamond"/>
          <w:outline w:val="0"/>
          <w:color w:val="231f20"/>
          <w:sz w:val="22"/>
          <w:szCs w:val="22"/>
          <w:u w:color="231f20"/>
          <w:rtl w:val="0"/>
          <w:lang w:val="en-US"/>
          <w14:textFill>
            <w14:solidFill>
              <w14:srgbClr w14:val="231F20"/>
            </w14:solidFill>
          </w14:textFill>
        </w:rPr>
        <w:t>Furthermore, the application of this model has implications that go beyond retrospective enforcement. It provides ex ante guidance to market operators regarding the boundaries of lawful sustainability communication. By making explicit the requirement that environmental claims must not only be truthful but also specific, verifiable, and economically relevant, it redefines the acceptable parameters of non-financial reporting. This, in turn, may produce adaptive effects on the communicative behavior of financial institutions, particularly with regard to long-term ESG projections. As the threshold for acceptable environmental discourse becomes more demanding</w:t>
      </w:r>
      <w:r>
        <w:rPr>
          <w:rFonts w:ascii="Garamond" w:hAnsi="Garamond" w:hint="default"/>
          <w:outline w:val="0"/>
          <w:color w:val="231f20"/>
          <w:sz w:val="22"/>
          <w:szCs w:val="22"/>
          <w:u w:color="231f20"/>
          <w:rtl w:val="0"/>
          <w:lang w:val="en-US"/>
          <w14:textFill>
            <w14:solidFill>
              <w14:srgbClr w14:val="231F20"/>
            </w14:solidFill>
          </w14:textFill>
        </w:rPr>
        <w:t>—</w:t>
      </w:r>
      <w:r>
        <w:rPr>
          <w:rFonts w:ascii="Garamond" w:hAnsi="Garamond"/>
          <w:outline w:val="0"/>
          <w:color w:val="231f20"/>
          <w:sz w:val="22"/>
          <w:szCs w:val="22"/>
          <w:u w:color="231f20"/>
          <w:rtl w:val="0"/>
          <w:lang w:val="en-US"/>
          <w14:textFill>
            <w14:solidFill>
              <w14:srgbClr w14:val="231F20"/>
            </w14:solidFill>
          </w14:textFill>
        </w:rPr>
        <w:t>legally, semantically, and economically</w:t>
      </w:r>
      <w:r>
        <w:rPr>
          <w:rFonts w:ascii="Garamond" w:hAnsi="Garamond" w:hint="default"/>
          <w:outline w:val="0"/>
          <w:color w:val="231f20"/>
          <w:sz w:val="22"/>
          <w:szCs w:val="22"/>
          <w:u w:color="231f20"/>
          <w:rtl w:val="0"/>
          <w:lang w:val="en-US"/>
          <w14:textFill>
            <w14:solidFill>
              <w14:srgbClr w14:val="231F20"/>
            </w14:solidFill>
          </w14:textFill>
        </w:rPr>
        <w:t>—</w:t>
      </w:r>
      <w:r>
        <w:rPr>
          <w:rFonts w:ascii="Garamond" w:hAnsi="Garamond"/>
          <w:outline w:val="0"/>
          <w:color w:val="231f20"/>
          <w:sz w:val="22"/>
          <w:szCs w:val="22"/>
          <w:u w:color="231f20"/>
          <w:rtl w:val="0"/>
          <w:lang w:val="en-US"/>
          <w14:textFill>
            <w14:solidFill>
              <w14:srgbClr w14:val="231F20"/>
            </w14:solidFill>
          </w14:textFill>
        </w:rPr>
        <w:t>banks may progressively reduce their reliance on distant, abstract, or aspirational goals that are not anchored in current performance indicators or operational plans.</w:t>
      </w:r>
    </w:p>
    <w:p>
      <w:pPr>
        <w:pStyle w:val="Body Text"/>
        <w:spacing w:before="1" w:line="254" w:lineRule="auto"/>
        <w:ind w:right="178" w:firstLine="383"/>
        <w:jc w:val="both"/>
        <w:rPr>
          <w:rFonts w:ascii="Garamond" w:cs="Garamond" w:hAnsi="Garamond" w:eastAsia="Garamond"/>
          <w:outline w:val="0"/>
          <w:color w:val="231f20"/>
          <w:sz w:val="22"/>
          <w:szCs w:val="22"/>
          <w:u w:color="231f20"/>
          <w:lang w:val="en-US"/>
          <w14:textFill>
            <w14:solidFill>
              <w14:srgbClr w14:val="231F20"/>
            </w14:solidFill>
          </w14:textFill>
        </w:rPr>
      </w:pPr>
      <w:r>
        <w:rPr>
          <w:rFonts w:ascii="Garamond" w:hAnsi="Garamond"/>
          <w:outline w:val="0"/>
          <w:color w:val="231f20"/>
          <w:sz w:val="22"/>
          <w:szCs w:val="22"/>
          <w:u w:color="231f20"/>
          <w:rtl w:val="0"/>
          <w:lang w:val="en-US"/>
          <w14:textFill>
            <w14:solidFill>
              <w14:srgbClr w14:val="231F20"/>
            </w14:solidFill>
          </w14:textFill>
        </w:rPr>
        <w:t>This effect is not merely speculative. The empirical results discussed in this paper suggest a communicative environment in which forward-looking claims serve primarily a reputational function, often in the absence of contemporaneous evidence that would allow stakeholders to evaluate the credibility or feasibility of those claims. Under the model proposed here, such strategies would no longer be viable, as they fail the materiality test in the absence of concrete indications that the stated objectives influence present conduct or resource allocation. As a consequence, we may observe a reconfiguration of sustainability communication strategies, in which banking institutions are incentivized to prioritize short- and medium-term actions</w:t>
      </w:r>
      <w:r>
        <w:rPr>
          <w:rFonts w:ascii="Garamond" w:hAnsi="Garamond" w:hint="default"/>
          <w:outline w:val="0"/>
          <w:color w:val="231f20"/>
          <w:sz w:val="22"/>
          <w:szCs w:val="22"/>
          <w:u w:color="231f20"/>
          <w:rtl w:val="0"/>
          <w:lang w:val="en-US"/>
          <w14:textFill>
            <w14:solidFill>
              <w14:srgbClr w14:val="231F20"/>
            </w14:solidFill>
          </w14:textFill>
        </w:rPr>
        <w:t>—</w:t>
      </w:r>
      <w:r>
        <w:rPr>
          <w:rFonts w:ascii="Garamond" w:hAnsi="Garamond"/>
          <w:outline w:val="0"/>
          <w:color w:val="231f20"/>
          <w:sz w:val="22"/>
          <w:szCs w:val="22"/>
          <w:u w:color="231f20"/>
          <w:rtl w:val="0"/>
          <w:lang w:val="en-US"/>
          <w14:textFill>
            <w14:solidFill>
              <w14:srgbClr w14:val="231F20"/>
            </w14:solidFill>
          </w14:textFill>
        </w:rPr>
        <w:t>those that can be substantiated, documented, and externally verified</w:t>
      </w:r>
      <w:r>
        <w:rPr>
          <w:rFonts w:ascii="Garamond" w:hAnsi="Garamond" w:hint="default"/>
          <w:outline w:val="0"/>
          <w:color w:val="231f20"/>
          <w:sz w:val="22"/>
          <w:szCs w:val="22"/>
          <w:u w:color="231f20"/>
          <w:rtl w:val="0"/>
          <w:lang w:val="en-US"/>
          <w14:textFill>
            <w14:solidFill>
              <w14:srgbClr w14:val="231F20"/>
            </w14:solidFill>
          </w14:textFill>
        </w:rPr>
        <w:t>—</w:t>
      </w:r>
      <w:r>
        <w:rPr>
          <w:rFonts w:ascii="Garamond" w:hAnsi="Garamond"/>
          <w:outline w:val="0"/>
          <w:color w:val="231f20"/>
          <w:sz w:val="22"/>
          <w:szCs w:val="22"/>
          <w:u w:color="231f20"/>
          <w:rtl w:val="0"/>
          <w:lang w:val="en-US"/>
          <w14:textFill>
            <w14:solidFill>
              <w14:srgbClr w14:val="231F20"/>
            </w14:solidFill>
          </w14:textFill>
        </w:rPr>
        <w:t>over general declarations about long-term decarbonization or climate neutrality goals that lack any measurable foundation in the present.</w:t>
      </w:r>
    </w:p>
    <w:p>
      <w:pPr>
        <w:pStyle w:val="Body Text"/>
        <w:spacing w:before="1" w:line="254" w:lineRule="auto"/>
        <w:ind w:right="178" w:firstLine="383"/>
        <w:jc w:val="both"/>
        <w:rPr>
          <w:rFonts w:ascii="Garamond" w:cs="Garamond" w:hAnsi="Garamond" w:eastAsia="Garamond"/>
          <w:outline w:val="0"/>
          <w:color w:val="231f20"/>
          <w:sz w:val="22"/>
          <w:szCs w:val="22"/>
          <w:u w:color="231f20"/>
          <w:lang w:val="en-US"/>
          <w14:textFill>
            <w14:solidFill>
              <w14:srgbClr w14:val="231F20"/>
            </w14:solidFill>
          </w14:textFill>
        </w:rPr>
      </w:pPr>
      <w:r>
        <w:rPr>
          <w:rFonts w:ascii="Garamond" w:hAnsi="Garamond"/>
          <w:outline w:val="0"/>
          <w:color w:val="231f20"/>
          <w:sz w:val="22"/>
          <w:szCs w:val="22"/>
          <w:u w:color="231f20"/>
          <w:rtl w:val="0"/>
          <w:lang w:val="en-US"/>
          <w14:textFill>
            <w14:solidFill>
              <w14:srgbClr w14:val="231F20"/>
            </w14:solidFill>
          </w14:textFill>
        </w:rPr>
        <w:t>Such a reorientation is not merely a response to the legal risk of sanction, but also reflects a deeper institutional logic. As sustainability claims become subject to a regime of structured scrutiny</w:t>
      </w:r>
      <w:r>
        <w:rPr>
          <w:rFonts w:ascii="Garamond" w:hAnsi="Garamond" w:hint="default"/>
          <w:outline w:val="0"/>
          <w:color w:val="231f20"/>
          <w:sz w:val="22"/>
          <w:szCs w:val="22"/>
          <w:u w:color="231f20"/>
          <w:rtl w:val="0"/>
          <w:lang w:val="en-US"/>
          <w14:textFill>
            <w14:solidFill>
              <w14:srgbClr w14:val="231F20"/>
            </w14:solidFill>
          </w14:textFill>
        </w:rPr>
        <w:t>—</w:t>
      </w:r>
      <w:r>
        <w:rPr>
          <w:rFonts w:ascii="Garamond" w:hAnsi="Garamond"/>
          <w:outline w:val="0"/>
          <w:color w:val="231f20"/>
          <w:sz w:val="22"/>
          <w:szCs w:val="22"/>
          <w:u w:color="231f20"/>
          <w:rtl w:val="0"/>
          <w:lang w:val="en-US"/>
          <w14:textFill>
            <w14:solidFill>
              <w14:srgbClr w14:val="231F20"/>
            </w14:solidFill>
          </w14:textFill>
        </w:rPr>
        <w:t>based on objective content, interpretive plausibility, and economic significance</w:t>
      </w:r>
      <w:r>
        <w:rPr>
          <w:rFonts w:ascii="Garamond" w:hAnsi="Garamond" w:hint="default"/>
          <w:outline w:val="0"/>
          <w:color w:val="231f20"/>
          <w:sz w:val="22"/>
          <w:szCs w:val="22"/>
          <w:u w:color="231f20"/>
          <w:rtl w:val="0"/>
          <w:lang w:val="en-US"/>
          <w14:textFill>
            <w14:solidFill>
              <w14:srgbClr w14:val="231F20"/>
            </w14:solidFill>
          </w14:textFill>
        </w:rPr>
        <w:t>—</w:t>
      </w:r>
      <w:r>
        <w:rPr>
          <w:rFonts w:ascii="Garamond" w:hAnsi="Garamond"/>
          <w:outline w:val="0"/>
          <w:color w:val="231f20"/>
          <w:sz w:val="22"/>
          <w:szCs w:val="22"/>
          <w:u w:color="231f20"/>
          <w:rtl w:val="0"/>
          <w:lang w:val="en-US"/>
          <w14:textFill>
            <w14:solidFill>
              <w14:srgbClr w14:val="231F20"/>
            </w14:solidFill>
          </w14:textFill>
        </w:rPr>
        <w:t>banks will be required to align their communicative strategies with demonstrable actions. This may result in the abandonment of certain discursive registers that have traditionally populated non-financial statements</w:t>
      </w:r>
      <w:r>
        <w:rPr>
          <w:rFonts w:ascii="Garamond" w:hAnsi="Garamond" w:hint="default"/>
          <w:outline w:val="0"/>
          <w:color w:val="231f20"/>
          <w:sz w:val="22"/>
          <w:szCs w:val="22"/>
          <w:u w:color="231f20"/>
          <w:rtl w:val="0"/>
          <w:lang w:val="en-US"/>
          <w14:textFill>
            <w14:solidFill>
              <w14:srgbClr w14:val="231F20"/>
            </w14:solidFill>
          </w14:textFill>
        </w:rPr>
        <w:t>—</w:t>
      </w:r>
      <w:r>
        <w:rPr>
          <w:rFonts w:ascii="Garamond" w:hAnsi="Garamond"/>
          <w:outline w:val="0"/>
          <w:color w:val="231f20"/>
          <w:sz w:val="22"/>
          <w:szCs w:val="22"/>
          <w:u w:color="231f20"/>
          <w:rtl w:val="0"/>
          <w:lang w:val="en-US"/>
          <w14:textFill>
            <w14:solidFill>
              <w14:srgbClr w14:val="231F20"/>
            </w14:solidFill>
          </w14:textFill>
        </w:rPr>
        <w:t>registers characterized by strategic ambiguity, reputational signaling, and forward-looking rhetoric not tethered to current practice. Instead, institutions may be required to adopt a more evidentiary style of communication, in which each environmental claim is accompanied by supporting data, implementation timelines, and performance indicators. In this context, the tripartite model functions not only as an evaluative framework for regulators and courts, but also as an internal compliance benchmark for firms wishing to ensure that their sustainability statements meet the standards of legal acceptability.</w:t>
      </w:r>
    </w:p>
    <w:p>
      <w:pPr>
        <w:pStyle w:val="Body Text"/>
        <w:spacing w:before="1" w:line="254" w:lineRule="auto"/>
        <w:ind w:right="178" w:firstLine="383"/>
        <w:jc w:val="both"/>
        <w:rPr>
          <w:rFonts w:ascii="Garamond" w:cs="Garamond" w:hAnsi="Garamond" w:eastAsia="Garamond"/>
          <w:outline w:val="0"/>
          <w:color w:val="231f20"/>
          <w:sz w:val="22"/>
          <w:szCs w:val="22"/>
          <w:u w:color="231f20"/>
          <w:lang w:val="en-US"/>
          <w14:textFill>
            <w14:solidFill>
              <w14:srgbClr w14:val="231F20"/>
            </w14:solidFill>
          </w14:textFill>
        </w:rPr>
      </w:pPr>
    </w:p>
    <w:p>
      <w:pPr>
        <w:pStyle w:val="Body Text"/>
        <w:spacing w:before="1" w:line="254" w:lineRule="auto"/>
        <w:ind w:right="178"/>
        <w:jc w:val="both"/>
        <w:rPr>
          <w:rFonts w:ascii="Garamond" w:cs="Garamond" w:hAnsi="Garamond" w:eastAsia="Garamond"/>
          <w:outline w:val="0"/>
          <w:color w:val="231f20"/>
          <w:sz w:val="22"/>
          <w:szCs w:val="22"/>
          <w:u w:color="231f20"/>
          <w14:textFill>
            <w14:solidFill>
              <w14:srgbClr w14:val="231F20"/>
            </w14:solidFill>
          </w14:textFill>
        </w:rPr>
      </w:pPr>
      <w:r>
        <w:rPr>
          <w:rFonts w:ascii="Garamond" w:cs="Garamond" w:hAnsi="Garamond" w:eastAsia="Garamond"/>
          <w:outline w:val="0"/>
          <w:color w:val="231f20"/>
          <w:sz w:val="22"/>
          <w:szCs w:val="22"/>
          <w:u w:color="231f20"/>
          <w14:textFill>
            <w14:solidFill>
              <w14:srgbClr w14:val="231F20"/>
            </w14:solidFill>
          </w14:textFill>
        </w:rPr>
        <mc:AlternateContent>
          <mc:Choice Requires="wps">
            <w:drawing xmlns:a="http://schemas.openxmlformats.org/drawingml/2006/main">
              <wp:inline distT="0" distB="0" distL="0" distR="0">
                <wp:extent cx="4754119" cy="11427"/>
                <wp:effectExtent l="0" t="0" r="0" b="0"/>
                <wp:docPr id="1073741831" name="officeArt object" descr="Rectangle"/>
                <wp:cNvGraphicFramePr/>
                <a:graphic xmlns:a="http://schemas.openxmlformats.org/drawingml/2006/main">
                  <a:graphicData uri="http://schemas.microsoft.com/office/word/2010/wordprocessingShape">
                    <wps:wsp>
                      <wps:cNvSpPr/>
                      <wps:spPr>
                        <a:xfrm>
                          <a:off x="0" y="0"/>
                          <a:ext cx="4754119" cy="11427"/>
                        </a:xfrm>
                        <a:prstGeom prst="rect">
                          <a:avLst/>
                        </a:prstGeom>
                        <a:solidFill>
                          <a:srgbClr val="A0A0A0"/>
                        </a:solidFill>
                        <a:ln w="12700" cap="flat">
                          <a:noFill/>
                          <a:miter lim="400000"/>
                        </a:ln>
                        <a:effectLst/>
                      </wps:spPr>
                      <wps:bodyPr/>
                    </wps:wsp>
                  </a:graphicData>
                </a:graphic>
              </wp:inline>
            </w:drawing>
          </mc:Choice>
          <mc:Fallback>
            <w:pict>
              <v:rect id="_x0000_s1030" style="visibility:visible;width:374.3pt;height:0.9pt;">
                <v:fill color="#A0A0A0" opacity="100.0%" type="solid"/>
                <v:stroke on="f" weight="1.0pt" dashstyle="solid" endcap="flat" miterlimit="400.0%" joinstyle="miter" linestyle="single" startarrow="none" startarrowwidth="medium" startarrowlength="medium" endarrow="none" endarrowwidth="medium" endarrowlength="medium"/>
              </v:rect>
            </w:pict>
          </mc:Fallback>
        </mc:AlternateContent>
      </w:r>
    </w:p>
    <w:p>
      <w:pPr>
        <w:pStyle w:val="Body Text"/>
        <w:spacing w:before="1" w:line="254" w:lineRule="auto"/>
        <w:ind w:right="178" w:firstLine="383"/>
        <w:jc w:val="both"/>
        <w:rPr>
          <w:rFonts w:ascii="Garamond" w:cs="Garamond" w:hAnsi="Garamond" w:eastAsia="Garamond"/>
          <w:outline w:val="0"/>
          <w:color w:val="231f20"/>
          <w:sz w:val="22"/>
          <w:szCs w:val="22"/>
          <w:u w:color="231f20"/>
          <w14:textFill>
            <w14:solidFill>
              <w14:srgbClr w14:val="231F20"/>
            </w14:solidFill>
          </w14:textFill>
        </w:rPr>
      </w:pPr>
    </w:p>
    <w:p>
      <w:pPr>
        <w:pStyle w:val="Body Text"/>
        <w:spacing w:before="1" w:line="254" w:lineRule="auto"/>
        <w:ind w:right="178" w:firstLine="383"/>
        <w:jc w:val="both"/>
        <w:outlineLvl w:val="0"/>
        <w:rPr>
          <w:rFonts w:ascii="Garamond" w:cs="Garamond" w:hAnsi="Garamond" w:eastAsia="Garamond"/>
          <w:outline w:val="0"/>
          <w:color w:val="231f20"/>
          <w:sz w:val="22"/>
          <w:szCs w:val="22"/>
          <w:u w:color="231f20"/>
          <w:lang w:val="en-US"/>
          <w14:textFill>
            <w14:solidFill>
              <w14:srgbClr w14:val="231F20"/>
            </w14:solidFill>
          </w14:textFill>
        </w:rPr>
      </w:pPr>
      <w:r>
        <w:rPr>
          <w:rFonts w:ascii="Garamond" w:hAnsi="Garamond"/>
          <w:b w:val="1"/>
          <w:bCs w:val="1"/>
          <w:outline w:val="0"/>
          <w:color w:val="231f20"/>
          <w:sz w:val="22"/>
          <w:szCs w:val="22"/>
          <w:u w:color="231f20"/>
          <w:rtl w:val="0"/>
          <w:lang w:val="en-US"/>
          <w14:textFill>
            <w14:solidFill>
              <w14:srgbClr w14:val="231F20"/>
            </w14:solidFill>
          </w14:textFill>
        </w:rPr>
        <w:t>6</w:t>
      </w:r>
      <w:r>
        <w:rPr>
          <w:rFonts w:ascii="Garamond" w:hAnsi="Garamond"/>
          <w:outline w:val="0"/>
          <w:color w:val="231f20"/>
          <w:sz w:val="22"/>
          <w:szCs w:val="22"/>
          <w:u w:color="231f20"/>
          <w:rtl w:val="0"/>
          <w:lang w:val="en-US"/>
          <w14:textFill>
            <w14:solidFill>
              <w14:srgbClr w14:val="231F20"/>
            </w14:solidFill>
          </w14:textFill>
        </w:rPr>
        <w:t xml:space="preserve">. </w:t>
      </w:r>
      <w:r>
        <w:rPr>
          <w:rFonts w:ascii="Garamond" w:hAnsi="Garamond"/>
          <w:b w:val="1"/>
          <w:bCs w:val="1"/>
          <w:outline w:val="0"/>
          <w:color w:val="231f20"/>
          <w:sz w:val="22"/>
          <w:szCs w:val="22"/>
          <w:u w:color="231f20"/>
          <w:rtl w:val="0"/>
          <w:lang w:val="en-US"/>
          <w14:textFill>
            <w14:solidFill>
              <w14:srgbClr w14:val="231F20"/>
            </w14:solidFill>
          </w14:textFill>
        </w:rPr>
        <w:t>Conclusions</w:t>
      </w:r>
      <w:r>
        <w:rPr>
          <w:rFonts w:ascii="Garamond" w:hAnsi="Garamond"/>
          <w:outline w:val="0"/>
          <w:color w:val="231f20"/>
          <w:sz w:val="22"/>
          <w:szCs w:val="22"/>
          <w:u w:color="231f20"/>
          <w:rtl w:val="0"/>
          <w:lang w:val="en-US"/>
          <w14:textFill>
            <w14:solidFill>
              <w14:srgbClr w14:val="231F20"/>
            </w14:solidFill>
          </w14:textFill>
        </w:rPr>
        <w:t xml:space="preserve"> </w:t>
      </w:r>
    </w:p>
    <w:p>
      <w:pPr>
        <w:pStyle w:val="Body Text"/>
        <w:spacing w:before="1" w:line="254" w:lineRule="auto"/>
        <w:ind w:right="178" w:firstLine="383"/>
        <w:jc w:val="both"/>
        <w:rPr>
          <w:rFonts w:ascii="Garamond" w:cs="Garamond" w:hAnsi="Garamond" w:eastAsia="Garamond"/>
          <w:outline w:val="0"/>
          <w:color w:val="231f20"/>
          <w:sz w:val="22"/>
          <w:szCs w:val="22"/>
          <w:u w:color="231f20"/>
          <w:lang w:val="en-US"/>
          <w14:textFill>
            <w14:solidFill>
              <w14:srgbClr w14:val="231F20"/>
            </w14:solidFill>
          </w14:textFill>
        </w:rPr>
      </w:pPr>
    </w:p>
    <w:p>
      <w:pPr>
        <w:pStyle w:val="Body Text"/>
        <w:spacing w:before="1" w:line="254" w:lineRule="auto"/>
        <w:ind w:right="178" w:firstLine="383"/>
        <w:jc w:val="both"/>
        <w:rPr>
          <w:rFonts w:ascii="Garamond" w:cs="Garamond" w:hAnsi="Garamond" w:eastAsia="Garamond"/>
          <w:outline w:val="0"/>
          <w:color w:val="231f20"/>
          <w:sz w:val="22"/>
          <w:szCs w:val="22"/>
          <w:u w:color="231f20"/>
          <w:lang w:val="en-US"/>
          <w14:textFill>
            <w14:solidFill>
              <w14:srgbClr w14:val="231F20"/>
            </w14:solidFill>
          </w14:textFill>
        </w:rPr>
      </w:pPr>
      <w:r>
        <w:rPr>
          <w:rFonts w:ascii="Garamond" w:hAnsi="Garamond"/>
          <w:outline w:val="0"/>
          <w:color w:val="231f20"/>
          <w:sz w:val="22"/>
          <w:szCs w:val="22"/>
          <w:u w:color="231f20"/>
          <w:rtl w:val="0"/>
          <w:lang w:val="en-US"/>
          <w14:textFill>
            <w14:solidFill>
              <w14:srgbClr w14:val="231F20"/>
            </w14:solidFill>
          </w14:textFill>
        </w:rPr>
        <w:t xml:space="preserve">This contribution has aimed to address the issue of misleading environmental claims and potential countermeasures to combat the phenomenon of greenwashing, through a multilayered and interdisciplinary lens. In a context where environmental protection and sustainability are increasingly seen as integral dimensions of economic policy, market regulation, and corporate responsibility </w:t>
      </w:r>
      <w:r>
        <w:rPr>
          <w:rFonts w:ascii="Garamond" w:hAnsi="Garamond" w:hint="default"/>
          <w:outline w:val="0"/>
          <w:color w:val="231f20"/>
          <w:sz w:val="22"/>
          <w:szCs w:val="22"/>
          <w:u w:color="231f20"/>
          <w:rtl w:val="0"/>
          <w:lang w:val="en-US"/>
          <w14:textFill>
            <w14:solidFill>
              <w14:srgbClr w14:val="231F20"/>
            </w14:solidFill>
          </w14:textFill>
        </w:rPr>
        <w:t xml:space="preserve">– </w:t>
      </w:r>
      <w:r>
        <w:rPr>
          <w:rFonts w:ascii="Garamond" w:hAnsi="Garamond"/>
          <w:outline w:val="0"/>
          <w:color w:val="231f20"/>
          <w:sz w:val="22"/>
          <w:szCs w:val="22"/>
          <w:u w:color="231f20"/>
          <w:rtl w:val="0"/>
          <w:lang w:val="en-US"/>
          <w14:textFill>
            <w14:solidFill>
              <w14:srgbClr w14:val="231F20"/>
            </w14:solidFill>
          </w14:textFill>
        </w:rPr>
        <w:t xml:space="preserve">with growing emphasis on long-term sustainability </w:t>
      </w:r>
      <w:r>
        <w:rPr>
          <w:rFonts w:ascii="Garamond" w:hAnsi="Garamond" w:hint="default"/>
          <w:outline w:val="0"/>
          <w:color w:val="231f20"/>
          <w:sz w:val="22"/>
          <w:szCs w:val="22"/>
          <w:u w:color="231f20"/>
          <w:rtl w:val="0"/>
          <w:lang w:val="en-US"/>
          <w14:textFill>
            <w14:solidFill>
              <w14:srgbClr w14:val="231F20"/>
            </w14:solidFill>
          </w14:textFill>
        </w:rPr>
        <w:t xml:space="preserve">– </w:t>
      </w:r>
      <w:r>
        <w:rPr>
          <w:rFonts w:ascii="Garamond" w:hAnsi="Garamond"/>
          <w:outline w:val="0"/>
          <w:color w:val="231f20"/>
          <w:sz w:val="22"/>
          <w:szCs w:val="22"/>
          <w:u w:color="231f20"/>
          <w:rtl w:val="0"/>
          <w:lang w:val="en-US"/>
          <w14:textFill>
            <w14:solidFill>
              <w14:srgbClr w14:val="231F20"/>
            </w14:solidFill>
          </w14:textFill>
        </w:rPr>
        <w:t>it becomes imperative to define a new model of social organization. This model should ensure that the redistribution of resources, inclusivity, and socio-economic cohesion compel market operators to redefine their disclosure practices, acknowledging that environmental information constitutes a legally protected asset. The European legislator</w:t>
      </w:r>
      <w:r>
        <w:rPr>
          <w:rFonts w:ascii="Garamond" w:hAnsi="Garamond" w:hint="default"/>
          <w:outline w:val="0"/>
          <w:color w:val="231f20"/>
          <w:sz w:val="22"/>
          <w:szCs w:val="22"/>
          <w:u w:color="231f20"/>
          <w:rtl w:val="0"/>
          <w:lang w:val="en-US"/>
          <w14:textFill>
            <w14:solidFill>
              <w14:srgbClr w14:val="231F20"/>
            </w14:solidFill>
          </w14:textFill>
        </w:rPr>
        <w:t>’</w:t>
      </w:r>
      <w:r>
        <w:rPr>
          <w:rFonts w:ascii="Garamond" w:hAnsi="Garamond"/>
          <w:outline w:val="0"/>
          <w:color w:val="231f20"/>
          <w:sz w:val="22"/>
          <w:szCs w:val="22"/>
          <w:u w:color="231f20"/>
          <w:rtl w:val="0"/>
          <w:lang w:val="en-US"/>
          <w14:textFill>
            <w14:solidFill>
              <w14:srgbClr w14:val="231F20"/>
            </w14:solidFill>
          </w14:textFill>
        </w:rPr>
        <w:t>s strategy is to transform such information into a primary competitive factor capable of producing a form of targeted financial nudging (Gajewski et al., 2024), whereby the Union</w:t>
      </w:r>
      <w:r>
        <w:rPr>
          <w:rFonts w:ascii="Garamond" w:hAnsi="Garamond" w:hint="default"/>
          <w:outline w:val="0"/>
          <w:color w:val="231f20"/>
          <w:sz w:val="22"/>
          <w:szCs w:val="22"/>
          <w:u w:color="231f20"/>
          <w:rtl w:val="0"/>
          <w:lang w:val="en-US"/>
          <w14:textFill>
            <w14:solidFill>
              <w14:srgbClr w14:val="231F20"/>
            </w14:solidFill>
          </w14:textFill>
        </w:rPr>
        <w:t>’</w:t>
      </w:r>
      <w:r>
        <w:rPr>
          <w:rFonts w:ascii="Garamond" w:hAnsi="Garamond"/>
          <w:outline w:val="0"/>
          <w:color w:val="231f20"/>
          <w:sz w:val="22"/>
          <w:szCs w:val="22"/>
          <w:u w:color="231f20"/>
          <w:rtl w:val="0"/>
          <w:lang w:val="en-US"/>
          <w14:textFill>
            <w14:solidFill>
              <w14:srgbClr w14:val="231F20"/>
            </w14:solidFill>
          </w14:textFill>
        </w:rPr>
        <w:t>s legal framework sets the conditions for a structural shift beyond the notion of accidental or voluntary sustainability. Instead, sustainability is reshaped as an organic and concretely measurable prerequisite, in which compliance with transparency obligations is no longer left to the responsible self-determination of undertakings but is anchored in specific duties and ex ante standards set by law.</w:t>
      </w:r>
    </w:p>
    <w:p>
      <w:pPr>
        <w:pStyle w:val="Body Text"/>
        <w:spacing w:before="1" w:line="254" w:lineRule="auto"/>
        <w:ind w:right="178" w:firstLine="383"/>
        <w:jc w:val="both"/>
        <w:rPr>
          <w:rFonts w:ascii="Garamond" w:cs="Garamond" w:hAnsi="Garamond" w:eastAsia="Garamond"/>
          <w:outline w:val="0"/>
          <w:color w:val="231f20"/>
          <w:sz w:val="22"/>
          <w:szCs w:val="22"/>
          <w:u w:color="231f20"/>
          <w:lang w:val="en-US"/>
          <w14:textFill>
            <w14:solidFill>
              <w14:srgbClr w14:val="231F20"/>
            </w14:solidFill>
          </w14:textFill>
        </w:rPr>
      </w:pPr>
      <w:r>
        <w:rPr>
          <w:rFonts w:ascii="Garamond" w:hAnsi="Garamond"/>
          <w:outline w:val="0"/>
          <w:color w:val="231f20"/>
          <w:sz w:val="22"/>
          <w:szCs w:val="22"/>
          <w:u w:color="231f20"/>
          <w:rtl w:val="0"/>
          <w:lang w:val="en-US"/>
          <w14:textFill>
            <w14:solidFill>
              <w14:srgbClr w14:val="231F20"/>
            </w14:solidFill>
          </w14:textFill>
        </w:rPr>
        <w:t xml:space="preserve">In such a context, where the legislator provides a detailed list of substantive and procedural requirements applicable to all market actors, it becomes essential to ensure a coherent alignment between form and substance, words and conduct, promises and concrete outcomes. Every environmental claim must be supported by verifiable, transparent, and documentable commitments. In this study, an in-depth analysis was conducted </w:t>
      </w:r>
      <w:r>
        <w:rPr>
          <w:rFonts w:ascii="Garamond" w:hAnsi="Garamond" w:hint="default"/>
          <w:outline w:val="0"/>
          <w:color w:val="231f20"/>
          <w:sz w:val="22"/>
          <w:szCs w:val="22"/>
          <w:u w:color="231f20"/>
          <w:rtl w:val="0"/>
          <w:lang w:val="en-US"/>
          <w14:textFill>
            <w14:solidFill>
              <w14:srgbClr w14:val="231F20"/>
            </w14:solidFill>
          </w14:textFill>
        </w:rPr>
        <w:t xml:space="preserve">– </w:t>
      </w:r>
      <w:r>
        <w:rPr>
          <w:rFonts w:ascii="Garamond" w:hAnsi="Garamond"/>
          <w:outline w:val="0"/>
          <w:color w:val="231f20"/>
          <w:sz w:val="22"/>
          <w:szCs w:val="22"/>
          <w:u w:color="231f20"/>
          <w:rtl w:val="0"/>
          <w:lang w:val="en-US"/>
          <w14:textFill>
            <w14:solidFill>
              <w14:srgbClr w14:val="231F20"/>
            </w14:solidFill>
          </w14:textFill>
        </w:rPr>
        <w:t xml:space="preserve">using a Python-based algorithmic text analysis tool </w:t>
      </w:r>
      <w:r>
        <w:rPr>
          <w:rFonts w:ascii="Garamond" w:hAnsi="Garamond" w:hint="default"/>
          <w:outline w:val="0"/>
          <w:color w:val="231f20"/>
          <w:sz w:val="22"/>
          <w:szCs w:val="22"/>
          <w:u w:color="231f20"/>
          <w:rtl w:val="0"/>
          <w:lang w:val="en-US"/>
          <w14:textFill>
            <w14:solidFill>
              <w14:srgbClr w14:val="231F20"/>
            </w14:solidFill>
          </w14:textFill>
        </w:rPr>
        <w:t xml:space="preserve">– </w:t>
      </w:r>
      <w:r>
        <w:rPr>
          <w:rFonts w:ascii="Garamond" w:hAnsi="Garamond"/>
          <w:outline w:val="0"/>
          <w:color w:val="231f20"/>
          <w:sz w:val="22"/>
          <w:szCs w:val="22"/>
          <w:u w:color="231f20"/>
          <w:rtl w:val="0"/>
          <w:lang w:val="en-US"/>
          <w14:textFill>
            <w14:solidFill>
              <w14:srgbClr w14:val="231F20"/>
            </w14:solidFill>
          </w14:textFill>
        </w:rPr>
        <w:t>on the consolidated non-financial statements of the ten largest European banking groups by asset capitalization. The objective was to detect potential violations of the principles and criteria introduced by Directive 2024/825, set to enter into force in September 2026. Under the new directive, the European legislator no longer tolerates ESG statements formulated in self-referential or aspirational terms. Instead, it requires clarity, measurable targets, concrete transparency, and effective verifiability.</w:t>
      </w:r>
    </w:p>
    <w:p>
      <w:pPr>
        <w:pStyle w:val="Body Text"/>
        <w:spacing w:before="1" w:line="254" w:lineRule="auto"/>
        <w:ind w:right="178" w:firstLine="383"/>
        <w:jc w:val="both"/>
        <w:rPr>
          <w:rFonts w:ascii="Garamond" w:cs="Garamond" w:hAnsi="Garamond" w:eastAsia="Garamond"/>
          <w:outline w:val="0"/>
          <w:color w:val="231f20"/>
          <w:sz w:val="22"/>
          <w:szCs w:val="22"/>
          <w:u w:color="231f20"/>
          <w:lang w:val="en-US"/>
          <w14:textFill>
            <w14:solidFill>
              <w14:srgbClr w14:val="231F20"/>
            </w14:solidFill>
          </w14:textFill>
        </w:rPr>
      </w:pPr>
      <w:r>
        <w:rPr>
          <w:rFonts w:ascii="Garamond" w:hAnsi="Garamond"/>
          <w:outline w:val="0"/>
          <w:color w:val="231f20"/>
          <w:sz w:val="22"/>
          <w:szCs w:val="22"/>
          <w:u w:color="231f20"/>
          <w:rtl w:val="0"/>
          <w:lang w:val="en-US"/>
          <w14:textFill>
            <w14:solidFill>
              <w14:srgbClr w14:val="231F20"/>
            </w14:solidFill>
          </w14:textFill>
        </w:rPr>
        <w:t xml:space="preserve">The findings of this analysis reveal, first and foremost, a widespread presence of potentially misleading ESG statements among the examined banks. These include numerous vague and assertive expressions which, under the new regulatory regime, will require prompt revision, and in case of continued non-compliance, may be subject to sanctions imposed by the competent authorities. Secondly, the results open up new possibilities for strengthening the supervisory powers of authorities such as the European Banking Authority (EBA) and the European Securities and Markets Authority (ESMA). By integrating algorithmic oversight tools, these bodies could facilitate a virtuous dialogue between technology and the sustainable economic and communicative requirements defined by the European legal framework on greenwashing </w:t>
      </w:r>
      <w:r>
        <w:rPr>
          <w:rFonts w:ascii="Garamond" w:hAnsi="Garamond" w:hint="default"/>
          <w:outline w:val="0"/>
          <w:color w:val="231f20"/>
          <w:sz w:val="22"/>
          <w:szCs w:val="22"/>
          <w:u w:color="231f20"/>
          <w:rtl w:val="0"/>
          <w:lang w:val="en-US"/>
          <w14:textFill>
            <w14:solidFill>
              <w14:srgbClr w14:val="231F20"/>
            </w14:solidFill>
          </w14:textFill>
        </w:rPr>
        <w:t xml:space="preserve">– </w:t>
      </w:r>
      <w:r>
        <w:rPr>
          <w:rFonts w:ascii="Garamond" w:hAnsi="Garamond"/>
          <w:outline w:val="0"/>
          <w:color w:val="231f20"/>
          <w:sz w:val="22"/>
          <w:szCs w:val="22"/>
          <w:u w:color="231f20"/>
          <w:rtl w:val="0"/>
          <w:lang w:val="en-US"/>
          <w14:textFill>
            <w14:solidFill>
              <w14:srgbClr w14:val="231F20"/>
            </w14:solidFill>
          </w14:textFill>
        </w:rPr>
        <w:t>that is, misleading, non-transparent, or deceptive environmental claims which ultimately result in unfair commercial practices.</w:t>
      </w:r>
    </w:p>
    <w:p>
      <w:pPr>
        <w:pStyle w:val="Body Text"/>
        <w:spacing w:before="1" w:line="254" w:lineRule="auto"/>
        <w:ind w:right="178" w:firstLine="383"/>
        <w:jc w:val="both"/>
        <w:rPr>
          <w:rFonts w:ascii="Garamond" w:cs="Garamond" w:hAnsi="Garamond" w:eastAsia="Garamond"/>
          <w:outline w:val="0"/>
          <w:color w:val="231f20"/>
          <w:sz w:val="22"/>
          <w:szCs w:val="22"/>
          <w:u w:color="231f20"/>
          <w:lang w:val="en-US"/>
          <w14:textFill>
            <w14:solidFill>
              <w14:srgbClr w14:val="231F20"/>
            </w14:solidFill>
          </w14:textFill>
        </w:rPr>
      </w:pPr>
      <w:r>
        <w:rPr>
          <w:rFonts w:ascii="Garamond" w:hAnsi="Garamond"/>
          <w:outline w:val="0"/>
          <w:color w:val="231f20"/>
          <w:sz w:val="22"/>
          <w:szCs w:val="22"/>
          <w:u w:color="231f20"/>
          <w:rtl w:val="0"/>
          <w:lang w:val="en-US"/>
          <w14:textFill>
            <w14:solidFill>
              <w14:srgbClr w14:val="231F20"/>
            </w14:solidFill>
          </w14:textFill>
        </w:rPr>
        <w:t xml:space="preserve">As a computational instrument, the algorithm may serve as a technical intermediary between the European requirements for clarity, transparency, and verifiability, and the semantic nuances inherently present in any discursive representation </w:t>
      </w:r>
      <w:r>
        <w:rPr>
          <w:rFonts w:ascii="Garamond" w:hAnsi="Garamond" w:hint="default"/>
          <w:outline w:val="0"/>
          <w:color w:val="231f20"/>
          <w:sz w:val="22"/>
          <w:szCs w:val="22"/>
          <w:u w:color="231f20"/>
          <w:rtl w:val="0"/>
          <w:lang w:val="en-US"/>
          <w14:textFill>
            <w14:solidFill>
              <w14:srgbClr w14:val="231F20"/>
            </w14:solidFill>
          </w14:textFill>
        </w:rPr>
        <w:t xml:space="preserve">– </w:t>
      </w:r>
      <w:r>
        <w:rPr>
          <w:rFonts w:ascii="Garamond" w:hAnsi="Garamond"/>
          <w:outline w:val="0"/>
          <w:color w:val="231f20"/>
          <w:sz w:val="22"/>
          <w:szCs w:val="22"/>
          <w:u w:color="231f20"/>
          <w:rtl w:val="0"/>
          <w:lang w:val="en-US"/>
          <w14:textFill>
            <w14:solidFill>
              <w14:srgbClr w14:val="231F20"/>
            </w14:solidFill>
          </w14:textFill>
        </w:rPr>
        <w:t>such as those found in banks' ESG disclosures. It offers objective and transparent criteria for the assessment of non-financial information, while simultaneously promoting informational quality and communicative credibility. Against the risk of superficial or merely rhetorical environmental claims, this paper proposes the systematic integration of artificial intelligence into semantic and declarative oversight mechanisms. Using pattern recognition techniques and automated linguistic analysis, it becomes possible to systematically, objectively, scalably, and reproducibly identify potentially misleading assertions in ESG reporting.</w:t>
      </w:r>
    </w:p>
    <w:p>
      <w:pPr>
        <w:pStyle w:val="Body Text"/>
        <w:spacing w:before="1" w:line="254" w:lineRule="auto"/>
        <w:ind w:right="178" w:firstLine="383"/>
        <w:jc w:val="both"/>
        <w:rPr>
          <w:rFonts w:ascii="Garamond" w:cs="Garamond" w:hAnsi="Garamond" w:eastAsia="Garamond"/>
          <w:outline w:val="0"/>
          <w:color w:val="231f20"/>
          <w:sz w:val="22"/>
          <w:szCs w:val="22"/>
          <w:u w:color="231f20"/>
          <w:lang w:val="en-US"/>
          <w14:textFill>
            <w14:solidFill>
              <w14:srgbClr w14:val="231F20"/>
            </w14:solidFill>
          </w14:textFill>
        </w:rPr>
      </w:pPr>
      <w:r>
        <w:rPr>
          <w:rFonts w:ascii="Garamond" w:hAnsi="Garamond"/>
          <w:outline w:val="0"/>
          <w:color w:val="231f20"/>
          <w:sz w:val="22"/>
          <w:szCs w:val="22"/>
          <w:u w:color="231f20"/>
          <w:rtl w:val="0"/>
          <w:lang w:val="en-US"/>
          <w14:textFill>
            <w14:solidFill>
              <w14:srgbClr w14:val="231F20"/>
            </w14:solidFill>
          </w14:textFill>
        </w:rPr>
        <w:t xml:space="preserve">In this perspective, the accuracy of environmental claims can no longer rely on the good faith of the disclosing entity. Instead, such accuracy can be technically verified, even in its most obscure, manipulative, or deceptive aspects. This enables the unmasking of rhetorical excesses and linguistic vagueness, restoring focus on the alignment between stated commitments and demonstrable actions. In a world where sustainability must become the shared language and goal of businesses, the current overproduction of unjustified environmental assertions calls for a fundamental rethinking of the safeguards in place to address systemic pathologies. The ultimate aim is to clearly distinguish between what is truly </w:t>
      </w:r>
      <w:r>
        <w:rPr>
          <w:rFonts w:ascii="Garamond" w:hAnsi="Garamond" w:hint="default"/>
          <w:outline w:val="0"/>
          <w:color w:val="231f20"/>
          <w:sz w:val="22"/>
          <w:szCs w:val="22"/>
          <w:u w:color="231f20"/>
          <w:rtl w:val="0"/>
          <w:lang w:val="en-US"/>
          <w14:textFill>
            <w14:solidFill>
              <w14:srgbClr w14:val="231F20"/>
            </w14:solidFill>
          </w14:textFill>
        </w:rPr>
        <w:t>“</w:t>
      </w:r>
      <w:r>
        <w:rPr>
          <w:rFonts w:ascii="Garamond" w:hAnsi="Garamond"/>
          <w:outline w:val="0"/>
          <w:color w:val="231f20"/>
          <w:sz w:val="22"/>
          <w:szCs w:val="22"/>
          <w:u w:color="231f20"/>
          <w:rtl w:val="0"/>
          <w:lang w:val="en-US"/>
          <w14:textFill>
            <w14:solidFill>
              <w14:srgbClr w14:val="231F20"/>
            </w14:solidFill>
          </w14:textFill>
        </w:rPr>
        <w:t>green</w:t>
      </w:r>
      <w:r>
        <w:rPr>
          <w:rFonts w:ascii="Garamond" w:hAnsi="Garamond" w:hint="default"/>
          <w:outline w:val="0"/>
          <w:color w:val="231f20"/>
          <w:sz w:val="22"/>
          <w:szCs w:val="22"/>
          <w:u w:color="231f20"/>
          <w:rtl w:val="0"/>
          <w:lang w:val="en-US"/>
          <w14:textFill>
            <w14:solidFill>
              <w14:srgbClr w14:val="231F20"/>
            </w14:solidFill>
          </w14:textFill>
        </w:rPr>
        <w:t xml:space="preserve">” </w:t>
      </w:r>
      <w:r>
        <w:rPr>
          <w:rFonts w:ascii="Garamond" w:hAnsi="Garamond"/>
          <w:outline w:val="0"/>
          <w:color w:val="231f20"/>
          <w:sz w:val="22"/>
          <w:szCs w:val="22"/>
          <w:u w:color="231f20"/>
          <w:rtl w:val="0"/>
          <w:lang w:val="en-US"/>
          <w14:textFill>
            <w14:solidFill>
              <w14:srgbClr w14:val="231F20"/>
            </w14:solidFill>
          </w14:textFill>
        </w:rPr>
        <w:t>and what merely presents itself as such for rhetorical or marketing purposes.</w:t>
      </w:r>
    </w:p>
    <w:p>
      <w:pPr>
        <w:pStyle w:val="Body Text"/>
        <w:spacing w:before="1" w:line="254" w:lineRule="auto"/>
        <w:ind w:right="178"/>
        <w:jc w:val="both"/>
        <w:rPr>
          <w:rFonts w:ascii="Garamond" w:cs="Garamond" w:hAnsi="Garamond" w:eastAsia="Garamond"/>
          <w:outline w:val="0"/>
          <w:color w:val="231f20"/>
          <w:sz w:val="22"/>
          <w:szCs w:val="22"/>
          <w:u w:color="231f20"/>
          <w:lang w:val="en-US"/>
          <w14:textFill>
            <w14:solidFill>
              <w14:srgbClr w14:val="231F20"/>
            </w14:solidFill>
          </w14:textFill>
        </w:rPr>
      </w:pPr>
    </w:p>
    <w:p>
      <w:pPr>
        <w:pStyle w:val="Body Text"/>
        <w:spacing w:before="1" w:line="254" w:lineRule="auto"/>
        <w:ind w:right="178"/>
        <w:jc w:val="both"/>
        <w:rPr>
          <w:rFonts w:ascii="Garamond" w:cs="Garamond" w:hAnsi="Garamond" w:eastAsia="Garamond"/>
          <w:outline w:val="0"/>
          <w:color w:val="231f20"/>
          <w:sz w:val="22"/>
          <w:szCs w:val="22"/>
          <w:u w:color="231f20"/>
          <w:lang w:val="en-US"/>
          <w14:textFill>
            <w14:solidFill>
              <w14:srgbClr w14:val="231F20"/>
            </w14:solidFill>
          </w14:textFill>
        </w:rPr>
      </w:pPr>
    </w:p>
    <w:p>
      <w:pPr>
        <w:pStyle w:val="Body Text"/>
        <w:spacing w:before="1" w:line="254" w:lineRule="auto"/>
        <w:ind w:right="178"/>
        <w:jc w:val="both"/>
        <w:rPr>
          <w:rFonts w:ascii="Garamond" w:cs="Garamond" w:hAnsi="Garamond" w:eastAsia="Garamond"/>
          <w:outline w:val="0"/>
          <w:color w:val="231f20"/>
          <w:sz w:val="22"/>
          <w:szCs w:val="22"/>
          <w:u w:val="single" w:color="231f20"/>
          <w:lang w:val="en-US"/>
          <w14:textFill>
            <w14:solidFill>
              <w14:srgbClr w14:val="231F20"/>
            </w14:solidFill>
          </w14:textFill>
        </w:rPr>
      </w:pPr>
      <w:r>
        <w:rPr>
          <w:rFonts w:ascii="Garamond" w:hAnsi="Garamond"/>
          <w:outline w:val="0"/>
          <w:color w:val="231f20"/>
          <w:sz w:val="22"/>
          <w:szCs w:val="22"/>
          <w:u w:val="single" w:color="231f20"/>
          <w:rtl w:val="0"/>
          <w:lang w:val="en-US"/>
          <w14:textFill>
            <w14:solidFill>
              <w14:srgbClr w14:val="231F20"/>
            </w14:solidFill>
          </w14:textFill>
        </w:rPr>
        <w:t>Bibliography</w:t>
      </w:r>
      <w:r>
        <w:rPr>
          <w:rFonts w:ascii="Garamond" w:cs="Garamond" w:hAnsi="Garamond" w:eastAsia="Garamond"/>
          <w:outline w:val="0"/>
          <w:color w:val="231f20"/>
          <w:sz w:val="22"/>
          <w:szCs w:val="22"/>
          <w:u w:val="single" w:color="231f20"/>
          <w:lang w:val="en-US"/>
          <w14:textFill>
            <w14:solidFill>
              <w14:srgbClr w14:val="231F20"/>
            </w14:solidFill>
          </w14:textFill>
        </w:rPr>
        <w:br w:type="textWrapping"/>
      </w:r>
    </w:p>
    <w:p>
      <w:pPr>
        <w:pStyle w:val="List Paragraph"/>
        <w:widowControl w:val="1"/>
        <w:numPr>
          <w:ilvl w:val="0"/>
          <w:numId w:val="2"/>
        </w:numPr>
        <w:bidi w:val="0"/>
        <w:ind w:right="0"/>
        <w:jc w:val="both"/>
        <w:rPr>
          <w:rFonts w:ascii="Garamond" w:hAnsi="Garamond"/>
          <w:sz w:val="20"/>
          <w:szCs w:val="20"/>
          <w:rtl w:val="0"/>
          <w:lang w:val="en-US"/>
        </w:rPr>
      </w:pPr>
      <w:r>
        <w:rPr>
          <w:rFonts w:ascii="Garamond" w:hAnsi="Garamond"/>
          <w:sz w:val="20"/>
          <w:szCs w:val="20"/>
          <w:rtl w:val="0"/>
          <w:lang w:val="en-US"/>
        </w:rPr>
        <w:t xml:space="preserve">Adamowicz, M. (2022). Green deal, green growth and green economy as a means of support for attaining the sustainable development goals. </w:t>
      </w:r>
      <w:r>
        <w:rPr>
          <w:rFonts w:ascii="Garamond" w:hAnsi="Garamond"/>
          <w:sz w:val="20"/>
          <w:szCs w:val="20"/>
          <w:rtl w:val="0"/>
          <w:lang w:val="it-IT"/>
        </w:rPr>
        <w:t xml:space="preserve">Sustainability, 14(10), 5901. </w:t>
      </w:r>
    </w:p>
    <w:p>
      <w:pPr>
        <w:pStyle w:val="List Paragraph"/>
        <w:widowControl w:val="1"/>
        <w:numPr>
          <w:ilvl w:val="0"/>
          <w:numId w:val="2"/>
        </w:numPr>
        <w:bidi w:val="0"/>
        <w:ind w:right="0"/>
        <w:jc w:val="both"/>
        <w:rPr>
          <w:rFonts w:ascii="Garamond" w:hAnsi="Garamond"/>
          <w:sz w:val="20"/>
          <w:szCs w:val="20"/>
          <w:rtl w:val="0"/>
          <w:lang w:val="en-US"/>
        </w:rPr>
      </w:pPr>
      <w:r>
        <w:rPr>
          <w:rFonts w:ascii="Garamond" w:hAnsi="Garamond"/>
          <w:sz w:val="20"/>
          <w:szCs w:val="20"/>
          <w:rtl w:val="0"/>
          <w:lang w:val="en-US"/>
        </w:rPr>
        <w:t xml:space="preserve">Agarwal, P. (2021). Green Anti-Trust: A New Way Forward. </w:t>
      </w:r>
      <w:r>
        <w:rPr>
          <w:rFonts w:ascii="Garamond" w:hAnsi="Garamond"/>
          <w:i w:val="1"/>
          <w:iCs w:val="1"/>
          <w:sz w:val="20"/>
          <w:szCs w:val="20"/>
          <w:rtl w:val="0"/>
          <w:lang w:val="en-US"/>
        </w:rPr>
        <w:t>International Journal of Law Management &amp; Humanities</w:t>
      </w:r>
      <w:r>
        <w:rPr>
          <w:rFonts w:ascii="Garamond" w:hAnsi="Garamond"/>
          <w:sz w:val="20"/>
          <w:szCs w:val="20"/>
          <w:rtl w:val="0"/>
          <w:lang w:val="en-US"/>
        </w:rPr>
        <w:t>., 4(3), 4913-4922.</w:t>
      </w:r>
    </w:p>
    <w:p>
      <w:pPr>
        <w:pStyle w:val="List Paragraph"/>
        <w:widowControl w:val="1"/>
        <w:numPr>
          <w:ilvl w:val="0"/>
          <w:numId w:val="2"/>
        </w:numPr>
        <w:bidi w:val="0"/>
        <w:ind w:right="0"/>
        <w:jc w:val="both"/>
        <w:rPr>
          <w:rFonts w:ascii="Garamond" w:hAnsi="Garamond"/>
          <w:sz w:val="20"/>
          <w:szCs w:val="20"/>
          <w:rtl w:val="0"/>
          <w:lang w:val="it-IT"/>
        </w:rPr>
      </w:pPr>
      <w:r>
        <w:rPr>
          <w:rFonts w:ascii="Garamond" w:hAnsi="Garamond"/>
          <w:sz w:val="20"/>
          <w:szCs w:val="20"/>
          <w:rtl w:val="0"/>
          <w:lang w:val="it-IT"/>
        </w:rPr>
        <w:t xml:space="preserve">Aldasoro, I., Doerr, S., Gambacorta, L., Notra, S., Oliviero, T., &amp; Whyte, D. (2025). </w:t>
      </w:r>
      <w:r>
        <w:rPr>
          <w:rFonts w:ascii="Garamond" w:hAnsi="Garamond"/>
          <w:sz w:val="20"/>
          <w:szCs w:val="20"/>
          <w:rtl w:val="0"/>
          <w:lang w:val="en-US"/>
        </w:rPr>
        <w:t xml:space="preserve">Generative artificial intelligence and cyber security in central banking. </w:t>
      </w:r>
      <w:r>
        <w:rPr>
          <w:rFonts w:ascii="Garamond" w:hAnsi="Garamond"/>
          <w:i w:val="1"/>
          <w:iCs w:val="1"/>
          <w:sz w:val="20"/>
          <w:szCs w:val="20"/>
          <w:rtl w:val="0"/>
          <w:lang w:val="en-US"/>
        </w:rPr>
        <w:t>Journal of Financial Regulation</w:t>
      </w:r>
      <w:r>
        <w:rPr>
          <w:rFonts w:ascii="Garamond" w:hAnsi="Garamond"/>
          <w:sz w:val="20"/>
          <w:szCs w:val="20"/>
          <w:rtl w:val="0"/>
          <w:lang w:val="en-US"/>
        </w:rPr>
        <w:t>, 11(1), 119-128.</w:t>
      </w:r>
    </w:p>
    <w:p>
      <w:pPr>
        <w:pStyle w:val="List Paragraph"/>
        <w:widowControl w:val="1"/>
        <w:numPr>
          <w:ilvl w:val="0"/>
          <w:numId w:val="2"/>
        </w:numPr>
        <w:bidi w:val="0"/>
        <w:ind w:right="0"/>
        <w:jc w:val="both"/>
        <w:rPr>
          <w:rFonts w:ascii="Garamond" w:hAnsi="Garamond"/>
          <w:sz w:val="20"/>
          <w:szCs w:val="20"/>
          <w:rtl w:val="0"/>
          <w:lang w:val="en-US"/>
        </w:rPr>
      </w:pPr>
      <w:r>
        <w:rPr>
          <w:rFonts w:ascii="Garamond" w:hAnsi="Garamond"/>
          <w:sz w:val="20"/>
          <w:szCs w:val="20"/>
          <w:rtl w:val="0"/>
          <w:lang w:val="en-US"/>
        </w:rPr>
        <w:t>Almeida, D. V., Kolinjivadi, V., Ferrando, T., Roy, B., Herrera, H., Gon</w:t>
      </w:r>
      <w:r>
        <w:rPr>
          <w:rFonts w:ascii="Garamond" w:hAnsi="Garamond" w:hint="default"/>
          <w:sz w:val="20"/>
          <w:szCs w:val="20"/>
          <w:rtl w:val="0"/>
          <w:lang w:val="en-US"/>
        </w:rPr>
        <w:t>ç</w:t>
      </w:r>
      <w:r>
        <w:rPr>
          <w:rFonts w:ascii="Garamond" w:hAnsi="Garamond"/>
          <w:sz w:val="20"/>
          <w:szCs w:val="20"/>
          <w:rtl w:val="0"/>
          <w:lang w:val="en-US"/>
        </w:rPr>
        <w:t xml:space="preserve">alves, M. V., &amp; Van Hecken, G. (2023). The </w:t>
      </w:r>
      <w:r>
        <w:rPr>
          <w:rFonts w:ascii="Garamond" w:hAnsi="Garamond" w:hint="default"/>
          <w:sz w:val="20"/>
          <w:szCs w:val="20"/>
          <w:rtl w:val="0"/>
          <w:lang w:val="en-US"/>
        </w:rPr>
        <w:t>“</w:t>
      </w:r>
      <w:r>
        <w:rPr>
          <w:rFonts w:ascii="Garamond" w:hAnsi="Garamond"/>
          <w:sz w:val="20"/>
          <w:szCs w:val="20"/>
          <w:rtl w:val="0"/>
          <w:lang w:val="en-US"/>
        </w:rPr>
        <w:t>greening</w:t>
      </w:r>
      <w:r>
        <w:rPr>
          <w:rFonts w:ascii="Garamond" w:hAnsi="Garamond" w:hint="default"/>
          <w:sz w:val="20"/>
          <w:szCs w:val="20"/>
          <w:rtl w:val="0"/>
          <w:lang w:val="en-US"/>
        </w:rPr>
        <w:t xml:space="preserve">” </w:t>
      </w:r>
      <w:r>
        <w:rPr>
          <w:rFonts w:ascii="Garamond" w:hAnsi="Garamond"/>
          <w:sz w:val="20"/>
          <w:szCs w:val="20"/>
          <w:rtl w:val="0"/>
          <w:lang w:val="en-US"/>
        </w:rPr>
        <w:t>of empire: The European Green Deal as the EU first agenda.</w:t>
      </w:r>
      <w:r>
        <w:rPr>
          <w:rFonts w:ascii="Garamond" w:hAnsi="Garamond" w:hint="default"/>
          <w:sz w:val="20"/>
          <w:szCs w:val="20"/>
          <w:rtl w:val="0"/>
          <w:lang w:val="en-US"/>
        </w:rPr>
        <w:t> </w:t>
      </w:r>
      <w:r>
        <w:rPr>
          <w:rFonts w:ascii="Garamond" w:hAnsi="Garamond"/>
          <w:i w:val="1"/>
          <w:iCs w:val="1"/>
          <w:sz w:val="20"/>
          <w:szCs w:val="20"/>
          <w:rtl w:val="0"/>
          <w:lang w:val="it-IT"/>
        </w:rPr>
        <w:t>Political Geography</w:t>
      </w:r>
      <w:r>
        <w:rPr>
          <w:rFonts w:ascii="Garamond" w:hAnsi="Garamond"/>
          <w:sz w:val="20"/>
          <w:szCs w:val="20"/>
          <w:rtl w:val="0"/>
          <w:lang w:val="it-IT"/>
        </w:rPr>
        <w:t>,</w:t>
      </w:r>
      <w:r>
        <w:rPr>
          <w:rFonts w:ascii="Garamond" w:hAnsi="Garamond" w:hint="default"/>
          <w:sz w:val="20"/>
          <w:szCs w:val="20"/>
          <w:rtl w:val="0"/>
          <w:lang w:val="it-IT"/>
        </w:rPr>
        <w:t> </w:t>
      </w:r>
      <w:r>
        <w:rPr>
          <w:rFonts w:ascii="Garamond" w:hAnsi="Garamond"/>
          <w:i w:val="1"/>
          <w:iCs w:val="1"/>
          <w:sz w:val="20"/>
          <w:szCs w:val="20"/>
          <w:rtl w:val="0"/>
          <w:lang w:val="it-IT"/>
        </w:rPr>
        <w:t>105</w:t>
      </w:r>
      <w:r>
        <w:rPr>
          <w:rFonts w:ascii="Garamond" w:hAnsi="Garamond"/>
          <w:sz w:val="20"/>
          <w:szCs w:val="20"/>
          <w:rtl w:val="0"/>
          <w:lang w:val="it-IT"/>
        </w:rPr>
        <w:t>, 102925, 1-10.</w:t>
      </w:r>
    </w:p>
    <w:p>
      <w:pPr>
        <w:pStyle w:val="List Paragraph"/>
        <w:widowControl w:val="1"/>
        <w:numPr>
          <w:ilvl w:val="0"/>
          <w:numId w:val="2"/>
        </w:numPr>
        <w:bidi w:val="0"/>
        <w:ind w:right="0"/>
        <w:jc w:val="both"/>
        <w:rPr>
          <w:rFonts w:ascii="Garamond" w:hAnsi="Garamond"/>
          <w:sz w:val="20"/>
          <w:szCs w:val="20"/>
          <w:rtl w:val="0"/>
          <w:lang w:val="en-US"/>
        </w:rPr>
      </w:pPr>
      <w:r>
        <w:rPr>
          <w:rFonts w:ascii="Garamond" w:hAnsi="Garamond"/>
          <w:sz w:val="20"/>
          <w:szCs w:val="20"/>
          <w:rtl w:val="0"/>
          <w:lang w:val="en-US"/>
        </w:rPr>
        <w:t>Amatucci, C., &amp; Mollo, G. (2024). EU v. Greenwashing: the reliability of environmental claims to safeguard green consumerism.</w:t>
      </w:r>
      <w:r>
        <w:rPr>
          <w:rFonts w:ascii="Garamond" w:hAnsi="Garamond" w:hint="default"/>
          <w:sz w:val="20"/>
          <w:szCs w:val="20"/>
          <w:rtl w:val="0"/>
          <w:lang w:val="en-US"/>
        </w:rPr>
        <w:t> </w:t>
      </w:r>
      <w:r>
        <w:rPr>
          <w:rFonts w:ascii="Garamond" w:hAnsi="Garamond"/>
          <w:i w:val="1"/>
          <w:iCs w:val="1"/>
          <w:sz w:val="20"/>
          <w:szCs w:val="20"/>
          <w:rtl w:val="0"/>
          <w:lang w:val="it-IT"/>
        </w:rPr>
        <w:t>Revue Lexsoci</w:t>
      </w:r>
      <w:r>
        <w:rPr>
          <w:rFonts w:ascii="Garamond" w:hAnsi="Garamond" w:hint="default"/>
          <w:i w:val="1"/>
          <w:iCs w:val="1"/>
          <w:sz w:val="20"/>
          <w:szCs w:val="20"/>
          <w:rtl w:val="0"/>
          <w:lang w:val="it-IT"/>
        </w:rPr>
        <w:t>é</w:t>
      </w:r>
      <w:r>
        <w:rPr>
          <w:rFonts w:ascii="Garamond" w:hAnsi="Garamond"/>
          <w:i w:val="1"/>
          <w:iCs w:val="1"/>
          <w:sz w:val="20"/>
          <w:szCs w:val="20"/>
          <w:rtl w:val="0"/>
          <w:lang w:val="it-IT"/>
        </w:rPr>
        <w:t>t</w:t>
      </w:r>
      <w:r>
        <w:rPr>
          <w:rFonts w:ascii="Garamond" w:hAnsi="Garamond" w:hint="default"/>
          <w:i w:val="1"/>
          <w:iCs w:val="1"/>
          <w:sz w:val="20"/>
          <w:szCs w:val="20"/>
          <w:rtl w:val="0"/>
          <w:lang w:val="it-IT"/>
        </w:rPr>
        <w:t>é</w:t>
      </w:r>
      <w:r>
        <w:rPr>
          <w:rFonts w:ascii="Garamond" w:hAnsi="Garamond"/>
          <w:sz w:val="20"/>
          <w:szCs w:val="20"/>
          <w:rtl w:val="0"/>
          <w:lang w:val="it-IT"/>
        </w:rPr>
        <w:t>, 1-18.</w:t>
      </w:r>
    </w:p>
    <w:p>
      <w:pPr>
        <w:pStyle w:val="List Paragraph"/>
        <w:widowControl w:val="1"/>
        <w:numPr>
          <w:ilvl w:val="0"/>
          <w:numId w:val="2"/>
        </w:numPr>
        <w:bidi w:val="0"/>
        <w:ind w:right="0"/>
        <w:jc w:val="both"/>
        <w:rPr>
          <w:rFonts w:ascii="Garamond" w:hAnsi="Garamond"/>
          <w:sz w:val="20"/>
          <w:szCs w:val="20"/>
          <w:rtl w:val="0"/>
          <w:lang w:val="it-IT"/>
        </w:rPr>
      </w:pPr>
      <w:r>
        <w:rPr>
          <w:rFonts w:ascii="Garamond" w:hAnsi="Garamond"/>
          <w:sz w:val="20"/>
          <w:szCs w:val="20"/>
          <w:rtl w:val="0"/>
          <w:lang w:val="it-IT"/>
        </w:rPr>
        <w:t xml:space="preserve">Annesi, N., Battaglia, M., Ceglia, I., &amp; Mercuri, F. (2025). </w:t>
      </w:r>
      <w:r>
        <w:rPr>
          <w:rFonts w:ascii="Garamond" w:hAnsi="Garamond"/>
          <w:sz w:val="20"/>
          <w:szCs w:val="20"/>
          <w:rtl w:val="0"/>
          <w:lang w:val="en-US"/>
        </w:rPr>
        <w:t>Navigating paradoxes: Building a sustainable strategy for an integrated ESG corporate governance.</w:t>
      </w:r>
      <w:r>
        <w:rPr>
          <w:rFonts w:ascii="Garamond" w:hAnsi="Garamond" w:hint="default"/>
          <w:sz w:val="20"/>
          <w:szCs w:val="20"/>
          <w:rtl w:val="0"/>
          <w:lang w:val="en-US"/>
        </w:rPr>
        <w:t> </w:t>
      </w:r>
      <w:r>
        <w:rPr>
          <w:rFonts w:ascii="Garamond" w:hAnsi="Garamond"/>
          <w:i w:val="1"/>
          <w:iCs w:val="1"/>
          <w:sz w:val="20"/>
          <w:szCs w:val="20"/>
          <w:rtl w:val="0"/>
          <w:lang w:val="it-IT"/>
        </w:rPr>
        <w:t>Management Decision</w:t>
      </w:r>
      <w:r>
        <w:rPr>
          <w:rFonts w:ascii="Garamond" w:hAnsi="Garamond"/>
          <w:sz w:val="20"/>
          <w:szCs w:val="20"/>
          <w:rtl w:val="0"/>
          <w:lang w:val="it-IT"/>
        </w:rPr>
        <w:t>,</w:t>
      </w:r>
      <w:r>
        <w:rPr>
          <w:rFonts w:ascii="Garamond" w:hAnsi="Garamond" w:hint="default"/>
          <w:sz w:val="20"/>
          <w:szCs w:val="20"/>
          <w:rtl w:val="0"/>
          <w:lang w:val="it-IT"/>
        </w:rPr>
        <w:t> </w:t>
      </w:r>
      <w:r>
        <w:rPr>
          <w:rFonts w:ascii="Garamond" w:hAnsi="Garamond"/>
          <w:i w:val="1"/>
          <w:iCs w:val="1"/>
          <w:sz w:val="20"/>
          <w:szCs w:val="20"/>
          <w:rtl w:val="0"/>
          <w:lang w:val="it-IT"/>
        </w:rPr>
        <w:t>63</w:t>
      </w:r>
      <w:r>
        <w:rPr>
          <w:rFonts w:ascii="Garamond" w:hAnsi="Garamond"/>
          <w:sz w:val="20"/>
          <w:szCs w:val="20"/>
          <w:rtl w:val="0"/>
          <w:lang w:val="it-IT"/>
        </w:rPr>
        <w:t>(2), 531-559.</w:t>
      </w:r>
    </w:p>
    <w:p>
      <w:pPr>
        <w:pStyle w:val="List Paragraph"/>
        <w:widowControl w:val="1"/>
        <w:numPr>
          <w:ilvl w:val="0"/>
          <w:numId w:val="2"/>
        </w:numPr>
        <w:bidi w:val="0"/>
        <w:ind w:right="0"/>
        <w:jc w:val="both"/>
        <w:rPr>
          <w:rFonts w:ascii="Garamond" w:hAnsi="Garamond"/>
          <w:sz w:val="20"/>
          <w:szCs w:val="20"/>
          <w:rtl w:val="0"/>
          <w:lang w:val="en-US"/>
        </w:rPr>
      </w:pPr>
      <w:r>
        <w:rPr>
          <w:rFonts w:ascii="Garamond" w:hAnsi="Garamond"/>
          <w:sz w:val="20"/>
          <w:szCs w:val="20"/>
          <w:rtl w:val="0"/>
          <w:lang w:val="en-US"/>
        </w:rPr>
        <w:t>Ardoin, N. M., Bowers, A. W., &amp; Wheaton, M. (2023). Leveraging collective action and environmental literacy to address complex sustainability challenges.</w:t>
      </w:r>
      <w:r>
        <w:rPr>
          <w:rFonts w:ascii="Garamond" w:hAnsi="Garamond" w:hint="default"/>
          <w:sz w:val="20"/>
          <w:szCs w:val="20"/>
          <w:rtl w:val="0"/>
          <w:lang w:val="en-US"/>
        </w:rPr>
        <w:t> </w:t>
      </w:r>
      <w:r>
        <w:rPr>
          <w:rFonts w:ascii="Garamond" w:hAnsi="Garamond"/>
          <w:i w:val="1"/>
          <w:iCs w:val="1"/>
          <w:sz w:val="20"/>
          <w:szCs w:val="20"/>
          <w:rtl w:val="0"/>
          <w:lang w:val="it-IT"/>
        </w:rPr>
        <w:t>Ambio</w:t>
      </w:r>
      <w:r>
        <w:rPr>
          <w:rFonts w:ascii="Garamond" w:hAnsi="Garamond"/>
          <w:sz w:val="20"/>
          <w:szCs w:val="20"/>
          <w:rtl w:val="0"/>
          <w:lang w:val="it-IT"/>
        </w:rPr>
        <w:t>,</w:t>
      </w:r>
      <w:r>
        <w:rPr>
          <w:rFonts w:ascii="Garamond" w:hAnsi="Garamond" w:hint="default"/>
          <w:sz w:val="20"/>
          <w:szCs w:val="20"/>
          <w:rtl w:val="0"/>
          <w:lang w:val="it-IT"/>
        </w:rPr>
        <w:t> </w:t>
      </w:r>
      <w:r>
        <w:rPr>
          <w:rFonts w:ascii="Garamond" w:hAnsi="Garamond"/>
          <w:i w:val="1"/>
          <w:iCs w:val="1"/>
          <w:sz w:val="20"/>
          <w:szCs w:val="20"/>
          <w:rtl w:val="0"/>
          <w:lang w:val="it-IT"/>
        </w:rPr>
        <w:t>52</w:t>
      </w:r>
      <w:r>
        <w:rPr>
          <w:rFonts w:ascii="Garamond" w:hAnsi="Garamond"/>
          <w:sz w:val="20"/>
          <w:szCs w:val="20"/>
          <w:rtl w:val="0"/>
          <w:lang w:val="it-IT"/>
        </w:rPr>
        <w:t>(1), 30-44.</w:t>
      </w:r>
    </w:p>
    <w:p>
      <w:pPr>
        <w:pStyle w:val="List Paragraph"/>
        <w:widowControl w:val="1"/>
        <w:numPr>
          <w:ilvl w:val="0"/>
          <w:numId w:val="2"/>
        </w:numPr>
        <w:bidi w:val="0"/>
        <w:ind w:right="0"/>
        <w:jc w:val="both"/>
        <w:rPr>
          <w:rFonts w:ascii="Garamond" w:hAnsi="Garamond"/>
          <w:sz w:val="20"/>
          <w:szCs w:val="20"/>
          <w:rtl w:val="0"/>
          <w:lang w:val="en-US"/>
        </w:rPr>
      </w:pPr>
      <w:r>
        <w:rPr>
          <w:rFonts w:ascii="Garamond" w:hAnsi="Garamond"/>
          <w:sz w:val="20"/>
          <w:szCs w:val="20"/>
          <w:rtl w:val="0"/>
          <w:lang w:val="en-US"/>
        </w:rPr>
        <w:t xml:space="preserve">Avi, M. S. (2022). Materiality and Relevance in Financial Reporting. Interpretation Problems and Solutions Adopted Internationally. </w:t>
      </w:r>
      <w:r>
        <w:rPr>
          <w:rFonts w:ascii="Garamond" w:hAnsi="Garamond"/>
          <w:i w:val="1"/>
          <w:iCs w:val="1"/>
          <w:sz w:val="20"/>
          <w:szCs w:val="20"/>
          <w:rtl w:val="0"/>
          <w:lang w:val="en-US"/>
        </w:rPr>
        <w:t>International Journal of Accounting and Finance Studies</w:t>
      </w:r>
      <w:r>
        <w:rPr>
          <w:rFonts w:ascii="Garamond" w:hAnsi="Garamond"/>
          <w:sz w:val="20"/>
          <w:szCs w:val="20"/>
          <w:rtl w:val="0"/>
          <w:lang w:val="en-US"/>
        </w:rPr>
        <w:t>, 5(2), 1-60.</w:t>
      </w:r>
    </w:p>
    <w:p>
      <w:pPr>
        <w:pStyle w:val="List Paragraph"/>
        <w:widowControl w:val="1"/>
        <w:numPr>
          <w:ilvl w:val="0"/>
          <w:numId w:val="2"/>
        </w:numPr>
        <w:bidi w:val="0"/>
        <w:ind w:right="0"/>
        <w:jc w:val="both"/>
        <w:rPr>
          <w:rFonts w:ascii="Garamond" w:hAnsi="Garamond"/>
          <w:sz w:val="20"/>
          <w:szCs w:val="20"/>
          <w:rtl w:val="0"/>
          <w:lang w:val="en-US"/>
        </w:rPr>
      </w:pPr>
      <w:r>
        <w:rPr>
          <w:rFonts w:ascii="Garamond" w:hAnsi="Garamond"/>
          <w:sz w:val="20"/>
          <w:szCs w:val="20"/>
          <w:rtl w:val="0"/>
          <w:lang w:val="en-US"/>
        </w:rPr>
        <w:t>Bantel, K. A., &amp; Jackson, S. E. (1989). Top management and innovations in banking: does the composition of the top team make a difference?.</w:t>
      </w:r>
      <w:r>
        <w:rPr>
          <w:rFonts w:ascii="Garamond" w:hAnsi="Garamond" w:hint="default"/>
          <w:sz w:val="20"/>
          <w:szCs w:val="20"/>
          <w:rtl w:val="0"/>
          <w:lang w:val="en-US"/>
        </w:rPr>
        <w:t> </w:t>
      </w:r>
      <w:r>
        <w:rPr>
          <w:rFonts w:ascii="Garamond" w:hAnsi="Garamond"/>
          <w:i w:val="1"/>
          <w:iCs w:val="1"/>
          <w:sz w:val="20"/>
          <w:szCs w:val="20"/>
          <w:rtl w:val="0"/>
          <w:lang w:val="it-IT"/>
        </w:rPr>
        <w:t>Strategic management journal</w:t>
      </w:r>
      <w:r>
        <w:rPr>
          <w:rFonts w:ascii="Garamond" w:hAnsi="Garamond"/>
          <w:sz w:val="20"/>
          <w:szCs w:val="20"/>
          <w:rtl w:val="0"/>
          <w:lang w:val="it-IT"/>
        </w:rPr>
        <w:t>,</w:t>
      </w:r>
      <w:r>
        <w:rPr>
          <w:rFonts w:ascii="Garamond" w:hAnsi="Garamond" w:hint="default"/>
          <w:sz w:val="20"/>
          <w:szCs w:val="20"/>
          <w:rtl w:val="0"/>
          <w:lang w:val="it-IT"/>
        </w:rPr>
        <w:t> </w:t>
      </w:r>
      <w:r>
        <w:rPr>
          <w:rFonts w:ascii="Garamond" w:hAnsi="Garamond"/>
          <w:i w:val="1"/>
          <w:iCs w:val="1"/>
          <w:sz w:val="20"/>
          <w:szCs w:val="20"/>
          <w:rtl w:val="0"/>
          <w:lang w:val="it-IT"/>
        </w:rPr>
        <w:t>10</w:t>
      </w:r>
      <w:r>
        <w:rPr>
          <w:rFonts w:ascii="Garamond" w:hAnsi="Garamond"/>
          <w:sz w:val="20"/>
          <w:szCs w:val="20"/>
          <w:rtl w:val="0"/>
          <w:lang w:val="it-IT"/>
        </w:rPr>
        <w:t>(S1), 107-124.</w:t>
      </w:r>
    </w:p>
    <w:p>
      <w:pPr>
        <w:pStyle w:val="List Paragraph"/>
        <w:widowControl w:val="1"/>
        <w:numPr>
          <w:ilvl w:val="0"/>
          <w:numId w:val="2"/>
        </w:numPr>
        <w:bidi w:val="0"/>
        <w:ind w:right="0"/>
        <w:jc w:val="both"/>
        <w:rPr>
          <w:rFonts w:ascii="Garamond" w:hAnsi="Garamond"/>
          <w:sz w:val="20"/>
          <w:szCs w:val="20"/>
          <w:rtl w:val="0"/>
          <w:lang w:val="en-US"/>
        </w:rPr>
      </w:pPr>
      <w:r>
        <w:rPr>
          <w:rFonts w:ascii="Garamond" w:hAnsi="Garamond"/>
          <w:sz w:val="20"/>
          <w:szCs w:val="20"/>
          <w:rtl w:val="0"/>
          <w:lang w:val="en-US"/>
        </w:rPr>
        <w:t>Bello, O. A. (2023). Machine learning algorithms for credit risk assessment: an economic and financial analysis.</w:t>
      </w:r>
      <w:r>
        <w:rPr>
          <w:rFonts w:ascii="Garamond" w:hAnsi="Garamond" w:hint="default"/>
          <w:sz w:val="20"/>
          <w:szCs w:val="20"/>
          <w:rtl w:val="0"/>
          <w:lang w:val="en-US"/>
        </w:rPr>
        <w:t> </w:t>
      </w:r>
      <w:r>
        <w:rPr>
          <w:rFonts w:ascii="Garamond" w:hAnsi="Garamond"/>
          <w:i w:val="1"/>
          <w:iCs w:val="1"/>
          <w:sz w:val="20"/>
          <w:szCs w:val="20"/>
          <w:rtl w:val="0"/>
          <w:lang w:val="it-IT"/>
        </w:rPr>
        <w:t>International Journal of Management</w:t>
      </w:r>
      <w:r>
        <w:rPr>
          <w:rFonts w:ascii="Garamond" w:hAnsi="Garamond"/>
          <w:sz w:val="20"/>
          <w:szCs w:val="20"/>
          <w:rtl w:val="0"/>
          <w:lang w:val="it-IT"/>
        </w:rPr>
        <w:t>,</w:t>
      </w:r>
      <w:r>
        <w:rPr>
          <w:rFonts w:ascii="Garamond" w:hAnsi="Garamond" w:hint="default"/>
          <w:sz w:val="20"/>
          <w:szCs w:val="20"/>
          <w:rtl w:val="0"/>
          <w:lang w:val="it-IT"/>
        </w:rPr>
        <w:t> </w:t>
      </w:r>
      <w:r>
        <w:rPr>
          <w:rFonts w:ascii="Garamond" w:hAnsi="Garamond"/>
          <w:i w:val="1"/>
          <w:iCs w:val="1"/>
          <w:sz w:val="20"/>
          <w:szCs w:val="20"/>
          <w:rtl w:val="0"/>
          <w:lang w:val="it-IT"/>
        </w:rPr>
        <w:t>10</w:t>
      </w:r>
      <w:r>
        <w:rPr>
          <w:rFonts w:ascii="Garamond" w:hAnsi="Garamond"/>
          <w:sz w:val="20"/>
          <w:szCs w:val="20"/>
          <w:rtl w:val="0"/>
          <w:lang w:val="it-IT"/>
        </w:rPr>
        <w:t>(1), 109-133.</w:t>
      </w:r>
    </w:p>
    <w:p>
      <w:pPr>
        <w:pStyle w:val="List Paragraph"/>
        <w:widowControl w:val="1"/>
        <w:numPr>
          <w:ilvl w:val="0"/>
          <w:numId w:val="2"/>
        </w:numPr>
        <w:bidi w:val="0"/>
        <w:ind w:right="0"/>
        <w:jc w:val="both"/>
        <w:rPr>
          <w:rFonts w:ascii="Garamond" w:hAnsi="Garamond"/>
          <w:sz w:val="20"/>
          <w:szCs w:val="20"/>
          <w:rtl w:val="0"/>
          <w:lang w:val="en-US"/>
        </w:rPr>
      </w:pPr>
      <w:r>
        <w:rPr>
          <w:rFonts w:ascii="Garamond" w:hAnsi="Garamond"/>
          <w:sz w:val="20"/>
          <w:szCs w:val="20"/>
          <w:rtl w:val="0"/>
          <w:lang w:val="en-US"/>
        </w:rPr>
        <w:t>Beyrer, J., Abedtash, H., Hornbuckle, K., &amp; Murray, J. F. (2022). A review of stakeholder recommendations for defining fit-for-purpose real-world evidence algorithms.</w:t>
      </w:r>
      <w:r>
        <w:rPr>
          <w:rFonts w:ascii="Garamond" w:hAnsi="Garamond" w:hint="default"/>
          <w:sz w:val="20"/>
          <w:szCs w:val="20"/>
          <w:rtl w:val="0"/>
          <w:lang w:val="en-US"/>
        </w:rPr>
        <w:t> </w:t>
      </w:r>
      <w:r>
        <w:rPr>
          <w:rFonts w:ascii="Garamond" w:hAnsi="Garamond"/>
          <w:i w:val="1"/>
          <w:iCs w:val="1"/>
          <w:sz w:val="20"/>
          <w:szCs w:val="20"/>
          <w:rtl w:val="0"/>
          <w:lang w:val="it-IT"/>
        </w:rPr>
        <w:t>Journal of comparative effectiveness research</w:t>
      </w:r>
      <w:r>
        <w:rPr>
          <w:rFonts w:ascii="Garamond" w:hAnsi="Garamond"/>
          <w:sz w:val="20"/>
          <w:szCs w:val="20"/>
          <w:rtl w:val="0"/>
          <w:lang w:val="it-IT"/>
        </w:rPr>
        <w:t>,</w:t>
      </w:r>
      <w:r>
        <w:rPr>
          <w:rFonts w:ascii="Garamond" w:hAnsi="Garamond" w:hint="default"/>
          <w:sz w:val="20"/>
          <w:szCs w:val="20"/>
          <w:rtl w:val="0"/>
          <w:lang w:val="it-IT"/>
        </w:rPr>
        <w:t> </w:t>
      </w:r>
      <w:r>
        <w:rPr>
          <w:rFonts w:ascii="Garamond" w:hAnsi="Garamond"/>
          <w:i w:val="1"/>
          <w:iCs w:val="1"/>
          <w:sz w:val="20"/>
          <w:szCs w:val="20"/>
          <w:rtl w:val="0"/>
          <w:lang w:val="it-IT"/>
        </w:rPr>
        <w:t>11</w:t>
      </w:r>
      <w:r>
        <w:rPr>
          <w:rFonts w:ascii="Garamond" w:hAnsi="Garamond"/>
          <w:sz w:val="20"/>
          <w:szCs w:val="20"/>
          <w:rtl w:val="0"/>
          <w:lang w:val="it-IT"/>
        </w:rPr>
        <w:t>(7), 499-511.</w:t>
      </w:r>
    </w:p>
    <w:p>
      <w:pPr>
        <w:pStyle w:val="List Paragraph"/>
        <w:widowControl w:val="1"/>
        <w:numPr>
          <w:ilvl w:val="0"/>
          <w:numId w:val="2"/>
        </w:numPr>
        <w:bidi w:val="0"/>
        <w:ind w:right="0"/>
        <w:jc w:val="both"/>
        <w:rPr>
          <w:rFonts w:ascii="Garamond" w:hAnsi="Garamond"/>
          <w:sz w:val="20"/>
          <w:szCs w:val="20"/>
          <w:rtl w:val="0"/>
          <w:lang w:val="en-US"/>
        </w:rPr>
      </w:pPr>
      <w:r>
        <w:rPr>
          <w:rFonts w:ascii="Garamond" w:hAnsi="Garamond"/>
          <w:sz w:val="20"/>
          <w:szCs w:val="20"/>
          <w:rtl w:val="0"/>
          <w:lang w:val="en-US"/>
        </w:rPr>
        <w:t xml:space="preserve">Borgogno, O., &amp; Perrazzelli, A. (2025). From principles to practice: The case for coordinated international LLMs supervision. </w:t>
      </w:r>
      <w:r>
        <w:rPr>
          <w:rFonts w:ascii="Garamond" w:hAnsi="Garamond"/>
          <w:i w:val="1"/>
          <w:iCs w:val="1"/>
          <w:sz w:val="20"/>
          <w:szCs w:val="20"/>
          <w:rtl w:val="0"/>
          <w:lang w:val="it-IT"/>
        </w:rPr>
        <w:t>Cambridge Forum on AI: Law and Governance</w:t>
      </w:r>
      <w:r>
        <w:rPr>
          <w:rFonts w:ascii="Garamond" w:hAnsi="Garamond"/>
          <w:sz w:val="20"/>
          <w:szCs w:val="20"/>
          <w:rtl w:val="0"/>
          <w:lang w:val="it-IT"/>
        </w:rPr>
        <w:t>, 1, e13</w:t>
      </w:r>
    </w:p>
    <w:p>
      <w:pPr>
        <w:pStyle w:val="List Paragraph"/>
        <w:widowControl w:val="1"/>
        <w:numPr>
          <w:ilvl w:val="0"/>
          <w:numId w:val="2"/>
        </w:numPr>
        <w:bidi w:val="0"/>
        <w:ind w:right="0"/>
        <w:jc w:val="both"/>
        <w:rPr>
          <w:rFonts w:ascii="Garamond" w:hAnsi="Garamond"/>
          <w:sz w:val="20"/>
          <w:szCs w:val="20"/>
          <w:rtl w:val="0"/>
          <w:lang w:val="en-US"/>
        </w:rPr>
      </w:pPr>
      <w:r>
        <w:rPr>
          <w:rFonts w:ascii="Garamond" w:hAnsi="Garamond"/>
          <w:sz w:val="20"/>
          <w:szCs w:val="20"/>
          <w:rtl w:val="0"/>
          <w:lang w:val="en-US"/>
        </w:rPr>
        <w:t xml:space="preserve">Bouma, J. J., Jeucken, M., &amp; Klinkers, L. (Eds.). (2017). Sustainable banking: The greening of finance. </w:t>
      </w:r>
      <w:r>
        <w:rPr>
          <w:rFonts w:ascii="Garamond" w:hAnsi="Garamond"/>
          <w:sz w:val="20"/>
          <w:szCs w:val="20"/>
          <w:rtl w:val="0"/>
          <w:lang w:val="it-IT"/>
        </w:rPr>
        <w:t>Routledge.</w:t>
      </w:r>
    </w:p>
    <w:p>
      <w:pPr>
        <w:pStyle w:val="List Paragraph"/>
        <w:widowControl w:val="1"/>
        <w:numPr>
          <w:ilvl w:val="0"/>
          <w:numId w:val="2"/>
        </w:numPr>
        <w:bidi w:val="0"/>
        <w:ind w:right="0"/>
        <w:jc w:val="both"/>
        <w:rPr>
          <w:rFonts w:ascii="Garamond" w:hAnsi="Garamond"/>
          <w:sz w:val="20"/>
          <w:szCs w:val="20"/>
          <w:rtl w:val="0"/>
          <w:lang w:val="en-US"/>
        </w:rPr>
      </w:pPr>
      <w:r>
        <w:rPr>
          <w:rFonts w:ascii="Garamond" w:hAnsi="Garamond"/>
          <w:sz w:val="20"/>
          <w:szCs w:val="20"/>
          <w:rtl w:val="0"/>
          <w:lang w:val="en-US"/>
        </w:rPr>
        <w:t>Brown, H. S., de Jong, M., &amp; Levy, D. L. (2009). Building institutions based on information disclosure: lessons from GRI's sustainability reporting.</w:t>
      </w:r>
      <w:r>
        <w:rPr>
          <w:rFonts w:ascii="Garamond" w:hAnsi="Garamond" w:hint="default"/>
          <w:sz w:val="20"/>
          <w:szCs w:val="20"/>
          <w:rtl w:val="0"/>
          <w:lang w:val="en-US"/>
        </w:rPr>
        <w:t> </w:t>
      </w:r>
      <w:r>
        <w:rPr>
          <w:rFonts w:ascii="Garamond" w:hAnsi="Garamond"/>
          <w:i w:val="1"/>
          <w:iCs w:val="1"/>
          <w:sz w:val="20"/>
          <w:szCs w:val="20"/>
          <w:rtl w:val="0"/>
          <w:lang w:val="it-IT"/>
        </w:rPr>
        <w:t>Journal of cleaner production</w:t>
      </w:r>
      <w:r>
        <w:rPr>
          <w:rFonts w:ascii="Garamond" w:hAnsi="Garamond"/>
          <w:sz w:val="20"/>
          <w:szCs w:val="20"/>
          <w:rtl w:val="0"/>
          <w:lang w:val="it-IT"/>
        </w:rPr>
        <w:t>,</w:t>
      </w:r>
      <w:r>
        <w:rPr>
          <w:rFonts w:ascii="Garamond" w:hAnsi="Garamond" w:hint="default"/>
          <w:sz w:val="20"/>
          <w:szCs w:val="20"/>
          <w:rtl w:val="0"/>
          <w:lang w:val="it-IT"/>
        </w:rPr>
        <w:t> </w:t>
      </w:r>
      <w:r>
        <w:rPr>
          <w:rFonts w:ascii="Garamond" w:hAnsi="Garamond"/>
          <w:i w:val="1"/>
          <w:iCs w:val="1"/>
          <w:sz w:val="20"/>
          <w:szCs w:val="20"/>
          <w:rtl w:val="0"/>
          <w:lang w:val="it-IT"/>
        </w:rPr>
        <w:t>17</w:t>
      </w:r>
      <w:r>
        <w:rPr>
          <w:rFonts w:ascii="Garamond" w:hAnsi="Garamond"/>
          <w:sz w:val="20"/>
          <w:szCs w:val="20"/>
          <w:rtl w:val="0"/>
          <w:lang w:val="it-IT"/>
        </w:rPr>
        <w:t>(6), 571-580.</w:t>
      </w:r>
    </w:p>
    <w:p>
      <w:pPr>
        <w:pStyle w:val="List Paragraph"/>
        <w:widowControl w:val="1"/>
        <w:numPr>
          <w:ilvl w:val="0"/>
          <w:numId w:val="2"/>
        </w:numPr>
        <w:bidi w:val="0"/>
        <w:ind w:right="0"/>
        <w:jc w:val="both"/>
        <w:rPr>
          <w:rFonts w:ascii="Garamond" w:hAnsi="Garamond"/>
          <w:sz w:val="20"/>
          <w:szCs w:val="20"/>
          <w:rtl w:val="0"/>
          <w:lang w:val="en-US"/>
        </w:rPr>
      </w:pPr>
      <w:r>
        <w:rPr>
          <w:rFonts w:ascii="Garamond" w:hAnsi="Garamond"/>
          <w:sz w:val="20"/>
          <w:szCs w:val="20"/>
          <w:rtl w:val="0"/>
          <w:lang w:val="en-US"/>
        </w:rPr>
        <w:t>Brownsword, R. (2019).</w:t>
      </w:r>
      <w:r>
        <w:rPr>
          <w:rFonts w:ascii="Garamond" w:hAnsi="Garamond" w:hint="default"/>
          <w:sz w:val="20"/>
          <w:szCs w:val="20"/>
          <w:rtl w:val="0"/>
          <w:lang w:val="en-US"/>
        </w:rPr>
        <w:t> </w:t>
      </w:r>
      <w:r>
        <w:rPr>
          <w:rFonts w:ascii="Garamond" w:hAnsi="Garamond"/>
          <w:i w:val="1"/>
          <w:iCs w:val="1"/>
          <w:sz w:val="20"/>
          <w:szCs w:val="20"/>
          <w:rtl w:val="0"/>
          <w:lang w:val="en-US"/>
        </w:rPr>
        <w:t>Law, technology and society: reimagining the regulatory environment</w:t>
      </w:r>
      <w:r>
        <w:rPr>
          <w:rFonts w:ascii="Garamond" w:hAnsi="Garamond"/>
          <w:sz w:val="20"/>
          <w:szCs w:val="20"/>
          <w:rtl w:val="0"/>
          <w:lang w:val="en-US"/>
        </w:rPr>
        <w:t xml:space="preserve">. </w:t>
      </w:r>
      <w:r>
        <w:rPr>
          <w:rFonts w:ascii="Garamond" w:hAnsi="Garamond"/>
          <w:sz w:val="20"/>
          <w:szCs w:val="20"/>
          <w:rtl w:val="0"/>
          <w:lang w:val="it-IT"/>
        </w:rPr>
        <w:t>Routledge.</w:t>
      </w:r>
    </w:p>
    <w:p>
      <w:pPr>
        <w:pStyle w:val="List Paragraph"/>
        <w:widowControl w:val="1"/>
        <w:numPr>
          <w:ilvl w:val="0"/>
          <w:numId w:val="2"/>
        </w:numPr>
        <w:bidi w:val="0"/>
        <w:ind w:right="0"/>
        <w:jc w:val="both"/>
        <w:rPr>
          <w:rFonts w:ascii="Garamond" w:hAnsi="Garamond"/>
          <w:sz w:val="20"/>
          <w:szCs w:val="20"/>
          <w:rtl w:val="0"/>
          <w:lang w:val="en-US"/>
        </w:rPr>
      </w:pPr>
      <w:r>
        <w:rPr>
          <w:rFonts w:ascii="Garamond" w:hAnsi="Garamond"/>
          <w:sz w:val="20"/>
          <w:szCs w:val="20"/>
          <w:rtl w:val="0"/>
          <w:lang w:val="en-US"/>
        </w:rPr>
        <w:t xml:space="preserve">Bruno, M., &amp; Lagasio, V. (2021). An overview of the European policies on ESG in the banking sector. </w:t>
      </w:r>
      <w:r>
        <w:rPr>
          <w:rFonts w:ascii="Garamond" w:hAnsi="Garamond"/>
          <w:i w:val="1"/>
          <w:iCs w:val="1"/>
          <w:sz w:val="20"/>
          <w:szCs w:val="20"/>
          <w:rtl w:val="0"/>
          <w:lang w:val="it-IT"/>
        </w:rPr>
        <w:t>Sustainability</w:t>
      </w:r>
      <w:r>
        <w:rPr>
          <w:rFonts w:ascii="Garamond" w:hAnsi="Garamond"/>
          <w:sz w:val="20"/>
          <w:szCs w:val="20"/>
          <w:rtl w:val="0"/>
          <w:lang w:val="it-IT"/>
        </w:rPr>
        <w:t>, 13(22), 12641.</w:t>
      </w:r>
    </w:p>
    <w:p>
      <w:pPr>
        <w:pStyle w:val="List Paragraph"/>
        <w:widowControl w:val="1"/>
        <w:numPr>
          <w:ilvl w:val="0"/>
          <w:numId w:val="2"/>
        </w:numPr>
        <w:bidi w:val="0"/>
        <w:ind w:right="0"/>
        <w:jc w:val="both"/>
        <w:rPr>
          <w:rFonts w:ascii="Garamond" w:hAnsi="Garamond"/>
          <w:sz w:val="20"/>
          <w:szCs w:val="20"/>
          <w:rtl w:val="0"/>
          <w:lang w:val="it-IT"/>
        </w:rPr>
      </w:pPr>
      <w:r>
        <w:rPr>
          <w:rFonts w:ascii="Garamond" w:hAnsi="Garamond"/>
          <w:sz w:val="20"/>
          <w:szCs w:val="20"/>
          <w:rtl w:val="0"/>
          <w:lang w:val="it-IT"/>
        </w:rPr>
        <w:t xml:space="preserve">Blandini, A., Alfano, G., &amp; Cappabianca, P. (2022). </w:t>
      </w:r>
      <w:r>
        <w:rPr>
          <w:rFonts w:ascii="Garamond" w:hAnsi="Garamond"/>
          <w:sz w:val="20"/>
          <w:szCs w:val="20"/>
          <w:rtl w:val="0"/>
          <w:lang w:val="en-US"/>
        </w:rPr>
        <w:t>Greenwashing-related risks: analysis and future perspectives to tackle environmentalism as a form of virtue-signalling.</w:t>
      </w:r>
      <w:r>
        <w:rPr>
          <w:rFonts w:ascii="Garamond" w:hAnsi="Garamond" w:hint="default"/>
          <w:sz w:val="20"/>
          <w:szCs w:val="20"/>
          <w:rtl w:val="0"/>
          <w:lang w:val="en-US"/>
        </w:rPr>
        <w:t> </w:t>
      </w:r>
      <w:r>
        <w:rPr>
          <w:rFonts w:ascii="Garamond" w:hAnsi="Garamond"/>
          <w:i w:val="1"/>
          <w:iCs w:val="1"/>
          <w:sz w:val="20"/>
          <w:szCs w:val="20"/>
          <w:rtl w:val="0"/>
          <w:lang w:val="it-IT"/>
        </w:rPr>
        <w:t>Law and Economics Yearly Review</w:t>
      </w:r>
      <w:r>
        <w:rPr>
          <w:rFonts w:ascii="Garamond" w:hAnsi="Garamond"/>
          <w:sz w:val="20"/>
          <w:szCs w:val="20"/>
          <w:rtl w:val="0"/>
          <w:lang w:val="it-IT"/>
        </w:rPr>
        <w:t>,</w:t>
      </w:r>
      <w:r>
        <w:rPr>
          <w:rFonts w:ascii="Garamond" w:hAnsi="Garamond" w:hint="default"/>
          <w:sz w:val="20"/>
          <w:szCs w:val="20"/>
          <w:rtl w:val="0"/>
          <w:lang w:val="it-IT"/>
        </w:rPr>
        <w:t> </w:t>
      </w:r>
      <w:r>
        <w:rPr>
          <w:rFonts w:ascii="Garamond" w:hAnsi="Garamond"/>
          <w:i w:val="1"/>
          <w:iCs w:val="1"/>
          <w:sz w:val="20"/>
          <w:szCs w:val="20"/>
          <w:rtl w:val="0"/>
          <w:lang w:val="it-IT"/>
        </w:rPr>
        <w:t>11</w:t>
      </w:r>
      <w:r>
        <w:rPr>
          <w:rFonts w:ascii="Garamond" w:hAnsi="Garamond"/>
          <w:sz w:val="20"/>
          <w:szCs w:val="20"/>
          <w:rtl w:val="0"/>
          <w:lang w:val="it-IT"/>
        </w:rPr>
        <w:t>(2).</w:t>
      </w:r>
    </w:p>
    <w:p>
      <w:pPr>
        <w:pStyle w:val="List Paragraph"/>
        <w:widowControl w:val="1"/>
        <w:numPr>
          <w:ilvl w:val="0"/>
          <w:numId w:val="2"/>
        </w:numPr>
        <w:bidi w:val="0"/>
        <w:ind w:right="0"/>
        <w:jc w:val="both"/>
        <w:rPr>
          <w:rFonts w:ascii="Garamond" w:hAnsi="Garamond"/>
          <w:sz w:val="20"/>
          <w:szCs w:val="20"/>
          <w:rtl w:val="0"/>
          <w:lang w:val="en-US"/>
        </w:rPr>
      </w:pPr>
      <w:r>
        <w:rPr>
          <w:rFonts w:ascii="Garamond" w:hAnsi="Garamond"/>
          <w:sz w:val="20"/>
          <w:szCs w:val="20"/>
          <w:rtl w:val="0"/>
          <w:lang w:val="en-US"/>
        </w:rPr>
        <w:t>Bratspies, R. (2015). Do we need a human right to a healthy environment.</w:t>
      </w:r>
      <w:r>
        <w:rPr>
          <w:rFonts w:ascii="Garamond" w:hAnsi="Garamond" w:hint="default"/>
          <w:sz w:val="20"/>
          <w:szCs w:val="20"/>
          <w:rtl w:val="0"/>
          <w:lang w:val="en-US"/>
        </w:rPr>
        <w:t> </w:t>
      </w:r>
      <w:r>
        <w:rPr>
          <w:rFonts w:ascii="Garamond" w:hAnsi="Garamond"/>
          <w:i w:val="1"/>
          <w:iCs w:val="1"/>
          <w:sz w:val="20"/>
          <w:szCs w:val="20"/>
          <w:rtl w:val="0"/>
          <w:lang w:val="it-IT"/>
        </w:rPr>
        <w:t>Santa Clara Journal of International Law</w:t>
      </w:r>
      <w:r>
        <w:rPr>
          <w:rFonts w:ascii="Garamond" w:hAnsi="Garamond"/>
          <w:sz w:val="20"/>
          <w:szCs w:val="20"/>
          <w:rtl w:val="0"/>
          <w:lang w:val="it-IT"/>
        </w:rPr>
        <w:t>,</w:t>
      </w:r>
      <w:r>
        <w:rPr>
          <w:rFonts w:ascii="Garamond" w:hAnsi="Garamond" w:hint="default"/>
          <w:sz w:val="20"/>
          <w:szCs w:val="20"/>
          <w:rtl w:val="0"/>
          <w:lang w:val="it-IT"/>
        </w:rPr>
        <w:t> </w:t>
      </w:r>
      <w:r>
        <w:rPr>
          <w:rFonts w:ascii="Garamond" w:hAnsi="Garamond"/>
          <w:sz w:val="20"/>
          <w:szCs w:val="20"/>
          <w:rtl w:val="0"/>
          <w:lang w:val="it-IT"/>
        </w:rPr>
        <w:t>13(1), 31-69.</w:t>
      </w:r>
    </w:p>
    <w:p>
      <w:pPr>
        <w:pStyle w:val="List Paragraph"/>
        <w:widowControl w:val="1"/>
        <w:numPr>
          <w:ilvl w:val="0"/>
          <w:numId w:val="2"/>
        </w:numPr>
        <w:bidi w:val="0"/>
        <w:spacing w:line="276" w:lineRule="auto"/>
        <w:ind w:right="0"/>
        <w:jc w:val="both"/>
        <w:rPr>
          <w:rFonts w:ascii="Garamond" w:hAnsi="Garamond"/>
          <w:sz w:val="20"/>
          <w:szCs w:val="20"/>
          <w:rtl w:val="0"/>
          <w:lang w:val="en-US"/>
        </w:rPr>
      </w:pPr>
      <w:r>
        <w:rPr>
          <w:rFonts w:ascii="Garamond" w:hAnsi="Garamond"/>
          <w:sz w:val="20"/>
          <w:szCs w:val="20"/>
          <w:rtl w:val="0"/>
          <w:lang w:val="en-US"/>
        </w:rPr>
        <w:t xml:space="preserve">Canale, D., &amp; Tuzet, G. (2010). Inferring the Intention. Or, What Law the Legislature Could Have Intended to Make. </w:t>
      </w:r>
      <w:r>
        <w:rPr>
          <w:rFonts w:ascii="Garamond" w:hAnsi="Garamond"/>
          <w:i w:val="1"/>
          <w:iCs w:val="1"/>
          <w:sz w:val="20"/>
          <w:szCs w:val="20"/>
          <w:rtl w:val="0"/>
          <w:lang w:val="it-IT"/>
        </w:rPr>
        <w:t>Dignitas</w:t>
      </w:r>
      <w:r>
        <w:rPr>
          <w:rFonts w:ascii="Garamond" w:hAnsi="Garamond"/>
          <w:sz w:val="20"/>
          <w:szCs w:val="20"/>
          <w:rtl w:val="0"/>
          <w:lang w:val="it-IT"/>
        </w:rPr>
        <w:t>, (47/48), 254-272.</w:t>
      </w:r>
    </w:p>
    <w:p>
      <w:pPr>
        <w:pStyle w:val="List Paragraph"/>
        <w:widowControl w:val="1"/>
        <w:numPr>
          <w:ilvl w:val="0"/>
          <w:numId w:val="2"/>
        </w:numPr>
        <w:bidi w:val="0"/>
        <w:spacing w:line="276" w:lineRule="auto"/>
        <w:ind w:right="0"/>
        <w:jc w:val="both"/>
        <w:rPr>
          <w:rFonts w:ascii="Garamond" w:hAnsi="Garamond"/>
          <w:sz w:val="20"/>
          <w:szCs w:val="20"/>
          <w:rtl w:val="0"/>
          <w:lang w:val="en-US"/>
        </w:rPr>
      </w:pPr>
      <w:r>
        <w:rPr>
          <w:rFonts w:ascii="Garamond" w:hAnsi="Garamond"/>
          <w:sz w:val="20"/>
          <w:szCs w:val="20"/>
          <w:rtl w:val="0"/>
          <w:lang w:val="en-US"/>
        </w:rPr>
        <w:t>Chen, N., Ribeiro, B., &amp; Chen, A. (2016). Financial credit risk assessment: a recent review.</w:t>
      </w:r>
      <w:r>
        <w:rPr>
          <w:rFonts w:ascii="Garamond" w:hAnsi="Garamond" w:hint="default"/>
          <w:sz w:val="20"/>
          <w:szCs w:val="20"/>
          <w:rtl w:val="0"/>
          <w:lang w:val="en-US"/>
        </w:rPr>
        <w:t> </w:t>
      </w:r>
      <w:r>
        <w:rPr>
          <w:rFonts w:ascii="Garamond" w:hAnsi="Garamond"/>
          <w:i w:val="1"/>
          <w:iCs w:val="1"/>
          <w:sz w:val="20"/>
          <w:szCs w:val="20"/>
          <w:rtl w:val="0"/>
          <w:lang w:val="it-IT"/>
        </w:rPr>
        <w:t>Artificial Intelligence Review</w:t>
      </w:r>
      <w:r>
        <w:rPr>
          <w:rFonts w:ascii="Garamond" w:hAnsi="Garamond"/>
          <w:sz w:val="20"/>
          <w:szCs w:val="20"/>
          <w:rtl w:val="0"/>
          <w:lang w:val="it-IT"/>
        </w:rPr>
        <w:t>,</w:t>
      </w:r>
      <w:r>
        <w:rPr>
          <w:rFonts w:ascii="Garamond" w:hAnsi="Garamond" w:hint="default"/>
          <w:sz w:val="20"/>
          <w:szCs w:val="20"/>
          <w:rtl w:val="0"/>
          <w:lang w:val="it-IT"/>
        </w:rPr>
        <w:t> </w:t>
      </w:r>
      <w:r>
        <w:rPr>
          <w:rFonts w:ascii="Garamond" w:hAnsi="Garamond"/>
          <w:i w:val="1"/>
          <w:iCs w:val="1"/>
          <w:sz w:val="20"/>
          <w:szCs w:val="20"/>
          <w:rtl w:val="0"/>
          <w:lang w:val="it-IT"/>
        </w:rPr>
        <w:t>45</w:t>
      </w:r>
      <w:r>
        <w:rPr>
          <w:rFonts w:ascii="Garamond" w:hAnsi="Garamond"/>
          <w:sz w:val="20"/>
          <w:szCs w:val="20"/>
          <w:rtl w:val="0"/>
          <w:lang w:val="it-IT"/>
        </w:rPr>
        <w:t>, 1-23.</w:t>
      </w:r>
    </w:p>
    <w:p>
      <w:pPr>
        <w:pStyle w:val="List Paragraph"/>
        <w:widowControl w:val="1"/>
        <w:numPr>
          <w:ilvl w:val="0"/>
          <w:numId w:val="2"/>
        </w:numPr>
        <w:bidi w:val="0"/>
        <w:spacing w:line="276" w:lineRule="auto"/>
        <w:ind w:right="0"/>
        <w:jc w:val="both"/>
        <w:rPr>
          <w:rFonts w:ascii="Garamond" w:hAnsi="Garamond"/>
          <w:sz w:val="20"/>
          <w:szCs w:val="20"/>
          <w:rtl w:val="0"/>
          <w:lang w:val="en-US"/>
        </w:rPr>
      </w:pPr>
      <w:r>
        <w:rPr>
          <w:rFonts w:ascii="Garamond" w:hAnsi="Garamond"/>
          <w:sz w:val="20"/>
          <w:szCs w:val="20"/>
          <w:rtl w:val="0"/>
          <w:lang w:val="en-US"/>
        </w:rPr>
        <w:t>Cheong, B. C. (2025). A Theoretical Framework for Transformative Corporate Intergenerational Equity.</w:t>
      </w:r>
      <w:r>
        <w:rPr>
          <w:rFonts w:ascii="Garamond" w:hAnsi="Garamond" w:hint="default"/>
          <w:sz w:val="20"/>
          <w:szCs w:val="20"/>
          <w:rtl w:val="0"/>
          <w:lang w:val="en-US"/>
        </w:rPr>
        <w:t> </w:t>
      </w:r>
      <w:r>
        <w:rPr>
          <w:rFonts w:ascii="Garamond" w:hAnsi="Garamond"/>
          <w:i w:val="1"/>
          <w:iCs w:val="1"/>
          <w:sz w:val="20"/>
          <w:szCs w:val="20"/>
          <w:rtl w:val="0"/>
          <w:lang w:val="it-IT"/>
        </w:rPr>
        <w:t>Journal of Environmental Law</w:t>
      </w:r>
      <w:r>
        <w:rPr>
          <w:rFonts w:ascii="Garamond" w:hAnsi="Garamond"/>
          <w:sz w:val="20"/>
          <w:szCs w:val="20"/>
          <w:rtl w:val="0"/>
          <w:lang w:val="it-IT"/>
        </w:rPr>
        <w:t>, eqae033, 1-28.</w:t>
      </w:r>
    </w:p>
    <w:p>
      <w:pPr>
        <w:pStyle w:val="List Paragraph"/>
        <w:widowControl w:val="1"/>
        <w:numPr>
          <w:ilvl w:val="0"/>
          <w:numId w:val="2"/>
        </w:numPr>
        <w:bidi w:val="0"/>
        <w:spacing w:line="276" w:lineRule="auto"/>
        <w:ind w:right="0"/>
        <w:jc w:val="both"/>
        <w:rPr>
          <w:rFonts w:ascii="Garamond" w:hAnsi="Garamond"/>
          <w:sz w:val="20"/>
          <w:szCs w:val="20"/>
          <w:rtl w:val="0"/>
          <w:lang w:val="en-US"/>
        </w:rPr>
      </w:pPr>
      <w:r>
        <w:rPr>
          <w:rFonts w:ascii="Garamond" w:hAnsi="Garamond"/>
          <w:sz w:val="20"/>
          <w:szCs w:val="20"/>
          <w:rtl w:val="0"/>
          <w:lang w:val="en-US"/>
        </w:rPr>
        <w:t>Chuang, M., Chuang, G., Chuang, C., &amp; Chuang, J. (2025). Judging It, Washing It: Scoring and Greenwashing Corporate Climate Disclosures using Large Language Models.</w:t>
      </w:r>
      <w:r>
        <w:rPr>
          <w:rFonts w:ascii="Garamond" w:hAnsi="Garamond" w:hint="default"/>
          <w:sz w:val="20"/>
          <w:szCs w:val="20"/>
          <w:rtl w:val="0"/>
          <w:lang w:val="en-US"/>
        </w:rPr>
        <w:t> </w:t>
      </w:r>
      <w:r>
        <w:rPr>
          <w:rFonts w:ascii="Garamond" w:hAnsi="Garamond"/>
          <w:i w:val="1"/>
          <w:iCs w:val="1"/>
          <w:sz w:val="20"/>
          <w:szCs w:val="20"/>
          <w:rtl w:val="0"/>
          <w:lang w:val="en-US"/>
        </w:rPr>
        <w:t>arXiv preprint arXiv:2502.15094</w:t>
      </w:r>
      <w:r>
        <w:rPr>
          <w:rFonts w:ascii="Garamond" w:hAnsi="Garamond"/>
          <w:sz w:val="20"/>
          <w:szCs w:val="20"/>
          <w:rtl w:val="0"/>
          <w:lang w:val="en-US"/>
        </w:rPr>
        <w:t>.</w:t>
      </w:r>
    </w:p>
    <w:p>
      <w:pPr>
        <w:pStyle w:val="List Paragraph"/>
        <w:widowControl w:val="1"/>
        <w:numPr>
          <w:ilvl w:val="0"/>
          <w:numId w:val="2"/>
        </w:numPr>
        <w:bidi w:val="0"/>
        <w:spacing w:line="276" w:lineRule="auto"/>
        <w:ind w:right="0"/>
        <w:jc w:val="both"/>
        <w:rPr>
          <w:rFonts w:ascii="Garamond" w:hAnsi="Garamond"/>
          <w:sz w:val="20"/>
          <w:szCs w:val="20"/>
          <w:rtl w:val="0"/>
          <w:lang w:val="en-US"/>
        </w:rPr>
      </w:pPr>
      <w:r>
        <w:rPr>
          <w:rFonts w:ascii="Garamond" w:hAnsi="Garamond"/>
          <w:sz w:val="20"/>
          <w:szCs w:val="20"/>
          <w:rtl w:val="0"/>
          <w:lang w:val="en-US"/>
        </w:rPr>
        <w:t>Cl</w:t>
      </w:r>
      <w:r>
        <w:rPr>
          <w:rFonts w:ascii="Garamond" w:hAnsi="Garamond" w:hint="default"/>
          <w:sz w:val="20"/>
          <w:szCs w:val="20"/>
          <w:rtl w:val="0"/>
          <w:lang w:val="en-US"/>
        </w:rPr>
        <w:t>é</w:t>
      </w:r>
      <w:r>
        <w:rPr>
          <w:rFonts w:ascii="Garamond" w:hAnsi="Garamond"/>
          <w:sz w:val="20"/>
          <w:szCs w:val="20"/>
          <w:rtl w:val="0"/>
          <w:lang w:val="en-US"/>
        </w:rPr>
        <w:t xml:space="preserve">ment, A., Robinot, </w:t>
      </w:r>
      <w:r>
        <w:rPr>
          <w:rFonts w:ascii="Garamond" w:hAnsi="Garamond" w:hint="default"/>
          <w:sz w:val="20"/>
          <w:szCs w:val="20"/>
          <w:rtl w:val="0"/>
          <w:lang w:val="en-US"/>
        </w:rPr>
        <w:t>É</w:t>
      </w:r>
      <w:r>
        <w:rPr>
          <w:rFonts w:ascii="Garamond" w:hAnsi="Garamond"/>
          <w:sz w:val="20"/>
          <w:szCs w:val="20"/>
          <w:rtl w:val="0"/>
          <w:lang w:val="en-US"/>
        </w:rPr>
        <w:t>., &amp; Trespeuch, L. (2022). Improving ESG scores with sustainability concepts.</w:t>
      </w:r>
      <w:r>
        <w:rPr>
          <w:rFonts w:ascii="Garamond" w:hAnsi="Garamond" w:hint="default"/>
          <w:sz w:val="20"/>
          <w:szCs w:val="20"/>
          <w:rtl w:val="0"/>
          <w:lang w:val="en-US"/>
        </w:rPr>
        <w:t> </w:t>
      </w:r>
      <w:r>
        <w:rPr>
          <w:rFonts w:ascii="Garamond" w:hAnsi="Garamond"/>
          <w:i w:val="1"/>
          <w:iCs w:val="1"/>
          <w:sz w:val="20"/>
          <w:szCs w:val="20"/>
          <w:rtl w:val="0"/>
          <w:lang w:val="it-IT"/>
        </w:rPr>
        <w:t>Sustainability</w:t>
      </w:r>
      <w:r>
        <w:rPr>
          <w:rFonts w:ascii="Garamond" w:hAnsi="Garamond"/>
          <w:sz w:val="20"/>
          <w:szCs w:val="20"/>
          <w:rtl w:val="0"/>
          <w:lang w:val="it-IT"/>
        </w:rPr>
        <w:t>,</w:t>
      </w:r>
      <w:r>
        <w:rPr>
          <w:rFonts w:ascii="Garamond" w:hAnsi="Garamond" w:hint="default"/>
          <w:sz w:val="20"/>
          <w:szCs w:val="20"/>
          <w:rtl w:val="0"/>
          <w:lang w:val="it-IT"/>
        </w:rPr>
        <w:t> </w:t>
      </w:r>
      <w:r>
        <w:rPr>
          <w:rFonts w:ascii="Garamond" w:hAnsi="Garamond"/>
          <w:i w:val="1"/>
          <w:iCs w:val="1"/>
          <w:sz w:val="20"/>
          <w:szCs w:val="20"/>
          <w:rtl w:val="0"/>
          <w:lang w:val="it-IT"/>
        </w:rPr>
        <w:t>14</w:t>
      </w:r>
      <w:r>
        <w:rPr>
          <w:rFonts w:ascii="Garamond" w:hAnsi="Garamond"/>
          <w:sz w:val="20"/>
          <w:szCs w:val="20"/>
          <w:rtl w:val="0"/>
          <w:lang w:val="it-IT"/>
        </w:rPr>
        <w:t>(20), 13154.</w:t>
      </w:r>
    </w:p>
    <w:p>
      <w:pPr>
        <w:pStyle w:val="List Paragraph"/>
        <w:widowControl w:val="1"/>
        <w:numPr>
          <w:ilvl w:val="0"/>
          <w:numId w:val="2"/>
        </w:numPr>
        <w:bidi w:val="0"/>
        <w:spacing w:line="276" w:lineRule="auto"/>
        <w:ind w:right="0"/>
        <w:jc w:val="both"/>
        <w:rPr>
          <w:rFonts w:ascii="Garamond" w:hAnsi="Garamond"/>
          <w:sz w:val="20"/>
          <w:szCs w:val="20"/>
          <w:rtl w:val="0"/>
          <w:lang w:val="it-IT"/>
        </w:rPr>
      </w:pPr>
      <w:r>
        <w:rPr>
          <w:rFonts w:ascii="Garamond" w:hAnsi="Garamond"/>
          <w:sz w:val="20"/>
          <w:szCs w:val="20"/>
          <w:rtl w:val="0"/>
          <w:lang w:val="it-IT"/>
        </w:rPr>
        <w:t xml:space="preserve">Conti, L. G., &amp; Seele, P. (2025). </w:t>
      </w:r>
      <w:r>
        <w:rPr>
          <w:rFonts w:ascii="Garamond" w:hAnsi="Garamond"/>
          <w:sz w:val="20"/>
          <w:szCs w:val="20"/>
          <w:rtl w:val="0"/>
          <w:lang w:val="en-US"/>
        </w:rPr>
        <w:t>The new greenlash: from greenwashing and sustainability inflation to the sustainability backlash</w:t>
      </w:r>
      <w:r>
        <w:rPr>
          <w:rFonts w:ascii="Garamond" w:hAnsi="Garamond" w:hint="default"/>
          <w:sz w:val="20"/>
          <w:szCs w:val="20"/>
          <w:rtl w:val="0"/>
          <w:lang w:val="en-US"/>
        </w:rPr>
        <w:t>—</w:t>
      </w:r>
      <w:r>
        <w:rPr>
          <w:rFonts w:ascii="Garamond" w:hAnsi="Garamond"/>
          <w:sz w:val="20"/>
          <w:szCs w:val="20"/>
          <w:rtl w:val="0"/>
          <w:lang w:val="en-US"/>
        </w:rPr>
        <w:t xml:space="preserve">and how to tackle it. </w:t>
      </w:r>
      <w:r>
        <w:rPr>
          <w:rFonts w:ascii="Garamond" w:hAnsi="Garamond"/>
          <w:i w:val="1"/>
          <w:iCs w:val="1"/>
          <w:sz w:val="20"/>
          <w:szCs w:val="20"/>
          <w:rtl w:val="0"/>
          <w:lang w:val="it-IT"/>
        </w:rPr>
        <w:t>Discover Sustainability</w:t>
      </w:r>
      <w:r>
        <w:rPr>
          <w:rFonts w:ascii="Garamond" w:hAnsi="Garamond"/>
          <w:sz w:val="20"/>
          <w:szCs w:val="20"/>
          <w:rtl w:val="0"/>
          <w:lang w:val="it-IT"/>
        </w:rPr>
        <w:t>, 6(1), 296.</w:t>
      </w:r>
    </w:p>
    <w:p>
      <w:pPr>
        <w:pStyle w:val="List Paragraph"/>
        <w:widowControl w:val="1"/>
        <w:numPr>
          <w:ilvl w:val="0"/>
          <w:numId w:val="2"/>
        </w:numPr>
        <w:bidi w:val="0"/>
        <w:spacing w:line="276" w:lineRule="auto"/>
        <w:ind w:right="0"/>
        <w:jc w:val="both"/>
        <w:rPr>
          <w:rFonts w:ascii="Garamond" w:hAnsi="Garamond"/>
          <w:sz w:val="20"/>
          <w:szCs w:val="20"/>
          <w:rtl w:val="0"/>
          <w:lang w:val="en-US"/>
        </w:rPr>
      </w:pPr>
      <w:r>
        <w:rPr>
          <w:rFonts w:ascii="Garamond" w:hAnsi="Garamond"/>
          <w:sz w:val="20"/>
          <w:szCs w:val="20"/>
          <w:rtl w:val="0"/>
          <w:lang w:val="en-US"/>
        </w:rPr>
        <w:t xml:space="preserve">Dathe, T., Helmold, M., Dathe, R., &amp; Dathe, I. (2024). ESG Reporting Rules. In Implementing Environmental, Social and Governance (ESG) Principles for Sustainable Businesses: A Practical Guide in Sustainability Management (pp. 147-158). </w:t>
      </w:r>
      <w:r>
        <w:rPr>
          <w:rFonts w:ascii="Garamond" w:hAnsi="Garamond"/>
          <w:sz w:val="20"/>
          <w:szCs w:val="20"/>
          <w:rtl w:val="0"/>
          <w:lang w:val="it-IT"/>
        </w:rPr>
        <w:t>Cham: Springer International Publishing.</w:t>
      </w:r>
    </w:p>
    <w:p>
      <w:pPr>
        <w:pStyle w:val="List Paragraph"/>
        <w:widowControl w:val="1"/>
        <w:numPr>
          <w:ilvl w:val="0"/>
          <w:numId w:val="2"/>
        </w:numPr>
        <w:bidi w:val="0"/>
        <w:spacing w:line="276" w:lineRule="auto"/>
        <w:ind w:right="0"/>
        <w:jc w:val="both"/>
        <w:rPr>
          <w:rFonts w:ascii="Garamond" w:hAnsi="Garamond"/>
          <w:sz w:val="20"/>
          <w:szCs w:val="20"/>
          <w:rtl w:val="0"/>
          <w:lang w:val="en-US"/>
        </w:rPr>
      </w:pPr>
      <w:r>
        <w:rPr>
          <w:rFonts w:ascii="Garamond" w:hAnsi="Garamond"/>
          <w:sz w:val="20"/>
          <w:szCs w:val="20"/>
          <w:rtl w:val="0"/>
          <w:lang w:val="en-US"/>
        </w:rPr>
        <w:t>Davenport, M. J. (2025). Enhancing Legal Document Analysis with Large Language Models: A Structured Approach to Accuracy, Context Preservation, and Risk Mitigation.</w:t>
      </w:r>
      <w:r>
        <w:rPr>
          <w:rFonts w:ascii="Garamond" w:hAnsi="Garamond" w:hint="default"/>
          <w:sz w:val="20"/>
          <w:szCs w:val="20"/>
          <w:rtl w:val="0"/>
          <w:lang w:val="en-US"/>
        </w:rPr>
        <w:t> </w:t>
      </w:r>
      <w:r>
        <w:rPr>
          <w:rFonts w:ascii="Garamond" w:hAnsi="Garamond"/>
          <w:i w:val="1"/>
          <w:iCs w:val="1"/>
          <w:sz w:val="20"/>
          <w:szCs w:val="20"/>
          <w:rtl w:val="0"/>
          <w:lang w:val="it-IT"/>
        </w:rPr>
        <w:t>Open Journal of Modern Linguistics</w:t>
      </w:r>
      <w:r>
        <w:rPr>
          <w:rFonts w:ascii="Garamond" w:hAnsi="Garamond"/>
          <w:sz w:val="20"/>
          <w:szCs w:val="20"/>
          <w:rtl w:val="0"/>
          <w:lang w:val="it-IT"/>
        </w:rPr>
        <w:t>,</w:t>
      </w:r>
      <w:r>
        <w:rPr>
          <w:rFonts w:ascii="Garamond" w:hAnsi="Garamond" w:hint="default"/>
          <w:sz w:val="20"/>
          <w:szCs w:val="20"/>
          <w:rtl w:val="0"/>
          <w:lang w:val="it-IT"/>
        </w:rPr>
        <w:t> </w:t>
      </w:r>
      <w:r>
        <w:rPr>
          <w:rFonts w:ascii="Garamond" w:hAnsi="Garamond"/>
          <w:i w:val="1"/>
          <w:iCs w:val="1"/>
          <w:sz w:val="20"/>
          <w:szCs w:val="20"/>
          <w:rtl w:val="0"/>
          <w:lang w:val="it-IT"/>
        </w:rPr>
        <w:t>15</w:t>
      </w:r>
      <w:r>
        <w:rPr>
          <w:rFonts w:ascii="Garamond" w:hAnsi="Garamond"/>
          <w:sz w:val="20"/>
          <w:szCs w:val="20"/>
          <w:rtl w:val="0"/>
          <w:lang w:val="it-IT"/>
        </w:rPr>
        <w:t>(2), 232-280.</w:t>
      </w:r>
    </w:p>
    <w:p>
      <w:pPr>
        <w:pStyle w:val="List Paragraph"/>
        <w:widowControl w:val="1"/>
        <w:numPr>
          <w:ilvl w:val="0"/>
          <w:numId w:val="2"/>
        </w:numPr>
        <w:bidi w:val="0"/>
        <w:spacing w:line="276" w:lineRule="auto"/>
        <w:ind w:right="0"/>
        <w:jc w:val="both"/>
        <w:rPr>
          <w:rFonts w:ascii="Garamond" w:hAnsi="Garamond"/>
          <w:sz w:val="20"/>
          <w:szCs w:val="20"/>
          <w:rtl w:val="0"/>
          <w:lang w:val="en-US"/>
        </w:rPr>
      </w:pPr>
      <w:r>
        <w:rPr>
          <w:rFonts w:ascii="Garamond" w:hAnsi="Garamond"/>
          <w:sz w:val="20"/>
          <w:szCs w:val="20"/>
          <w:rtl w:val="0"/>
          <w:lang w:val="en-US"/>
        </w:rPr>
        <w:t xml:space="preserve">De Conca, S. (2022). </w:t>
      </w:r>
      <w:r>
        <w:rPr>
          <w:rFonts w:ascii="Garamond" w:hAnsi="Garamond"/>
          <w:i w:val="1"/>
          <w:iCs w:val="1"/>
          <w:sz w:val="20"/>
          <w:szCs w:val="20"/>
          <w:rtl w:val="0"/>
          <w:lang w:val="en-US"/>
        </w:rPr>
        <w:t>Bridging the liability gaps: Why AI challenges the existing rules on liability and how to design human-empowering solutions</w:t>
      </w:r>
      <w:r>
        <w:rPr>
          <w:rFonts w:ascii="Garamond" w:hAnsi="Garamond"/>
          <w:sz w:val="20"/>
          <w:szCs w:val="20"/>
          <w:rtl w:val="0"/>
          <w:lang w:val="en-US"/>
        </w:rPr>
        <w:t xml:space="preserve">. In Fosch-Villaronga, E., &amp; Custers, B. (Eds.). </w:t>
      </w:r>
      <w:r>
        <w:rPr>
          <w:rFonts w:ascii="Garamond" w:hAnsi="Garamond"/>
          <w:i w:val="1"/>
          <w:iCs w:val="1"/>
          <w:sz w:val="20"/>
          <w:szCs w:val="20"/>
          <w:rtl w:val="0"/>
          <w:lang w:val="en-US"/>
        </w:rPr>
        <w:t>Law and Artificial Intelligence: Regulating AI and Applying AI in Legal Practice</w:t>
      </w:r>
      <w:r>
        <w:rPr>
          <w:rFonts w:ascii="Garamond" w:hAnsi="Garamond"/>
          <w:sz w:val="20"/>
          <w:szCs w:val="20"/>
          <w:rtl w:val="0"/>
          <w:lang w:val="en-US"/>
        </w:rPr>
        <w:t xml:space="preserve"> (pp. 239-258). </w:t>
      </w:r>
      <w:r>
        <w:rPr>
          <w:rFonts w:ascii="Garamond" w:hAnsi="Garamond"/>
          <w:sz w:val="20"/>
          <w:szCs w:val="20"/>
          <w:rtl w:val="0"/>
          <w:lang w:val="it-IT"/>
        </w:rPr>
        <w:t>The Hague: TMC Asser Press.</w:t>
      </w:r>
    </w:p>
    <w:p>
      <w:pPr>
        <w:pStyle w:val="List Paragraph"/>
        <w:widowControl w:val="1"/>
        <w:numPr>
          <w:ilvl w:val="0"/>
          <w:numId w:val="2"/>
        </w:numPr>
        <w:bidi w:val="0"/>
        <w:spacing w:line="276" w:lineRule="auto"/>
        <w:ind w:right="0"/>
        <w:jc w:val="both"/>
        <w:rPr>
          <w:rFonts w:ascii="Garamond" w:hAnsi="Garamond"/>
          <w:sz w:val="20"/>
          <w:szCs w:val="20"/>
          <w:rtl w:val="0"/>
          <w:lang w:val="en-US"/>
        </w:rPr>
      </w:pPr>
      <w:r>
        <w:rPr>
          <w:rFonts w:ascii="Garamond" w:hAnsi="Garamond"/>
          <w:sz w:val="20"/>
          <w:szCs w:val="20"/>
          <w:rtl w:val="0"/>
          <w:lang w:val="en-US"/>
        </w:rPr>
        <w:t>de Freitas Netto, S. V., Sobral, M. F. F., Ribeiro, A. R. B., &amp; Soares, G. R. D. L. (2020). Concepts and forms of greenwashing: A systematic review.</w:t>
      </w:r>
      <w:r>
        <w:rPr>
          <w:rFonts w:ascii="Garamond" w:hAnsi="Garamond" w:hint="default"/>
          <w:sz w:val="20"/>
          <w:szCs w:val="20"/>
          <w:rtl w:val="0"/>
          <w:lang w:val="en-US"/>
        </w:rPr>
        <w:t> </w:t>
      </w:r>
      <w:r>
        <w:rPr>
          <w:rFonts w:ascii="Garamond" w:hAnsi="Garamond"/>
          <w:i w:val="1"/>
          <w:iCs w:val="1"/>
          <w:sz w:val="20"/>
          <w:szCs w:val="20"/>
          <w:rtl w:val="0"/>
          <w:lang w:val="it-IT"/>
        </w:rPr>
        <w:t>Environmental Sciences Europe</w:t>
      </w:r>
      <w:r>
        <w:rPr>
          <w:rFonts w:ascii="Garamond" w:hAnsi="Garamond"/>
          <w:sz w:val="20"/>
          <w:szCs w:val="20"/>
          <w:rtl w:val="0"/>
          <w:lang w:val="it-IT"/>
        </w:rPr>
        <w:t>,</w:t>
      </w:r>
      <w:r>
        <w:rPr>
          <w:rFonts w:ascii="Garamond" w:hAnsi="Garamond" w:hint="default"/>
          <w:sz w:val="20"/>
          <w:szCs w:val="20"/>
          <w:rtl w:val="0"/>
          <w:lang w:val="it-IT"/>
        </w:rPr>
        <w:t> </w:t>
      </w:r>
      <w:r>
        <w:rPr>
          <w:rFonts w:ascii="Garamond" w:hAnsi="Garamond"/>
          <w:i w:val="1"/>
          <w:iCs w:val="1"/>
          <w:sz w:val="20"/>
          <w:szCs w:val="20"/>
          <w:rtl w:val="0"/>
          <w:lang w:val="it-IT"/>
        </w:rPr>
        <w:t>32</w:t>
      </w:r>
      <w:r>
        <w:rPr>
          <w:rFonts w:ascii="Garamond" w:hAnsi="Garamond"/>
          <w:sz w:val="20"/>
          <w:szCs w:val="20"/>
          <w:rtl w:val="0"/>
          <w:lang w:val="it-IT"/>
        </w:rPr>
        <w:t>, 1-12.</w:t>
      </w:r>
    </w:p>
    <w:p>
      <w:pPr>
        <w:pStyle w:val="List Paragraph"/>
        <w:widowControl w:val="1"/>
        <w:numPr>
          <w:ilvl w:val="0"/>
          <w:numId w:val="2"/>
        </w:numPr>
        <w:bidi w:val="0"/>
        <w:spacing w:line="276" w:lineRule="auto"/>
        <w:ind w:right="0"/>
        <w:jc w:val="both"/>
        <w:rPr>
          <w:rFonts w:ascii="Garamond" w:hAnsi="Garamond"/>
          <w:sz w:val="20"/>
          <w:szCs w:val="20"/>
          <w:rtl w:val="0"/>
          <w:lang w:val="fr-FR"/>
        </w:rPr>
      </w:pPr>
      <w:r>
        <w:rPr>
          <w:rFonts w:ascii="Garamond" w:hAnsi="Garamond"/>
          <w:sz w:val="20"/>
          <w:szCs w:val="20"/>
          <w:rtl w:val="0"/>
          <w:lang w:val="fr-FR"/>
        </w:rPr>
        <w:t>de Larrag</w:t>
      </w:r>
      <w:r>
        <w:rPr>
          <w:rFonts w:ascii="Garamond" w:hAnsi="Garamond" w:hint="default"/>
          <w:sz w:val="20"/>
          <w:szCs w:val="20"/>
          <w:rtl w:val="0"/>
          <w:lang w:val="fr-FR"/>
        </w:rPr>
        <w:t>á</w:t>
      </w:r>
      <w:r>
        <w:rPr>
          <w:rFonts w:ascii="Garamond" w:hAnsi="Garamond"/>
          <w:sz w:val="20"/>
          <w:szCs w:val="20"/>
          <w:rtl w:val="0"/>
          <w:lang w:val="fr-FR"/>
        </w:rPr>
        <w:t xml:space="preserve">n, J. D. C. (2011). </w:t>
      </w:r>
      <w:r>
        <w:rPr>
          <w:rFonts w:ascii="Garamond" w:hAnsi="Garamond"/>
          <w:i w:val="1"/>
          <w:iCs w:val="1"/>
          <w:sz w:val="20"/>
          <w:szCs w:val="20"/>
          <w:rtl w:val="0"/>
          <w:lang w:val="en-US"/>
        </w:rPr>
        <w:t>Liability of member states and the EU in view of the international climate change framework: Between solidarity and responsibility</w:t>
      </w:r>
      <w:r>
        <w:rPr>
          <w:rFonts w:ascii="Garamond" w:hAnsi="Garamond"/>
          <w:sz w:val="20"/>
          <w:szCs w:val="20"/>
          <w:rtl w:val="0"/>
          <w:lang w:val="en-US"/>
        </w:rPr>
        <w:t xml:space="preserve">. In Faure, M., &amp; Peeters, M. (Eds.). </w:t>
      </w:r>
      <w:r>
        <w:rPr>
          <w:rFonts w:ascii="Garamond" w:hAnsi="Garamond"/>
          <w:i w:val="1"/>
          <w:iCs w:val="1"/>
          <w:sz w:val="20"/>
          <w:szCs w:val="20"/>
          <w:rtl w:val="0"/>
          <w:lang w:val="en-US"/>
        </w:rPr>
        <w:t xml:space="preserve">Climate Change Liability </w:t>
      </w:r>
      <w:r>
        <w:rPr>
          <w:rFonts w:ascii="Garamond" w:hAnsi="Garamond"/>
          <w:sz w:val="20"/>
          <w:szCs w:val="20"/>
          <w:rtl w:val="0"/>
          <w:lang w:val="en-US"/>
        </w:rPr>
        <w:t xml:space="preserve">(pp. 55-. </w:t>
      </w:r>
      <w:r>
        <w:rPr>
          <w:rFonts w:ascii="Garamond" w:hAnsi="Garamond"/>
          <w:sz w:val="20"/>
          <w:szCs w:val="20"/>
          <w:rtl w:val="0"/>
          <w:lang w:val="it-IT"/>
        </w:rPr>
        <w:t>Edward Elgar Publishing.</w:t>
      </w:r>
    </w:p>
    <w:p>
      <w:pPr>
        <w:pStyle w:val="List Paragraph"/>
        <w:widowControl w:val="1"/>
        <w:numPr>
          <w:ilvl w:val="0"/>
          <w:numId w:val="2"/>
        </w:numPr>
        <w:bidi w:val="0"/>
        <w:spacing w:line="276" w:lineRule="auto"/>
        <w:ind w:right="0"/>
        <w:jc w:val="both"/>
        <w:rPr>
          <w:rFonts w:ascii="Garamond" w:hAnsi="Garamond"/>
          <w:sz w:val="20"/>
          <w:szCs w:val="20"/>
          <w:rtl w:val="0"/>
          <w:lang w:val="en-US"/>
        </w:rPr>
      </w:pPr>
      <w:r>
        <w:rPr>
          <w:rFonts w:ascii="Garamond" w:hAnsi="Garamond"/>
          <w:sz w:val="20"/>
          <w:szCs w:val="20"/>
          <w:rtl w:val="0"/>
          <w:lang w:val="en-US"/>
        </w:rPr>
        <w:t>de Oliveira Neves, R. (2022). The EU taxonomy regulation and its implications for companies. In</w:t>
      </w:r>
      <w:r>
        <w:rPr>
          <w:rFonts w:ascii="Garamond" w:hAnsi="Garamond" w:hint="default"/>
          <w:sz w:val="20"/>
          <w:szCs w:val="20"/>
          <w:rtl w:val="0"/>
          <w:lang w:val="en-US"/>
        </w:rPr>
        <w:t> </w:t>
      </w:r>
      <w:r>
        <w:rPr>
          <w:rFonts w:ascii="Garamond" w:hAnsi="Garamond"/>
          <w:sz w:val="20"/>
          <w:szCs w:val="20"/>
          <w:rtl w:val="0"/>
          <w:lang w:val="en-US"/>
        </w:rPr>
        <w:t>Morais, F., &amp; C</w:t>
      </w:r>
      <w:r>
        <w:rPr>
          <w:rFonts w:ascii="Garamond" w:hAnsi="Garamond" w:hint="default"/>
          <w:sz w:val="20"/>
          <w:szCs w:val="20"/>
          <w:rtl w:val="0"/>
          <w:lang w:val="en-US"/>
        </w:rPr>
        <w:t>â</w:t>
      </w:r>
      <w:r>
        <w:rPr>
          <w:rFonts w:ascii="Garamond" w:hAnsi="Garamond"/>
          <w:sz w:val="20"/>
          <w:szCs w:val="20"/>
          <w:rtl w:val="0"/>
          <w:lang w:val="en-US"/>
        </w:rPr>
        <w:t xml:space="preserve">mara, P. (Eds.). </w:t>
      </w:r>
      <w:r>
        <w:rPr>
          <w:rFonts w:ascii="Garamond" w:hAnsi="Garamond"/>
          <w:i w:val="1"/>
          <w:iCs w:val="1"/>
          <w:sz w:val="20"/>
          <w:szCs w:val="20"/>
          <w:rtl w:val="0"/>
          <w:lang w:val="en-US"/>
        </w:rPr>
        <w:t>The Palgrave handbook of ESG and corporate governance</w:t>
      </w:r>
      <w:r>
        <w:rPr>
          <w:rFonts w:ascii="Garamond" w:hAnsi="Garamond" w:hint="default"/>
          <w:sz w:val="20"/>
          <w:szCs w:val="20"/>
          <w:rtl w:val="0"/>
          <w:lang w:val="en-US"/>
        </w:rPr>
        <w:t> </w:t>
      </w:r>
      <w:r>
        <w:rPr>
          <w:rFonts w:ascii="Garamond" w:hAnsi="Garamond"/>
          <w:sz w:val="20"/>
          <w:szCs w:val="20"/>
          <w:rtl w:val="0"/>
          <w:lang w:val="en-US"/>
        </w:rPr>
        <w:t xml:space="preserve">(pp. 249-265). </w:t>
      </w:r>
      <w:r>
        <w:rPr>
          <w:rFonts w:ascii="Garamond" w:hAnsi="Garamond"/>
          <w:sz w:val="20"/>
          <w:szCs w:val="20"/>
          <w:rtl w:val="0"/>
          <w:lang w:val="it-IT"/>
        </w:rPr>
        <w:t>Cham: Springer International Publishing.</w:t>
      </w:r>
    </w:p>
    <w:p>
      <w:pPr>
        <w:pStyle w:val="List Paragraph"/>
        <w:widowControl w:val="1"/>
        <w:numPr>
          <w:ilvl w:val="0"/>
          <w:numId w:val="2"/>
        </w:numPr>
        <w:bidi w:val="0"/>
        <w:spacing w:line="276" w:lineRule="auto"/>
        <w:ind w:right="0"/>
        <w:jc w:val="both"/>
        <w:rPr>
          <w:rFonts w:ascii="Garamond" w:hAnsi="Garamond"/>
          <w:sz w:val="20"/>
          <w:szCs w:val="20"/>
          <w:rtl w:val="0"/>
          <w:lang w:val="en-US"/>
        </w:rPr>
      </w:pPr>
      <w:r>
        <w:rPr>
          <w:rFonts w:ascii="Garamond" w:hAnsi="Garamond"/>
          <w:sz w:val="20"/>
          <w:szCs w:val="20"/>
          <w:rtl w:val="0"/>
          <w:lang w:val="en-US"/>
        </w:rPr>
        <w:t>Del Sarto, N. (2025). The Evolution of Sustainability: From CSR to Sustainable Finance. In</w:t>
      </w:r>
      <w:r>
        <w:rPr>
          <w:rFonts w:ascii="Garamond" w:hAnsi="Garamond" w:hint="default"/>
          <w:sz w:val="20"/>
          <w:szCs w:val="20"/>
          <w:rtl w:val="0"/>
          <w:lang w:val="en-US"/>
        </w:rPr>
        <w:t> </w:t>
      </w:r>
      <w:r>
        <w:rPr>
          <w:rFonts w:ascii="Garamond" w:hAnsi="Garamond"/>
          <w:sz w:val="20"/>
          <w:szCs w:val="20"/>
          <w:rtl w:val="0"/>
          <w:lang w:val="en-US"/>
        </w:rPr>
        <w:t xml:space="preserve">Del Sarto, N. (Ed.). </w:t>
      </w:r>
      <w:r>
        <w:rPr>
          <w:rFonts w:ascii="Garamond" w:hAnsi="Garamond"/>
          <w:i w:val="1"/>
          <w:iCs w:val="1"/>
          <w:sz w:val="20"/>
          <w:szCs w:val="20"/>
          <w:rtl w:val="0"/>
          <w:lang w:val="en-US"/>
        </w:rPr>
        <w:t>ESG Factors and Financial Outcomes in Banks: Quantitative Insights into the ESG-Cost of Debt Relationship</w:t>
      </w:r>
      <w:r>
        <w:rPr>
          <w:rFonts w:ascii="Garamond" w:hAnsi="Garamond" w:hint="default"/>
          <w:sz w:val="20"/>
          <w:szCs w:val="20"/>
          <w:rtl w:val="0"/>
          <w:lang w:val="en-US"/>
        </w:rPr>
        <w:t> </w:t>
      </w:r>
      <w:r>
        <w:rPr>
          <w:rFonts w:ascii="Garamond" w:hAnsi="Garamond"/>
          <w:sz w:val="20"/>
          <w:szCs w:val="20"/>
          <w:rtl w:val="0"/>
          <w:lang w:val="en-US"/>
        </w:rPr>
        <w:t xml:space="preserve">(pp. 1-59). </w:t>
      </w:r>
      <w:r>
        <w:rPr>
          <w:rFonts w:ascii="Garamond" w:hAnsi="Garamond"/>
          <w:sz w:val="20"/>
          <w:szCs w:val="20"/>
          <w:rtl w:val="0"/>
          <w:lang w:val="it-IT"/>
        </w:rPr>
        <w:t>Cham: Springer Nature Switzerland.</w:t>
      </w:r>
    </w:p>
    <w:p>
      <w:pPr>
        <w:pStyle w:val="List Paragraph"/>
        <w:widowControl w:val="1"/>
        <w:numPr>
          <w:ilvl w:val="0"/>
          <w:numId w:val="2"/>
        </w:numPr>
        <w:bidi w:val="0"/>
        <w:spacing w:line="276" w:lineRule="auto"/>
        <w:ind w:right="0"/>
        <w:jc w:val="both"/>
        <w:rPr>
          <w:rFonts w:ascii="Garamond" w:hAnsi="Garamond"/>
          <w:sz w:val="20"/>
          <w:szCs w:val="20"/>
          <w:rtl w:val="0"/>
          <w:lang w:val="en-US"/>
        </w:rPr>
      </w:pPr>
      <w:r>
        <w:rPr>
          <w:rFonts w:ascii="Garamond" w:hAnsi="Garamond"/>
          <w:sz w:val="20"/>
          <w:szCs w:val="20"/>
          <w:rtl w:val="0"/>
          <w:lang w:val="en-US"/>
        </w:rPr>
        <w:t>Delgado-Chaves, F. M., Jennings, M. J., Atalaia, A., Wolff, J., Horvath, R., Mamdouh, Z. M., ... &amp; Baumbach, L. (2025). Transforming literature screening: The emerging role of large language models in systematic reviews.</w:t>
      </w:r>
      <w:r>
        <w:rPr>
          <w:rFonts w:ascii="Garamond" w:hAnsi="Garamond" w:hint="default"/>
          <w:sz w:val="20"/>
          <w:szCs w:val="20"/>
          <w:rtl w:val="0"/>
          <w:lang w:val="en-US"/>
        </w:rPr>
        <w:t> </w:t>
      </w:r>
      <w:r>
        <w:rPr>
          <w:rFonts w:ascii="Garamond" w:hAnsi="Garamond"/>
          <w:i w:val="1"/>
          <w:iCs w:val="1"/>
          <w:sz w:val="20"/>
          <w:szCs w:val="20"/>
          <w:rtl w:val="0"/>
          <w:lang w:val="it-IT"/>
        </w:rPr>
        <w:t>Proceedings of the National Academy of Sciences</w:t>
      </w:r>
      <w:r>
        <w:rPr>
          <w:rFonts w:ascii="Garamond" w:hAnsi="Garamond"/>
          <w:sz w:val="20"/>
          <w:szCs w:val="20"/>
          <w:rtl w:val="0"/>
          <w:lang w:val="it-IT"/>
        </w:rPr>
        <w:t>,</w:t>
      </w:r>
      <w:r>
        <w:rPr>
          <w:rFonts w:ascii="Garamond" w:hAnsi="Garamond" w:hint="default"/>
          <w:sz w:val="20"/>
          <w:szCs w:val="20"/>
          <w:rtl w:val="0"/>
          <w:lang w:val="it-IT"/>
        </w:rPr>
        <w:t> </w:t>
      </w:r>
      <w:r>
        <w:rPr>
          <w:rFonts w:ascii="Garamond" w:hAnsi="Garamond"/>
          <w:i w:val="1"/>
          <w:iCs w:val="1"/>
          <w:sz w:val="20"/>
          <w:szCs w:val="20"/>
          <w:rtl w:val="0"/>
          <w:lang w:val="it-IT"/>
        </w:rPr>
        <w:t>122</w:t>
      </w:r>
      <w:r>
        <w:rPr>
          <w:rFonts w:ascii="Garamond" w:hAnsi="Garamond"/>
          <w:sz w:val="20"/>
          <w:szCs w:val="20"/>
          <w:rtl w:val="0"/>
          <w:lang w:val="it-IT"/>
        </w:rPr>
        <w:t>(2), e2411962122.</w:t>
      </w:r>
    </w:p>
    <w:p>
      <w:pPr>
        <w:pStyle w:val="List Paragraph"/>
        <w:widowControl w:val="1"/>
        <w:numPr>
          <w:ilvl w:val="0"/>
          <w:numId w:val="2"/>
        </w:numPr>
        <w:bidi w:val="0"/>
        <w:spacing w:line="276" w:lineRule="auto"/>
        <w:ind w:right="0"/>
        <w:jc w:val="both"/>
        <w:rPr>
          <w:rFonts w:ascii="Garamond" w:hAnsi="Garamond"/>
          <w:sz w:val="20"/>
          <w:szCs w:val="20"/>
          <w:rtl w:val="0"/>
          <w:lang w:val="it-IT"/>
        </w:rPr>
      </w:pPr>
      <w:r>
        <w:rPr>
          <w:rFonts w:ascii="Garamond" w:hAnsi="Garamond"/>
          <w:sz w:val="20"/>
          <w:szCs w:val="20"/>
          <w:rtl w:val="0"/>
          <w:lang w:val="it-IT"/>
        </w:rPr>
        <w:t xml:space="preserve">Dempere, J., Alamash, E., &amp; Mattos, P. (2024). </w:t>
      </w:r>
      <w:r>
        <w:rPr>
          <w:rFonts w:ascii="Garamond" w:hAnsi="Garamond"/>
          <w:sz w:val="20"/>
          <w:szCs w:val="20"/>
          <w:rtl w:val="0"/>
          <w:lang w:val="en-US"/>
        </w:rPr>
        <w:t>Unveiling the truth: greenwashing in sustainable finance.</w:t>
      </w:r>
      <w:r>
        <w:rPr>
          <w:rFonts w:ascii="Garamond" w:hAnsi="Garamond" w:hint="default"/>
          <w:sz w:val="20"/>
          <w:szCs w:val="20"/>
          <w:rtl w:val="0"/>
          <w:lang w:val="en-US"/>
        </w:rPr>
        <w:t> </w:t>
      </w:r>
      <w:r>
        <w:rPr>
          <w:rFonts w:ascii="Garamond" w:hAnsi="Garamond"/>
          <w:i w:val="1"/>
          <w:iCs w:val="1"/>
          <w:sz w:val="20"/>
          <w:szCs w:val="20"/>
          <w:rtl w:val="0"/>
          <w:lang w:val="it-IT"/>
        </w:rPr>
        <w:t>Frontiers in Sustainability</w:t>
      </w:r>
      <w:r>
        <w:rPr>
          <w:rFonts w:ascii="Garamond" w:hAnsi="Garamond"/>
          <w:sz w:val="20"/>
          <w:szCs w:val="20"/>
          <w:rtl w:val="0"/>
          <w:lang w:val="it-IT"/>
        </w:rPr>
        <w:t>,</w:t>
      </w:r>
      <w:r>
        <w:rPr>
          <w:rFonts w:ascii="Garamond" w:hAnsi="Garamond" w:hint="default"/>
          <w:sz w:val="20"/>
          <w:szCs w:val="20"/>
          <w:rtl w:val="0"/>
          <w:lang w:val="it-IT"/>
        </w:rPr>
        <w:t> </w:t>
      </w:r>
      <w:r>
        <w:rPr>
          <w:rFonts w:ascii="Garamond" w:hAnsi="Garamond"/>
          <w:i w:val="1"/>
          <w:iCs w:val="1"/>
          <w:sz w:val="20"/>
          <w:szCs w:val="20"/>
          <w:rtl w:val="0"/>
          <w:lang w:val="it-IT"/>
        </w:rPr>
        <w:t>5</w:t>
      </w:r>
      <w:r>
        <w:rPr>
          <w:rFonts w:ascii="Garamond" w:hAnsi="Garamond"/>
          <w:sz w:val="20"/>
          <w:szCs w:val="20"/>
          <w:rtl w:val="0"/>
          <w:lang w:val="it-IT"/>
        </w:rPr>
        <w:t>, 1362051, 1-14.</w:t>
      </w:r>
    </w:p>
    <w:p>
      <w:pPr>
        <w:pStyle w:val="List Paragraph"/>
        <w:widowControl w:val="1"/>
        <w:numPr>
          <w:ilvl w:val="0"/>
          <w:numId w:val="2"/>
        </w:numPr>
        <w:bidi w:val="0"/>
        <w:spacing w:line="276" w:lineRule="auto"/>
        <w:ind w:right="0"/>
        <w:jc w:val="both"/>
        <w:rPr>
          <w:rFonts w:ascii="Garamond" w:hAnsi="Garamond"/>
          <w:sz w:val="20"/>
          <w:szCs w:val="20"/>
          <w:rtl w:val="0"/>
          <w:lang w:val="it-IT"/>
        </w:rPr>
      </w:pPr>
      <w:r>
        <w:rPr>
          <w:rFonts w:ascii="Garamond" w:hAnsi="Garamond"/>
          <w:sz w:val="20"/>
          <w:szCs w:val="20"/>
          <w:rtl w:val="0"/>
          <w:lang w:val="it-IT"/>
        </w:rPr>
        <w:t xml:space="preserve">Diaye, M. A., Ho, S. H., &amp; Oueghlissi, R. (2022). </w:t>
      </w:r>
      <w:r>
        <w:rPr>
          <w:rFonts w:ascii="Garamond" w:hAnsi="Garamond"/>
          <w:sz w:val="20"/>
          <w:szCs w:val="20"/>
          <w:rtl w:val="0"/>
          <w:lang w:val="en-US"/>
        </w:rPr>
        <w:t>ESG performance and economic growth: a panel co-integration analysis.</w:t>
      </w:r>
      <w:r>
        <w:rPr>
          <w:rFonts w:ascii="Garamond" w:hAnsi="Garamond" w:hint="default"/>
          <w:sz w:val="20"/>
          <w:szCs w:val="20"/>
          <w:rtl w:val="0"/>
          <w:lang w:val="en-US"/>
        </w:rPr>
        <w:t> </w:t>
      </w:r>
      <w:r>
        <w:rPr>
          <w:rFonts w:ascii="Garamond" w:hAnsi="Garamond"/>
          <w:i w:val="1"/>
          <w:iCs w:val="1"/>
          <w:sz w:val="20"/>
          <w:szCs w:val="20"/>
          <w:rtl w:val="0"/>
          <w:lang w:val="it-IT"/>
        </w:rPr>
        <w:t>Empirica</w:t>
      </w:r>
      <w:r>
        <w:rPr>
          <w:rFonts w:ascii="Garamond" w:hAnsi="Garamond"/>
          <w:sz w:val="20"/>
          <w:szCs w:val="20"/>
          <w:rtl w:val="0"/>
          <w:lang w:val="it-IT"/>
        </w:rPr>
        <w:t>,</w:t>
      </w:r>
      <w:r>
        <w:rPr>
          <w:rFonts w:ascii="Garamond" w:hAnsi="Garamond" w:hint="default"/>
          <w:sz w:val="20"/>
          <w:szCs w:val="20"/>
          <w:rtl w:val="0"/>
          <w:lang w:val="it-IT"/>
        </w:rPr>
        <w:t> </w:t>
      </w:r>
      <w:r>
        <w:rPr>
          <w:rFonts w:ascii="Garamond" w:hAnsi="Garamond"/>
          <w:i w:val="1"/>
          <w:iCs w:val="1"/>
          <w:sz w:val="20"/>
          <w:szCs w:val="20"/>
          <w:rtl w:val="0"/>
          <w:lang w:val="it-IT"/>
        </w:rPr>
        <w:t>49</w:t>
      </w:r>
      <w:r>
        <w:rPr>
          <w:rFonts w:ascii="Garamond" w:hAnsi="Garamond"/>
          <w:sz w:val="20"/>
          <w:szCs w:val="20"/>
          <w:rtl w:val="0"/>
          <w:lang w:val="it-IT"/>
        </w:rPr>
        <w:t>(1), 99-122.</w:t>
      </w:r>
    </w:p>
    <w:p>
      <w:pPr>
        <w:pStyle w:val="List Paragraph"/>
        <w:widowControl w:val="1"/>
        <w:numPr>
          <w:ilvl w:val="0"/>
          <w:numId w:val="2"/>
        </w:numPr>
        <w:bidi w:val="0"/>
        <w:spacing w:line="276" w:lineRule="auto"/>
        <w:ind w:right="0"/>
        <w:jc w:val="both"/>
        <w:rPr>
          <w:rFonts w:ascii="Garamond" w:hAnsi="Garamond"/>
          <w:sz w:val="20"/>
          <w:szCs w:val="20"/>
          <w:rtl w:val="0"/>
          <w:lang w:val="en-US"/>
        </w:rPr>
      </w:pPr>
      <w:r>
        <w:rPr>
          <w:rFonts w:ascii="Garamond" w:hAnsi="Garamond"/>
          <w:sz w:val="20"/>
          <w:szCs w:val="20"/>
          <w:rtl w:val="0"/>
          <w:lang w:val="en-US"/>
        </w:rPr>
        <w:t>Eidelwein, F., Collatto, D. C., Rodrigues, L. H., Lacerda, D. P., &amp; Piran, F. S. (2018). Internalization of environmental externalities: Development of a method for elaborating the statement of economic and environmental results.</w:t>
      </w:r>
      <w:r>
        <w:rPr>
          <w:rFonts w:ascii="Garamond" w:hAnsi="Garamond" w:hint="default"/>
          <w:sz w:val="20"/>
          <w:szCs w:val="20"/>
          <w:rtl w:val="0"/>
          <w:lang w:val="en-US"/>
        </w:rPr>
        <w:t> </w:t>
      </w:r>
      <w:r>
        <w:rPr>
          <w:rFonts w:ascii="Garamond" w:hAnsi="Garamond"/>
          <w:i w:val="1"/>
          <w:iCs w:val="1"/>
          <w:sz w:val="20"/>
          <w:szCs w:val="20"/>
          <w:rtl w:val="0"/>
          <w:lang w:val="it-IT"/>
        </w:rPr>
        <w:t>Journal of Cleaner Production</w:t>
      </w:r>
      <w:r>
        <w:rPr>
          <w:rFonts w:ascii="Garamond" w:hAnsi="Garamond"/>
          <w:sz w:val="20"/>
          <w:szCs w:val="20"/>
          <w:rtl w:val="0"/>
          <w:lang w:val="it-IT"/>
        </w:rPr>
        <w:t>,</w:t>
      </w:r>
      <w:r>
        <w:rPr>
          <w:rFonts w:ascii="Garamond" w:hAnsi="Garamond" w:hint="default"/>
          <w:sz w:val="20"/>
          <w:szCs w:val="20"/>
          <w:rtl w:val="0"/>
          <w:lang w:val="it-IT"/>
        </w:rPr>
        <w:t> </w:t>
      </w:r>
      <w:r>
        <w:rPr>
          <w:rFonts w:ascii="Garamond" w:hAnsi="Garamond"/>
          <w:i w:val="1"/>
          <w:iCs w:val="1"/>
          <w:sz w:val="20"/>
          <w:szCs w:val="20"/>
          <w:rtl w:val="0"/>
          <w:lang w:val="it-IT"/>
        </w:rPr>
        <w:t>170</w:t>
      </w:r>
      <w:r>
        <w:rPr>
          <w:rFonts w:ascii="Garamond" w:hAnsi="Garamond"/>
          <w:sz w:val="20"/>
          <w:szCs w:val="20"/>
          <w:rtl w:val="0"/>
          <w:lang w:val="it-IT"/>
        </w:rPr>
        <w:t>, 1316-1327.</w:t>
      </w:r>
    </w:p>
    <w:p>
      <w:pPr>
        <w:pStyle w:val="List Paragraph"/>
        <w:widowControl w:val="1"/>
        <w:numPr>
          <w:ilvl w:val="0"/>
          <w:numId w:val="2"/>
        </w:numPr>
        <w:bidi w:val="0"/>
        <w:spacing w:line="276" w:lineRule="auto"/>
        <w:ind w:right="0"/>
        <w:jc w:val="both"/>
        <w:rPr>
          <w:rFonts w:ascii="Garamond" w:hAnsi="Garamond"/>
          <w:sz w:val="20"/>
          <w:szCs w:val="20"/>
          <w:rtl w:val="0"/>
          <w:lang w:val="en-US"/>
        </w:rPr>
      </w:pPr>
      <w:r>
        <w:rPr>
          <w:rFonts w:ascii="Garamond" w:hAnsi="Garamond"/>
          <w:sz w:val="20"/>
          <w:szCs w:val="20"/>
          <w:rtl w:val="0"/>
          <w:lang w:val="en-US"/>
        </w:rPr>
        <w:t>Fragiadakis, G., Diou, C., Kousiouris, G., &amp; Nikolaidou, M. (2024). Evaluating human-ai collaboration: A review and methodological framework.</w:t>
      </w:r>
      <w:r>
        <w:rPr>
          <w:rFonts w:ascii="Garamond" w:hAnsi="Garamond" w:hint="default"/>
          <w:sz w:val="20"/>
          <w:szCs w:val="20"/>
          <w:rtl w:val="0"/>
          <w:lang w:val="en-US"/>
        </w:rPr>
        <w:t> </w:t>
      </w:r>
      <w:r>
        <w:rPr>
          <w:rFonts w:ascii="Garamond" w:hAnsi="Garamond"/>
          <w:i w:val="1"/>
          <w:iCs w:val="1"/>
          <w:sz w:val="20"/>
          <w:szCs w:val="20"/>
          <w:rtl w:val="0"/>
          <w:lang w:val="en-US"/>
        </w:rPr>
        <w:t>arXiv preprint arXiv:2407.19098</w:t>
      </w:r>
      <w:r>
        <w:rPr>
          <w:rFonts w:ascii="Garamond" w:hAnsi="Garamond"/>
          <w:sz w:val="20"/>
          <w:szCs w:val="20"/>
          <w:rtl w:val="0"/>
          <w:lang w:val="en-US"/>
        </w:rPr>
        <w:t>.</w:t>
      </w:r>
    </w:p>
    <w:p>
      <w:pPr>
        <w:pStyle w:val="List Paragraph"/>
        <w:widowControl w:val="1"/>
        <w:numPr>
          <w:ilvl w:val="0"/>
          <w:numId w:val="2"/>
        </w:numPr>
        <w:bidi w:val="0"/>
        <w:spacing w:line="276" w:lineRule="auto"/>
        <w:ind w:right="0"/>
        <w:jc w:val="both"/>
        <w:rPr>
          <w:rFonts w:ascii="Garamond" w:hAnsi="Garamond"/>
          <w:sz w:val="20"/>
          <w:szCs w:val="20"/>
          <w:rtl w:val="0"/>
          <w:lang w:val="en-US"/>
        </w:rPr>
      </w:pPr>
      <w:r>
        <w:rPr>
          <w:rFonts w:ascii="Garamond" w:hAnsi="Garamond"/>
          <w:sz w:val="20"/>
          <w:szCs w:val="20"/>
          <w:rtl w:val="0"/>
          <w:lang w:val="en-US"/>
        </w:rPr>
        <w:t xml:space="preserve">Fusco Girard, L. (2024). </w:t>
      </w:r>
      <w:r>
        <w:rPr>
          <w:rFonts w:ascii="Garamond" w:hAnsi="Garamond"/>
          <w:i w:val="1"/>
          <w:iCs w:val="1"/>
          <w:sz w:val="20"/>
          <w:szCs w:val="20"/>
          <w:rtl w:val="0"/>
          <w:lang w:val="en-US"/>
        </w:rPr>
        <w:t xml:space="preserve">The circular </w:t>
      </w:r>
      <w:r>
        <w:rPr>
          <w:rFonts w:ascii="Garamond" w:hAnsi="Garamond" w:hint="default"/>
          <w:i w:val="1"/>
          <w:iCs w:val="1"/>
          <w:sz w:val="20"/>
          <w:szCs w:val="20"/>
          <w:rtl w:val="0"/>
          <w:lang w:val="en-US"/>
        </w:rPr>
        <w:t>“</w:t>
      </w:r>
      <w:r>
        <w:rPr>
          <w:rFonts w:ascii="Garamond" w:hAnsi="Garamond"/>
          <w:i w:val="1"/>
          <w:iCs w:val="1"/>
          <w:sz w:val="20"/>
          <w:szCs w:val="20"/>
          <w:rtl w:val="0"/>
          <w:lang w:val="en-US"/>
        </w:rPr>
        <w:t>human-centred</w:t>
      </w:r>
      <w:r>
        <w:rPr>
          <w:rFonts w:ascii="Garamond" w:hAnsi="Garamond" w:hint="default"/>
          <w:i w:val="1"/>
          <w:iCs w:val="1"/>
          <w:sz w:val="20"/>
          <w:szCs w:val="20"/>
          <w:rtl w:val="0"/>
          <w:lang w:val="en-US"/>
        </w:rPr>
        <w:t xml:space="preserve">” </w:t>
      </w:r>
      <w:r>
        <w:rPr>
          <w:rFonts w:ascii="Garamond" w:hAnsi="Garamond"/>
          <w:i w:val="1"/>
          <w:iCs w:val="1"/>
          <w:sz w:val="20"/>
          <w:szCs w:val="20"/>
          <w:rtl w:val="0"/>
          <w:lang w:val="en-US"/>
        </w:rPr>
        <w:t>adaptive reuse of cultural heritage: theoretical foundations</w:t>
      </w:r>
      <w:r>
        <w:rPr>
          <w:rFonts w:ascii="Garamond" w:hAnsi="Garamond"/>
          <w:sz w:val="20"/>
          <w:szCs w:val="20"/>
          <w:rtl w:val="0"/>
          <w:lang w:val="en-US"/>
        </w:rPr>
        <w:t>. In</w:t>
      </w:r>
      <w:r>
        <w:rPr>
          <w:rFonts w:ascii="Garamond" w:hAnsi="Garamond" w:hint="default"/>
          <w:sz w:val="20"/>
          <w:szCs w:val="20"/>
          <w:rtl w:val="0"/>
          <w:lang w:val="en-US"/>
        </w:rPr>
        <w:t> </w:t>
      </w:r>
      <w:r>
        <w:rPr>
          <w:rFonts w:ascii="Garamond" w:hAnsi="Garamond"/>
          <w:sz w:val="20"/>
          <w:szCs w:val="20"/>
          <w:rtl w:val="0"/>
          <w:lang w:val="en-US"/>
        </w:rPr>
        <w:t xml:space="preserve">Gravagnuolo, A., &amp; Fusco Girard, L. (Eds.). </w:t>
      </w:r>
      <w:r>
        <w:rPr>
          <w:rFonts w:ascii="Garamond" w:hAnsi="Garamond"/>
          <w:i w:val="1"/>
          <w:iCs w:val="1"/>
          <w:sz w:val="20"/>
          <w:szCs w:val="20"/>
          <w:rtl w:val="0"/>
          <w:lang w:val="en-US"/>
        </w:rPr>
        <w:t>Adaptive Reuse of Cultural Heritage: Circular Business, Financial and Governance Models</w:t>
      </w:r>
      <w:r>
        <w:rPr>
          <w:rFonts w:ascii="Garamond" w:hAnsi="Garamond" w:hint="default"/>
          <w:sz w:val="20"/>
          <w:szCs w:val="20"/>
          <w:rtl w:val="0"/>
          <w:lang w:val="en-US"/>
        </w:rPr>
        <w:t> </w:t>
      </w:r>
      <w:r>
        <w:rPr>
          <w:rFonts w:ascii="Garamond" w:hAnsi="Garamond"/>
          <w:sz w:val="20"/>
          <w:szCs w:val="20"/>
          <w:rtl w:val="0"/>
          <w:lang w:val="en-US"/>
        </w:rPr>
        <w:t xml:space="preserve">(pp. 15-69). </w:t>
      </w:r>
      <w:r>
        <w:rPr>
          <w:rFonts w:ascii="Garamond" w:hAnsi="Garamond"/>
          <w:sz w:val="20"/>
          <w:szCs w:val="20"/>
          <w:rtl w:val="0"/>
          <w:lang w:val="it-IT"/>
        </w:rPr>
        <w:t>Cham: Springer International Publishing.</w:t>
      </w:r>
    </w:p>
    <w:p>
      <w:pPr>
        <w:pStyle w:val="List Paragraph"/>
        <w:widowControl w:val="1"/>
        <w:numPr>
          <w:ilvl w:val="0"/>
          <w:numId w:val="2"/>
        </w:numPr>
        <w:bidi w:val="0"/>
        <w:ind w:right="0"/>
        <w:jc w:val="both"/>
        <w:rPr>
          <w:rFonts w:ascii="Garamond" w:hAnsi="Garamond"/>
          <w:sz w:val="20"/>
          <w:szCs w:val="20"/>
          <w:rtl w:val="0"/>
          <w:lang w:val="en-US"/>
        </w:rPr>
      </w:pPr>
      <w:r>
        <w:rPr>
          <w:rFonts w:ascii="Garamond" w:hAnsi="Garamond"/>
          <w:sz w:val="20"/>
          <w:szCs w:val="20"/>
          <w:rtl w:val="0"/>
          <w:lang w:val="en-US"/>
        </w:rPr>
        <w:t xml:space="preserve">Gajewski, J. F., Heimann, M., Meunier, L., &amp; Ohadi, S. (2024). Nudges for responsible finance? A survey of interventions targeted at financial decision making. </w:t>
      </w:r>
      <w:r>
        <w:rPr>
          <w:rFonts w:ascii="Garamond" w:hAnsi="Garamond"/>
          <w:i w:val="1"/>
          <w:iCs w:val="1"/>
          <w:sz w:val="20"/>
          <w:szCs w:val="20"/>
          <w:rtl w:val="0"/>
          <w:lang w:val="en-US"/>
        </w:rPr>
        <w:t>Corporate Social Responsibility and Environmental Management</w:t>
      </w:r>
      <w:r>
        <w:rPr>
          <w:rFonts w:ascii="Garamond" w:hAnsi="Garamond"/>
          <w:sz w:val="20"/>
          <w:szCs w:val="20"/>
          <w:rtl w:val="0"/>
          <w:lang w:val="en-US"/>
        </w:rPr>
        <w:t>, 31(2), 1203-1219.</w:t>
      </w:r>
    </w:p>
    <w:p>
      <w:pPr>
        <w:pStyle w:val="List Paragraph"/>
        <w:widowControl w:val="1"/>
        <w:numPr>
          <w:ilvl w:val="0"/>
          <w:numId w:val="2"/>
        </w:numPr>
        <w:bidi w:val="0"/>
        <w:ind w:right="0"/>
        <w:jc w:val="both"/>
        <w:rPr>
          <w:rFonts w:ascii="Garamond" w:hAnsi="Garamond"/>
          <w:sz w:val="20"/>
          <w:szCs w:val="20"/>
          <w:rtl w:val="0"/>
          <w:lang w:val="it-IT"/>
        </w:rPr>
      </w:pPr>
      <w:r>
        <w:rPr>
          <w:rFonts w:ascii="Garamond" w:hAnsi="Garamond"/>
          <w:sz w:val="20"/>
          <w:szCs w:val="20"/>
          <w:rtl w:val="0"/>
          <w:lang w:val="it-IT"/>
        </w:rPr>
        <w:t xml:space="preserve">Ghaemi Asl, M., Smutka, L., Nasr Isfahani, M., Raza, S. A., &amp; Vasa, L. (2024). </w:t>
      </w:r>
      <w:r>
        <w:rPr>
          <w:rFonts w:ascii="Garamond" w:hAnsi="Garamond"/>
          <w:sz w:val="20"/>
          <w:szCs w:val="20"/>
          <w:rtl w:val="0"/>
          <w:lang w:val="en-US"/>
        </w:rPr>
        <w:t>Can multifarious types of green bonds be accused of greenwashing with a durative analysis? Insights from a permanent causality vs. temporary causality phenomenon.</w:t>
      </w:r>
      <w:r>
        <w:rPr>
          <w:rFonts w:ascii="Garamond" w:hAnsi="Garamond" w:hint="default"/>
          <w:sz w:val="20"/>
          <w:szCs w:val="20"/>
          <w:rtl w:val="0"/>
          <w:lang w:val="en-US"/>
        </w:rPr>
        <w:t> </w:t>
      </w:r>
      <w:r>
        <w:rPr>
          <w:rFonts w:ascii="Garamond" w:hAnsi="Garamond"/>
          <w:i w:val="1"/>
          <w:iCs w:val="1"/>
          <w:sz w:val="20"/>
          <w:szCs w:val="20"/>
          <w:rtl w:val="0"/>
          <w:lang w:val="en-US"/>
        </w:rPr>
        <w:t>Environment, Development and Sustainability</w:t>
      </w:r>
      <w:r>
        <w:rPr>
          <w:rFonts w:ascii="Garamond" w:hAnsi="Garamond"/>
          <w:sz w:val="20"/>
          <w:szCs w:val="20"/>
          <w:rtl w:val="0"/>
          <w:lang w:val="en-US"/>
        </w:rPr>
        <w:t>, 1-25.</w:t>
      </w:r>
    </w:p>
    <w:p>
      <w:pPr>
        <w:pStyle w:val="List Paragraph"/>
        <w:widowControl w:val="1"/>
        <w:numPr>
          <w:ilvl w:val="0"/>
          <w:numId w:val="2"/>
        </w:numPr>
        <w:bidi w:val="0"/>
        <w:spacing w:line="276" w:lineRule="auto"/>
        <w:ind w:right="0"/>
        <w:jc w:val="both"/>
        <w:rPr>
          <w:rFonts w:ascii="Garamond" w:hAnsi="Garamond"/>
          <w:sz w:val="20"/>
          <w:szCs w:val="20"/>
          <w:rtl w:val="0"/>
          <w:lang w:val="fr-FR"/>
        </w:rPr>
      </w:pPr>
      <w:r>
        <w:rPr>
          <w:rFonts w:ascii="Garamond" w:hAnsi="Garamond"/>
          <w:sz w:val="20"/>
          <w:szCs w:val="20"/>
          <w:rtl w:val="0"/>
          <w:lang w:val="fr-FR"/>
        </w:rPr>
        <w:t xml:space="preserve">Gao, X., Latif, B., Ong, T. S., Zhang, Q., &amp; Yusri, Y. (2025). </w:t>
      </w:r>
      <w:r>
        <w:rPr>
          <w:rFonts w:ascii="Garamond" w:hAnsi="Garamond"/>
          <w:sz w:val="20"/>
          <w:szCs w:val="20"/>
          <w:rtl w:val="0"/>
          <w:lang w:val="en-US"/>
        </w:rPr>
        <w:t xml:space="preserve">ESG performance and corporate competitiveness: the roles of green innovation, industry competition and media attention. </w:t>
      </w:r>
      <w:r>
        <w:rPr>
          <w:rFonts w:ascii="Garamond" w:hAnsi="Garamond"/>
          <w:i w:val="1"/>
          <w:iCs w:val="1"/>
          <w:sz w:val="20"/>
          <w:szCs w:val="20"/>
          <w:rtl w:val="0"/>
          <w:lang w:val="it-IT"/>
        </w:rPr>
        <w:t>Studies in Economics and Finance</w:t>
      </w:r>
      <w:r>
        <w:rPr>
          <w:rFonts w:ascii="Garamond" w:hAnsi="Garamond"/>
          <w:sz w:val="20"/>
          <w:szCs w:val="20"/>
          <w:rtl w:val="0"/>
          <w:lang w:val="it-IT"/>
        </w:rPr>
        <w:t>, 42, 1-22.</w:t>
      </w:r>
    </w:p>
    <w:p>
      <w:pPr>
        <w:pStyle w:val="List Paragraph"/>
        <w:widowControl w:val="1"/>
        <w:numPr>
          <w:ilvl w:val="0"/>
          <w:numId w:val="2"/>
        </w:numPr>
        <w:bidi w:val="0"/>
        <w:spacing w:line="276" w:lineRule="auto"/>
        <w:ind w:right="0"/>
        <w:jc w:val="both"/>
        <w:rPr>
          <w:rFonts w:ascii="Garamond" w:hAnsi="Garamond"/>
          <w:sz w:val="20"/>
          <w:szCs w:val="20"/>
          <w:rtl w:val="0"/>
          <w:lang w:val="en-US"/>
        </w:rPr>
      </w:pPr>
      <w:r>
        <w:rPr>
          <w:rFonts w:ascii="Garamond" w:hAnsi="Garamond"/>
          <w:sz w:val="20"/>
          <w:szCs w:val="20"/>
          <w:rtl w:val="0"/>
          <w:lang w:val="en-US"/>
        </w:rPr>
        <w:t>Green, A. (2018). Making Capital Markets Work for Workers, Investors, and the Public: ESG Disclosure and Corporate Long-Termism.</w:t>
      </w:r>
      <w:r>
        <w:rPr>
          <w:rFonts w:ascii="Garamond" w:hAnsi="Garamond" w:hint="default"/>
          <w:sz w:val="20"/>
          <w:szCs w:val="20"/>
          <w:rtl w:val="0"/>
          <w:lang w:val="en-US"/>
        </w:rPr>
        <w:t> </w:t>
      </w:r>
      <w:r>
        <w:rPr>
          <w:rFonts w:ascii="Garamond" w:hAnsi="Garamond"/>
          <w:i w:val="1"/>
          <w:iCs w:val="1"/>
          <w:sz w:val="20"/>
          <w:szCs w:val="20"/>
          <w:rtl w:val="0"/>
          <w:lang w:val="it-IT"/>
        </w:rPr>
        <w:t>Case Western Reserve Law Review, 69</w:t>
      </w:r>
      <w:r>
        <w:rPr>
          <w:rFonts w:ascii="Garamond" w:hAnsi="Garamond"/>
          <w:sz w:val="20"/>
          <w:szCs w:val="20"/>
          <w:rtl w:val="0"/>
          <w:lang w:val="it-IT"/>
        </w:rPr>
        <w:t>, 909-926.</w:t>
      </w:r>
    </w:p>
    <w:p>
      <w:pPr>
        <w:pStyle w:val="List Paragraph"/>
        <w:widowControl w:val="1"/>
        <w:numPr>
          <w:ilvl w:val="0"/>
          <w:numId w:val="2"/>
        </w:numPr>
        <w:bidi w:val="0"/>
        <w:ind w:right="0"/>
        <w:jc w:val="both"/>
        <w:rPr>
          <w:rFonts w:ascii="Garamond" w:hAnsi="Garamond"/>
          <w:sz w:val="20"/>
          <w:szCs w:val="20"/>
          <w:rtl w:val="0"/>
          <w:lang w:val="it-IT"/>
        </w:rPr>
      </w:pPr>
      <w:r>
        <w:rPr>
          <w:rFonts w:ascii="Garamond" w:hAnsi="Garamond"/>
          <w:sz w:val="20"/>
          <w:szCs w:val="20"/>
          <w:rtl w:val="0"/>
          <w:lang w:val="it-IT"/>
        </w:rPr>
        <w:t xml:space="preserve">Gu, B., Shao, V., Liao, Z., Carducci, V., Brufau, S. R., Yang, J., &amp; Desai, R. J. (2025). </w:t>
      </w:r>
      <w:r>
        <w:rPr>
          <w:rFonts w:ascii="Garamond" w:hAnsi="Garamond"/>
          <w:sz w:val="20"/>
          <w:szCs w:val="20"/>
          <w:rtl w:val="0"/>
          <w:lang w:val="en-US"/>
        </w:rPr>
        <w:t>Scalable information extraction from free text electronic health records using large language models.</w:t>
      </w:r>
      <w:r>
        <w:rPr>
          <w:rFonts w:ascii="Garamond" w:hAnsi="Garamond" w:hint="default"/>
          <w:sz w:val="20"/>
          <w:szCs w:val="20"/>
          <w:rtl w:val="0"/>
          <w:lang w:val="en-US"/>
        </w:rPr>
        <w:t> </w:t>
      </w:r>
      <w:r>
        <w:rPr>
          <w:rFonts w:ascii="Garamond" w:hAnsi="Garamond"/>
          <w:i w:val="1"/>
          <w:iCs w:val="1"/>
          <w:sz w:val="20"/>
          <w:szCs w:val="20"/>
          <w:rtl w:val="0"/>
          <w:lang w:val="it-IT"/>
        </w:rPr>
        <w:t>BMC Medical Research Methodology</w:t>
      </w:r>
      <w:r>
        <w:rPr>
          <w:rFonts w:ascii="Garamond" w:hAnsi="Garamond"/>
          <w:sz w:val="20"/>
          <w:szCs w:val="20"/>
          <w:rtl w:val="0"/>
          <w:lang w:val="it-IT"/>
        </w:rPr>
        <w:t>,</w:t>
      </w:r>
      <w:r>
        <w:rPr>
          <w:rFonts w:ascii="Garamond" w:hAnsi="Garamond" w:hint="default"/>
          <w:sz w:val="20"/>
          <w:szCs w:val="20"/>
          <w:rtl w:val="0"/>
          <w:lang w:val="it-IT"/>
        </w:rPr>
        <w:t> </w:t>
      </w:r>
      <w:r>
        <w:rPr>
          <w:rFonts w:ascii="Garamond" w:hAnsi="Garamond"/>
          <w:i w:val="1"/>
          <w:iCs w:val="1"/>
          <w:sz w:val="20"/>
          <w:szCs w:val="20"/>
          <w:rtl w:val="0"/>
          <w:lang w:val="it-IT"/>
        </w:rPr>
        <w:t>25</w:t>
      </w:r>
      <w:r>
        <w:rPr>
          <w:rFonts w:ascii="Garamond" w:hAnsi="Garamond"/>
          <w:sz w:val="20"/>
          <w:szCs w:val="20"/>
          <w:rtl w:val="0"/>
          <w:lang w:val="it-IT"/>
        </w:rPr>
        <w:t>(1), 23.</w:t>
      </w:r>
    </w:p>
    <w:p>
      <w:pPr>
        <w:pStyle w:val="List Paragraph"/>
        <w:widowControl w:val="1"/>
        <w:numPr>
          <w:ilvl w:val="0"/>
          <w:numId w:val="2"/>
        </w:numPr>
        <w:bidi w:val="0"/>
        <w:ind w:right="0"/>
        <w:jc w:val="both"/>
        <w:rPr>
          <w:rFonts w:ascii="Garamond" w:hAnsi="Garamond"/>
          <w:sz w:val="20"/>
          <w:szCs w:val="20"/>
          <w:rtl w:val="0"/>
          <w:lang w:val="en-US"/>
        </w:rPr>
      </w:pPr>
      <w:r>
        <w:rPr>
          <w:rFonts w:ascii="Garamond" w:hAnsi="Garamond"/>
          <w:sz w:val="20"/>
          <w:szCs w:val="20"/>
          <w:rtl w:val="0"/>
          <w:lang w:val="en-US"/>
        </w:rPr>
        <w:t xml:space="preserve">Haidar, M. I. (2025). Does Societal Trust Reduce Greenwashing? International Evidence. </w:t>
      </w:r>
      <w:r>
        <w:rPr>
          <w:rFonts w:ascii="Garamond" w:hAnsi="Garamond"/>
          <w:i w:val="1"/>
          <w:iCs w:val="1"/>
          <w:sz w:val="20"/>
          <w:szCs w:val="20"/>
          <w:rtl w:val="0"/>
          <w:lang w:val="en-US"/>
        </w:rPr>
        <w:t>Business Strategy and the Environment</w:t>
      </w:r>
      <w:r>
        <w:rPr>
          <w:rFonts w:ascii="Garamond" w:hAnsi="Garamond"/>
          <w:sz w:val="20"/>
          <w:szCs w:val="20"/>
          <w:rtl w:val="0"/>
          <w:lang w:val="en-US"/>
        </w:rPr>
        <w:t>, 34, 3400-3424.</w:t>
      </w:r>
    </w:p>
    <w:p>
      <w:pPr>
        <w:pStyle w:val="List Paragraph"/>
        <w:widowControl w:val="1"/>
        <w:numPr>
          <w:ilvl w:val="0"/>
          <w:numId w:val="2"/>
        </w:numPr>
        <w:bidi w:val="0"/>
        <w:ind w:right="0"/>
        <w:jc w:val="both"/>
        <w:rPr>
          <w:rFonts w:ascii="Garamond" w:hAnsi="Garamond"/>
          <w:sz w:val="20"/>
          <w:szCs w:val="20"/>
          <w:rtl w:val="0"/>
          <w:lang w:val="it-IT"/>
        </w:rPr>
      </w:pPr>
      <w:r>
        <w:rPr>
          <w:rFonts w:ascii="Garamond" w:hAnsi="Garamond"/>
          <w:sz w:val="20"/>
          <w:szCs w:val="20"/>
          <w:rtl w:val="0"/>
          <w:lang w:val="it-IT"/>
        </w:rPr>
        <w:t xml:space="preserve">Ho, V. H., &amp; Park, S. K. (2019). </w:t>
      </w:r>
      <w:r>
        <w:rPr>
          <w:rFonts w:ascii="Garamond" w:hAnsi="Garamond"/>
          <w:sz w:val="20"/>
          <w:szCs w:val="20"/>
          <w:rtl w:val="0"/>
          <w:lang w:val="en-US"/>
        </w:rPr>
        <w:t>ESG disclosure in comparative perspective: optimizing private ordering in public reporting.</w:t>
      </w:r>
      <w:r>
        <w:rPr>
          <w:rFonts w:ascii="Garamond" w:hAnsi="Garamond" w:hint="default"/>
          <w:sz w:val="20"/>
          <w:szCs w:val="20"/>
          <w:rtl w:val="0"/>
          <w:lang w:val="en-US"/>
        </w:rPr>
        <w:t> </w:t>
      </w:r>
      <w:r>
        <w:rPr>
          <w:rFonts w:ascii="Garamond" w:hAnsi="Garamond"/>
          <w:i w:val="1"/>
          <w:iCs w:val="1"/>
          <w:sz w:val="20"/>
          <w:szCs w:val="20"/>
          <w:rtl w:val="0"/>
          <w:lang w:val="it-IT"/>
        </w:rPr>
        <w:t>University of Pennsylvania Journal of International Law</w:t>
      </w:r>
      <w:r>
        <w:rPr>
          <w:rFonts w:ascii="Garamond" w:hAnsi="Garamond"/>
          <w:sz w:val="20"/>
          <w:szCs w:val="20"/>
          <w:rtl w:val="0"/>
          <w:lang w:val="it-IT"/>
        </w:rPr>
        <w:t>,</w:t>
      </w:r>
      <w:r>
        <w:rPr>
          <w:rFonts w:ascii="Garamond" w:hAnsi="Garamond" w:hint="default"/>
          <w:sz w:val="20"/>
          <w:szCs w:val="20"/>
          <w:rtl w:val="0"/>
          <w:lang w:val="it-IT"/>
        </w:rPr>
        <w:t> </w:t>
      </w:r>
      <w:r>
        <w:rPr>
          <w:rFonts w:ascii="Garamond" w:hAnsi="Garamond"/>
          <w:i w:val="1"/>
          <w:iCs w:val="1"/>
          <w:sz w:val="20"/>
          <w:szCs w:val="20"/>
          <w:rtl w:val="0"/>
          <w:lang w:val="it-IT"/>
        </w:rPr>
        <w:t>41</w:t>
      </w:r>
      <w:r>
        <w:rPr>
          <w:rFonts w:ascii="Garamond" w:hAnsi="Garamond"/>
          <w:sz w:val="20"/>
          <w:szCs w:val="20"/>
          <w:rtl w:val="0"/>
          <w:lang w:val="it-IT"/>
        </w:rPr>
        <w:t>, 249-328.</w:t>
      </w:r>
    </w:p>
    <w:p>
      <w:pPr>
        <w:pStyle w:val="List Paragraph"/>
        <w:widowControl w:val="1"/>
        <w:numPr>
          <w:ilvl w:val="0"/>
          <w:numId w:val="2"/>
        </w:numPr>
        <w:bidi w:val="0"/>
        <w:spacing w:line="276" w:lineRule="auto"/>
        <w:ind w:right="0"/>
        <w:jc w:val="both"/>
        <w:rPr>
          <w:rFonts w:ascii="Garamond" w:hAnsi="Garamond"/>
          <w:sz w:val="20"/>
          <w:szCs w:val="20"/>
          <w:rtl w:val="0"/>
          <w:lang w:val="en-US"/>
        </w:rPr>
      </w:pPr>
      <w:r>
        <w:rPr>
          <w:rFonts w:ascii="Garamond" w:hAnsi="Garamond"/>
          <w:sz w:val="20"/>
          <w:szCs w:val="20"/>
          <w:rtl w:val="0"/>
          <w:lang w:val="en-US"/>
        </w:rPr>
        <w:t>Hossain, M. Z., Hossain, S., &amp; Urme, U. N. (2025). The Impact of Greenwashing on Consumer Trust and Brand Loyalty: The Moderating Role of Industry Type.</w:t>
      </w:r>
      <w:r>
        <w:rPr>
          <w:rFonts w:ascii="Garamond" w:hAnsi="Garamond" w:hint="default"/>
          <w:sz w:val="20"/>
          <w:szCs w:val="20"/>
          <w:rtl w:val="0"/>
          <w:lang w:val="en-US"/>
        </w:rPr>
        <w:t> </w:t>
      </w:r>
      <w:r>
        <w:rPr>
          <w:rFonts w:ascii="Garamond" w:hAnsi="Garamond"/>
          <w:i w:val="1"/>
          <w:iCs w:val="1"/>
          <w:sz w:val="20"/>
          <w:szCs w:val="20"/>
          <w:rtl w:val="0"/>
          <w:lang w:val="it-IT"/>
        </w:rPr>
        <w:t>European Journal of Innovative Studies and Sustainability</w:t>
      </w:r>
      <w:r>
        <w:rPr>
          <w:rFonts w:ascii="Garamond" w:hAnsi="Garamond"/>
          <w:sz w:val="20"/>
          <w:szCs w:val="20"/>
          <w:rtl w:val="0"/>
          <w:lang w:val="it-IT"/>
        </w:rPr>
        <w:t>,</w:t>
      </w:r>
      <w:r>
        <w:rPr>
          <w:rFonts w:ascii="Garamond" w:hAnsi="Garamond" w:hint="default"/>
          <w:sz w:val="20"/>
          <w:szCs w:val="20"/>
          <w:rtl w:val="0"/>
          <w:lang w:val="it-IT"/>
        </w:rPr>
        <w:t> </w:t>
      </w:r>
      <w:r>
        <w:rPr>
          <w:rFonts w:ascii="Garamond" w:hAnsi="Garamond"/>
          <w:i w:val="1"/>
          <w:iCs w:val="1"/>
          <w:sz w:val="20"/>
          <w:szCs w:val="20"/>
          <w:rtl w:val="0"/>
          <w:lang w:val="it-IT"/>
        </w:rPr>
        <w:t>1</w:t>
      </w:r>
      <w:r>
        <w:rPr>
          <w:rFonts w:ascii="Garamond" w:hAnsi="Garamond"/>
          <w:sz w:val="20"/>
          <w:szCs w:val="20"/>
          <w:rtl w:val="0"/>
          <w:lang w:val="it-IT"/>
        </w:rPr>
        <w:t>(3), 121-133.</w:t>
      </w:r>
    </w:p>
    <w:p>
      <w:pPr>
        <w:pStyle w:val="List Paragraph"/>
        <w:widowControl w:val="1"/>
        <w:numPr>
          <w:ilvl w:val="0"/>
          <w:numId w:val="2"/>
        </w:numPr>
        <w:bidi w:val="0"/>
        <w:spacing w:line="276" w:lineRule="auto"/>
        <w:ind w:right="0"/>
        <w:jc w:val="both"/>
        <w:rPr>
          <w:rFonts w:ascii="Garamond" w:hAnsi="Garamond"/>
          <w:sz w:val="20"/>
          <w:szCs w:val="20"/>
          <w:rtl w:val="0"/>
          <w:lang w:val="en-US"/>
        </w:rPr>
      </w:pPr>
      <w:r>
        <w:rPr>
          <w:rFonts w:ascii="Garamond" w:hAnsi="Garamond"/>
          <w:sz w:val="20"/>
          <w:szCs w:val="20"/>
          <w:rtl w:val="0"/>
          <w:lang w:val="en-US"/>
        </w:rPr>
        <w:t>Ioannou, I., Kassinis, G., &amp; Papagiannakis, G. (2023). The impact of perceived greenwashing on customer satisfaction and the contingent role of capability reputation.</w:t>
      </w:r>
      <w:r>
        <w:rPr>
          <w:rFonts w:ascii="Garamond" w:hAnsi="Garamond" w:hint="default"/>
          <w:sz w:val="20"/>
          <w:szCs w:val="20"/>
          <w:rtl w:val="0"/>
          <w:lang w:val="en-US"/>
        </w:rPr>
        <w:t> </w:t>
      </w:r>
      <w:r>
        <w:rPr>
          <w:rFonts w:ascii="Garamond" w:hAnsi="Garamond"/>
          <w:i w:val="1"/>
          <w:iCs w:val="1"/>
          <w:sz w:val="20"/>
          <w:szCs w:val="20"/>
          <w:rtl w:val="0"/>
          <w:lang w:val="it-IT"/>
        </w:rPr>
        <w:t>Journal of Business Ethics</w:t>
      </w:r>
      <w:r>
        <w:rPr>
          <w:rFonts w:ascii="Garamond" w:hAnsi="Garamond"/>
          <w:sz w:val="20"/>
          <w:szCs w:val="20"/>
          <w:rtl w:val="0"/>
          <w:lang w:val="it-IT"/>
        </w:rPr>
        <w:t>,</w:t>
      </w:r>
      <w:r>
        <w:rPr>
          <w:rFonts w:ascii="Garamond" w:hAnsi="Garamond" w:hint="default"/>
          <w:sz w:val="20"/>
          <w:szCs w:val="20"/>
          <w:rtl w:val="0"/>
          <w:lang w:val="it-IT"/>
        </w:rPr>
        <w:t> </w:t>
      </w:r>
      <w:r>
        <w:rPr>
          <w:rFonts w:ascii="Garamond" w:hAnsi="Garamond"/>
          <w:i w:val="1"/>
          <w:iCs w:val="1"/>
          <w:sz w:val="20"/>
          <w:szCs w:val="20"/>
          <w:rtl w:val="0"/>
          <w:lang w:val="it-IT"/>
        </w:rPr>
        <w:t>185</w:t>
      </w:r>
      <w:r>
        <w:rPr>
          <w:rFonts w:ascii="Garamond" w:hAnsi="Garamond"/>
          <w:sz w:val="20"/>
          <w:szCs w:val="20"/>
          <w:rtl w:val="0"/>
          <w:lang w:val="it-IT"/>
        </w:rPr>
        <w:t>(2), 333-347.</w:t>
      </w:r>
    </w:p>
    <w:p>
      <w:pPr>
        <w:pStyle w:val="List Paragraph"/>
        <w:widowControl w:val="1"/>
        <w:numPr>
          <w:ilvl w:val="0"/>
          <w:numId w:val="2"/>
        </w:numPr>
        <w:bidi w:val="0"/>
        <w:spacing w:line="276" w:lineRule="auto"/>
        <w:ind w:right="0"/>
        <w:jc w:val="both"/>
        <w:rPr>
          <w:rFonts w:ascii="Garamond" w:hAnsi="Garamond"/>
          <w:sz w:val="20"/>
          <w:szCs w:val="20"/>
          <w:rtl w:val="0"/>
          <w:lang w:val="it-IT"/>
        </w:rPr>
      </w:pPr>
      <w:r>
        <w:rPr>
          <w:rFonts w:ascii="Garamond" w:hAnsi="Garamond"/>
          <w:sz w:val="20"/>
          <w:szCs w:val="20"/>
          <w:rtl w:val="0"/>
          <w:lang w:val="it-IT"/>
        </w:rPr>
        <w:t xml:space="preserve">Jain, P., Kanoujiya, J., Gautam, R. S., &amp; Rastogi, S. (2024). </w:t>
      </w:r>
      <w:r>
        <w:rPr>
          <w:rFonts w:ascii="Garamond" w:hAnsi="Garamond"/>
          <w:sz w:val="20"/>
          <w:szCs w:val="20"/>
          <w:rtl w:val="0"/>
          <w:lang w:val="en-US"/>
        </w:rPr>
        <w:t>Impact of Financial Inclusion and ESG on the Sustainable Growth of the Nation: Moderating Role of Poverty.</w:t>
      </w:r>
      <w:r>
        <w:rPr>
          <w:rFonts w:ascii="Garamond" w:hAnsi="Garamond" w:hint="default"/>
          <w:sz w:val="20"/>
          <w:szCs w:val="20"/>
          <w:rtl w:val="0"/>
          <w:lang w:val="en-US"/>
        </w:rPr>
        <w:t> </w:t>
      </w:r>
      <w:r>
        <w:rPr>
          <w:rFonts w:ascii="Garamond" w:hAnsi="Garamond"/>
          <w:i w:val="1"/>
          <w:iCs w:val="1"/>
          <w:sz w:val="20"/>
          <w:szCs w:val="20"/>
          <w:rtl w:val="0"/>
          <w:lang w:val="it-IT"/>
        </w:rPr>
        <w:t>Vision</w:t>
      </w:r>
      <w:r>
        <w:rPr>
          <w:rFonts w:ascii="Garamond" w:hAnsi="Garamond"/>
          <w:sz w:val="20"/>
          <w:szCs w:val="20"/>
          <w:rtl w:val="0"/>
          <w:lang w:val="it-IT"/>
        </w:rPr>
        <w:t>, 09722629241271509.</w:t>
      </w:r>
    </w:p>
    <w:p>
      <w:pPr>
        <w:pStyle w:val="List Paragraph"/>
        <w:widowControl w:val="1"/>
        <w:numPr>
          <w:ilvl w:val="0"/>
          <w:numId w:val="2"/>
        </w:numPr>
        <w:bidi w:val="0"/>
        <w:ind w:right="0"/>
        <w:jc w:val="both"/>
        <w:rPr>
          <w:rFonts w:ascii="Garamond" w:hAnsi="Garamond"/>
          <w:sz w:val="20"/>
          <w:szCs w:val="20"/>
          <w:rtl w:val="0"/>
          <w:lang w:val="it-IT"/>
        </w:rPr>
      </w:pPr>
      <w:r>
        <w:rPr>
          <w:rFonts w:ascii="Garamond" w:hAnsi="Garamond"/>
          <w:sz w:val="20"/>
          <w:szCs w:val="20"/>
          <w:rtl w:val="0"/>
          <w:lang w:val="it-IT"/>
        </w:rPr>
        <w:t xml:space="preserve">Kamruzzaman, M., Khatoon, R., Al Mahmud, M. A., Tiwari, A., Samiun, M., Hosain, M. S., ... &amp; Johora, F. T. (2025). </w:t>
      </w:r>
      <w:r>
        <w:rPr>
          <w:rFonts w:ascii="Garamond" w:hAnsi="Garamond"/>
          <w:sz w:val="20"/>
          <w:szCs w:val="20"/>
          <w:rtl w:val="0"/>
          <w:lang w:val="en-US"/>
        </w:rPr>
        <w:t>Enhancing Regulatory Compliance in the Modern Banking Sector: Leveraging Advanced IT Solutions, Robotization, and AI.</w:t>
      </w:r>
      <w:r>
        <w:rPr>
          <w:rFonts w:ascii="Garamond" w:hAnsi="Garamond" w:hint="default"/>
          <w:sz w:val="20"/>
          <w:szCs w:val="20"/>
          <w:rtl w:val="0"/>
          <w:lang w:val="en-US"/>
        </w:rPr>
        <w:t> </w:t>
      </w:r>
      <w:r>
        <w:rPr>
          <w:rFonts w:ascii="Garamond" w:hAnsi="Garamond"/>
          <w:i w:val="1"/>
          <w:iCs w:val="1"/>
          <w:sz w:val="20"/>
          <w:szCs w:val="20"/>
          <w:rtl w:val="0"/>
          <w:lang w:val="it-IT"/>
        </w:rPr>
        <w:t>Journal of Ecohumanism</w:t>
      </w:r>
      <w:r>
        <w:rPr>
          <w:rFonts w:ascii="Garamond" w:hAnsi="Garamond"/>
          <w:sz w:val="20"/>
          <w:szCs w:val="20"/>
          <w:rtl w:val="0"/>
          <w:lang w:val="it-IT"/>
        </w:rPr>
        <w:t>,</w:t>
      </w:r>
      <w:r>
        <w:rPr>
          <w:rFonts w:ascii="Garamond" w:hAnsi="Garamond" w:hint="default"/>
          <w:sz w:val="20"/>
          <w:szCs w:val="20"/>
          <w:rtl w:val="0"/>
          <w:lang w:val="it-IT"/>
        </w:rPr>
        <w:t> </w:t>
      </w:r>
      <w:r>
        <w:rPr>
          <w:rFonts w:ascii="Garamond" w:hAnsi="Garamond"/>
          <w:i w:val="1"/>
          <w:iCs w:val="1"/>
          <w:sz w:val="20"/>
          <w:szCs w:val="20"/>
          <w:rtl w:val="0"/>
          <w:lang w:val="it-IT"/>
        </w:rPr>
        <w:t>4</w:t>
      </w:r>
      <w:r>
        <w:rPr>
          <w:rFonts w:ascii="Garamond" w:hAnsi="Garamond"/>
          <w:sz w:val="20"/>
          <w:szCs w:val="20"/>
          <w:rtl w:val="0"/>
          <w:lang w:val="it-IT"/>
        </w:rPr>
        <w:t>(2), 2596-2609.</w:t>
      </w:r>
    </w:p>
    <w:p>
      <w:pPr>
        <w:pStyle w:val="List Paragraph"/>
        <w:widowControl w:val="1"/>
        <w:numPr>
          <w:ilvl w:val="0"/>
          <w:numId w:val="2"/>
        </w:numPr>
        <w:bidi w:val="0"/>
        <w:ind w:right="0"/>
        <w:jc w:val="both"/>
        <w:rPr>
          <w:rFonts w:ascii="Garamond" w:hAnsi="Garamond"/>
          <w:sz w:val="20"/>
          <w:szCs w:val="20"/>
          <w:rtl w:val="0"/>
          <w:lang w:val="it-IT"/>
        </w:rPr>
      </w:pPr>
      <w:r>
        <w:rPr>
          <w:rFonts w:ascii="Garamond" w:hAnsi="Garamond"/>
          <w:sz w:val="20"/>
          <w:szCs w:val="20"/>
          <w:rtl w:val="0"/>
          <w:lang w:val="it-IT"/>
        </w:rPr>
        <w:t xml:space="preserve">Khalid, F., Sun, J., Guo, J., &amp; Srivastava, M. (2024). </w:t>
      </w:r>
      <w:r>
        <w:rPr>
          <w:rFonts w:ascii="Garamond" w:hAnsi="Garamond"/>
          <w:sz w:val="20"/>
          <w:szCs w:val="20"/>
          <w:rtl w:val="0"/>
          <w:lang w:val="en-US"/>
        </w:rPr>
        <w:t>Green corporate image: Assessing the effects of climate change management practices on corporate reputation.</w:t>
      </w:r>
      <w:r>
        <w:rPr>
          <w:rFonts w:ascii="Garamond" w:hAnsi="Garamond" w:hint="default"/>
          <w:sz w:val="20"/>
          <w:szCs w:val="20"/>
          <w:rtl w:val="0"/>
          <w:lang w:val="en-US"/>
        </w:rPr>
        <w:t> </w:t>
      </w:r>
      <w:r>
        <w:rPr>
          <w:rFonts w:ascii="Garamond" w:hAnsi="Garamond"/>
          <w:i w:val="1"/>
          <w:iCs w:val="1"/>
          <w:sz w:val="20"/>
          <w:szCs w:val="20"/>
          <w:rtl w:val="0"/>
          <w:lang w:val="it-IT"/>
        </w:rPr>
        <w:t>Corporate Social Responsibility and Environmental Management</w:t>
      </w:r>
      <w:r>
        <w:rPr>
          <w:rFonts w:ascii="Garamond" w:hAnsi="Garamond"/>
          <w:sz w:val="20"/>
          <w:szCs w:val="20"/>
          <w:rtl w:val="0"/>
          <w:lang w:val="it-IT"/>
        </w:rPr>
        <w:t>,</w:t>
      </w:r>
      <w:r>
        <w:rPr>
          <w:rFonts w:ascii="Garamond" w:hAnsi="Garamond" w:hint="default"/>
          <w:sz w:val="20"/>
          <w:szCs w:val="20"/>
          <w:rtl w:val="0"/>
          <w:lang w:val="it-IT"/>
        </w:rPr>
        <w:t> </w:t>
      </w:r>
      <w:r>
        <w:rPr>
          <w:rFonts w:ascii="Garamond" w:hAnsi="Garamond"/>
          <w:i w:val="1"/>
          <w:iCs w:val="1"/>
          <w:sz w:val="20"/>
          <w:szCs w:val="20"/>
          <w:rtl w:val="0"/>
          <w:lang w:val="it-IT"/>
        </w:rPr>
        <w:t>31</w:t>
      </w:r>
      <w:r>
        <w:rPr>
          <w:rFonts w:ascii="Garamond" w:hAnsi="Garamond"/>
          <w:sz w:val="20"/>
          <w:szCs w:val="20"/>
          <w:rtl w:val="0"/>
          <w:lang w:val="it-IT"/>
        </w:rPr>
        <w:t>(3), 1786-1801.</w:t>
      </w:r>
    </w:p>
    <w:p>
      <w:pPr>
        <w:pStyle w:val="List Paragraph"/>
        <w:widowControl w:val="1"/>
        <w:numPr>
          <w:ilvl w:val="0"/>
          <w:numId w:val="2"/>
        </w:numPr>
        <w:bidi w:val="0"/>
        <w:ind w:right="0"/>
        <w:jc w:val="both"/>
        <w:rPr>
          <w:rFonts w:ascii="Garamond" w:hAnsi="Garamond"/>
          <w:sz w:val="20"/>
          <w:szCs w:val="20"/>
          <w:rtl w:val="0"/>
          <w:lang w:val="en-US"/>
        </w:rPr>
      </w:pPr>
      <w:r>
        <w:rPr>
          <w:rFonts w:ascii="Garamond" w:hAnsi="Garamond"/>
          <w:sz w:val="20"/>
          <w:szCs w:val="20"/>
          <w:rtl w:val="0"/>
          <w:lang w:val="en-US"/>
        </w:rPr>
        <w:t>Khan, M. K., Huo, C., Zahid, R. A., &amp; Maqsood, U. S. (2024). The automated sustainability auditor: Does artificial intelligence curtail greenwashing behavior in Chinese firms?.</w:t>
      </w:r>
      <w:r>
        <w:rPr>
          <w:rFonts w:ascii="Garamond" w:hAnsi="Garamond" w:hint="default"/>
          <w:sz w:val="20"/>
          <w:szCs w:val="20"/>
          <w:rtl w:val="0"/>
          <w:lang w:val="en-US"/>
        </w:rPr>
        <w:t> </w:t>
      </w:r>
      <w:r>
        <w:rPr>
          <w:rFonts w:ascii="Garamond" w:hAnsi="Garamond"/>
          <w:i w:val="1"/>
          <w:iCs w:val="1"/>
          <w:sz w:val="20"/>
          <w:szCs w:val="20"/>
          <w:rtl w:val="0"/>
          <w:lang w:val="it-IT"/>
        </w:rPr>
        <w:t>Business Strategy and the Environment</w:t>
      </w:r>
      <w:r>
        <w:rPr>
          <w:rFonts w:ascii="Garamond" w:hAnsi="Garamond"/>
          <w:sz w:val="20"/>
          <w:szCs w:val="20"/>
          <w:rtl w:val="0"/>
          <w:lang w:val="it-IT"/>
        </w:rPr>
        <w:t>,</w:t>
      </w:r>
      <w:r>
        <w:rPr>
          <w:rFonts w:ascii="Garamond" w:hAnsi="Garamond" w:hint="default"/>
          <w:sz w:val="20"/>
          <w:szCs w:val="20"/>
          <w:rtl w:val="0"/>
          <w:lang w:val="it-IT"/>
        </w:rPr>
        <w:t> </w:t>
      </w:r>
      <w:r>
        <w:rPr>
          <w:rFonts w:ascii="Garamond" w:hAnsi="Garamond"/>
          <w:i w:val="1"/>
          <w:iCs w:val="1"/>
          <w:sz w:val="20"/>
          <w:szCs w:val="20"/>
          <w:rtl w:val="0"/>
          <w:lang w:val="it-IT"/>
        </w:rPr>
        <w:t>33</w:t>
      </w:r>
      <w:r>
        <w:rPr>
          <w:rFonts w:ascii="Garamond" w:hAnsi="Garamond"/>
          <w:sz w:val="20"/>
          <w:szCs w:val="20"/>
          <w:rtl w:val="0"/>
          <w:lang w:val="it-IT"/>
        </w:rPr>
        <w:t>(8), 9015-9039.</w:t>
      </w:r>
    </w:p>
    <w:p>
      <w:pPr>
        <w:pStyle w:val="List Paragraph"/>
        <w:widowControl w:val="1"/>
        <w:numPr>
          <w:ilvl w:val="0"/>
          <w:numId w:val="2"/>
        </w:numPr>
        <w:bidi w:val="0"/>
        <w:ind w:right="0"/>
        <w:jc w:val="both"/>
        <w:rPr>
          <w:rFonts w:ascii="Garamond" w:hAnsi="Garamond"/>
          <w:sz w:val="20"/>
          <w:szCs w:val="20"/>
          <w:rtl w:val="0"/>
          <w:lang w:val="en-US"/>
        </w:rPr>
      </w:pPr>
      <w:r>
        <w:rPr>
          <w:rFonts w:ascii="Garamond" w:hAnsi="Garamond"/>
          <w:sz w:val="20"/>
          <w:szCs w:val="20"/>
          <w:rtl w:val="0"/>
          <w:lang w:val="en-US"/>
        </w:rPr>
        <w:t xml:space="preserve">Khan, M. I., &amp; Iqbal, A. (2024). </w:t>
      </w:r>
      <w:r>
        <w:rPr>
          <w:rFonts w:ascii="Garamond" w:hAnsi="Garamond"/>
          <w:i w:val="1"/>
          <w:iCs w:val="1"/>
          <w:sz w:val="20"/>
          <w:szCs w:val="20"/>
          <w:rtl w:val="0"/>
          <w:lang w:val="en-US"/>
        </w:rPr>
        <w:t>Integrating ESG with corporate investment decision-making</w:t>
      </w:r>
      <w:r>
        <w:rPr>
          <w:rFonts w:ascii="Garamond" w:hAnsi="Garamond"/>
          <w:sz w:val="20"/>
          <w:szCs w:val="20"/>
          <w:rtl w:val="0"/>
          <w:lang w:val="en-US"/>
        </w:rPr>
        <w:t xml:space="preserve">. In Imran Hunjra, A., &amp; Hussainey, K. (Eds.). </w:t>
      </w:r>
      <w:r>
        <w:rPr>
          <w:rFonts w:ascii="Garamond" w:hAnsi="Garamond"/>
          <w:i w:val="1"/>
          <w:iCs w:val="1"/>
          <w:sz w:val="20"/>
          <w:szCs w:val="20"/>
          <w:rtl w:val="0"/>
          <w:lang w:val="en-US"/>
        </w:rPr>
        <w:t>The Emerald Handbook of Ethical Finance and Corporate Social Responsibility: A Framework for Sustainable Development</w:t>
      </w:r>
      <w:r>
        <w:rPr>
          <w:rFonts w:ascii="Garamond" w:hAnsi="Garamond"/>
          <w:sz w:val="20"/>
          <w:szCs w:val="20"/>
          <w:rtl w:val="0"/>
          <w:lang w:val="en-US"/>
        </w:rPr>
        <w:t xml:space="preserve"> (pp. 329-350). </w:t>
      </w:r>
      <w:r>
        <w:rPr>
          <w:rFonts w:ascii="Garamond" w:hAnsi="Garamond"/>
          <w:sz w:val="20"/>
          <w:szCs w:val="20"/>
          <w:rtl w:val="0"/>
          <w:lang w:val="it-IT"/>
        </w:rPr>
        <w:t>Emerald Publishing Limited.</w:t>
      </w:r>
    </w:p>
    <w:p>
      <w:pPr>
        <w:pStyle w:val="List Paragraph"/>
        <w:widowControl w:val="1"/>
        <w:numPr>
          <w:ilvl w:val="0"/>
          <w:numId w:val="2"/>
        </w:numPr>
        <w:bidi w:val="0"/>
        <w:ind w:right="0"/>
        <w:jc w:val="both"/>
        <w:rPr>
          <w:rFonts w:ascii="Garamond" w:hAnsi="Garamond"/>
          <w:sz w:val="20"/>
          <w:szCs w:val="20"/>
          <w:rtl w:val="0"/>
          <w:lang w:val="it-IT"/>
        </w:rPr>
      </w:pPr>
      <w:r>
        <w:rPr>
          <w:rFonts w:ascii="Garamond" w:hAnsi="Garamond"/>
          <w:sz w:val="20"/>
          <w:szCs w:val="20"/>
          <w:rtl w:val="0"/>
          <w:lang w:val="it-IT"/>
        </w:rPr>
        <w:t>Kluza, K., Zio</w:t>
      </w:r>
      <w:r>
        <w:rPr>
          <w:rFonts w:ascii="Garamond" w:hAnsi="Garamond" w:hint="default"/>
          <w:sz w:val="20"/>
          <w:szCs w:val="20"/>
          <w:rtl w:val="0"/>
          <w:lang w:val="it-IT"/>
        </w:rPr>
        <w:t>ł</w:t>
      </w:r>
      <w:r>
        <w:rPr>
          <w:rFonts w:ascii="Garamond" w:hAnsi="Garamond"/>
          <w:sz w:val="20"/>
          <w:szCs w:val="20"/>
          <w:rtl w:val="0"/>
          <w:lang w:val="it-IT"/>
        </w:rPr>
        <w:t>o, M., B</w:t>
      </w:r>
      <w:r>
        <w:rPr>
          <w:rFonts w:ascii="Garamond" w:hAnsi="Garamond" w:hint="default"/>
          <w:sz w:val="20"/>
          <w:szCs w:val="20"/>
          <w:rtl w:val="0"/>
          <w:lang w:val="it-IT"/>
        </w:rPr>
        <w:t>ą</w:t>
      </w:r>
      <w:r>
        <w:rPr>
          <w:rFonts w:ascii="Garamond" w:hAnsi="Garamond"/>
          <w:sz w:val="20"/>
          <w:szCs w:val="20"/>
          <w:rtl w:val="0"/>
          <w:lang w:val="it-IT"/>
        </w:rPr>
        <w:t xml:space="preserve">k, I., &amp; Spoz, A. (2021). </w:t>
      </w:r>
      <w:r>
        <w:rPr>
          <w:rFonts w:ascii="Garamond" w:hAnsi="Garamond"/>
          <w:sz w:val="20"/>
          <w:szCs w:val="20"/>
          <w:rtl w:val="0"/>
          <w:lang w:val="en-US"/>
        </w:rPr>
        <w:t xml:space="preserve">Achieving environmental policy objectives through the implementation of sustainable development goals. </w:t>
      </w:r>
      <w:r>
        <w:rPr>
          <w:rFonts w:ascii="Garamond" w:hAnsi="Garamond"/>
          <w:sz w:val="20"/>
          <w:szCs w:val="20"/>
          <w:rtl w:val="0"/>
          <w:lang w:val="it-IT"/>
        </w:rPr>
        <w:t>The case for European Union countries.</w:t>
      </w:r>
      <w:r>
        <w:rPr>
          <w:rFonts w:ascii="Garamond" w:hAnsi="Garamond" w:hint="default"/>
          <w:sz w:val="20"/>
          <w:szCs w:val="20"/>
          <w:rtl w:val="0"/>
          <w:lang w:val="it-IT"/>
        </w:rPr>
        <w:t> </w:t>
      </w:r>
      <w:r>
        <w:rPr>
          <w:rFonts w:ascii="Garamond" w:hAnsi="Garamond"/>
          <w:i w:val="1"/>
          <w:iCs w:val="1"/>
          <w:sz w:val="20"/>
          <w:szCs w:val="20"/>
          <w:rtl w:val="0"/>
          <w:lang w:val="it-IT"/>
        </w:rPr>
        <w:t>Energies</w:t>
      </w:r>
      <w:r>
        <w:rPr>
          <w:rFonts w:ascii="Garamond" w:hAnsi="Garamond"/>
          <w:sz w:val="20"/>
          <w:szCs w:val="20"/>
          <w:rtl w:val="0"/>
          <w:lang w:val="it-IT"/>
        </w:rPr>
        <w:t>,</w:t>
      </w:r>
      <w:r>
        <w:rPr>
          <w:rFonts w:ascii="Garamond" w:hAnsi="Garamond" w:hint="default"/>
          <w:sz w:val="20"/>
          <w:szCs w:val="20"/>
          <w:rtl w:val="0"/>
          <w:lang w:val="it-IT"/>
        </w:rPr>
        <w:t> </w:t>
      </w:r>
      <w:r>
        <w:rPr>
          <w:rFonts w:ascii="Garamond" w:hAnsi="Garamond"/>
          <w:i w:val="1"/>
          <w:iCs w:val="1"/>
          <w:sz w:val="20"/>
          <w:szCs w:val="20"/>
          <w:rtl w:val="0"/>
          <w:lang w:val="it-IT"/>
        </w:rPr>
        <w:t>14</w:t>
      </w:r>
      <w:r>
        <w:rPr>
          <w:rFonts w:ascii="Garamond" w:hAnsi="Garamond"/>
          <w:sz w:val="20"/>
          <w:szCs w:val="20"/>
          <w:rtl w:val="0"/>
          <w:lang w:val="it-IT"/>
        </w:rPr>
        <w:t>(8), 2129.</w:t>
      </w:r>
    </w:p>
    <w:p>
      <w:pPr>
        <w:pStyle w:val="List Paragraph"/>
        <w:widowControl w:val="1"/>
        <w:numPr>
          <w:ilvl w:val="0"/>
          <w:numId w:val="2"/>
        </w:numPr>
        <w:bidi w:val="0"/>
        <w:ind w:right="0"/>
        <w:jc w:val="both"/>
        <w:rPr>
          <w:rFonts w:ascii="Garamond" w:hAnsi="Garamond"/>
          <w:sz w:val="20"/>
          <w:szCs w:val="20"/>
          <w:rtl w:val="0"/>
          <w:lang w:val="en-US"/>
        </w:rPr>
      </w:pPr>
      <w:r>
        <w:rPr>
          <w:rFonts w:ascii="Garamond" w:hAnsi="Garamond"/>
          <w:sz w:val="20"/>
          <w:szCs w:val="20"/>
          <w:rtl w:val="0"/>
          <w:lang w:val="en-US"/>
        </w:rPr>
        <w:t xml:space="preserve">Koszowski, M. (2016). Restrictions on the Use of Analogy in Law. </w:t>
      </w:r>
      <w:r>
        <w:rPr>
          <w:rFonts w:ascii="Garamond" w:hAnsi="Garamond"/>
          <w:i w:val="1"/>
          <w:iCs w:val="1"/>
          <w:sz w:val="20"/>
          <w:szCs w:val="20"/>
          <w:rtl w:val="0"/>
          <w:lang w:val="it-IT"/>
        </w:rPr>
        <w:t>Liverpool Law Review</w:t>
      </w:r>
      <w:r>
        <w:rPr>
          <w:rFonts w:ascii="Garamond" w:hAnsi="Garamond"/>
          <w:sz w:val="20"/>
          <w:szCs w:val="20"/>
          <w:rtl w:val="0"/>
          <w:lang w:val="it-IT"/>
        </w:rPr>
        <w:t>, 37, 137-151.</w:t>
      </w:r>
    </w:p>
    <w:p>
      <w:pPr>
        <w:pStyle w:val="List Paragraph"/>
        <w:widowControl w:val="1"/>
        <w:numPr>
          <w:ilvl w:val="0"/>
          <w:numId w:val="2"/>
        </w:numPr>
        <w:bidi w:val="0"/>
        <w:ind w:right="0"/>
        <w:jc w:val="both"/>
        <w:rPr>
          <w:rFonts w:ascii="Garamond" w:hAnsi="Garamond"/>
          <w:sz w:val="20"/>
          <w:szCs w:val="20"/>
          <w:rtl w:val="0"/>
          <w:lang w:val="en-US"/>
        </w:rPr>
      </w:pPr>
      <w:r>
        <w:rPr>
          <w:rFonts w:ascii="Garamond" w:hAnsi="Garamond"/>
          <w:sz w:val="20"/>
          <w:szCs w:val="20"/>
          <w:rtl w:val="0"/>
          <w:lang w:val="en-US"/>
        </w:rPr>
        <w:t>Kothandapani, H. P. (2025). AI-Driven Regulatory Compliance: Transforming Financial Oversight through Large Language Models and Automation.</w:t>
      </w:r>
      <w:r>
        <w:rPr>
          <w:rFonts w:ascii="Garamond" w:hAnsi="Garamond" w:hint="default"/>
          <w:sz w:val="20"/>
          <w:szCs w:val="20"/>
          <w:rtl w:val="0"/>
          <w:lang w:val="en-US"/>
        </w:rPr>
        <w:t> </w:t>
      </w:r>
      <w:r>
        <w:rPr>
          <w:rFonts w:ascii="Garamond" w:hAnsi="Garamond"/>
          <w:i w:val="1"/>
          <w:iCs w:val="1"/>
          <w:sz w:val="20"/>
          <w:szCs w:val="20"/>
          <w:rtl w:val="0"/>
          <w:lang w:val="it-IT"/>
        </w:rPr>
        <w:t>Emerging Science Research</w:t>
      </w:r>
      <w:r>
        <w:rPr>
          <w:rFonts w:ascii="Garamond" w:hAnsi="Garamond"/>
          <w:sz w:val="20"/>
          <w:szCs w:val="20"/>
          <w:rtl w:val="0"/>
          <w:lang w:val="it-IT"/>
        </w:rPr>
        <w:t>, 12-24.</w:t>
      </w:r>
    </w:p>
    <w:p>
      <w:pPr>
        <w:pStyle w:val="List Paragraph"/>
        <w:widowControl w:val="1"/>
        <w:numPr>
          <w:ilvl w:val="0"/>
          <w:numId w:val="2"/>
        </w:numPr>
        <w:bidi w:val="0"/>
        <w:ind w:right="0"/>
        <w:jc w:val="both"/>
        <w:rPr>
          <w:rFonts w:ascii="Garamond" w:hAnsi="Garamond"/>
          <w:sz w:val="20"/>
          <w:szCs w:val="20"/>
          <w:rtl w:val="0"/>
          <w:lang w:val="en-US"/>
        </w:rPr>
      </w:pPr>
      <w:r>
        <w:rPr>
          <w:rFonts w:ascii="Garamond" w:hAnsi="Garamond"/>
          <w:sz w:val="20"/>
          <w:szCs w:val="20"/>
          <w:rtl w:val="0"/>
          <w:lang w:val="en-US"/>
        </w:rPr>
        <w:t xml:space="preserve">Lagasio, V. (2024). ESG-washing detection in corporate sustainability reports. </w:t>
      </w:r>
      <w:r>
        <w:rPr>
          <w:rFonts w:ascii="Garamond" w:hAnsi="Garamond"/>
          <w:i w:val="1"/>
          <w:iCs w:val="1"/>
          <w:sz w:val="20"/>
          <w:szCs w:val="20"/>
          <w:rtl w:val="0"/>
          <w:lang w:val="it-IT"/>
        </w:rPr>
        <w:t>International Review of Financial Analysis</w:t>
      </w:r>
      <w:r>
        <w:rPr>
          <w:rFonts w:ascii="Garamond" w:hAnsi="Garamond"/>
          <w:sz w:val="20"/>
          <w:szCs w:val="20"/>
          <w:rtl w:val="0"/>
          <w:lang w:val="it-IT"/>
        </w:rPr>
        <w:t>, 96, 103742, 1-10.</w:t>
      </w:r>
    </w:p>
    <w:p>
      <w:pPr>
        <w:pStyle w:val="List Paragraph"/>
        <w:widowControl w:val="1"/>
        <w:numPr>
          <w:ilvl w:val="0"/>
          <w:numId w:val="2"/>
        </w:numPr>
        <w:bidi w:val="0"/>
        <w:ind w:right="0"/>
        <w:jc w:val="both"/>
        <w:rPr>
          <w:rFonts w:ascii="Garamond" w:hAnsi="Garamond"/>
          <w:sz w:val="20"/>
          <w:szCs w:val="20"/>
          <w:rtl w:val="0"/>
          <w:lang w:val="it-IT"/>
        </w:rPr>
      </w:pPr>
      <w:r>
        <w:rPr>
          <w:rFonts w:ascii="Garamond" w:hAnsi="Garamond"/>
          <w:sz w:val="20"/>
          <w:szCs w:val="20"/>
          <w:rtl w:val="0"/>
          <w:lang w:val="it-IT"/>
        </w:rPr>
        <w:t>Lapinskait</w:t>
      </w:r>
      <w:r>
        <w:rPr>
          <w:rFonts w:ascii="Garamond" w:hAnsi="Garamond" w:hint="default"/>
          <w:sz w:val="20"/>
          <w:szCs w:val="20"/>
          <w:rtl w:val="0"/>
          <w:lang w:val="it-IT"/>
        </w:rPr>
        <w:t>ė</w:t>
      </w:r>
      <w:r>
        <w:rPr>
          <w:rFonts w:ascii="Garamond" w:hAnsi="Garamond"/>
          <w:sz w:val="20"/>
          <w:szCs w:val="20"/>
          <w:rtl w:val="0"/>
          <w:lang w:val="it-IT"/>
        </w:rPr>
        <w:t>, I., Stasytyt</w:t>
      </w:r>
      <w:r>
        <w:rPr>
          <w:rFonts w:ascii="Garamond" w:hAnsi="Garamond" w:hint="default"/>
          <w:sz w:val="20"/>
          <w:szCs w:val="20"/>
          <w:rtl w:val="0"/>
          <w:lang w:val="it-IT"/>
        </w:rPr>
        <w:t>ė</w:t>
      </w:r>
      <w:r>
        <w:rPr>
          <w:rFonts w:ascii="Garamond" w:hAnsi="Garamond"/>
          <w:sz w:val="20"/>
          <w:szCs w:val="20"/>
          <w:rtl w:val="0"/>
          <w:lang w:val="it-IT"/>
        </w:rPr>
        <w:t xml:space="preserve">, V., &amp; Skvarciany, V. (2025). </w:t>
      </w:r>
      <w:r>
        <w:rPr>
          <w:rFonts w:ascii="Garamond" w:hAnsi="Garamond"/>
          <w:sz w:val="20"/>
          <w:szCs w:val="20"/>
          <w:rtl w:val="0"/>
          <w:lang w:val="en-US"/>
        </w:rPr>
        <w:t>Unveiling how efficiently sustainability transforms into intangible assets of financial institutions.</w:t>
      </w:r>
      <w:r>
        <w:rPr>
          <w:rFonts w:ascii="Garamond" w:hAnsi="Garamond" w:hint="default"/>
          <w:sz w:val="20"/>
          <w:szCs w:val="20"/>
          <w:rtl w:val="0"/>
          <w:lang w:val="en-US"/>
        </w:rPr>
        <w:t> </w:t>
      </w:r>
      <w:r>
        <w:rPr>
          <w:rFonts w:ascii="Garamond" w:hAnsi="Garamond"/>
          <w:i w:val="1"/>
          <w:iCs w:val="1"/>
          <w:sz w:val="20"/>
          <w:szCs w:val="20"/>
          <w:rtl w:val="0"/>
          <w:lang w:val="it-IT"/>
        </w:rPr>
        <w:t>Research in International Business and Finance</w:t>
      </w:r>
      <w:r>
        <w:rPr>
          <w:rFonts w:ascii="Garamond" w:hAnsi="Garamond"/>
          <w:sz w:val="20"/>
          <w:szCs w:val="20"/>
          <w:rtl w:val="0"/>
          <w:lang w:val="it-IT"/>
        </w:rPr>
        <w:t>,</w:t>
      </w:r>
      <w:r>
        <w:rPr>
          <w:rFonts w:ascii="Garamond" w:hAnsi="Garamond" w:hint="default"/>
          <w:sz w:val="20"/>
          <w:szCs w:val="20"/>
          <w:rtl w:val="0"/>
          <w:lang w:val="it-IT"/>
        </w:rPr>
        <w:t> </w:t>
      </w:r>
      <w:r>
        <w:rPr>
          <w:rFonts w:ascii="Garamond" w:hAnsi="Garamond"/>
          <w:i w:val="1"/>
          <w:iCs w:val="1"/>
          <w:sz w:val="20"/>
          <w:szCs w:val="20"/>
          <w:rtl w:val="0"/>
          <w:lang w:val="it-IT"/>
        </w:rPr>
        <w:t>76</w:t>
      </w:r>
      <w:r>
        <w:rPr>
          <w:rFonts w:ascii="Garamond" w:hAnsi="Garamond"/>
          <w:sz w:val="20"/>
          <w:szCs w:val="20"/>
          <w:rtl w:val="0"/>
          <w:lang w:val="it-IT"/>
        </w:rPr>
        <w:t>, 102835.</w:t>
      </w:r>
    </w:p>
    <w:p>
      <w:pPr>
        <w:pStyle w:val="List Paragraph"/>
        <w:widowControl w:val="1"/>
        <w:numPr>
          <w:ilvl w:val="0"/>
          <w:numId w:val="2"/>
        </w:numPr>
        <w:bidi w:val="0"/>
        <w:ind w:right="0"/>
        <w:jc w:val="both"/>
        <w:rPr>
          <w:rFonts w:ascii="Garamond" w:hAnsi="Garamond"/>
          <w:sz w:val="20"/>
          <w:szCs w:val="20"/>
          <w:rtl w:val="0"/>
          <w:lang w:val="en-US"/>
        </w:rPr>
      </w:pPr>
      <w:r>
        <w:rPr>
          <w:rFonts w:ascii="Garamond" w:hAnsi="Garamond"/>
          <w:sz w:val="20"/>
          <w:szCs w:val="20"/>
          <w:rtl w:val="0"/>
          <w:lang w:val="en-US"/>
        </w:rPr>
        <w:t>Lashitew, A. A. (2021). Corporate uptake of the Sustainable Development Goals: Mere greenwashing or an advent of institutional change?.</w:t>
      </w:r>
      <w:r>
        <w:rPr>
          <w:rFonts w:ascii="Garamond" w:hAnsi="Garamond" w:hint="default"/>
          <w:sz w:val="20"/>
          <w:szCs w:val="20"/>
          <w:rtl w:val="0"/>
          <w:lang w:val="en-US"/>
        </w:rPr>
        <w:t> </w:t>
      </w:r>
      <w:r>
        <w:rPr>
          <w:rFonts w:ascii="Garamond" w:hAnsi="Garamond"/>
          <w:i w:val="1"/>
          <w:iCs w:val="1"/>
          <w:sz w:val="20"/>
          <w:szCs w:val="20"/>
          <w:rtl w:val="0"/>
          <w:lang w:val="it-IT"/>
        </w:rPr>
        <w:t>Journal of International Business Policy</w:t>
      </w:r>
      <w:r>
        <w:rPr>
          <w:rFonts w:ascii="Garamond" w:hAnsi="Garamond"/>
          <w:sz w:val="20"/>
          <w:szCs w:val="20"/>
          <w:rtl w:val="0"/>
          <w:lang w:val="it-IT"/>
        </w:rPr>
        <w:t>,</w:t>
      </w:r>
      <w:r>
        <w:rPr>
          <w:rFonts w:ascii="Garamond" w:hAnsi="Garamond" w:hint="default"/>
          <w:sz w:val="20"/>
          <w:szCs w:val="20"/>
          <w:rtl w:val="0"/>
          <w:lang w:val="it-IT"/>
        </w:rPr>
        <w:t> </w:t>
      </w:r>
      <w:r>
        <w:rPr>
          <w:rFonts w:ascii="Garamond" w:hAnsi="Garamond"/>
          <w:i w:val="1"/>
          <w:iCs w:val="1"/>
          <w:sz w:val="20"/>
          <w:szCs w:val="20"/>
          <w:rtl w:val="0"/>
          <w:lang w:val="it-IT"/>
        </w:rPr>
        <w:t>4</w:t>
      </w:r>
      <w:r>
        <w:rPr>
          <w:rFonts w:ascii="Garamond" w:hAnsi="Garamond"/>
          <w:sz w:val="20"/>
          <w:szCs w:val="20"/>
          <w:rtl w:val="0"/>
          <w:lang w:val="it-IT"/>
        </w:rPr>
        <w:t>(1), 184-200.</w:t>
      </w:r>
    </w:p>
    <w:p>
      <w:pPr>
        <w:pStyle w:val="List Paragraph"/>
        <w:widowControl w:val="1"/>
        <w:numPr>
          <w:ilvl w:val="0"/>
          <w:numId w:val="2"/>
        </w:numPr>
        <w:bidi w:val="0"/>
        <w:ind w:right="0"/>
        <w:jc w:val="both"/>
        <w:rPr>
          <w:rFonts w:ascii="Garamond" w:hAnsi="Garamond"/>
          <w:sz w:val="20"/>
          <w:szCs w:val="20"/>
          <w:rtl w:val="0"/>
          <w:lang w:val="en-US"/>
        </w:rPr>
      </w:pPr>
      <w:r>
        <w:rPr>
          <w:rFonts w:ascii="Garamond" w:hAnsi="Garamond"/>
          <w:sz w:val="20"/>
          <w:szCs w:val="20"/>
          <w:rtl w:val="0"/>
          <w:lang w:val="en-US"/>
        </w:rPr>
        <w:t xml:space="preserve">Leeuw, F. L. (2025). </w:t>
      </w:r>
      <w:r>
        <w:rPr>
          <w:rFonts w:ascii="Garamond" w:hAnsi="Garamond"/>
          <w:i w:val="1"/>
          <w:iCs w:val="1"/>
          <w:sz w:val="20"/>
          <w:szCs w:val="20"/>
          <w:rtl w:val="0"/>
          <w:lang w:val="en-US"/>
        </w:rPr>
        <w:t>The Algorithmization of Policy and Society</w:t>
      </w:r>
      <w:r>
        <w:rPr>
          <w:rFonts w:ascii="Garamond" w:hAnsi="Garamond"/>
          <w:sz w:val="20"/>
          <w:szCs w:val="20"/>
          <w:rtl w:val="0"/>
          <w:lang w:val="en-US"/>
        </w:rPr>
        <w:t>.</w:t>
      </w:r>
      <w:r>
        <w:rPr>
          <w:rFonts w:ascii="Garamond" w:hAnsi="Garamond" w:hint="default"/>
          <w:sz w:val="20"/>
          <w:szCs w:val="20"/>
          <w:rtl w:val="0"/>
          <w:lang w:val="en-US"/>
        </w:rPr>
        <w:t> </w:t>
      </w:r>
      <w:r>
        <w:rPr>
          <w:rFonts w:ascii="Garamond" w:hAnsi="Garamond"/>
          <w:sz w:val="20"/>
          <w:szCs w:val="20"/>
          <w:rtl w:val="0"/>
          <w:lang w:val="it-IT"/>
        </w:rPr>
        <w:t xml:space="preserve">In Nielsen, S. B., Mazzeo Rinaldi, F., &amp; Petersson, G. J. (Eds.). </w:t>
      </w:r>
      <w:r>
        <w:rPr>
          <w:rFonts w:ascii="Garamond" w:hAnsi="Garamond"/>
          <w:i w:val="1"/>
          <w:iCs w:val="1"/>
          <w:sz w:val="20"/>
          <w:szCs w:val="20"/>
          <w:rtl w:val="0"/>
          <w:lang w:val="it-IT"/>
        </w:rPr>
        <w:t>Artificial Intelligence and Evaluation</w:t>
      </w:r>
      <w:r>
        <w:rPr>
          <w:rFonts w:ascii="Garamond" w:hAnsi="Garamond"/>
          <w:sz w:val="20"/>
          <w:szCs w:val="20"/>
          <w:rtl w:val="0"/>
          <w:lang w:val="it-IT"/>
        </w:rPr>
        <w:t xml:space="preserve"> (pp. 242-265). Routledge.</w:t>
      </w:r>
    </w:p>
    <w:p>
      <w:pPr>
        <w:pStyle w:val="List Paragraph"/>
        <w:widowControl w:val="1"/>
        <w:numPr>
          <w:ilvl w:val="0"/>
          <w:numId w:val="2"/>
        </w:numPr>
        <w:bidi w:val="0"/>
        <w:ind w:right="0"/>
        <w:jc w:val="both"/>
        <w:rPr>
          <w:rFonts w:ascii="Garamond" w:hAnsi="Garamond"/>
          <w:sz w:val="20"/>
          <w:szCs w:val="20"/>
          <w:rtl w:val="0"/>
          <w:lang w:val="it-IT"/>
        </w:rPr>
      </w:pPr>
      <w:r>
        <w:rPr>
          <w:rFonts w:ascii="Garamond" w:hAnsi="Garamond"/>
          <w:sz w:val="20"/>
          <w:szCs w:val="20"/>
          <w:rtl w:val="0"/>
          <w:lang w:val="it-IT"/>
        </w:rPr>
        <w:t xml:space="preserve">Leblebici Kocer, L., Senturk Ulucak, Z., &amp; Delice Akca, T. (2023). </w:t>
      </w:r>
      <w:r>
        <w:rPr>
          <w:rFonts w:ascii="Garamond" w:hAnsi="Garamond"/>
          <w:sz w:val="20"/>
          <w:szCs w:val="20"/>
          <w:rtl w:val="0"/>
          <w:lang w:val="en-US"/>
        </w:rPr>
        <w:t>The role of environmental concern in purchasing decision on organic food and the link to greenwashing.</w:t>
      </w:r>
      <w:r>
        <w:rPr>
          <w:rFonts w:ascii="Garamond" w:hAnsi="Garamond" w:hint="default"/>
          <w:sz w:val="20"/>
          <w:szCs w:val="20"/>
          <w:rtl w:val="0"/>
          <w:lang w:val="en-US"/>
        </w:rPr>
        <w:t> </w:t>
      </w:r>
      <w:r>
        <w:rPr>
          <w:rFonts w:ascii="Garamond" w:hAnsi="Garamond"/>
          <w:i w:val="1"/>
          <w:iCs w:val="1"/>
          <w:sz w:val="20"/>
          <w:szCs w:val="20"/>
          <w:rtl w:val="0"/>
          <w:lang w:val="it-IT"/>
        </w:rPr>
        <w:t>Environment, Development and Sustainability</w:t>
      </w:r>
      <w:r>
        <w:rPr>
          <w:rFonts w:ascii="Garamond" w:hAnsi="Garamond"/>
          <w:sz w:val="20"/>
          <w:szCs w:val="20"/>
          <w:rtl w:val="0"/>
          <w:lang w:val="it-IT"/>
        </w:rPr>
        <w:t>, 1-24.</w:t>
      </w:r>
    </w:p>
    <w:p>
      <w:pPr>
        <w:pStyle w:val="List Paragraph"/>
        <w:widowControl w:val="1"/>
        <w:numPr>
          <w:ilvl w:val="0"/>
          <w:numId w:val="2"/>
        </w:numPr>
        <w:bidi w:val="0"/>
        <w:ind w:right="0"/>
        <w:jc w:val="both"/>
        <w:rPr>
          <w:rFonts w:ascii="Garamond" w:hAnsi="Garamond"/>
          <w:sz w:val="20"/>
          <w:szCs w:val="20"/>
          <w:rtl w:val="0"/>
          <w:lang w:val="en-US"/>
        </w:rPr>
      </w:pPr>
      <w:r>
        <w:rPr>
          <w:rFonts w:ascii="Garamond" w:hAnsi="Garamond"/>
          <w:sz w:val="20"/>
          <w:szCs w:val="20"/>
          <w:rtl w:val="0"/>
          <w:lang w:val="en-US"/>
        </w:rPr>
        <w:t xml:space="preserve">Li, J., &amp; Li, S. (2022). Environmental protection tax, corporate ESG performance, and green technological innovation. </w:t>
      </w:r>
      <w:r>
        <w:rPr>
          <w:rFonts w:ascii="Garamond" w:hAnsi="Garamond"/>
          <w:sz w:val="20"/>
          <w:szCs w:val="20"/>
          <w:rtl w:val="0"/>
          <w:lang w:val="it-IT"/>
        </w:rPr>
        <w:t>Frontiers in Environmental Science, 10, 982132.</w:t>
      </w:r>
    </w:p>
    <w:p>
      <w:pPr>
        <w:pStyle w:val="List Paragraph"/>
        <w:widowControl w:val="1"/>
        <w:numPr>
          <w:ilvl w:val="0"/>
          <w:numId w:val="2"/>
        </w:numPr>
        <w:bidi w:val="0"/>
        <w:ind w:right="0"/>
        <w:jc w:val="both"/>
        <w:rPr>
          <w:rFonts w:ascii="Garamond" w:hAnsi="Garamond"/>
          <w:sz w:val="20"/>
          <w:szCs w:val="20"/>
          <w:rtl w:val="0"/>
          <w:lang w:val="en-US"/>
        </w:rPr>
      </w:pPr>
      <w:r>
        <w:rPr>
          <w:rFonts w:ascii="Garamond" w:hAnsi="Garamond"/>
          <w:sz w:val="20"/>
          <w:szCs w:val="20"/>
          <w:rtl w:val="0"/>
          <w:lang w:val="en-US"/>
        </w:rPr>
        <w:t>Liang, Y., &amp; Gao, X. (2025). Greenwashing and financial performance in public health firms: the mechanism of organizational legitimacy erosion.</w:t>
      </w:r>
      <w:r>
        <w:rPr>
          <w:rFonts w:ascii="Garamond" w:hAnsi="Garamond" w:hint="default"/>
          <w:sz w:val="20"/>
          <w:szCs w:val="20"/>
          <w:rtl w:val="0"/>
          <w:lang w:val="en-US"/>
        </w:rPr>
        <w:t> </w:t>
      </w:r>
      <w:r>
        <w:rPr>
          <w:rFonts w:ascii="Garamond" w:hAnsi="Garamond"/>
          <w:i w:val="1"/>
          <w:iCs w:val="1"/>
          <w:sz w:val="20"/>
          <w:szCs w:val="20"/>
          <w:rtl w:val="0"/>
          <w:lang w:val="it-IT"/>
        </w:rPr>
        <w:t>Frontiers in Public Health</w:t>
      </w:r>
      <w:r>
        <w:rPr>
          <w:rFonts w:ascii="Garamond" w:hAnsi="Garamond"/>
          <w:sz w:val="20"/>
          <w:szCs w:val="20"/>
          <w:rtl w:val="0"/>
          <w:lang w:val="it-IT"/>
        </w:rPr>
        <w:t>,</w:t>
      </w:r>
      <w:r>
        <w:rPr>
          <w:rFonts w:ascii="Garamond" w:hAnsi="Garamond" w:hint="default"/>
          <w:sz w:val="20"/>
          <w:szCs w:val="20"/>
          <w:rtl w:val="0"/>
          <w:lang w:val="it-IT"/>
        </w:rPr>
        <w:t> </w:t>
      </w:r>
      <w:r>
        <w:rPr>
          <w:rFonts w:ascii="Garamond" w:hAnsi="Garamond"/>
          <w:i w:val="1"/>
          <w:iCs w:val="1"/>
          <w:sz w:val="20"/>
          <w:szCs w:val="20"/>
          <w:rtl w:val="0"/>
          <w:lang w:val="it-IT"/>
        </w:rPr>
        <w:t>13</w:t>
      </w:r>
      <w:r>
        <w:rPr>
          <w:rFonts w:ascii="Garamond" w:hAnsi="Garamond"/>
          <w:sz w:val="20"/>
          <w:szCs w:val="20"/>
          <w:rtl w:val="0"/>
          <w:lang w:val="it-IT"/>
        </w:rPr>
        <w:t>, 1565703.</w:t>
      </w:r>
    </w:p>
    <w:p>
      <w:pPr>
        <w:pStyle w:val="List Paragraph"/>
        <w:widowControl w:val="1"/>
        <w:numPr>
          <w:ilvl w:val="0"/>
          <w:numId w:val="2"/>
        </w:numPr>
        <w:bidi w:val="0"/>
        <w:ind w:right="0"/>
        <w:jc w:val="both"/>
        <w:rPr>
          <w:rFonts w:ascii="Garamond" w:hAnsi="Garamond"/>
          <w:sz w:val="20"/>
          <w:szCs w:val="20"/>
          <w:rtl w:val="0"/>
          <w:lang w:val="en-US"/>
        </w:rPr>
      </w:pPr>
      <w:r>
        <w:rPr>
          <w:rFonts w:ascii="Garamond" w:hAnsi="Garamond"/>
          <w:sz w:val="20"/>
          <w:szCs w:val="20"/>
          <w:rtl w:val="0"/>
          <w:lang w:val="en-US"/>
        </w:rPr>
        <w:t>Liu, F., Jin, T., &amp; Lee, J. S. (2025). Automatic readability assessment for sentences: neural, hybrid and large language models.</w:t>
      </w:r>
      <w:r>
        <w:rPr>
          <w:rFonts w:ascii="Garamond" w:hAnsi="Garamond" w:hint="default"/>
          <w:sz w:val="20"/>
          <w:szCs w:val="20"/>
          <w:rtl w:val="0"/>
          <w:lang w:val="en-US"/>
        </w:rPr>
        <w:t> </w:t>
      </w:r>
      <w:r>
        <w:rPr>
          <w:rFonts w:ascii="Garamond" w:hAnsi="Garamond"/>
          <w:i w:val="1"/>
          <w:iCs w:val="1"/>
          <w:sz w:val="20"/>
          <w:szCs w:val="20"/>
          <w:rtl w:val="0"/>
          <w:lang w:val="it-IT"/>
        </w:rPr>
        <w:t>Language Resources and Evaluation</w:t>
      </w:r>
      <w:r>
        <w:rPr>
          <w:rFonts w:ascii="Garamond" w:hAnsi="Garamond"/>
          <w:sz w:val="20"/>
          <w:szCs w:val="20"/>
          <w:rtl w:val="0"/>
          <w:lang w:val="it-IT"/>
        </w:rPr>
        <w:t>, 1-32.</w:t>
      </w:r>
    </w:p>
    <w:p>
      <w:pPr>
        <w:pStyle w:val="List Paragraph"/>
        <w:widowControl w:val="1"/>
        <w:numPr>
          <w:ilvl w:val="0"/>
          <w:numId w:val="2"/>
        </w:numPr>
        <w:bidi w:val="0"/>
        <w:ind w:right="0"/>
        <w:jc w:val="both"/>
        <w:rPr>
          <w:rFonts w:ascii="Garamond" w:hAnsi="Garamond"/>
          <w:sz w:val="20"/>
          <w:szCs w:val="20"/>
          <w:rtl w:val="0"/>
          <w:lang w:val="it-IT"/>
        </w:rPr>
      </w:pPr>
      <w:r>
        <w:rPr>
          <w:rFonts w:ascii="Garamond" w:hAnsi="Garamond"/>
          <w:sz w:val="20"/>
          <w:szCs w:val="20"/>
          <w:rtl w:val="0"/>
          <w:lang w:val="it-IT"/>
        </w:rPr>
        <w:t>L</w:t>
      </w:r>
      <w:r>
        <w:rPr>
          <w:rFonts w:ascii="Garamond" w:hAnsi="Garamond" w:hint="default"/>
          <w:sz w:val="20"/>
          <w:szCs w:val="20"/>
          <w:rtl w:val="0"/>
          <w:lang w:val="it-IT"/>
        </w:rPr>
        <w:t>ó</w:t>
      </w:r>
      <w:r>
        <w:rPr>
          <w:rFonts w:ascii="Garamond" w:hAnsi="Garamond"/>
          <w:sz w:val="20"/>
          <w:szCs w:val="20"/>
          <w:rtl w:val="0"/>
          <w:lang w:val="it-IT"/>
        </w:rPr>
        <w:t xml:space="preserve">pez-Cabarcos, M. </w:t>
      </w:r>
      <w:r>
        <w:rPr>
          <w:rFonts w:ascii="Garamond" w:hAnsi="Garamond" w:hint="default"/>
          <w:sz w:val="20"/>
          <w:szCs w:val="20"/>
          <w:rtl w:val="0"/>
          <w:lang w:val="it-IT"/>
        </w:rPr>
        <w:t>Á</w:t>
      </w:r>
      <w:r>
        <w:rPr>
          <w:rFonts w:ascii="Garamond" w:hAnsi="Garamond"/>
          <w:sz w:val="20"/>
          <w:szCs w:val="20"/>
          <w:rtl w:val="0"/>
          <w:lang w:val="it-IT"/>
        </w:rPr>
        <w:t>., Ziane, Y., L</w:t>
      </w:r>
      <w:r>
        <w:rPr>
          <w:rFonts w:ascii="Garamond" w:hAnsi="Garamond" w:hint="default"/>
          <w:sz w:val="20"/>
          <w:szCs w:val="20"/>
          <w:rtl w:val="0"/>
          <w:lang w:val="it-IT"/>
        </w:rPr>
        <w:t>ó</w:t>
      </w:r>
      <w:r>
        <w:rPr>
          <w:rFonts w:ascii="Garamond" w:hAnsi="Garamond"/>
          <w:sz w:val="20"/>
          <w:szCs w:val="20"/>
          <w:rtl w:val="0"/>
          <w:lang w:val="it-IT"/>
        </w:rPr>
        <w:t>pez-P</w:t>
      </w:r>
      <w:r>
        <w:rPr>
          <w:rFonts w:ascii="Garamond" w:hAnsi="Garamond" w:hint="default"/>
          <w:sz w:val="20"/>
          <w:szCs w:val="20"/>
          <w:rtl w:val="0"/>
          <w:lang w:val="it-IT"/>
        </w:rPr>
        <w:t>é</w:t>
      </w:r>
      <w:r>
        <w:rPr>
          <w:rFonts w:ascii="Garamond" w:hAnsi="Garamond"/>
          <w:sz w:val="20"/>
          <w:szCs w:val="20"/>
          <w:rtl w:val="0"/>
          <w:lang w:val="it-IT"/>
        </w:rPr>
        <w:t>rez, M. L., &amp; Pi</w:t>
      </w:r>
      <w:r>
        <w:rPr>
          <w:rFonts w:ascii="Garamond" w:hAnsi="Garamond" w:hint="default"/>
          <w:sz w:val="20"/>
          <w:szCs w:val="20"/>
          <w:rtl w:val="0"/>
          <w:lang w:val="it-IT"/>
        </w:rPr>
        <w:t>ñ</w:t>
      </w:r>
      <w:r>
        <w:rPr>
          <w:rFonts w:ascii="Garamond" w:hAnsi="Garamond"/>
          <w:sz w:val="20"/>
          <w:szCs w:val="20"/>
          <w:rtl w:val="0"/>
          <w:lang w:val="it-IT"/>
        </w:rPr>
        <w:t xml:space="preserve">eiro-Chousa, J. (2025). </w:t>
      </w:r>
      <w:r>
        <w:rPr>
          <w:rFonts w:ascii="Garamond" w:hAnsi="Garamond"/>
          <w:sz w:val="20"/>
          <w:szCs w:val="20"/>
          <w:rtl w:val="0"/>
          <w:lang w:val="en-US"/>
        </w:rPr>
        <w:t>The Ethical Commitment of Business Strategy: ESG-Related Factors as Drivers of the SDGs.</w:t>
      </w:r>
      <w:r>
        <w:rPr>
          <w:rFonts w:ascii="Garamond" w:hAnsi="Garamond" w:hint="default"/>
          <w:sz w:val="20"/>
          <w:szCs w:val="20"/>
          <w:rtl w:val="0"/>
          <w:lang w:val="en-US"/>
        </w:rPr>
        <w:t> </w:t>
      </w:r>
      <w:r>
        <w:rPr>
          <w:rFonts w:ascii="Garamond" w:hAnsi="Garamond"/>
          <w:i w:val="1"/>
          <w:iCs w:val="1"/>
          <w:sz w:val="20"/>
          <w:szCs w:val="20"/>
          <w:rtl w:val="0"/>
          <w:lang w:val="it-IT"/>
        </w:rPr>
        <w:t>Journal of Business Ethics</w:t>
      </w:r>
      <w:r>
        <w:rPr>
          <w:rFonts w:ascii="Garamond" w:hAnsi="Garamond"/>
          <w:sz w:val="20"/>
          <w:szCs w:val="20"/>
          <w:rtl w:val="0"/>
          <w:lang w:val="it-IT"/>
        </w:rPr>
        <w:t>, 1-17.</w:t>
      </w:r>
    </w:p>
    <w:p>
      <w:pPr>
        <w:pStyle w:val="List Paragraph"/>
        <w:widowControl w:val="1"/>
        <w:numPr>
          <w:ilvl w:val="0"/>
          <w:numId w:val="2"/>
        </w:numPr>
        <w:bidi w:val="0"/>
        <w:ind w:right="0"/>
        <w:jc w:val="both"/>
        <w:rPr>
          <w:rFonts w:ascii="Garamond" w:hAnsi="Garamond"/>
          <w:sz w:val="20"/>
          <w:szCs w:val="20"/>
          <w:rtl w:val="0"/>
          <w:lang w:val="fr-FR"/>
        </w:rPr>
      </w:pPr>
      <w:r>
        <w:rPr>
          <w:rFonts w:ascii="Garamond" w:hAnsi="Garamond"/>
          <w:sz w:val="20"/>
          <w:szCs w:val="20"/>
          <w:rtl w:val="0"/>
          <w:lang w:val="fr-FR"/>
        </w:rPr>
        <w:t xml:space="preserve">MacLennan, J., &amp; De Catelle, W. (2025). </w:t>
      </w:r>
      <w:r>
        <w:rPr>
          <w:rFonts w:ascii="Garamond" w:hAnsi="Garamond"/>
          <w:sz w:val="20"/>
          <w:szCs w:val="20"/>
          <w:rtl w:val="0"/>
          <w:lang w:val="en-US"/>
        </w:rPr>
        <w:t>The Revision of EU Greenwashing Laws: A New Framework of Analysis.</w:t>
      </w:r>
      <w:r>
        <w:rPr>
          <w:rFonts w:ascii="Garamond" w:hAnsi="Garamond" w:hint="default"/>
          <w:sz w:val="20"/>
          <w:szCs w:val="20"/>
          <w:rtl w:val="0"/>
          <w:lang w:val="en-US"/>
        </w:rPr>
        <w:t> </w:t>
      </w:r>
      <w:r>
        <w:rPr>
          <w:rFonts w:ascii="Garamond" w:hAnsi="Garamond"/>
          <w:i w:val="1"/>
          <w:iCs w:val="1"/>
          <w:sz w:val="20"/>
          <w:szCs w:val="20"/>
          <w:rtl w:val="0"/>
          <w:lang w:val="it-IT"/>
        </w:rPr>
        <w:t>Business and Human Rights Journal</w:t>
      </w:r>
      <w:r>
        <w:rPr>
          <w:rFonts w:ascii="Garamond" w:hAnsi="Garamond"/>
          <w:sz w:val="20"/>
          <w:szCs w:val="20"/>
          <w:rtl w:val="0"/>
          <w:lang w:val="it-IT"/>
        </w:rPr>
        <w:t>, 1-7.</w:t>
      </w:r>
    </w:p>
    <w:p>
      <w:pPr>
        <w:pStyle w:val="List Paragraph"/>
        <w:widowControl w:val="1"/>
        <w:numPr>
          <w:ilvl w:val="0"/>
          <w:numId w:val="2"/>
        </w:numPr>
        <w:bidi w:val="0"/>
        <w:ind w:right="0"/>
        <w:jc w:val="both"/>
        <w:rPr>
          <w:rFonts w:ascii="Garamond" w:hAnsi="Garamond"/>
          <w:sz w:val="20"/>
          <w:szCs w:val="20"/>
          <w:rtl w:val="0"/>
          <w:lang w:val="en-US"/>
        </w:rPr>
      </w:pPr>
      <w:r>
        <w:rPr>
          <w:rFonts w:ascii="Garamond" w:hAnsi="Garamond"/>
          <w:sz w:val="20"/>
          <w:szCs w:val="20"/>
          <w:rtl w:val="0"/>
          <w:lang w:val="en-US"/>
        </w:rPr>
        <w:t>Marcatajo, G. (2023). Green claims, green washing and consumer protection in the European Union.</w:t>
      </w:r>
      <w:r>
        <w:rPr>
          <w:rFonts w:ascii="Garamond" w:hAnsi="Garamond" w:hint="default"/>
          <w:sz w:val="20"/>
          <w:szCs w:val="20"/>
          <w:rtl w:val="0"/>
          <w:lang w:val="en-US"/>
        </w:rPr>
        <w:t> </w:t>
      </w:r>
      <w:r>
        <w:rPr>
          <w:rFonts w:ascii="Garamond" w:hAnsi="Garamond"/>
          <w:i w:val="1"/>
          <w:iCs w:val="1"/>
          <w:sz w:val="20"/>
          <w:szCs w:val="20"/>
          <w:rtl w:val="0"/>
          <w:lang w:val="it-IT"/>
        </w:rPr>
        <w:t>Journal of Financial Crime</w:t>
      </w:r>
      <w:r>
        <w:rPr>
          <w:rFonts w:ascii="Garamond" w:hAnsi="Garamond"/>
          <w:sz w:val="20"/>
          <w:szCs w:val="20"/>
          <w:rtl w:val="0"/>
          <w:lang w:val="it-IT"/>
        </w:rPr>
        <w:t>,</w:t>
      </w:r>
      <w:r>
        <w:rPr>
          <w:rFonts w:ascii="Garamond" w:hAnsi="Garamond" w:hint="default"/>
          <w:sz w:val="20"/>
          <w:szCs w:val="20"/>
          <w:rtl w:val="0"/>
          <w:lang w:val="it-IT"/>
        </w:rPr>
        <w:t> </w:t>
      </w:r>
      <w:r>
        <w:rPr>
          <w:rFonts w:ascii="Garamond" w:hAnsi="Garamond"/>
          <w:i w:val="1"/>
          <w:iCs w:val="1"/>
          <w:sz w:val="20"/>
          <w:szCs w:val="20"/>
          <w:rtl w:val="0"/>
          <w:lang w:val="it-IT"/>
        </w:rPr>
        <w:t>30</w:t>
      </w:r>
      <w:r>
        <w:rPr>
          <w:rFonts w:ascii="Garamond" w:hAnsi="Garamond"/>
          <w:sz w:val="20"/>
          <w:szCs w:val="20"/>
          <w:rtl w:val="0"/>
          <w:lang w:val="it-IT"/>
        </w:rPr>
        <w:t>(1), 143-153.</w:t>
      </w:r>
    </w:p>
    <w:p>
      <w:pPr>
        <w:pStyle w:val="List Paragraph"/>
        <w:widowControl w:val="1"/>
        <w:numPr>
          <w:ilvl w:val="0"/>
          <w:numId w:val="2"/>
        </w:numPr>
        <w:bidi w:val="0"/>
        <w:ind w:right="0"/>
        <w:jc w:val="both"/>
        <w:rPr>
          <w:rFonts w:ascii="Garamond" w:hAnsi="Garamond"/>
          <w:sz w:val="20"/>
          <w:szCs w:val="20"/>
          <w:rtl w:val="0"/>
          <w:lang w:val="en-US"/>
        </w:rPr>
      </w:pPr>
      <w:r>
        <w:rPr>
          <w:rFonts w:ascii="Garamond" w:hAnsi="Garamond"/>
          <w:sz w:val="20"/>
          <w:szCs w:val="20"/>
          <w:rtl w:val="0"/>
          <w:lang w:val="en-US"/>
        </w:rPr>
        <w:t>Menicucci, E. (2025). The ESG Framework in the Banking Sector. In</w:t>
      </w:r>
      <w:r>
        <w:rPr>
          <w:rFonts w:ascii="Garamond" w:hAnsi="Garamond" w:hint="default"/>
          <w:sz w:val="20"/>
          <w:szCs w:val="20"/>
          <w:rtl w:val="0"/>
          <w:lang w:val="en-US"/>
        </w:rPr>
        <w:t> </w:t>
      </w:r>
      <w:r>
        <w:rPr>
          <w:rFonts w:ascii="Garamond" w:hAnsi="Garamond"/>
          <w:sz w:val="20"/>
          <w:szCs w:val="20"/>
          <w:rtl w:val="0"/>
          <w:lang w:val="en-US"/>
        </w:rPr>
        <w:t xml:space="preserve">Menicucci, E. (Ed.). </w:t>
      </w:r>
      <w:r>
        <w:rPr>
          <w:rFonts w:ascii="Garamond" w:hAnsi="Garamond"/>
          <w:i w:val="1"/>
          <w:iCs w:val="1"/>
          <w:sz w:val="20"/>
          <w:szCs w:val="20"/>
          <w:rtl w:val="0"/>
          <w:lang w:val="en-US"/>
        </w:rPr>
        <w:t>ESG Integration in the Banking Sector: Navigating Regulatory Frameworks and Strategic Challenges for Financial Institutions</w:t>
      </w:r>
      <w:r>
        <w:rPr>
          <w:rFonts w:ascii="Garamond" w:hAnsi="Garamond" w:hint="default"/>
          <w:sz w:val="20"/>
          <w:szCs w:val="20"/>
          <w:rtl w:val="0"/>
          <w:lang w:val="en-US"/>
        </w:rPr>
        <w:t> </w:t>
      </w:r>
      <w:r>
        <w:rPr>
          <w:rFonts w:ascii="Garamond" w:hAnsi="Garamond"/>
          <w:sz w:val="20"/>
          <w:szCs w:val="20"/>
          <w:rtl w:val="0"/>
          <w:lang w:val="en-US"/>
        </w:rPr>
        <w:t xml:space="preserve">(pp. 27-51). </w:t>
      </w:r>
      <w:r>
        <w:rPr>
          <w:rFonts w:ascii="Garamond" w:hAnsi="Garamond"/>
          <w:sz w:val="20"/>
          <w:szCs w:val="20"/>
          <w:rtl w:val="0"/>
          <w:lang w:val="it-IT"/>
        </w:rPr>
        <w:t>Cham: Springer Nature Switzerland.</w:t>
      </w:r>
    </w:p>
    <w:p>
      <w:pPr>
        <w:pStyle w:val="List Paragraph"/>
        <w:widowControl w:val="1"/>
        <w:numPr>
          <w:ilvl w:val="0"/>
          <w:numId w:val="2"/>
        </w:numPr>
        <w:bidi w:val="0"/>
        <w:ind w:right="0"/>
        <w:jc w:val="both"/>
        <w:rPr>
          <w:rFonts w:ascii="Garamond" w:hAnsi="Garamond"/>
          <w:sz w:val="20"/>
          <w:szCs w:val="20"/>
          <w:rtl w:val="0"/>
          <w:lang w:val="en-US"/>
        </w:rPr>
      </w:pPr>
      <w:r>
        <w:rPr>
          <w:rFonts w:ascii="Garamond" w:hAnsi="Garamond"/>
          <w:sz w:val="20"/>
          <w:szCs w:val="20"/>
          <w:rtl w:val="0"/>
          <w:lang w:val="en-US"/>
        </w:rPr>
        <w:t xml:space="preserve">Mer, A., Singhal, K., &amp; Virdi, A. S. (2024). </w:t>
      </w:r>
      <w:r>
        <w:rPr>
          <w:rFonts w:ascii="Garamond" w:hAnsi="Garamond"/>
          <w:i w:val="1"/>
          <w:iCs w:val="1"/>
          <w:sz w:val="20"/>
          <w:szCs w:val="20"/>
          <w:rtl w:val="0"/>
          <w:lang w:val="en-US"/>
        </w:rPr>
        <w:t>A Review of the Role of Artificial Intelligence in Banking and Stock Market Trading</w:t>
      </w:r>
      <w:r>
        <w:rPr>
          <w:rFonts w:ascii="Garamond" w:hAnsi="Garamond"/>
          <w:sz w:val="20"/>
          <w:szCs w:val="20"/>
          <w:rtl w:val="0"/>
          <w:lang w:val="en-US"/>
        </w:rPr>
        <w:t>.</w:t>
      </w:r>
      <w:r>
        <w:rPr>
          <w:rFonts w:ascii="Garamond" w:hAnsi="Garamond" w:hint="default"/>
          <w:sz w:val="20"/>
          <w:szCs w:val="20"/>
          <w:rtl w:val="0"/>
          <w:lang w:val="en-US"/>
        </w:rPr>
        <w:t> </w:t>
      </w:r>
      <w:r>
        <w:rPr>
          <w:rFonts w:ascii="Garamond" w:hAnsi="Garamond"/>
          <w:sz w:val="20"/>
          <w:szCs w:val="20"/>
          <w:rtl w:val="0"/>
          <w:lang w:val="en-US"/>
        </w:rPr>
        <w:t xml:space="preserve">In Grima, S., Ozen, E., Kumar, P., Taneja, S., &amp; Sood, K. (Eds.). </w:t>
      </w:r>
      <w:r>
        <w:rPr>
          <w:rFonts w:ascii="Garamond" w:hAnsi="Garamond"/>
          <w:i w:val="1"/>
          <w:iCs w:val="1"/>
          <w:sz w:val="20"/>
          <w:szCs w:val="20"/>
          <w:rtl w:val="0"/>
          <w:lang w:val="en-US"/>
        </w:rPr>
        <w:t>Finance Analytics in Business: Perspectives on Enhancing Efficiency and Accuracy</w:t>
      </w:r>
      <w:r>
        <w:rPr>
          <w:rFonts w:ascii="Garamond" w:hAnsi="Garamond"/>
          <w:sz w:val="20"/>
          <w:szCs w:val="20"/>
          <w:rtl w:val="0"/>
          <w:lang w:val="en-US"/>
        </w:rPr>
        <w:t>, 175-198.</w:t>
      </w:r>
    </w:p>
    <w:p>
      <w:pPr>
        <w:pStyle w:val="List Paragraph"/>
        <w:widowControl w:val="1"/>
        <w:numPr>
          <w:ilvl w:val="0"/>
          <w:numId w:val="2"/>
        </w:numPr>
        <w:bidi w:val="0"/>
        <w:ind w:right="0"/>
        <w:jc w:val="both"/>
        <w:rPr>
          <w:rFonts w:ascii="Garamond" w:hAnsi="Garamond"/>
          <w:sz w:val="20"/>
          <w:szCs w:val="20"/>
          <w:rtl w:val="0"/>
          <w:lang w:val="en-US"/>
        </w:rPr>
      </w:pPr>
      <w:r>
        <w:rPr>
          <w:rFonts w:ascii="Garamond" w:hAnsi="Garamond"/>
          <w:sz w:val="20"/>
          <w:szCs w:val="20"/>
          <w:rtl w:val="0"/>
          <w:lang w:val="en-US"/>
        </w:rPr>
        <w:t xml:space="preserve">Mollers, T. M. (2022). European Green Deal: Greenwashing and the Forgotten Good Corporate Citizen as an Investor. </w:t>
      </w:r>
      <w:r>
        <w:rPr>
          <w:rFonts w:ascii="Garamond" w:hAnsi="Garamond"/>
          <w:i w:val="1"/>
          <w:iCs w:val="1"/>
          <w:sz w:val="20"/>
          <w:szCs w:val="20"/>
          <w:rtl w:val="0"/>
          <w:lang w:val="it-IT"/>
        </w:rPr>
        <w:t>Columbia Journal of European Law</w:t>
      </w:r>
      <w:r>
        <w:rPr>
          <w:rFonts w:ascii="Garamond" w:hAnsi="Garamond"/>
          <w:sz w:val="20"/>
          <w:szCs w:val="20"/>
          <w:rtl w:val="0"/>
          <w:lang w:val="it-IT"/>
        </w:rPr>
        <w:t>, 28, 203-238.</w:t>
      </w:r>
    </w:p>
    <w:p>
      <w:pPr>
        <w:pStyle w:val="List Paragraph"/>
        <w:widowControl w:val="1"/>
        <w:numPr>
          <w:ilvl w:val="0"/>
          <w:numId w:val="2"/>
        </w:numPr>
        <w:bidi w:val="0"/>
        <w:ind w:right="0"/>
        <w:jc w:val="both"/>
        <w:rPr>
          <w:rFonts w:ascii="Garamond" w:hAnsi="Garamond"/>
          <w:sz w:val="20"/>
          <w:szCs w:val="20"/>
          <w:rtl w:val="0"/>
          <w:lang w:val="it-IT"/>
        </w:rPr>
      </w:pPr>
      <w:r>
        <w:rPr>
          <w:rFonts w:ascii="Garamond" w:hAnsi="Garamond"/>
          <w:sz w:val="20"/>
          <w:szCs w:val="20"/>
          <w:rtl w:val="0"/>
          <w:lang w:val="it-IT"/>
        </w:rPr>
        <w:t xml:space="preserve">Montevechi, A. A., de Carvalho Miranda, R., Medeiros, A. L., &amp; Montevechi, J. A. B. (2024). </w:t>
      </w:r>
      <w:r>
        <w:rPr>
          <w:rFonts w:ascii="Garamond" w:hAnsi="Garamond"/>
          <w:sz w:val="20"/>
          <w:szCs w:val="20"/>
          <w:rtl w:val="0"/>
          <w:lang w:val="en-US"/>
        </w:rPr>
        <w:t>Advancing credit risk modelling with Machine Learning: A comprehensive review of the state-of-the-art.</w:t>
      </w:r>
      <w:r>
        <w:rPr>
          <w:rFonts w:ascii="Garamond" w:hAnsi="Garamond" w:hint="default"/>
          <w:sz w:val="20"/>
          <w:szCs w:val="20"/>
          <w:rtl w:val="0"/>
          <w:lang w:val="en-US"/>
        </w:rPr>
        <w:t> </w:t>
      </w:r>
      <w:r>
        <w:rPr>
          <w:rFonts w:ascii="Garamond" w:hAnsi="Garamond"/>
          <w:i w:val="1"/>
          <w:iCs w:val="1"/>
          <w:sz w:val="20"/>
          <w:szCs w:val="20"/>
          <w:rtl w:val="0"/>
          <w:lang w:val="it-IT"/>
        </w:rPr>
        <w:t>Engineering Applications of Artificial Intelligence</w:t>
      </w:r>
      <w:r>
        <w:rPr>
          <w:rFonts w:ascii="Garamond" w:hAnsi="Garamond"/>
          <w:sz w:val="20"/>
          <w:szCs w:val="20"/>
          <w:rtl w:val="0"/>
          <w:lang w:val="it-IT"/>
        </w:rPr>
        <w:t>,</w:t>
      </w:r>
      <w:r>
        <w:rPr>
          <w:rFonts w:ascii="Garamond" w:hAnsi="Garamond" w:hint="default"/>
          <w:sz w:val="20"/>
          <w:szCs w:val="20"/>
          <w:rtl w:val="0"/>
          <w:lang w:val="it-IT"/>
        </w:rPr>
        <w:t> </w:t>
      </w:r>
      <w:r>
        <w:rPr>
          <w:rFonts w:ascii="Garamond" w:hAnsi="Garamond"/>
          <w:i w:val="1"/>
          <w:iCs w:val="1"/>
          <w:sz w:val="20"/>
          <w:szCs w:val="20"/>
          <w:rtl w:val="0"/>
          <w:lang w:val="it-IT"/>
        </w:rPr>
        <w:t>137</w:t>
      </w:r>
      <w:r>
        <w:rPr>
          <w:rFonts w:ascii="Garamond" w:hAnsi="Garamond"/>
          <w:sz w:val="20"/>
          <w:szCs w:val="20"/>
          <w:rtl w:val="0"/>
          <w:lang w:val="it-IT"/>
        </w:rPr>
        <w:t>, 109082.</w:t>
      </w:r>
    </w:p>
    <w:p>
      <w:pPr>
        <w:pStyle w:val="List Paragraph"/>
        <w:widowControl w:val="1"/>
        <w:numPr>
          <w:ilvl w:val="0"/>
          <w:numId w:val="2"/>
        </w:numPr>
        <w:bidi w:val="0"/>
        <w:ind w:right="0"/>
        <w:jc w:val="both"/>
        <w:rPr>
          <w:rFonts w:ascii="Garamond" w:hAnsi="Garamond"/>
          <w:sz w:val="20"/>
          <w:szCs w:val="20"/>
          <w:rtl w:val="0"/>
          <w:lang w:val="en-US"/>
        </w:rPr>
      </w:pPr>
      <w:r>
        <w:rPr>
          <w:rFonts w:ascii="Garamond" w:hAnsi="Garamond"/>
          <w:sz w:val="20"/>
          <w:szCs w:val="20"/>
          <w:rtl w:val="0"/>
          <w:lang w:val="en-US"/>
        </w:rPr>
        <w:t>Nemetz, P. N. (2022).</w:t>
      </w:r>
      <w:r>
        <w:rPr>
          <w:rFonts w:ascii="Garamond" w:hAnsi="Garamond" w:hint="default"/>
          <w:sz w:val="20"/>
          <w:szCs w:val="20"/>
          <w:rtl w:val="0"/>
          <w:lang w:val="en-US"/>
        </w:rPr>
        <w:t> </w:t>
      </w:r>
      <w:r>
        <w:rPr>
          <w:rFonts w:ascii="Garamond" w:hAnsi="Garamond"/>
          <w:i w:val="1"/>
          <w:iCs w:val="1"/>
          <w:sz w:val="20"/>
          <w:szCs w:val="20"/>
          <w:rtl w:val="0"/>
          <w:lang w:val="en-US"/>
        </w:rPr>
        <w:t>Unsustainable world: are we losing the battle to save our planet?</w:t>
      </w:r>
      <w:r>
        <w:rPr>
          <w:rFonts w:ascii="Garamond" w:hAnsi="Garamond"/>
          <w:sz w:val="20"/>
          <w:szCs w:val="20"/>
          <w:rtl w:val="0"/>
          <w:lang w:val="en-US"/>
        </w:rPr>
        <w:t xml:space="preserve">. </w:t>
      </w:r>
      <w:r>
        <w:rPr>
          <w:rFonts w:ascii="Garamond" w:hAnsi="Garamond"/>
          <w:sz w:val="20"/>
          <w:szCs w:val="20"/>
          <w:rtl w:val="0"/>
          <w:lang w:val="it-IT"/>
        </w:rPr>
        <w:t>Routledge.</w:t>
      </w:r>
    </w:p>
    <w:p>
      <w:pPr>
        <w:pStyle w:val="List Paragraph"/>
        <w:widowControl w:val="1"/>
        <w:numPr>
          <w:ilvl w:val="0"/>
          <w:numId w:val="2"/>
        </w:numPr>
        <w:bidi w:val="0"/>
        <w:ind w:right="0"/>
        <w:jc w:val="both"/>
        <w:rPr>
          <w:rFonts w:ascii="Garamond" w:hAnsi="Garamond"/>
          <w:sz w:val="20"/>
          <w:szCs w:val="20"/>
          <w:rtl w:val="0"/>
          <w:lang w:val="en-US"/>
        </w:rPr>
      </w:pPr>
      <w:r>
        <w:rPr>
          <w:rFonts w:ascii="Garamond" w:hAnsi="Garamond"/>
          <w:sz w:val="20"/>
          <w:szCs w:val="20"/>
          <w:rtl w:val="0"/>
          <w:lang w:val="en-US"/>
        </w:rPr>
        <w:t>Neves Proen</w:t>
      </w:r>
      <w:r>
        <w:rPr>
          <w:rFonts w:ascii="Garamond" w:hAnsi="Garamond" w:hint="default"/>
          <w:sz w:val="20"/>
          <w:szCs w:val="20"/>
          <w:rtl w:val="0"/>
          <w:lang w:val="en-US"/>
        </w:rPr>
        <w:t>ç</w:t>
      </w:r>
      <w:r>
        <w:rPr>
          <w:rFonts w:ascii="Garamond" w:hAnsi="Garamond"/>
          <w:sz w:val="20"/>
          <w:szCs w:val="20"/>
          <w:rtl w:val="0"/>
          <w:lang w:val="en-US"/>
        </w:rPr>
        <w:t>a, C. A., Coelho, A. F. D. M., Fernandes, C., &amp; Ferreira, J. J. (2025). Differentiating between a genuine environmental strategy and greenwashing: evidence from the cooperative banking sector.</w:t>
      </w:r>
      <w:r>
        <w:rPr>
          <w:rFonts w:ascii="Garamond" w:hAnsi="Garamond" w:hint="default"/>
          <w:sz w:val="20"/>
          <w:szCs w:val="20"/>
          <w:rtl w:val="0"/>
          <w:lang w:val="en-US"/>
        </w:rPr>
        <w:t> </w:t>
      </w:r>
      <w:r>
        <w:rPr>
          <w:rFonts w:ascii="Garamond" w:hAnsi="Garamond"/>
          <w:i w:val="1"/>
          <w:iCs w:val="1"/>
          <w:sz w:val="20"/>
          <w:szCs w:val="20"/>
          <w:rtl w:val="0"/>
          <w:lang w:val="it-IT"/>
        </w:rPr>
        <w:t>International Journal of Bank Marketing</w:t>
      </w:r>
      <w:r>
        <w:rPr>
          <w:rFonts w:ascii="Garamond" w:hAnsi="Garamond"/>
          <w:sz w:val="20"/>
          <w:szCs w:val="20"/>
          <w:rtl w:val="0"/>
          <w:lang w:val="it-IT"/>
        </w:rPr>
        <w:t>.</w:t>
      </w:r>
    </w:p>
    <w:p>
      <w:pPr>
        <w:pStyle w:val="List Paragraph"/>
        <w:widowControl w:val="1"/>
        <w:numPr>
          <w:ilvl w:val="0"/>
          <w:numId w:val="2"/>
        </w:numPr>
        <w:bidi w:val="0"/>
        <w:ind w:right="0"/>
        <w:jc w:val="both"/>
        <w:rPr>
          <w:rFonts w:ascii="Garamond" w:hAnsi="Garamond"/>
          <w:sz w:val="20"/>
          <w:szCs w:val="20"/>
          <w:rtl w:val="0"/>
          <w:lang w:val="en-US"/>
        </w:rPr>
      </w:pPr>
      <w:r>
        <w:rPr>
          <w:rFonts w:ascii="Garamond" w:hAnsi="Garamond"/>
          <w:sz w:val="20"/>
          <w:szCs w:val="20"/>
          <w:rtl w:val="0"/>
          <w:lang w:val="en-US"/>
        </w:rPr>
        <w:t>Nygaard, A. (2023). Is sustainable certification's ability to combat greenwashing trustworthy?.</w:t>
      </w:r>
      <w:r>
        <w:rPr>
          <w:rFonts w:ascii="Garamond" w:hAnsi="Garamond" w:hint="default"/>
          <w:sz w:val="20"/>
          <w:szCs w:val="20"/>
          <w:rtl w:val="0"/>
          <w:lang w:val="en-US"/>
        </w:rPr>
        <w:t> </w:t>
      </w:r>
      <w:r>
        <w:rPr>
          <w:rFonts w:ascii="Garamond" w:hAnsi="Garamond"/>
          <w:i w:val="1"/>
          <w:iCs w:val="1"/>
          <w:sz w:val="20"/>
          <w:szCs w:val="20"/>
          <w:rtl w:val="0"/>
          <w:lang w:val="it-IT"/>
        </w:rPr>
        <w:t>Frontiers in Sustainability</w:t>
      </w:r>
      <w:r>
        <w:rPr>
          <w:rFonts w:ascii="Garamond" w:hAnsi="Garamond"/>
          <w:sz w:val="20"/>
          <w:szCs w:val="20"/>
          <w:rtl w:val="0"/>
          <w:lang w:val="it-IT"/>
        </w:rPr>
        <w:t>,</w:t>
      </w:r>
      <w:r>
        <w:rPr>
          <w:rFonts w:ascii="Garamond" w:hAnsi="Garamond" w:hint="default"/>
          <w:sz w:val="20"/>
          <w:szCs w:val="20"/>
          <w:rtl w:val="0"/>
          <w:lang w:val="it-IT"/>
        </w:rPr>
        <w:t> </w:t>
      </w:r>
      <w:r>
        <w:rPr>
          <w:rFonts w:ascii="Garamond" w:hAnsi="Garamond"/>
          <w:i w:val="1"/>
          <w:iCs w:val="1"/>
          <w:sz w:val="20"/>
          <w:szCs w:val="20"/>
          <w:rtl w:val="0"/>
          <w:lang w:val="it-IT"/>
        </w:rPr>
        <w:t>4</w:t>
      </w:r>
      <w:r>
        <w:rPr>
          <w:rFonts w:ascii="Garamond" w:hAnsi="Garamond"/>
          <w:sz w:val="20"/>
          <w:szCs w:val="20"/>
          <w:rtl w:val="0"/>
          <w:lang w:val="it-IT"/>
        </w:rPr>
        <w:t>, 1188069.</w:t>
      </w:r>
    </w:p>
    <w:p>
      <w:pPr>
        <w:pStyle w:val="List Paragraph"/>
        <w:widowControl w:val="1"/>
        <w:numPr>
          <w:ilvl w:val="0"/>
          <w:numId w:val="2"/>
        </w:numPr>
        <w:bidi w:val="0"/>
        <w:ind w:right="0"/>
        <w:jc w:val="both"/>
        <w:rPr>
          <w:rFonts w:ascii="Garamond" w:hAnsi="Garamond"/>
          <w:sz w:val="20"/>
          <w:szCs w:val="20"/>
          <w:rtl w:val="0"/>
          <w:lang w:val="en-US"/>
        </w:rPr>
      </w:pPr>
      <w:r>
        <w:rPr>
          <w:rFonts w:ascii="Garamond" w:hAnsi="Garamond"/>
          <w:sz w:val="20"/>
          <w:szCs w:val="20"/>
          <w:rtl w:val="0"/>
          <w:lang w:val="en-US"/>
        </w:rPr>
        <w:t>O'Hara, P. A. (2009). Political economy of climate change, ecological destruction and uneven development.</w:t>
      </w:r>
      <w:r>
        <w:rPr>
          <w:rFonts w:ascii="Garamond" w:hAnsi="Garamond" w:hint="default"/>
          <w:sz w:val="20"/>
          <w:szCs w:val="20"/>
          <w:rtl w:val="0"/>
          <w:lang w:val="en-US"/>
        </w:rPr>
        <w:t> </w:t>
      </w:r>
      <w:r>
        <w:rPr>
          <w:rFonts w:ascii="Garamond" w:hAnsi="Garamond"/>
          <w:i w:val="1"/>
          <w:iCs w:val="1"/>
          <w:sz w:val="20"/>
          <w:szCs w:val="20"/>
          <w:rtl w:val="0"/>
          <w:lang w:val="it-IT"/>
        </w:rPr>
        <w:t>Ecological Economics</w:t>
      </w:r>
      <w:r>
        <w:rPr>
          <w:rFonts w:ascii="Garamond" w:hAnsi="Garamond"/>
          <w:sz w:val="20"/>
          <w:szCs w:val="20"/>
          <w:rtl w:val="0"/>
          <w:lang w:val="it-IT"/>
        </w:rPr>
        <w:t>,</w:t>
      </w:r>
      <w:r>
        <w:rPr>
          <w:rFonts w:ascii="Garamond" w:hAnsi="Garamond" w:hint="default"/>
          <w:sz w:val="20"/>
          <w:szCs w:val="20"/>
          <w:rtl w:val="0"/>
          <w:lang w:val="it-IT"/>
        </w:rPr>
        <w:t> </w:t>
      </w:r>
      <w:r>
        <w:rPr>
          <w:rFonts w:ascii="Garamond" w:hAnsi="Garamond"/>
          <w:i w:val="1"/>
          <w:iCs w:val="1"/>
          <w:sz w:val="20"/>
          <w:szCs w:val="20"/>
          <w:rtl w:val="0"/>
          <w:lang w:val="it-IT"/>
        </w:rPr>
        <w:t>69</w:t>
      </w:r>
      <w:r>
        <w:rPr>
          <w:rFonts w:ascii="Garamond" w:hAnsi="Garamond"/>
          <w:sz w:val="20"/>
          <w:szCs w:val="20"/>
          <w:rtl w:val="0"/>
          <w:lang w:val="it-IT"/>
        </w:rPr>
        <w:t>(2), 223-234.</w:t>
      </w:r>
    </w:p>
    <w:p>
      <w:pPr>
        <w:pStyle w:val="List Paragraph"/>
        <w:widowControl w:val="1"/>
        <w:numPr>
          <w:ilvl w:val="0"/>
          <w:numId w:val="2"/>
        </w:numPr>
        <w:bidi w:val="0"/>
        <w:ind w:right="0"/>
        <w:jc w:val="both"/>
        <w:rPr>
          <w:rFonts w:ascii="Garamond" w:hAnsi="Garamond"/>
          <w:sz w:val="20"/>
          <w:szCs w:val="20"/>
          <w:rtl w:val="0"/>
          <w:lang w:val="en-US"/>
        </w:rPr>
      </w:pPr>
      <w:r>
        <w:rPr>
          <w:rFonts w:ascii="Garamond" w:hAnsi="Garamond"/>
          <w:sz w:val="20"/>
          <w:szCs w:val="20"/>
          <w:rtl w:val="0"/>
          <w:lang w:val="en-US"/>
        </w:rPr>
        <w:t xml:space="preserve">Papathanassiou, C., &amp; Nieto, M. J. (2025). </w:t>
      </w:r>
      <w:r>
        <w:rPr>
          <w:rFonts w:ascii="Garamond" w:hAnsi="Garamond"/>
          <w:i w:val="1"/>
          <w:iCs w:val="1"/>
          <w:sz w:val="20"/>
          <w:szCs w:val="20"/>
          <w:rtl w:val="0"/>
          <w:lang w:val="en-US"/>
        </w:rPr>
        <w:t xml:space="preserve">Different shades of green: EU corporate disclosure rules and their effectiveness in limiting </w:t>
      </w:r>
      <w:r>
        <w:rPr>
          <w:rFonts w:ascii="Garamond" w:hAnsi="Garamond" w:hint="default"/>
          <w:i w:val="1"/>
          <w:iCs w:val="1"/>
          <w:sz w:val="20"/>
          <w:szCs w:val="20"/>
          <w:rtl w:val="0"/>
          <w:lang w:val="en-US"/>
        </w:rPr>
        <w:t>“</w:t>
      </w:r>
      <w:r>
        <w:rPr>
          <w:rFonts w:ascii="Garamond" w:hAnsi="Garamond"/>
          <w:i w:val="1"/>
          <w:iCs w:val="1"/>
          <w:sz w:val="20"/>
          <w:szCs w:val="20"/>
          <w:rtl w:val="0"/>
          <w:lang w:val="en-US"/>
        </w:rPr>
        <w:t>greenwashing</w:t>
      </w:r>
      <w:r>
        <w:rPr>
          <w:rFonts w:ascii="Garamond" w:hAnsi="Garamond" w:hint="default"/>
          <w:i w:val="1"/>
          <w:iCs w:val="1"/>
          <w:sz w:val="20"/>
          <w:szCs w:val="20"/>
          <w:rtl w:val="0"/>
          <w:lang w:val="en-US"/>
        </w:rPr>
        <w:t>”</w:t>
      </w:r>
      <w:r>
        <w:rPr>
          <w:rFonts w:ascii="Garamond" w:hAnsi="Garamond"/>
          <w:sz w:val="20"/>
          <w:szCs w:val="20"/>
          <w:rtl w:val="0"/>
          <w:lang w:val="en-US"/>
        </w:rPr>
        <w:t xml:space="preserve">. </w:t>
      </w:r>
      <w:r>
        <w:rPr>
          <w:rFonts w:ascii="Garamond" w:hAnsi="Garamond"/>
          <w:sz w:val="20"/>
          <w:szCs w:val="20"/>
          <w:rtl w:val="0"/>
          <w:lang w:val="it-IT"/>
        </w:rPr>
        <w:t>ECB Occasional Paper, (2025/370).</w:t>
      </w:r>
    </w:p>
    <w:p>
      <w:pPr>
        <w:pStyle w:val="List Paragraph"/>
        <w:widowControl w:val="1"/>
        <w:numPr>
          <w:ilvl w:val="0"/>
          <w:numId w:val="2"/>
        </w:numPr>
        <w:bidi w:val="0"/>
        <w:ind w:right="0"/>
        <w:jc w:val="both"/>
        <w:rPr>
          <w:rFonts w:ascii="Garamond" w:hAnsi="Garamond"/>
          <w:sz w:val="20"/>
          <w:szCs w:val="20"/>
          <w:rtl w:val="0"/>
          <w:lang w:val="en-US"/>
        </w:rPr>
      </w:pPr>
      <w:r>
        <w:rPr>
          <w:rFonts w:ascii="Garamond" w:hAnsi="Garamond"/>
          <w:sz w:val="20"/>
          <w:szCs w:val="20"/>
          <w:rtl w:val="0"/>
          <w:lang w:val="en-US"/>
        </w:rPr>
        <w:t>Pappachan, P., Moslehpour, M., Bansal, R., &amp; Rahaman, M. (2024). Transparency and Accountability. In</w:t>
      </w:r>
      <w:r>
        <w:rPr>
          <w:rFonts w:ascii="Garamond" w:hAnsi="Garamond" w:hint="default"/>
          <w:sz w:val="20"/>
          <w:szCs w:val="20"/>
          <w:rtl w:val="0"/>
          <w:lang w:val="en-US"/>
        </w:rPr>
        <w:t> </w:t>
      </w:r>
      <w:r>
        <w:rPr>
          <w:rFonts w:ascii="Garamond" w:hAnsi="Garamond"/>
          <w:sz w:val="20"/>
          <w:szCs w:val="20"/>
          <w:rtl w:val="0"/>
          <w:lang w:val="en-US"/>
        </w:rPr>
        <w:t xml:space="preserve">Gupta, B. B. (Ed.). </w:t>
      </w:r>
      <w:r>
        <w:rPr>
          <w:rFonts w:ascii="Garamond" w:hAnsi="Garamond"/>
          <w:i w:val="1"/>
          <w:iCs w:val="1"/>
          <w:sz w:val="20"/>
          <w:szCs w:val="20"/>
          <w:rtl w:val="0"/>
          <w:lang w:val="en-US"/>
        </w:rPr>
        <w:t>Challenges in Large Language Model Development and AI Ethics</w:t>
      </w:r>
      <w:r>
        <w:rPr>
          <w:rFonts w:ascii="Garamond" w:hAnsi="Garamond" w:hint="default"/>
          <w:sz w:val="20"/>
          <w:szCs w:val="20"/>
          <w:rtl w:val="0"/>
          <w:lang w:val="en-US"/>
        </w:rPr>
        <w:t> </w:t>
      </w:r>
      <w:r>
        <w:rPr>
          <w:rFonts w:ascii="Garamond" w:hAnsi="Garamond"/>
          <w:sz w:val="20"/>
          <w:szCs w:val="20"/>
          <w:rtl w:val="0"/>
          <w:lang w:val="en-US"/>
        </w:rPr>
        <w:t xml:space="preserve">(pp. 178-211). </w:t>
      </w:r>
      <w:r>
        <w:rPr>
          <w:rFonts w:ascii="Garamond" w:hAnsi="Garamond"/>
          <w:sz w:val="20"/>
          <w:szCs w:val="20"/>
          <w:rtl w:val="0"/>
          <w:lang w:val="it-IT"/>
        </w:rPr>
        <w:t>IGI Global.</w:t>
      </w:r>
    </w:p>
    <w:p>
      <w:pPr>
        <w:pStyle w:val="List Paragraph"/>
        <w:widowControl w:val="1"/>
        <w:numPr>
          <w:ilvl w:val="0"/>
          <w:numId w:val="2"/>
        </w:numPr>
        <w:bidi w:val="0"/>
        <w:ind w:right="0"/>
        <w:jc w:val="both"/>
        <w:rPr>
          <w:rFonts w:ascii="Garamond" w:hAnsi="Garamond"/>
          <w:sz w:val="20"/>
          <w:szCs w:val="20"/>
          <w:rtl w:val="0"/>
          <w:lang w:val="en-US"/>
        </w:rPr>
      </w:pPr>
      <w:r>
        <w:rPr>
          <w:rFonts w:ascii="Garamond" w:hAnsi="Garamond"/>
          <w:sz w:val="20"/>
          <w:szCs w:val="20"/>
          <w:rtl w:val="0"/>
          <w:lang w:val="en-US"/>
        </w:rPr>
        <w:t>Poggi, F. (2025). UN 2030 Agenda, ESG Criteria and Human Rights: The Way of the Civil Economy. In</w:t>
      </w:r>
      <w:r>
        <w:rPr>
          <w:rFonts w:ascii="Garamond" w:hAnsi="Garamond" w:hint="default"/>
          <w:sz w:val="20"/>
          <w:szCs w:val="20"/>
          <w:rtl w:val="0"/>
          <w:lang w:val="en-US"/>
        </w:rPr>
        <w:t> </w:t>
      </w:r>
      <w:r>
        <w:rPr>
          <w:rFonts w:ascii="Garamond" w:hAnsi="Garamond"/>
          <w:sz w:val="20"/>
          <w:szCs w:val="20"/>
          <w:rtl w:val="0"/>
          <w:lang w:val="en-US"/>
        </w:rPr>
        <w:t xml:space="preserve">Vigliarolo, F. (Ed.). </w:t>
      </w:r>
      <w:r>
        <w:rPr>
          <w:rFonts w:ascii="Garamond" w:hAnsi="Garamond"/>
          <w:i w:val="1"/>
          <w:iCs w:val="1"/>
          <w:sz w:val="20"/>
          <w:szCs w:val="20"/>
          <w:rtl w:val="0"/>
          <w:lang w:val="en-US"/>
        </w:rPr>
        <w:t>Economic Systems and Human Rights: Using Socioeconomic Models and Practices to Promote Global Economic Socialization</w:t>
      </w:r>
      <w:r>
        <w:rPr>
          <w:rFonts w:ascii="Garamond" w:hAnsi="Garamond" w:hint="default"/>
          <w:sz w:val="20"/>
          <w:szCs w:val="20"/>
          <w:rtl w:val="0"/>
          <w:lang w:val="en-US"/>
        </w:rPr>
        <w:t> </w:t>
      </w:r>
      <w:r>
        <w:rPr>
          <w:rFonts w:ascii="Garamond" w:hAnsi="Garamond"/>
          <w:sz w:val="20"/>
          <w:szCs w:val="20"/>
          <w:rtl w:val="0"/>
          <w:lang w:val="en-US"/>
        </w:rPr>
        <w:t xml:space="preserve">(pp. 267-283). </w:t>
      </w:r>
      <w:r>
        <w:rPr>
          <w:rFonts w:ascii="Garamond" w:hAnsi="Garamond"/>
          <w:sz w:val="20"/>
          <w:szCs w:val="20"/>
          <w:rtl w:val="0"/>
          <w:lang w:val="it-IT"/>
        </w:rPr>
        <w:t>Cham: Springer Nature Switzerland.</w:t>
      </w:r>
    </w:p>
    <w:p>
      <w:pPr>
        <w:pStyle w:val="List Paragraph"/>
        <w:widowControl w:val="1"/>
        <w:numPr>
          <w:ilvl w:val="0"/>
          <w:numId w:val="2"/>
        </w:numPr>
        <w:bidi w:val="0"/>
        <w:ind w:right="0"/>
        <w:jc w:val="both"/>
        <w:rPr>
          <w:rFonts w:ascii="Garamond" w:hAnsi="Garamond"/>
          <w:sz w:val="20"/>
          <w:szCs w:val="20"/>
          <w:rtl w:val="0"/>
          <w:lang w:val="en-US"/>
        </w:rPr>
      </w:pPr>
      <w:r>
        <w:rPr>
          <w:rFonts w:ascii="Garamond" w:hAnsi="Garamond"/>
          <w:sz w:val="20"/>
          <w:szCs w:val="20"/>
          <w:rtl w:val="0"/>
          <w:lang w:val="en-US"/>
        </w:rPr>
        <w:t>Quttainah, M., Mishra, V., Madakam, S., Lurie, Y., &amp; Mark, S. (2024). Cost, usability, credibility, fairness, accountability, transparency, and explainability framework for safe and effective large language models in medical education: Narrative review and qualitative study.</w:t>
      </w:r>
      <w:r>
        <w:rPr>
          <w:rFonts w:ascii="Garamond" w:hAnsi="Garamond" w:hint="default"/>
          <w:sz w:val="20"/>
          <w:szCs w:val="20"/>
          <w:rtl w:val="0"/>
          <w:lang w:val="en-US"/>
        </w:rPr>
        <w:t> </w:t>
      </w:r>
      <w:r>
        <w:rPr>
          <w:rFonts w:ascii="Garamond" w:hAnsi="Garamond"/>
          <w:i w:val="1"/>
          <w:iCs w:val="1"/>
          <w:sz w:val="20"/>
          <w:szCs w:val="20"/>
          <w:rtl w:val="0"/>
          <w:lang w:val="it-IT"/>
        </w:rPr>
        <w:t>Jmir Ai</w:t>
      </w:r>
      <w:r>
        <w:rPr>
          <w:rFonts w:ascii="Garamond" w:hAnsi="Garamond"/>
          <w:sz w:val="20"/>
          <w:szCs w:val="20"/>
          <w:rtl w:val="0"/>
          <w:lang w:val="it-IT"/>
        </w:rPr>
        <w:t>,</w:t>
      </w:r>
      <w:r>
        <w:rPr>
          <w:rFonts w:ascii="Garamond" w:hAnsi="Garamond" w:hint="default"/>
          <w:sz w:val="20"/>
          <w:szCs w:val="20"/>
          <w:rtl w:val="0"/>
          <w:lang w:val="it-IT"/>
        </w:rPr>
        <w:t> </w:t>
      </w:r>
      <w:r>
        <w:rPr>
          <w:rFonts w:ascii="Garamond" w:hAnsi="Garamond"/>
          <w:i w:val="1"/>
          <w:iCs w:val="1"/>
          <w:sz w:val="20"/>
          <w:szCs w:val="20"/>
          <w:rtl w:val="0"/>
          <w:lang w:val="it-IT"/>
        </w:rPr>
        <w:t>3</w:t>
      </w:r>
      <w:r>
        <w:rPr>
          <w:rFonts w:ascii="Garamond" w:hAnsi="Garamond"/>
          <w:sz w:val="20"/>
          <w:szCs w:val="20"/>
          <w:rtl w:val="0"/>
          <w:lang w:val="it-IT"/>
        </w:rPr>
        <w:t>(1), e51834.</w:t>
      </w:r>
    </w:p>
    <w:p>
      <w:pPr>
        <w:pStyle w:val="List Paragraph"/>
        <w:widowControl w:val="1"/>
        <w:numPr>
          <w:ilvl w:val="0"/>
          <w:numId w:val="2"/>
        </w:numPr>
        <w:bidi w:val="0"/>
        <w:ind w:right="0"/>
        <w:jc w:val="both"/>
        <w:rPr>
          <w:rFonts w:ascii="Garamond" w:hAnsi="Garamond"/>
          <w:sz w:val="20"/>
          <w:szCs w:val="20"/>
          <w:rtl w:val="0"/>
          <w:lang w:val="fr-FR"/>
        </w:rPr>
      </w:pPr>
      <w:r>
        <w:rPr>
          <w:rFonts w:ascii="Garamond" w:hAnsi="Garamond"/>
          <w:sz w:val="20"/>
          <w:szCs w:val="20"/>
          <w:rtl w:val="0"/>
          <w:lang w:val="fr-FR"/>
        </w:rPr>
        <w:t xml:space="preserve">Santos, C., Coelho, A., &amp; Marques, A. (2024a). </w:t>
      </w:r>
      <w:r>
        <w:rPr>
          <w:rFonts w:ascii="Garamond" w:hAnsi="Garamond"/>
          <w:sz w:val="20"/>
          <w:szCs w:val="20"/>
          <w:rtl w:val="0"/>
          <w:lang w:val="en-US"/>
        </w:rPr>
        <w:t>The greenwashing effects on corporate reputation and brand hate, through environmental performance and green perceived risk.</w:t>
      </w:r>
      <w:r>
        <w:rPr>
          <w:rFonts w:ascii="Garamond" w:hAnsi="Garamond" w:hint="default"/>
          <w:sz w:val="20"/>
          <w:szCs w:val="20"/>
          <w:rtl w:val="0"/>
          <w:lang w:val="en-US"/>
        </w:rPr>
        <w:t> </w:t>
      </w:r>
      <w:r>
        <w:rPr>
          <w:rFonts w:ascii="Garamond" w:hAnsi="Garamond"/>
          <w:i w:val="1"/>
          <w:iCs w:val="1"/>
          <w:sz w:val="20"/>
          <w:szCs w:val="20"/>
          <w:rtl w:val="0"/>
          <w:lang w:val="it-IT"/>
        </w:rPr>
        <w:t>Asia-Pacific Journal of Business Administration</w:t>
      </w:r>
      <w:r>
        <w:rPr>
          <w:rFonts w:ascii="Garamond" w:hAnsi="Garamond"/>
          <w:sz w:val="20"/>
          <w:szCs w:val="20"/>
          <w:rtl w:val="0"/>
          <w:lang w:val="it-IT"/>
        </w:rPr>
        <w:t>,</w:t>
      </w:r>
      <w:r>
        <w:rPr>
          <w:rFonts w:ascii="Garamond" w:hAnsi="Garamond" w:hint="default"/>
          <w:sz w:val="20"/>
          <w:szCs w:val="20"/>
          <w:rtl w:val="0"/>
          <w:lang w:val="it-IT"/>
        </w:rPr>
        <w:t> </w:t>
      </w:r>
      <w:r>
        <w:rPr>
          <w:rFonts w:ascii="Garamond" w:hAnsi="Garamond"/>
          <w:i w:val="1"/>
          <w:iCs w:val="1"/>
          <w:sz w:val="20"/>
          <w:szCs w:val="20"/>
          <w:rtl w:val="0"/>
          <w:lang w:val="it-IT"/>
        </w:rPr>
        <w:t>16</w:t>
      </w:r>
      <w:r>
        <w:rPr>
          <w:rFonts w:ascii="Garamond" w:hAnsi="Garamond"/>
          <w:sz w:val="20"/>
          <w:szCs w:val="20"/>
          <w:rtl w:val="0"/>
          <w:lang w:val="it-IT"/>
        </w:rPr>
        <w:t>(3), 655-676.</w:t>
      </w:r>
    </w:p>
    <w:p>
      <w:pPr>
        <w:pStyle w:val="List Paragraph"/>
        <w:widowControl w:val="1"/>
        <w:numPr>
          <w:ilvl w:val="0"/>
          <w:numId w:val="2"/>
        </w:numPr>
        <w:bidi w:val="0"/>
        <w:ind w:right="0"/>
        <w:jc w:val="both"/>
        <w:rPr>
          <w:rFonts w:ascii="Garamond" w:hAnsi="Garamond"/>
          <w:sz w:val="20"/>
          <w:szCs w:val="20"/>
          <w:rtl w:val="0"/>
          <w:lang w:val="en-US"/>
        </w:rPr>
      </w:pPr>
      <w:r>
        <w:rPr>
          <w:rFonts w:ascii="Garamond" w:hAnsi="Garamond"/>
          <w:sz w:val="20"/>
          <w:szCs w:val="20"/>
          <w:rtl w:val="0"/>
          <w:lang w:val="en-US"/>
        </w:rPr>
        <w:t>Santos, C., Coelho, A., &amp; Cancela, B. L. (2024b). The impact of greenwashing on sustainability through green supply chain integration: the moderating role of information sharing.</w:t>
      </w:r>
      <w:r>
        <w:rPr>
          <w:rFonts w:ascii="Garamond" w:hAnsi="Garamond" w:hint="default"/>
          <w:sz w:val="20"/>
          <w:szCs w:val="20"/>
          <w:rtl w:val="0"/>
          <w:lang w:val="en-US"/>
        </w:rPr>
        <w:t> </w:t>
      </w:r>
      <w:r>
        <w:rPr>
          <w:rFonts w:ascii="Garamond" w:hAnsi="Garamond"/>
          <w:i w:val="1"/>
          <w:iCs w:val="1"/>
          <w:sz w:val="20"/>
          <w:szCs w:val="20"/>
          <w:rtl w:val="0"/>
          <w:lang w:val="it-IT"/>
        </w:rPr>
        <w:t>Environment, Development and Sustainability</w:t>
      </w:r>
      <w:r>
        <w:rPr>
          <w:rFonts w:ascii="Garamond" w:hAnsi="Garamond"/>
          <w:sz w:val="20"/>
          <w:szCs w:val="20"/>
          <w:rtl w:val="0"/>
          <w:lang w:val="it-IT"/>
        </w:rPr>
        <w:t>, 1-28.</w:t>
      </w:r>
    </w:p>
    <w:p>
      <w:pPr>
        <w:pStyle w:val="List Paragraph"/>
        <w:widowControl w:val="1"/>
        <w:numPr>
          <w:ilvl w:val="0"/>
          <w:numId w:val="2"/>
        </w:numPr>
        <w:bidi w:val="0"/>
        <w:ind w:right="0"/>
        <w:jc w:val="both"/>
        <w:rPr>
          <w:rFonts w:ascii="Garamond" w:hAnsi="Garamond"/>
          <w:sz w:val="20"/>
          <w:szCs w:val="20"/>
          <w:rtl w:val="0"/>
          <w:lang w:val="it-IT"/>
        </w:rPr>
      </w:pPr>
      <w:r>
        <w:rPr>
          <w:rFonts w:ascii="Garamond" w:hAnsi="Garamond"/>
          <w:sz w:val="20"/>
          <w:szCs w:val="20"/>
          <w:rtl w:val="0"/>
          <w:lang w:val="it-IT"/>
        </w:rPr>
        <w:t xml:space="preserve">Sciortino, C., Sgroi, F., &amp; Napoli, S. (2025). </w:t>
      </w:r>
      <w:r>
        <w:rPr>
          <w:rFonts w:ascii="Garamond" w:hAnsi="Garamond"/>
          <w:sz w:val="20"/>
          <w:szCs w:val="20"/>
          <w:rtl w:val="0"/>
          <w:lang w:val="en-US"/>
        </w:rPr>
        <w:t xml:space="preserve">Greenwashing in the Agri-Food Industry: A Discussion Around EU Policies and the Italian. </w:t>
      </w:r>
      <w:r>
        <w:rPr>
          <w:rFonts w:ascii="Garamond" w:hAnsi="Garamond"/>
          <w:i w:val="1"/>
          <w:iCs w:val="1"/>
          <w:sz w:val="20"/>
          <w:szCs w:val="20"/>
          <w:rtl w:val="0"/>
          <w:lang w:val="it-IT"/>
        </w:rPr>
        <w:t>Food and Humanity</w:t>
      </w:r>
      <w:r>
        <w:rPr>
          <w:rFonts w:ascii="Garamond" w:hAnsi="Garamond"/>
          <w:sz w:val="20"/>
          <w:szCs w:val="20"/>
          <w:rtl w:val="0"/>
          <w:lang w:val="it-IT"/>
        </w:rPr>
        <w:t>, 100528, 1-5.</w:t>
      </w:r>
    </w:p>
    <w:p>
      <w:pPr>
        <w:pStyle w:val="List Paragraph"/>
        <w:widowControl w:val="1"/>
        <w:numPr>
          <w:ilvl w:val="0"/>
          <w:numId w:val="2"/>
        </w:numPr>
        <w:bidi w:val="0"/>
        <w:ind w:right="0"/>
        <w:jc w:val="both"/>
        <w:rPr>
          <w:rFonts w:ascii="Garamond" w:hAnsi="Garamond"/>
          <w:sz w:val="20"/>
          <w:szCs w:val="20"/>
          <w:rtl w:val="0"/>
          <w:lang w:val="en-US"/>
        </w:rPr>
      </w:pPr>
      <w:r>
        <w:rPr>
          <w:rFonts w:ascii="Garamond" w:hAnsi="Garamond"/>
          <w:sz w:val="20"/>
          <w:szCs w:val="20"/>
          <w:rtl w:val="0"/>
          <w:lang w:val="en-US"/>
        </w:rPr>
        <w:t>Seele, P., &amp; Schultz, M. D. (2022). From greenwashing to machinewashing: A model and future directions derived from reasoning by analogy.</w:t>
      </w:r>
      <w:r>
        <w:rPr>
          <w:rFonts w:ascii="Garamond" w:hAnsi="Garamond" w:hint="default"/>
          <w:sz w:val="20"/>
          <w:szCs w:val="20"/>
          <w:rtl w:val="0"/>
          <w:lang w:val="en-US"/>
        </w:rPr>
        <w:t> </w:t>
      </w:r>
      <w:r>
        <w:rPr>
          <w:rFonts w:ascii="Garamond" w:hAnsi="Garamond"/>
          <w:i w:val="1"/>
          <w:iCs w:val="1"/>
          <w:sz w:val="20"/>
          <w:szCs w:val="20"/>
          <w:rtl w:val="0"/>
          <w:lang w:val="it-IT"/>
        </w:rPr>
        <w:t>Journal of Business Ethics</w:t>
      </w:r>
      <w:r>
        <w:rPr>
          <w:rFonts w:ascii="Garamond" w:hAnsi="Garamond"/>
          <w:sz w:val="20"/>
          <w:szCs w:val="20"/>
          <w:rtl w:val="0"/>
          <w:lang w:val="it-IT"/>
        </w:rPr>
        <w:t>,</w:t>
      </w:r>
      <w:r>
        <w:rPr>
          <w:rFonts w:ascii="Garamond" w:hAnsi="Garamond" w:hint="default"/>
          <w:sz w:val="20"/>
          <w:szCs w:val="20"/>
          <w:rtl w:val="0"/>
          <w:lang w:val="it-IT"/>
        </w:rPr>
        <w:t> </w:t>
      </w:r>
      <w:r>
        <w:rPr>
          <w:rFonts w:ascii="Garamond" w:hAnsi="Garamond"/>
          <w:i w:val="1"/>
          <w:iCs w:val="1"/>
          <w:sz w:val="20"/>
          <w:szCs w:val="20"/>
          <w:rtl w:val="0"/>
          <w:lang w:val="it-IT"/>
        </w:rPr>
        <w:t>178</w:t>
      </w:r>
      <w:r>
        <w:rPr>
          <w:rFonts w:ascii="Garamond" w:hAnsi="Garamond"/>
          <w:sz w:val="20"/>
          <w:szCs w:val="20"/>
          <w:rtl w:val="0"/>
          <w:lang w:val="it-IT"/>
        </w:rPr>
        <w:t>(4), 1063-1089.</w:t>
      </w:r>
    </w:p>
    <w:p>
      <w:pPr>
        <w:pStyle w:val="List Paragraph"/>
        <w:widowControl w:val="1"/>
        <w:numPr>
          <w:ilvl w:val="0"/>
          <w:numId w:val="2"/>
        </w:numPr>
        <w:bidi w:val="0"/>
        <w:ind w:right="0"/>
        <w:jc w:val="both"/>
        <w:rPr>
          <w:rFonts w:ascii="Garamond" w:hAnsi="Garamond"/>
          <w:sz w:val="20"/>
          <w:szCs w:val="20"/>
          <w:rtl w:val="0"/>
          <w:lang w:val="en-US"/>
        </w:rPr>
      </w:pPr>
      <w:r>
        <w:rPr>
          <w:rFonts w:ascii="Garamond" w:hAnsi="Garamond"/>
          <w:sz w:val="20"/>
          <w:szCs w:val="20"/>
          <w:rtl w:val="0"/>
          <w:lang w:val="en-US"/>
        </w:rPr>
        <w:t xml:space="preserve">Senadheera, S. S., Gregory, R., Rinklebe, J., Farrukh, M., Rhee, J. H., &amp; Ok, Y. S. (2022). The development of research on environmental, social, and governance (ESG): A bibliometric analysis. </w:t>
      </w:r>
      <w:r>
        <w:rPr>
          <w:rFonts w:ascii="Garamond" w:hAnsi="Garamond"/>
          <w:sz w:val="20"/>
          <w:szCs w:val="20"/>
          <w:rtl w:val="0"/>
          <w:lang w:val="it-IT"/>
        </w:rPr>
        <w:t>Sustainable Environment, 8(1), 2125869, 1-14.</w:t>
      </w:r>
    </w:p>
    <w:p>
      <w:pPr>
        <w:pStyle w:val="List Paragraph"/>
        <w:widowControl w:val="1"/>
        <w:numPr>
          <w:ilvl w:val="0"/>
          <w:numId w:val="2"/>
        </w:numPr>
        <w:bidi w:val="0"/>
        <w:spacing w:line="276" w:lineRule="auto"/>
        <w:ind w:right="0"/>
        <w:jc w:val="both"/>
        <w:rPr>
          <w:rFonts w:ascii="Garamond" w:hAnsi="Garamond"/>
          <w:sz w:val="20"/>
          <w:szCs w:val="20"/>
          <w:rtl w:val="0"/>
          <w:lang w:val="en-US"/>
        </w:rPr>
      </w:pPr>
      <w:r>
        <w:rPr>
          <w:rFonts w:ascii="Garamond" w:hAnsi="Garamond"/>
          <w:sz w:val="20"/>
          <w:szCs w:val="20"/>
          <w:rtl w:val="0"/>
          <w:lang w:val="en-US"/>
        </w:rPr>
        <w:t>Senftleben, M. (2024). Protection against unfair competition in the European Union: from divergent national approaches to harmonized rules on search result rankings, influencers and greenwashing.</w:t>
      </w:r>
      <w:r>
        <w:rPr>
          <w:rFonts w:ascii="Garamond" w:hAnsi="Garamond" w:hint="default"/>
          <w:sz w:val="20"/>
          <w:szCs w:val="20"/>
          <w:rtl w:val="0"/>
          <w:lang w:val="en-US"/>
        </w:rPr>
        <w:t> </w:t>
      </w:r>
      <w:r>
        <w:rPr>
          <w:rFonts w:ascii="Garamond" w:hAnsi="Garamond"/>
          <w:i w:val="1"/>
          <w:iCs w:val="1"/>
          <w:sz w:val="20"/>
          <w:szCs w:val="20"/>
          <w:rtl w:val="0"/>
          <w:lang w:val="it-IT"/>
        </w:rPr>
        <w:t>Journal of Intellectual Property Law and Practice</w:t>
      </w:r>
      <w:r>
        <w:rPr>
          <w:rFonts w:ascii="Garamond" w:hAnsi="Garamond"/>
          <w:sz w:val="20"/>
          <w:szCs w:val="20"/>
          <w:rtl w:val="0"/>
          <w:lang w:val="it-IT"/>
        </w:rPr>
        <w:t>,</w:t>
      </w:r>
      <w:r>
        <w:rPr>
          <w:rFonts w:ascii="Garamond" w:hAnsi="Garamond" w:hint="default"/>
          <w:sz w:val="20"/>
          <w:szCs w:val="20"/>
          <w:rtl w:val="0"/>
          <w:lang w:val="it-IT"/>
        </w:rPr>
        <w:t> </w:t>
      </w:r>
      <w:r>
        <w:rPr>
          <w:rFonts w:ascii="Garamond" w:hAnsi="Garamond"/>
          <w:i w:val="1"/>
          <w:iCs w:val="1"/>
          <w:sz w:val="20"/>
          <w:szCs w:val="20"/>
          <w:rtl w:val="0"/>
          <w:lang w:val="it-IT"/>
        </w:rPr>
        <w:t>19</w:t>
      </w:r>
      <w:r>
        <w:rPr>
          <w:rFonts w:ascii="Garamond" w:hAnsi="Garamond"/>
          <w:sz w:val="20"/>
          <w:szCs w:val="20"/>
          <w:rtl w:val="0"/>
          <w:lang w:val="it-IT"/>
        </w:rPr>
        <w:t>(2), 149-161.</w:t>
      </w:r>
    </w:p>
    <w:p>
      <w:pPr>
        <w:pStyle w:val="List Paragraph"/>
        <w:widowControl w:val="1"/>
        <w:numPr>
          <w:ilvl w:val="0"/>
          <w:numId w:val="2"/>
        </w:numPr>
        <w:bidi w:val="0"/>
        <w:spacing w:line="276" w:lineRule="auto"/>
        <w:ind w:right="0"/>
        <w:jc w:val="both"/>
        <w:rPr>
          <w:rFonts w:ascii="Garamond" w:hAnsi="Garamond"/>
          <w:sz w:val="20"/>
          <w:szCs w:val="20"/>
          <w:rtl w:val="0"/>
          <w:lang w:val="it-IT"/>
        </w:rPr>
      </w:pPr>
      <w:r>
        <w:rPr>
          <w:rFonts w:ascii="Garamond" w:hAnsi="Garamond"/>
          <w:sz w:val="20"/>
          <w:szCs w:val="20"/>
          <w:rtl w:val="0"/>
          <w:lang w:val="it-IT"/>
        </w:rPr>
        <w:t>Shi, S., Tse, R., Luo, W., D</w:t>
      </w:r>
      <w:r>
        <w:rPr>
          <w:rFonts w:ascii="Garamond" w:hAnsi="Garamond" w:hint="default"/>
          <w:sz w:val="20"/>
          <w:szCs w:val="20"/>
          <w:rtl w:val="0"/>
          <w:lang w:val="it-IT"/>
        </w:rPr>
        <w:t>’</w:t>
      </w:r>
      <w:r>
        <w:rPr>
          <w:rFonts w:ascii="Garamond" w:hAnsi="Garamond"/>
          <w:sz w:val="20"/>
          <w:szCs w:val="20"/>
          <w:rtl w:val="0"/>
          <w:lang w:val="it-IT"/>
        </w:rPr>
        <w:t xml:space="preserve">Addona, S., &amp; Pau, G. (2022). </w:t>
      </w:r>
      <w:r>
        <w:rPr>
          <w:rFonts w:ascii="Garamond" w:hAnsi="Garamond"/>
          <w:sz w:val="20"/>
          <w:szCs w:val="20"/>
          <w:rtl w:val="0"/>
          <w:lang w:val="en-US"/>
        </w:rPr>
        <w:t>Machine learning-driven credit risk: a systemic review.</w:t>
      </w:r>
      <w:r>
        <w:rPr>
          <w:rFonts w:ascii="Garamond" w:hAnsi="Garamond" w:hint="default"/>
          <w:sz w:val="20"/>
          <w:szCs w:val="20"/>
          <w:rtl w:val="0"/>
          <w:lang w:val="en-US"/>
        </w:rPr>
        <w:t> </w:t>
      </w:r>
      <w:r>
        <w:rPr>
          <w:rFonts w:ascii="Garamond" w:hAnsi="Garamond"/>
          <w:i w:val="1"/>
          <w:iCs w:val="1"/>
          <w:sz w:val="20"/>
          <w:szCs w:val="20"/>
          <w:rtl w:val="0"/>
          <w:lang w:val="it-IT"/>
        </w:rPr>
        <w:t>Neural Computing and Applications</w:t>
      </w:r>
      <w:r>
        <w:rPr>
          <w:rFonts w:ascii="Garamond" w:hAnsi="Garamond"/>
          <w:sz w:val="20"/>
          <w:szCs w:val="20"/>
          <w:rtl w:val="0"/>
          <w:lang w:val="it-IT"/>
        </w:rPr>
        <w:t>,</w:t>
      </w:r>
      <w:r>
        <w:rPr>
          <w:rFonts w:ascii="Garamond" w:hAnsi="Garamond" w:hint="default"/>
          <w:sz w:val="20"/>
          <w:szCs w:val="20"/>
          <w:rtl w:val="0"/>
          <w:lang w:val="it-IT"/>
        </w:rPr>
        <w:t> </w:t>
      </w:r>
      <w:r>
        <w:rPr>
          <w:rFonts w:ascii="Garamond" w:hAnsi="Garamond"/>
          <w:i w:val="1"/>
          <w:iCs w:val="1"/>
          <w:sz w:val="20"/>
          <w:szCs w:val="20"/>
          <w:rtl w:val="0"/>
          <w:lang w:val="it-IT"/>
        </w:rPr>
        <w:t>34</w:t>
      </w:r>
      <w:r>
        <w:rPr>
          <w:rFonts w:ascii="Garamond" w:hAnsi="Garamond"/>
          <w:sz w:val="20"/>
          <w:szCs w:val="20"/>
          <w:rtl w:val="0"/>
          <w:lang w:val="it-IT"/>
        </w:rPr>
        <w:t>(17), 14327-14339.</w:t>
      </w:r>
    </w:p>
    <w:p>
      <w:pPr>
        <w:pStyle w:val="List Paragraph"/>
        <w:widowControl w:val="1"/>
        <w:numPr>
          <w:ilvl w:val="0"/>
          <w:numId w:val="2"/>
        </w:numPr>
        <w:bidi w:val="0"/>
        <w:spacing w:line="276" w:lineRule="auto"/>
        <w:ind w:right="0"/>
        <w:jc w:val="both"/>
        <w:rPr>
          <w:rFonts w:ascii="Garamond" w:hAnsi="Garamond"/>
          <w:sz w:val="20"/>
          <w:szCs w:val="20"/>
          <w:rtl w:val="0"/>
          <w:lang w:val="en-US"/>
        </w:rPr>
      </w:pPr>
      <w:r>
        <w:rPr>
          <w:rFonts w:ascii="Garamond" w:hAnsi="Garamond"/>
          <w:sz w:val="20"/>
          <w:szCs w:val="20"/>
          <w:rtl w:val="0"/>
          <w:lang w:val="en-US"/>
        </w:rPr>
        <w:t>Shuang, Q., Lu, J., Wang, S., Callari, D., &amp; Cucari, N. (2024). Exploring the power of informal institutions: How does social trust affect corporate's greenwashing strategy.</w:t>
      </w:r>
      <w:r>
        <w:rPr>
          <w:rFonts w:ascii="Garamond" w:hAnsi="Garamond" w:hint="default"/>
          <w:sz w:val="20"/>
          <w:szCs w:val="20"/>
          <w:rtl w:val="0"/>
          <w:lang w:val="en-US"/>
        </w:rPr>
        <w:t> </w:t>
      </w:r>
      <w:r>
        <w:rPr>
          <w:rFonts w:ascii="Garamond" w:hAnsi="Garamond"/>
          <w:i w:val="1"/>
          <w:iCs w:val="1"/>
          <w:sz w:val="20"/>
          <w:szCs w:val="20"/>
          <w:rtl w:val="0"/>
          <w:lang w:val="it-IT"/>
        </w:rPr>
        <w:t>Business Strategy and the Environment</w:t>
      </w:r>
      <w:r>
        <w:rPr>
          <w:rFonts w:ascii="Garamond" w:hAnsi="Garamond"/>
          <w:sz w:val="20"/>
          <w:szCs w:val="20"/>
          <w:rtl w:val="0"/>
          <w:lang w:val="it-IT"/>
        </w:rPr>
        <w:t>,</w:t>
      </w:r>
      <w:r>
        <w:rPr>
          <w:rFonts w:ascii="Garamond" w:hAnsi="Garamond" w:hint="default"/>
          <w:sz w:val="20"/>
          <w:szCs w:val="20"/>
          <w:rtl w:val="0"/>
          <w:lang w:val="it-IT"/>
        </w:rPr>
        <w:t> </w:t>
      </w:r>
      <w:r>
        <w:rPr>
          <w:rFonts w:ascii="Garamond" w:hAnsi="Garamond"/>
          <w:i w:val="1"/>
          <w:iCs w:val="1"/>
          <w:sz w:val="20"/>
          <w:szCs w:val="20"/>
          <w:rtl w:val="0"/>
          <w:lang w:val="it-IT"/>
        </w:rPr>
        <w:t>33</w:t>
      </w:r>
      <w:r>
        <w:rPr>
          <w:rFonts w:ascii="Garamond" w:hAnsi="Garamond"/>
          <w:sz w:val="20"/>
          <w:szCs w:val="20"/>
          <w:rtl w:val="0"/>
          <w:lang w:val="it-IT"/>
        </w:rPr>
        <w:t>(8), 9098-9115.</w:t>
      </w:r>
    </w:p>
    <w:p>
      <w:pPr>
        <w:pStyle w:val="List Paragraph"/>
        <w:numPr>
          <w:ilvl w:val="0"/>
          <w:numId w:val="2"/>
        </w:numPr>
        <w:bidi w:val="0"/>
        <w:spacing w:line="276" w:lineRule="auto"/>
        <w:ind w:right="177"/>
        <w:jc w:val="both"/>
        <w:rPr>
          <w:rFonts w:ascii="Garamond" w:hAnsi="Garamond"/>
          <w:sz w:val="20"/>
          <w:szCs w:val="20"/>
          <w:rtl w:val="0"/>
          <w:lang w:val="it-IT"/>
        </w:rPr>
      </w:pPr>
      <w:r>
        <w:rPr>
          <w:rFonts w:ascii="Garamond" w:hAnsi="Garamond"/>
          <w:sz w:val="20"/>
          <w:szCs w:val="20"/>
          <w:rtl w:val="0"/>
          <w:lang w:val="it-IT"/>
        </w:rPr>
        <w:t xml:space="preserve">Shvyreva, O. I., &amp; Petukh, A. V. (2018). </w:t>
      </w:r>
      <w:r>
        <w:rPr>
          <w:rFonts w:ascii="Garamond" w:hAnsi="Garamond"/>
          <w:sz w:val="20"/>
          <w:szCs w:val="20"/>
          <w:rtl w:val="0"/>
          <w:lang w:val="en-US"/>
        </w:rPr>
        <w:t>Methodology for determining materiality in audit and applying it when assessing detected misstatements.</w:t>
      </w:r>
      <w:r>
        <w:rPr>
          <w:rFonts w:ascii="Garamond" w:hAnsi="Garamond" w:hint="default"/>
          <w:sz w:val="20"/>
          <w:szCs w:val="20"/>
          <w:rtl w:val="0"/>
          <w:lang w:val="en-US"/>
        </w:rPr>
        <w:t> </w:t>
      </w:r>
      <w:r>
        <w:rPr>
          <w:rFonts w:ascii="Garamond" w:hAnsi="Garamond"/>
          <w:i w:val="1"/>
          <w:iCs w:val="1"/>
          <w:sz w:val="20"/>
          <w:szCs w:val="20"/>
          <w:rtl w:val="0"/>
          <w:lang w:val="en-US"/>
        </w:rPr>
        <w:t>Journal of Applied Economic Sciences</w:t>
      </w:r>
      <w:r>
        <w:rPr>
          <w:rFonts w:ascii="Garamond" w:hAnsi="Garamond"/>
          <w:sz w:val="20"/>
          <w:szCs w:val="20"/>
          <w:rtl w:val="0"/>
          <w:lang w:val="en-US"/>
        </w:rPr>
        <w:t>,</w:t>
      </w:r>
      <w:r>
        <w:rPr>
          <w:rFonts w:ascii="Garamond" w:hAnsi="Garamond" w:hint="default"/>
          <w:sz w:val="20"/>
          <w:szCs w:val="20"/>
          <w:rtl w:val="0"/>
          <w:lang w:val="en-US"/>
        </w:rPr>
        <w:t> </w:t>
      </w:r>
      <w:r>
        <w:rPr>
          <w:rFonts w:ascii="Garamond" w:hAnsi="Garamond"/>
          <w:i w:val="1"/>
          <w:iCs w:val="1"/>
          <w:sz w:val="20"/>
          <w:szCs w:val="20"/>
          <w:rtl w:val="0"/>
          <w:lang w:val="en-US"/>
        </w:rPr>
        <w:t>13</w:t>
      </w:r>
      <w:r>
        <w:rPr>
          <w:rFonts w:ascii="Garamond" w:hAnsi="Garamond"/>
          <w:sz w:val="20"/>
          <w:szCs w:val="20"/>
          <w:rtl w:val="0"/>
          <w:lang w:val="en-US"/>
        </w:rPr>
        <w:t>(5), 1260-1267.</w:t>
      </w:r>
    </w:p>
    <w:p>
      <w:pPr>
        <w:pStyle w:val="List Paragraph"/>
        <w:widowControl w:val="1"/>
        <w:numPr>
          <w:ilvl w:val="0"/>
          <w:numId w:val="2"/>
        </w:numPr>
        <w:bidi w:val="0"/>
        <w:spacing w:line="276" w:lineRule="auto"/>
        <w:ind w:right="0"/>
        <w:jc w:val="both"/>
        <w:rPr>
          <w:rFonts w:ascii="Garamond" w:hAnsi="Garamond"/>
          <w:sz w:val="20"/>
          <w:szCs w:val="20"/>
          <w:rtl w:val="0"/>
          <w:lang w:val="en-US"/>
        </w:rPr>
      </w:pPr>
      <w:r>
        <w:rPr>
          <w:rFonts w:ascii="Garamond" w:hAnsi="Garamond"/>
          <w:sz w:val="20"/>
          <w:szCs w:val="20"/>
          <w:rtl w:val="0"/>
          <w:lang w:val="en-US"/>
        </w:rPr>
        <w:t>Sielker, F., Rauhut, D., &amp; Humer, A. (2021). EU Cohesion Policy and European spatial governance: An introduction to territorial, economic and social challenges. In</w:t>
      </w:r>
      <w:r>
        <w:rPr>
          <w:rFonts w:ascii="Garamond" w:hAnsi="Garamond" w:hint="default"/>
          <w:sz w:val="20"/>
          <w:szCs w:val="20"/>
          <w:rtl w:val="0"/>
          <w:lang w:val="en-US"/>
        </w:rPr>
        <w:t> </w:t>
      </w:r>
      <w:r>
        <w:rPr>
          <w:rFonts w:ascii="Garamond" w:hAnsi="Garamond"/>
          <w:sz w:val="20"/>
          <w:szCs w:val="20"/>
          <w:rtl w:val="0"/>
          <w:lang w:val="en-US"/>
        </w:rPr>
        <w:t xml:space="preserve">Rauhut, D., Sielker, F., &amp; Humer, A. (Eds.) </w:t>
      </w:r>
      <w:r>
        <w:rPr>
          <w:rFonts w:ascii="Garamond" w:hAnsi="Garamond"/>
          <w:i w:val="1"/>
          <w:iCs w:val="1"/>
          <w:sz w:val="20"/>
          <w:szCs w:val="20"/>
          <w:rtl w:val="0"/>
          <w:lang w:val="en-US"/>
        </w:rPr>
        <w:t>EU Cohesion Policy and Spatial Governance</w:t>
      </w:r>
      <w:r>
        <w:rPr>
          <w:rFonts w:ascii="Garamond" w:hAnsi="Garamond" w:hint="default"/>
          <w:sz w:val="20"/>
          <w:szCs w:val="20"/>
          <w:rtl w:val="0"/>
          <w:lang w:val="en-US"/>
        </w:rPr>
        <w:t> </w:t>
      </w:r>
      <w:r>
        <w:rPr>
          <w:rFonts w:ascii="Garamond" w:hAnsi="Garamond"/>
          <w:sz w:val="20"/>
          <w:szCs w:val="20"/>
          <w:rtl w:val="0"/>
          <w:lang w:val="en-US"/>
        </w:rPr>
        <w:t>(pp. 1-16). Edward Elgar Publishing.</w:t>
      </w:r>
    </w:p>
    <w:p>
      <w:pPr>
        <w:pStyle w:val="List Paragraph"/>
        <w:widowControl w:val="1"/>
        <w:numPr>
          <w:ilvl w:val="0"/>
          <w:numId w:val="2"/>
        </w:numPr>
        <w:bidi w:val="0"/>
        <w:spacing w:line="276" w:lineRule="auto"/>
        <w:ind w:right="0"/>
        <w:jc w:val="both"/>
        <w:rPr>
          <w:rFonts w:ascii="Garamond" w:hAnsi="Garamond"/>
          <w:sz w:val="20"/>
          <w:szCs w:val="20"/>
          <w:rtl w:val="0"/>
          <w:lang w:val="en-US"/>
        </w:rPr>
      </w:pPr>
      <w:r>
        <w:rPr>
          <w:rFonts w:ascii="Garamond" w:hAnsi="Garamond"/>
          <w:sz w:val="20"/>
          <w:szCs w:val="20"/>
          <w:rtl w:val="0"/>
          <w:lang w:val="en-US"/>
        </w:rPr>
        <w:t>Singh, S. U., &amp; Namin, A. S. (2025). A survey on chatbots and large language models: Testing and evaluation techniques.</w:t>
      </w:r>
      <w:r>
        <w:rPr>
          <w:rFonts w:ascii="Garamond" w:hAnsi="Garamond" w:hint="default"/>
          <w:sz w:val="20"/>
          <w:szCs w:val="20"/>
          <w:rtl w:val="0"/>
          <w:lang w:val="en-US"/>
        </w:rPr>
        <w:t> </w:t>
      </w:r>
      <w:r>
        <w:rPr>
          <w:rFonts w:ascii="Garamond" w:hAnsi="Garamond"/>
          <w:i w:val="1"/>
          <w:iCs w:val="1"/>
          <w:sz w:val="20"/>
          <w:szCs w:val="20"/>
          <w:rtl w:val="0"/>
          <w:lang w:val="it-IT"/>
        </w:rPr>
        <w:t>Natural Language Processing Journal</w:t>
      </w:r>
      <w:r>
        <w:rPr>
          <w:rFonts w:ascii="Garamond" w:hAnsi="Garamond"/>
          <w:sz w:val="20"/>
          <w:szCs w:val="20"/>
          <w:rtl w:val="0"/>
          <w:lang w:val="it-IT"/>
        </w:rPr>
        <w:t>, 100128.</w:t>
      </w:r>
    </w:p>
    <w:p>
      <w:pPr>
        <w:pStyle w:val="List Paragraph"/>
        <w:widowControl w:val="1"/>
        <w:numPr>
          <w:ilvl w:val="0"/>
          <w:numId w:val="2"/>
        </w:numPr>
        <w:bidi w:val="0"/>
        <w:spacing w:line="276" w:lineRule="auto"/>
        <w:ind w:right="0"/>
        <w:jc w:val="both"/>
        <w:rPr>
          <w:rFonts w:ascii="Garamond" w:hAnsi="Garamond"/>
          <w:sz w:val="20"/>
          <w:szCs w:val="20"/>
          <w:rtl w:val="0"/>
          <w:lang w:val="it-IT"/>
        </w:rPr>
      </w:pPr>
      <w:r>
        <w:rPr>
          <w:rFonts w:ascii="Garamond" w:hAnsi="Garamond"/>
          <w:sz w:val="20"/>
          <w:szCs w:val="20"/>
          <w:rtl w:val="0"/>
          <w:lang w:val="it-IT"/>
        </w:rPr>
        <w:t>Siri, M., &amp; Zhu, S. (2024</w:t>
      </w:r>
      <w:r>
        <w:rPr>
          <w:rFonts w:ascii="Garamond" w:hAnsi="Garamond"/>
          <w:i w:val="1"/>
          <w:iCs w:val="1"/>
          <w:sz w:val="20"/>
          <w:szCs w:val="20"/>
          <w:rtl w:val="0"/>
          <w:lang w:val="it-IT"/>
        </w:rPr>
        <w:t>). Integrating sustainability in EU corporate governance codes</w:t>
      </w:r>
      <w:r>
        <w:rPr>
          <w:rFonts w:ascii="Garamond" w:hAnsi="Garamond"/>
          <w:sz w:val="20"/>
          <w:szCs w:val="20"/>
          <w:rtl w:val="0"/>
          <w:lang w:val="it-IT"/>
        </w:rPr>
        <w:t>. In</w:t>
      </w:r>
      <w:r>
        <w:rPr>
          <w:rFonts w:ascii="Garamond" w:hAnsi="Garamond" w:hint="default"/>
          <w:sz w:val="20"/>
          <w:szCs w:val="20"/>
          <w:rtl w:val="0"/>
          <w:lang w:val="it-IT"/>
        </w:rPr>
        <w:t> </w:t>
      </w:r>
      <w:r>
        <w:rPr>
          <w:rFonts w:ascii="Garamond" w:hAnsi="Garamond"/>
          <w:sz w:val="20"/>
          <w:szCs w:val="20"/>
          <w:rtl w:val="0"/>
          <w:lang w:val="it-IT"/>
        </w:rPr>
        <w:t>Busch, D., Ferrarini, G., &amp; Gr</w:t>
      </w:r>
      <w:r>
        <w:rPr>
          <w:rFonts w:ascii="Garamond" w:hAnsi="Garamond" w:hint="default"/>
          <w:sz w:val="20"/>
          <w:szCs w:val="20"/>
          <w:rtl w:val="0"/>
          <w:lang w:val="it-IT"/>
        </w:rPr>
        <w:t>ü</w:t>
      </w:r>
      <w:r>
        <w:rPr>
          <w:rFonts w:ascii="Garamond" w:hAnsi="Garamond"/>
          <w:sz w:val="20"/>
          <w:szCs w:val="20"/>
          <w:rtl w:val="0"/>
          <w:lang w:val="it-IT"/>
        </w:rPr>
        <w:t xml:space="preserve">newald, S. N. (Eds.). </w:t>
      </w:r>
      <w:r>
        <w:rPr>
          <w:rFonts w:ascii="Garamond" w:hAnsi="Garamond"/>
          <w:i w:val="1"/>
          <w:iCs w:val="1"/>
          <w:sz w:val="20"/>
          <w:szCs w:val="20"/>
          <w:rtl w:val="0"/>
          <w:lang w:val="en-US"/>
        </w:rPr>
        <w:t>Sustainable Finance in Europe: Corporate Governance, Financial Stability and Financial Markets</w:t>
      </w:r>
      <w:r>
        <w:rPr>
          <w:rFonts w:ascii="Garamond" w:hAnsi="Garamond" w:hint="default"/>
          <w:sz w:val="20"/>
          <w:szCs w:val="20"/>
          <w:rtl w:val="0"/>
          <w:lang w:val="en-US"/>
        </w:rPr>
        <w:t> </w:t>
      </w:r>
      <w:r>
        <w:rPr>
          <w:rFonts w:ascii="Garamond" w:hAnsi="Garamond"/>
          <w:sz w:val="20"/>
          <w:szCs w:val="20"/>
          <w:rtl w:val="0"/>
          <w:lang w:val="en-US"/>
        </w:rPr>
        <w:t xml:space="preserve">(pp. 211-262). </w:t>
      </w:r>
      <w:r>
        <w:rPr>
          <w:rFonts w:ascii="Garamond" w:hAnsi="Garamond"/>
          <w:sz w:val="20"/>
          <w:szCs w:val="20"/>
          <w:rtl w:val="0"/>
          <w:lang w:val="it-IT"/>
        </w:rPr>
        <w:t>Cham: Springer International Publishing.</w:t>
      </w:r>
    </w:p>
    <w:p>
      <w:pPr>
        <w:pStyle w:val="List Paragraph"/>
        <w:widowControl w:val="1"/>
        <w:numPr>
          <w:ilvl w:val="0"/>
          <w:numId w:val="2"/>
        </w:numPr>
        <w:bidi w:val="0"/>
        <w:spacing w:line="276" w:lineRule="auto"/>
        <w:ind w:right="0"/>
        <w:jc w:val="both"/>
        <w:rPr>
          <w:rFonts w:ascii="Garamond" w:hAnsi="Garamond"/>
          <w:sz w:val="20"/>
          <w:szCs w:val="20"/>
          <w:rtl w:val="0"/>
          <w:lang w:val="it-IT"/>
        </w:rPr>
      </w:pPr>
      <w:r>
        <w:rPr>
          <w:rFonts w:ascii="Garamond" w:hAnsi="Garamond"/>
          <w:sz w:val="20"/>
          <w:szCs w:val="20"/>
          <w:rtl w:val="0"/>
          <w:lang w:val="it-IT"/>
        </w:rPr>
        <w:t xml:space="preserve">Srivastava, A., Pandiya, B., &amp; Nautiyal, N. S. (2024). </w:t>
      </w:r>
      <w:r>
        <w:rPr>
          <w:rFonts w:ascii="Garamond" w:hAnsi="Garamond"/>
          <w:i w:val="1"/>
          <w:iCs w:val="1"/>
          <w:sz w:val="20"/>
          <w:szCs w:val="20"/>
          <w:rtl w:val="0"/>
          <w:lang w:val="en-US"/>
        </w:rPr>
        <w:t>Application of Artificial Intelligence in Risk Assessment and Mitigation in Banks</w:t>
      </w:r>
      <w:r>
        <w:rPr>
          <w:rFonts w:ascii="Garamond" w:hAnsi="Garamond"/>
          <w:sz w:val="20"/>
          <w:szCs w:val="20"/>
          <w:rtl w:val="0"/>
          <w:lang w:val="en-US"/>
        </w:rPr>
        <w:t>.</w:t>
      </w:r>
      <w:r>
        <w:rPr>
          <w:rFonts w:ascii="Garamond" w:hAnsi="Garamond" w:hint="default"/>
          <w:sz w:val="20"/>
          <w:szCs w:val="20"/>
          <w:rtl w:val="0"/>
          <w:lang w:val="en-US"/>
        </w:rPr>
        <w:t> </w:t>
      </w:r>
      <w:r>
        <w:rPr>
          <w:rFonts w:ascii="Garamond" w:hAnsi="Garamond"/>
          <w:sz w:val="20"/>
          <w:szCs w:val="20"/>
          <w:rtl w:val="0"/>
          <w:lang w:val="en-US"/>
        </w:rPr>
        <w:t xml:space="preserve">In Mishra, A. K., Anand, S., Debnath, N. C., Pokhariyal, P., &amp; Patel, A.  (Eds.). </w:t>
      </w:r>
      <w:r>
        <w:rPr>
          <w:rFonts w:ascii="Garamond" w:hAnsi="Garamond"/>
          <w:i w:val="1"/>
          <w:iCs w:val="1"/>
          <w:sz w:val="20"/>
          <w:szCs w:val="20"/>
          <w:rtl w:val="0"/>
          <w:lang w:val="en-US"/>
        </w:rPr>
        <w:t>Artificial Intelligence for Risk Mitigation in the Financial Industry</w:t>
      </w:r>
      <w:r>
        <w:rPr>
          <w:rFonts w:ascii="Garamond" w:hAnsi="Garamond"/>
          <w:sz w:val="20"/>
          <w:szCs w:val="20"/>
          <w:rtl w:val="0"/>
          <w:lang w:val="en-US"/>
        </w:rPr>
        <w:t xml:space="preserve"> (pp. 27-52). </w:t>
      </w:r>
      <w:r>
        <w:rPr>
          <w:rFonts w:ascii="Garamond" w:hAnsi="Garamond"/>
          <w:sz w:val="20"/>
          <w:szCs w:val="20"/>
          <w:rtl w:val="0"/>
          <w:lang w:val="it-IT"/>
        </w:rPr>
        <w:t>Scrivener Publishing LLC.</w:t>
      </w:r>
    </w:p>
    <w:p>
      <w:pPr>
        <w:pStyle w:val="List Paragraph"/>
        <w:widowControl w:val="1"/>
        <w:numPr>
          <w:ilvl w:val="0"/>
          <w:numId w:val="2"/>
        </w:numPr>
        <w:bidi w:val="0"/>
        <w:spacing w:line="276" w:lineRule="auto"/>
        <w:ind w:right="0"/>
        <w:jc w:val="both"/>
        <w:rPr>
          <w:rFonts w:ascii="Garamond" w:hAnsi="Garamond"/>
          <w:sz w:val="20"/>
          <w:szCs w:val="20"/>
          <w:rtl w:val="0"/>
          <w:lang w:val="fr-FR"/>
        </w:rPr>
      </w:pPr>
      <w:r>
        <w:rPr>
          <w:rFonts w:ascii="Garamond" w:hAnsi="Garamond"/>
          <w:sz w:val="20"/>
          <w:szCs w:val="20"/>
          <w:rtl w:val="0"/>
          <w:lang w:val="fr-FR"/>
        </w:rPr>
        <w:t>Steuer, S., &amp; Tr</w:t>
      </w:r>
      <w:r>
        <w:rPr>
          <w:rFonts w:ascii="Garamond" w:hAnsi="Garamond" w:hint="default"/>
          <w:sz w:val="20"/>
          <w:szCs w:val="20"/>
          <w:rtl w:val="0"/>
          <w:lang w:val="fr-FR"/>
        </w:rPr>
        <w:t>ö</w:t>
      </w:r>
      <w:r>
        <w:rPr>
          <w:rFonts w:ascii="Garamond" w:hAnsi="Garamond"/>
          <w:sz w:val="20"/>
          <w:szCs w:val="20"/>
          <w:rtl w:val="0"/>
          <w:lang w:val="fr-FR"/>
        </w:rPr>
        <w:t xml:space="preserve">ger, T. H. (2022). </w:t>
      </w:r>
      <w:r>
        <w:rPr>
          <w:rFonts w:ascii="Garamond" w:hAnsi="Garamond"/>
          <w:sz w:val="20"/>
          <w:szCs w:val="20"/>
          <w:rtl w:val="0"/>
          <w:lang w:val="en-US"/>
        </w:rPr>
        <w:t>The role of disclosure in green finance.</w:t>
      </w:r>
      <w:r>
        <w:rPr>
          <w:rFonts w:ascii="Garamond" w:hAnsi="Garamond" w:hint="default"/>
          <w:sz w:val="20"/>
          <w:szCs w:val="20"/>
          <w:rtl w:val="0"/>
          <w:lang w:val="en-US"/>
        </w:rPr>
        <w:t> </w:t>
      </w:r>
      <w:r>
        <w:rPr>
          <w:rFonts w:ascii="Garamond" w:hAnsi="Garamond"/>
          <w:i w:val="1"/>
          <w:iCs w:val="1"/>
          <w:sz w:val="20"/>
          <w:szCs w:val="20"/>
          <w:rtl w:val="0"/>
          <w:lang w:val="it-IT"/>
        </w:rPr>
        <w:t>Journal of Financial Regulation</w:t>
      </w:r>
      <w:r>
        <w:rPr>
          <w:rFonts w:ascii="Garamond" w:hAnsi="Garamond"/>
          <w:sz w:val="20"/>
          <w:szCs w:val="20"/>
          <w:rtl w:val="0"/>
          <w:lang w:val="it-IT"/>
        </w:rPr>
        <w:t>,</w:t>
      </w:r>
      <w:r>
        <w:rPr>
          <w:rFonts w:ascii="Garamond" w:hAnsi="Garamond" w:hint="default"/>
          <w:sz w:val="20"/>
          <w:szCs w:val="20"/>
          <w:rtl w:val="0"/>
          <w:lang w:val="it-IT"/>
        </w:rPr>
        <w:t> </w:t>
      </w:r>
      <w:r>
        <w:rPr>
          <w:rFonts w:ascii="Garamond" w:hAnsi="Garamond"/>
          <w:i w:val="1"/>
          <w:iCs w:val="1"/>
          <w:sz w:val="20"/>
          <w:szCs w:val="20"/>
          <w:rtl w:val="0"/>
          <w:lang w:val="it-IT"/>
        </w:rPr>
        <w:t>8</w:t>
      </w:r>
      <w:r>
        <w:rPr>
          <w:rFonts w:ascii="Garamond" w:hAnsi="Garamond"/>
          <w:sz w:val="20"/>
          <w:szCs w:val="20"/>
          <w:rtl w:val="0"/>
          <w:lang w:val="it-IT"/>
        </w:rPr>
        <w:t>(1), 1-50.</w:t>
      </w:r>
    </w:p>
    <w:p>
      <w:pPr>
        <w:pStyle w:val="List Paragraph"/>
        <w:widowControl w:val="1"/>
        <w:numPr>
          <w:ilvl w:val="0"/>
          <w:numId w:val="2"/>
        </w:numPr>
        <w:bidi w:val="0"/>
        <w:spacing w:line="276" w:lineRule="auto"/>
        <w:ind w:right="0"/>
        <w:jc w:val="both"/>
        <w:rPr>
          <w:rFonts w:ascii="Garamond" w:hAnsi="Garamond"/>
          <w:sz w:val="20"/>
          <w:szCs w:val="20"/>
          <w:rtl w:val="0"/>
          <w:lang w:val="en-US"/>
        </w:rPr>
      </w:pPr>
      <w:r>
        <w:rPr>
          <w:rFonts w:ascii="Garamond" w:hAnsi="Garamond"/>
          <w:sz w:val="20"/>
          <w:szCs w:val="20"/>
          <w:rtl w:val="0"/>
          <w:lang w:val="en-US"/>
        </w:rPr>
        <w:t>Surampudi, Y. (2024).</w:t>
      </w:r>
      <w:r>
        <w:rPr>
          <w:rFonts w:ascii="Garamond" w:hAnsi="Garamond" w:hint="default"/>
          <w:sz w:val="20"/>
          <w:szCs w:val="20"/>
          <w:rtl w:val="0"/>
          <w:lang w:val="en-US"/>
        </w:rPr>
        <w:t> </w:t>
      </w:r>
      <w:r>
        <w:rPr>
          <w:rFonts w:ascii="Garamond" w:hAnsi="Garamond"/>
          <w:i w:val="1"/>
          <w:iCs w:val="1"/>
          <w:sz w:val="20"/>
          <w:szCs w:val="20"/>
          <w:rtl w:val="0"/>
          <w:lang w:val="en-US"/>
        </w:rPr>
        <w:t>Big Data Meets LLMs: A New Era of Incident Monitoring</w:t>
      </w:r>
      <w:r>
        <w:rPr>
          <w:rFonts w:ascii="Garamond" w:hAnsi="Garamond"/>
          <w:sz w:val="20"/>
          <w:szCs w:val="20"/>
          <w:rtl w:val="0"/>
          <w:lang w:val="en-US"/>
        </w:rPr>
        <w:t xml:space="preserve">. </w:t>
      </w:r>
      <w:r>
        <w:rPr>
          <w:rFonts w:ascii="Garamond" w:hAnsi="Garamond"/>
          <w:sz w:val="20"/>
          <w:szCs w:val="20"/>
          <w:rtl w:val="0"/>
          <w:lang w:val="it-IT"/>
        </w:rPr>
        <w:t>Libertatem Media Private Limited.</w:t>
      </w:r>
    </w:p>
    <w:p>
      <w:pPr>
        <w:pStyle w:val="List Paragraph"/>
        <w:widowControl w:val="1"/>
        <w:numPr>
          <w:ilvl w:val="0"/>
          <w:numId w:val="2"/>
        </w:numPr>
        <w:bidi w:val="0"/>
        <w:spacing w:line="276" w:lineRule="auto"/>
        <w:ind w:right="0"/>
        <w:jc w:val="both"/>
        <w:rPr>
          <w:rFonts w:ascii="Garamond" w:hAnsi="Garamond"/>
          <w:sz w:val="20"/>
          <w:szCs w:val="20"/>
          <w:rtl w:val="0"/>
          <w:lang w:val="en-US"/>
        </w:rPr>
      </w:pPr>
      <w:r>
        <w:rPr>
          <w:rFonts w:ascii="Garamond" w:hAnsi="Garamond"/>
          <w:sz w:val="20"/>
          <w:szCs w:val="20"/>
          <w:rtl w:val="0"/>
          <w:lang w:val="en-US"/>
        </w:rPr>
        <w:t>Teichmann, F. M. J., Wittmann, C., &amp; Sergi, B. S. S. (2023). What are the consequences of corporate greenwashing? A look into the consequences of greenwashing in consumer and financial markets.</w:t>
      </w:r>
      <w:r>
        <w:rPr>
          <w:rFonts w:ascii="Garamond" w:hAnsi="Garamond" w:hint="default"/>
          <w:sz w:val="20"/>
          <w:szCs w:val="20"/>
          <w:rtl w:val="0"/>
          <w:lang w:val="en-US"/>
        </w:rPr>
        <w:t> </w:t>
      </w:r>
      <w:r>
        <w:rPr>
          <w:rFonts w:ascii="Garamond" w:hAnsi="Garamond"/>
          <w:i w:val="1"/>
          <w:iCs w:val="1"/>
          <w:sz w:val="20"/>
          <w:szCs w:val="20"/>
          <w:rtl w:val="0"/>
          <w:lang w:val="it-IT"/>
        </w:rPr>
        <w:t>Journal of Information, Communication and Ethics in Society</w:t>
      </w:r>
      <w:r>
        <w:rPr>
          <w:rFonts w:ascii="Garamond" w:hAnsi="Garamond"/>
          <w:sz w:val="20"/>
          <w:szCs w:val="20"/>
          <w:rtl w:val="0"/>
          <w:lang w:val="it-IT"/>
        </w:rPr>
        <w:t>,</w:t>
      </w:r>
      <w:r>
        <w:rPr>
          <w:rFonts w:ascii="Garamond" w:hAnsi="Garamond" w:hint="default"/>
          <w:sz w:val="20"/>
          <w:szCs w:val="20"/>
          <w:rtl w:val="0"/>
          <w:lang w:val="it-IT"/>
        </w:rPr>
        <w:t> </w:t>
      </w:r>
      <w:r>
        <w:rPr>
          <w:rFonts w:ascii="Garamond" w:hAnsi="Garamond"/>
          <w:i w:val="1"/>
          <w:iCs w:val="1"/>
          <w:sz w:val="20"/>
          <w:szCs w:val="20"/>
          <w:rtl w:val="0"/>
          <w:lang w:val="it-IT"/>
        </w:rPr>
        <w:t>21</w:t>
      </w:r>
      <w:r>
        <w:rPr>
          <w:rFonts w:ascii="Garamond" w:hAnsi="Garamond"/>
          <w:sz w:val="20"/>
          <w:szCs w:val="20"/>
          <w:rtl w:val="0"/>
          <w:lang w:val="it-IT"/>
        </w:rPr>
        <w:t>(3), 290-301.</w:t>
      </w:r>
    </w:p>
    <w:p>
      <w:pPr>
        <w:pStyle w:val="List Paragraph"/>
        <w:widowControl w:val="1"/>
        <w:numPr>
          <w:ilvl w:val="0"/>
          <w:numId w:val="2"/>
        </w:numPr>
        <w:bidi w:val="0"/>
        <w:spacing w:line="276" w:lineRule="auto"/>
        <w:ind w:right="0"/>
        <w:jc w:val="both"/>
        <w:rPr>
          <w:rFonts w:ascii="Garamond" w:hAnsi="Garamond"/>
          <w:sz w:val="20"/>
          <w:szCs w:val="20"/>
          <w:rtl w:val="0"/>
          <w:lang w:val="en-US"/>
        </w:rPr>
      </w:pPr>
      <w:r>
        <w:rPr>
          <w:rFonts w:ascii="Garamond" w:hAnsi="Garamond"/>
          <w:sz w:val="20"/>
          <w:szCs w:val="20"/>
          <w:rtl w:val="0"/>
          <w:lang w:val="en-US"/>
        </w:rPr>
        <w:t>Terzidou, K. (2025). Generative AI systems in legal practice offering quality legal services while upholding legal ethics</w:t>
      </w:r>
      <w:r>
        <w:rPr>
          <w:rFonts w:ascii="Garamond" w:hAnsi="Garamond"/>
          <w:i w:val="1"/>
          <w:iCs w:val="1"/>
          <w:sz w:val="20"/>
          <w:szCs w:val="20"/>
          <w:rtl w:val="0"/>
          <w:lang w:val="en-US"/>
        </w:rPr>
        <w:t xml:space="preserve">. </w:t>
      </w:r>
      <w:r>
        <w:rPr>
          <w:rFonts w:ascii="Garamond" w:hAnsi="Garamond"/>
          <w:i w:val="1"/>
          <w:iCs w:val="1"/>
          <w:sz w:val="20"/>
          <w:szCs w:val="20"/>
          <w:rtl w:val="0"/>
          <w:lang w:val="it-IT"/>
        </w:rPr>
        <w:t>International Journal of Law in Context</w:t>
      </w:r>
      <w:r>
        <w:rPr>
          <w:rFonts w:ascii="Garamond" w:hAnsi="Garamond"/>
          <w:sz w:val="20"/>
          <w:szCs w:val="20"/>
          <w:rtl w:val="0"/>
          <w:lang w:val="it-IT"/>
        </w:rPr>
        <w:t>, 1-22.</w:t>
      </w:r>
    </w:p>
    <w:p>
      <w:pPr>
        <w:pStyle w:val="List Paragraph"/>
        <w:widowControl w:val="1"/>
        <w:numPr>
          <w:ilvl w:val="0"/>
          <w:numId w:val="2"/>
        </w:numPr>
        <w:bidi w:val="0"/>
        <w:spacing w:line="276" w:lineRule="auto"/>
        <w:ind w:right="0"/>
        <w:jc w:val="both"/>
        <w:rPr>
          <w:rFonts w:ascii="Garamond" w:hAnsi="Garamond"/>
          <w:sz w:val="20"/>
          <w:szCs w:val="20"/>
          <w:rtl w:val="0"/>
          <w:lang w:val="it-IT"/>
        </w:rPr>
      </w:pPr>
      <w:r>
        <w:rPr>
          <w:rFonts w:ascii="Garamond" w:hAnsi="Garamond"/>
          <w:sz w:val="20"/>
          <w:szCs w:val="20"/>
          <w:rtl w:val="0"/>
          <w:lang w:val="it-IT"/>
        </w:rPr>
        <w:t xml:space="preserve">Torelli, R., Balluchi, F., &amp; Lazzini, A. (2020). </w:t>
      </w:r>
      <w:r>
        <w:rPr>
          <w:rFonts w:ascii="Garamond" w:hAnsi="Garamond"/>
          <w:sz w:val="20"/>
          <w:szCs w:val="20"/>
          <w:rtl w:val="0"/>
          <w:lang w:val="en-US"/>
        </w:rPr>
        <w:t>Greenwashing and environmental communication: Effects on stakeholders' perceptions.</w:t>
      </w:r>
      <w:r>
        <w:rPr>
          <w:rFonts w:ascii="Garamond" w:hAnsi="Garamond" w:hint="default"/>
          <w:sz w:val="20"/>
          <w:szCs w:val="20"/>
          <w:rtl w:val="0"/>
          <w:lang w:val="en-US"/>
        </w:rPr>
        <w:t> </w:t>
      </w:r>
      <w:r>
        <w:rPr>
          <w:rFonts w:ascii="Garamond" w:hAnsi="Garamond"/>
          <w:i w:val="1"/>
          <w:iCs w:val="1"/>
          <w:sz w:val="20"/>
          <w:szCs w:val="20"/>
          <w:rtl w:val="0"/>
          <w:lang w:val="it-IT"/>
        </w:rPr>
        <w:t>Business strategy and the Environment</w:t>
      </w:r>
      <w:r>
        <w:rPr>
          <w:rFonts w:ascii="Garamond" w:hAnsi="Garamond"/>
          <w:sz w:val="20"/>
          <w:szCs w:val="20"/>
          <w:rtl w:val="0"/>
          <w:lang w:val="it-IT"/>
        </w:rPr>
        <w:t>,</w:t>
      </w:r>
      <w:r>
        <w:rPr>
          <w:rFonts w:ascii="Garamond" w:hAnsi="Garamond" w:hint="default"/>
          <w:sz w:val="20"/>
          <w:szCs w:val="20"/>
          <w:rtl w:val="0"/>
          <w:lang w:val="it-IT"/>
        </w:rPr>
        <w:t> </w:t>
      </w:r>
      <w:r>
        <w:rPr>
          <w:rFonts w:ascii="Garamond" w:hAnsi="Garamond"/>
          <w:i w:val="1"/>
          <w:iCs w:val="1"/>
          <w:sz w:val="20"/>
          <w:szCs w:val="20"/>
          <w:rtl w:val="0"/>
          <w:lang w:val="it-IT"/>
        </w:rPr>
        <w:t>29</w:t>
      </w:r>
      <w:r>
        <w:rPr>
          <w:rFonts w:ascii="Garamond" w:hAnsi="Garamond"/>
          <w:sz w:val="20"/>
          <w:szCs w:val="20"/>
          <w:rtl w:val="0"/>
          <w:lang w:val="it-IT"/>
        </w:rPr>
        <w:t>(2), 407-421.</w:t>
      </w:r>
    </w:p>
    <w:p>
      <w:pPr>
        <w:pStyle w:val="List Paragraph"/>
        <w:widowControl w:val="1"/>
        <w:numPr>
          <w:ilvl w:val="0"/>
          <w:numId w:val="2"/>
        </w:numPr>
        <w:bidi w:val="0"/>
        <w:spacing w:line="276" w:lineRule="auto"/>
        <w:ind w:right="0"/>
        <w:jc w:val="both"/>
        <w:rPr>
          <w:rFonts w:ascii="Garamond" w:hAnsi="Garamond"/>
          <w:sz w:val="20"/>
          <w:szCs w:val="20"/>
          <w:rtl w:val="0"/>
          <w:lang w:val="en-US"/>
        </w:rPr>
      </w:pPr>
      <w:r>
        <w:rPr>
          <w:rFonts w:ascii="Garamond" w:hAnsi="Garamond"/>
          <w:sz w:val="20"/>
          <w:szCs w:val="20"/>
          <w:rtl w:val="0"/>
          <w:lang w:val="en-US"/>
        </w:rPr>
        <w:t xml:space="preserve">Utz, S. (2019). Corporate scandals and the reliability of ESG assessments: Evidence from an international sample. </w:t>
      </w:r>
      <w:r>
        <w:rPr>
          <w:rFonts w:ascii="Garamond" w:hAnsi="Garamond"/>
          <w:i w:val="1"/>
          <w:iCs w:val="1"/>
          <w:sz w:val="20"/>
          <w:szCs w:val="20"/>
          <w:rtl w:val="0"/>
          <w:lang w:val="it-IT"/>
        </w:rPr>
        <w:t>Review of Managerial Science</w:t>
      </w:r>
      <w:r>
        <w:rPr>
          <w:rFonts w:ascii="Garamond" w:hAnsi="Garamond"/>
          <w:sz w:val="20"/>
          <w:szCs w:val="20"/>
          <w:rtl w:val="0"/>
          <w:lang w:val="it-IT"/>
        </w:rPr>
        <w:t>, 13, 483-511.</w:t>
      </w:r>
    </w:p>
    <w:p>
      <w:pPr>
        <w:pStyle w:val="List Paragraph"/>
        <w:widowControl w:val="1"/>
        <w:numPr>
          <w:ilvl w:val="0"/>
          <w:numId w:val="2"/>
        </w:numPr>
        <w:bidi w:val="0"/>
        <w:spacing w:line="276" w:lineRule="auto"/>
        <w:ind w:right="0"/>
        <w:jc w:val="both"/>
        <w:rPr>
          <w:rFonts w:ascii="Garamond" w:hAnsi="Garamond"/>
          <w:sz w:val="20"/>
          <w:szCs w:val="20"/>
          <w:rtl w:val="0"/>
          <w:lang w:val="en-US"/>
        </w:rPr>
      </w:pPr>
      <w:r>
        <w:rPr>
          <w:rFonts w:ascii="Garamond" w:hAnsi="Garamond"/>
          <w:sz w:val="20"/>
          <w:szCs w:val="20"/>
          <w:rtl w:val="0"/>
          <w:lang w:val="en-US"/>
        </w:rPr>
        <w:t>Van der Ven, H. (2019).</w:t>
      </w:r>
      <w:r>
        <w:rPr>
          <w:rFonts w:ascii="Garamond" w:hAnsi="Garamond" w:hint="default"/>
          <w:sz w:val="20"/>
          <w:szCs w:val="20"/>
          <w:rtl w:val="0"/>
          <w:lang w:val="en-US"/>
        </w:rPr>
        <w:t> </w:t>
      </w:r>
      <w:r>
        <w:rPr>
          <w:rFonts w:ascii="Garamond" w:hAnsi="Garamond"/>
          <w:i w:val="1"/>
          <w:iCs w:val="1"/>
          <w:sz w:val="20"/>
          <w:szCs w:val="20"/>
          <w:rtl w:val="0"/>
          <w:lang w:val="en-US"/>
        </w:rPr>
        <w:t>Beyond greenwash: Explaining credibility in transnational eco-labeling</w:t>
      </w:r>
      <w:r>
        <w:rPr>
          <w:rFonts w:ascii="Garamond" w:hAnsi="Garamond"/>
          <w:sz w:val="20"/>
          <w:szCs w:val="20"/>
          <w:rtl w:val="0"/>
          <w:lang w:val="en-US"/>
        </w:rPr>
        <w:t xml:space="preserve">. </w:t>
      </w:r>
      <w:r>
        <w:rPr>
          <w:rFonts w:ascii="Garamond" w:hAnsi="Garamond"/>
          <w:sz w:val="20"/>
          <w:szCs w:val="20"/>
          <w:rtl w:val="0"/>
          <w:lang w:val="it-IT"/>
        </w:rPr>
        <w:t>Oxford University Press.</w:t>
      </w:r>
    </w:p>
    <w:p>
      <w:pPr>
        <w:pStyle w:val="List Paragraph"/>
        <w:widowControl w:val="1"/>
        <w:numPr>
          <w:ilvl w:val="0"/>
          <w:numId w:val="2"/>
        </w:numPr>
        <w:bidi w:val="0"/>
        <w:spacing w:line="276" w:lineRule="auto"/>
        <w:ind w:right="0"/>
        <w:jc w:val="both"/>
        <w:rPr>
          <w:rFonts w:ascii="Garamond" w:hAnsi="Garamond"/>
          <w:sz w:val="20"/>
          <w:szCs w:val="20"/>
          <w:rtl w:val="0"/>
          <w:lang w:val="en-US"/>
        </w:rPr>
      </w:pPr>
      <w:r>
        <w:rPr>
          <w:rFonts w:ascii="Garamond" w:hAnsi="Garamond"/>
          <w:sz w:val="20"/>
          <w:szCs w:val="20"/>
          <w:rtl w:val="0"/>
          <w:lang w:val="en-US"/>
        </w:rPr>
        <w:t>van Oostrum, C. (2021). Sustainability through transparency and definitions: A few thoughts on Regulation (EU) 2019/2088 and Regulation (EU) 2020/852.</w:t>
      </w:r>
      <w:r>
        <w:rPr>
          <w:rFonts w:ascii="Garamond" w:hAnsi="Garamond" w:hint="default"/>
          <w:sz w:val="20"/>
          <w:szCs w:val="20"/>
          <w:rtl w:val="0"/>
          <w:lang w:val="en-US"/>
        </w:rPr>
        <w:t> </w:t>
      </w:r>
      <w:r>
        <w:rPr>
          <w:rFonts w:ascii="Garamond" w:hAnsi="Garamond"/>
          <w:i w:val="1"/>
          <w:iCs w:val="1"/>
          <w:sz w:val="20"/>
          <w:szCs w:val="20"/>
          <w:rtl w:val="0"/>
          <w:lang w:val="it-IT"/>
        </w:rPr>
        <w:t>European company law</w:t>
      </w:r>
      <w:r>
        <w:rPr>
          <w:rFonts w:ascii="Garamond" w:hAnsi="Garamond"/>
          <w:sz w:val="20"/>
          <w:szCs w:val="20"/>
          <w:rtl w:val="0"/>
          <w:lang w:val="it-IT"/>
        </w:rPr>
        <w:t>,</w:t>
      </w:r>
      <w:r>
        <w:rPr>
          <w:rFonts w:ascii="Garamond" w:hAnsi="Garamond" w:hint="default"/>
          <w:sz w:val="20"/>
          <w:szCs w:val="20"/>
          <w:rtl w:val="0"/>
          <w:lang w:val="it-IT"/>
        </w:rPr>
        <w:t> </w:t>
      </w:r>
      <w:r>
        <w:rPr>
          <w:rFonts w:ascii="Garamond" w:hAnsi="Garamond"/>
          <w:i w:val="1"/>
          <w:iCs w:val="1"/>
          <w:sz w:val="20"/>
          <w:szCs w:val="20"/>
          <w:rtl w:val="0"/>
          <w:lang w:val="it-IT"/>
        </w:rPr>
        <w:t>18</w:t>
      </w:r>
      <w:r>
        <w:rPr>
          <w:rFonts w:ascii="Garamond" w:hAnsi="Garamond"/>
          <w:sz w:val="20"/>
          <w:szCs w:val="20"/>
          <w:rtl w:val="0"/>
          <w:lang w:val="it-IT"/>
        </w:rPr>
        <w:t>(1), 15-21.</w:t>
      </w:r>
    </w:p>
    <w:p>
      <w:pPr>
        <w:pStyle w:val="List Paragraph"/>
        <w:widowControl w:val="1"/>
        <w:numPr>
          <w:ilvl w:val="0"/>
          <w:numId w:val="2"/>
        </w:numPr>
        <w:bidi w:val="0"/>
        <w:spacing w:line="276" w:lineRule="auto"/>
        <w:ind w:right="0"/>
        <w:jc w:val="both"/>
        <w:rPr>
          <w:rFonts w:ascii="Garamond" w:hAnsi="Garamond"/>
          <w:sz w:val="20"/>
          <w:szCs w:val="20"/>
          <w:rtl w:val="0"/>
          <w:lang w:val="en-US"/>
        </w:rPr>
      </w:pPr>
      <w:r>
        <w:rPr>
          <w:rFonts w:ascii="Garamond" w:hAnsi="Garamond"/>
          <w:sz w:val="20"/>
          <w:szCs w:val="20"/>
          <w:rtl w:val="0"/>
          <w:lang w:val="en-US"/>
        </w:rPr>
        <w:t>Veeramachaneni, V. (2025). Large Language Models: A Comprehensive Survey on Architectures, Applications, and Challenges.</w:t>
      </w:r>
      <w:r>
        <w:rPr>
          <w:rFonts w:ascii="Garamond" w:hAnsi="Garamond" w:hint="default"/>
          <w:sz w:val="20"/>
          <w:szCs w:val="20"/>
          <w:rtl w:val="0"/>
          <w:lang w:val="en-US"/>
        </w:rPr>
        <w:t> </w:t>
      </w:r>
      <w:r>
        <w:rPr>
          <w:rFonts w:ascii="Garamond" w:hAnsi="Garamond"/>
          <w:i w:val="1"/>
          <w:iCs w:val="1"/>
          <w:sz w:val="20"/>
          <w:szCs w:val="20"/>
          <w:rtl w:val="0"/>
          <w:lang w:val="en-US"/>
        </w:rPr>
        <w:t>Advanced Innovations in Computer Programming Languages</w:t>
      </w:r>
      <w:r>
        <w:rPr>
          <w:rFonts w:ascii="Garamond" w:hAnsi="Garamond"/>
          <w:sz w:val="20"/>
          <w:szCs w:val="20"/>
          <w:rtl w:val="0"/>
          <w:lang w:val="en-US"/>
        </w:rPr>
        <w:t>,</w:t>
      </w:r>
      <w:r>
        <w:rPr>
          <w:rFonts w:ascii="Garamond" w:hAnsi="Garamond" w:hint="default"/>
          <w:sz w:val="20"/>
          <w:szCs w:val="20"/>
          <w:rtl w:val="0"/>
          <w:lang w:val="en-US"/>
        </w:rPr>
        <w:t> </w:t>
      </w:r>
      <w:r>
        <w:rPr>
          <w:rFonts w:ascii="Garamond" w:hAnsi="Garamond"/>
          <w:i w:val="1"/>
          <w:iCs w:val="1"/>
          <w:sz w:val="20"/>
          <w:szCs w:val="20"/>
          <w:rtl w:val="0"/>
          <w:lang w:val="en-US"/>
        </w:rPr>
        <w:t>7</w:t>
      </w:r>
      <w:r>
        <w:rPr>
          <w:rFonts w:ascii="Garamond" w:hAnsi="Garamond"/>
          <w:sz w:val="20"/>
          <w:szCs w:val="20"/>
          <w:rtl w:val="0"/>
          <w:lang w:val="en-US"/>
        </w:rPr>
        <w:t>(1), 20-39.</w:t>
      </w:r>
    </w:p>
    <w:p>
      <w:pPr>
        <w:pStyle w:val="List Paragraph"/>
        <w:widowControl w:val="1"/>
        <w:numPr>
          <w:ilvl w:val="0"/>
          <w:numId w:val="2"/>
        </w:numPr>
        <w:bidi w:val="0"/>
        <w:spacing w:line="276" w:lineRule="auto"/>
        <w:ind w:right="0"/>
        <w:jc w:val="both"/>
        <w:rPr>
          <w:rFonts w:ascii="Garamond" w:hAnsi="Garamond"/>
          <w:sz w:val="20"/>
          <w:szCs w:val="20"/>
          <w:rtl w:val="0"/>
          <w:lang w:val="fr-FR"/>
        </w:rPr>
      </w:pPr>
      <w:r>
        <w:rPr>
          <w:rFonts w:ascii="Garamond" w:hAnsi="Garamond"/>
          <w:sz w:val="20"/>
          <w:szCs w:val="20"/>
          <w:rtl w:val="0"/>
          <w:lang w:val="fr-FR"/>
        </w:rPr>
        <w:t xml:space="preserve">Vigneau, L., &amp; Adams, C. A. (2023). </w:t>
      </w:r>
      <w:r>
        <w:rPr>
          <w:rFonts w:ascii="Garamond" w:hAnsi="Garamond"/>
          <w:sz w:val="20"/>
          <w:szCs w:val="20"/>
          <w:rtl w:val="0"/>
          <w:lang w:val="en-US"/>
        </w:rPr>
        <w:t>The failure of transparency as self-regulation.</w:t>
      </w:r>
      <w:r>
        <w:rPr>
          <w:rFonts w:ascii="Garamond" w:hAnsi="Garamond" w:hint="default"/>
          <w:sz w:val="20"/>
          <w:szCs w:val="20"/>
          <w:rtl w:val="0"/>
          <w:lang w:val="en-US"/>
        </w:rPr>
        <w:t> </w:t>
      </w:r>
      <w:r>
        <w:rPr>
          <w:rFonts w:ascii="Garamond" w:hAnsi="Garamond"/>
          <w:i w:val="1"/>
          <w:iCs w:val="1"/>
          <w:sz w:val="20"/>
          <w:szCs w:val="20"/>
          <w:rtl w:val="0"/>
          <w:lang w:val="it-IT"/>
        </w:rPr>
        <w:t>Sustainability Accounting, Management and Policy Journal</w:t>
      </w:r>
      <w:r>
        <w:rPr>
          <w:rFonts w:ascii="Garamond" w:hAnsi="Garamond"/>
          <w:sz w:val="20"/>
          <w:szCs w:val="20"/>
          <w:rtl w:val="0"/>
          <w:lang w:val="it-IT"/>
        </w:rPr>
        <w:t>,</w:t>
      </w:r>
      <w:r>
        <w:rPr>
          <w:rFonts w:ascii="Garamond" w:hAnsi="Garamond" w:hint="default"/>
          <w:sz w:val="20"/>
          <w:szCs w:val="20"/>
          <w:rtl w:val="0"/>
          <w:lang w:val="it-IT"/>
        </w:rPr>
        <w:t> </w:t>
      </w:r>
      <w:r>
        <w:rPr>
          <w:rFonts w:ascii="Garamond" w:hAnsi="Garamond"/>
          <w:i w:val="1"/>
          <w:iCs w:val="1"/>
          <w:sz w:val="20"/>
          <w:szCs w:val="20"/>
          <w:rtl w:val="0"/>
          <w:lang w:val="it-IT"/>
        </w:rPr>
        <w:t>14</w:t>
      </w:r>
      <w:r>
        <w:rPr>
          <w:rFonts w:ascii="Garamond" w:hAnsi="Garamond"/>
          <w:sz w:val="20"/>
          <w:szCs w:val="20"/>
          <w:rtl w:val="0"/>
          <w:lang w:val="it-IT"/>
        </w:rPr>
        <w:t>(4), 852-876.</w:t>
      </w:r>
    </w:p>
    <w:p>
      <w:pPr>
        <w:pStyle w:val="List Paragraph"/>
        <w:widowControl w:val="1"/>
        <w:numPr>
          <w:ilvl w:val="0"/>
          <w:numId w:val="2"/>
        </w:numPr>
        <w:bidi w:val="0"/>
        <w:spacing w:line="276" w:lineRule="auto"/>
        <w:ind w:right="0"/>
        <w:jc w:val="both"/>
        <w:rPr>
          <w:rFonts w:ascii="Garamond" w:hAnsi="Garamond"/>
          <w:sz w:val="20"/>
          <w:szCs w:val="20"/>
          <w:rtl w:val="0"/>
          <w:lang w:val="it-IT"/>
        </w:rPr>
      </w:pPr>
      <w:r>
        <w:rPr>
          <w:rFonts w:ascii="Garamond" w:hAnsi="Garamond"/>
          <w:sz w:val="20"/>
          <w:szCs w:val="20"/>
          <w:rtl w:val="0"/>
          <w:lang w:val="it-IT"/>
        </w:rPr>
        <w:t>Villacampa-Porta, J., Coronado-Vaca, M., &amp; Garrido-Merch</w:t>
      </w:r>
      <w:r>
        <w:rPr>
          <w:rFonts w:ascii="Garamond" w:hAnsi="Garamond" w:hint="default"/>
          <w:sz w:val="20"/>
          <w:szCs w:val="20"/>
          <w:rtl w:val="0"/>
          <w:lang w:val="it-IT"/>
        </w:rPr>
        <w:t>á</w:t>
      </w:r>
      <w:r>
        <w:rPr>
          <w:rFonts w:ascii="Garamond" w:hAnsi="Garamond"/>
          <w:sz w:val="20"/>
          <w:szCs w:val="20"/>
          <w:rtl w:val="0"/>
          <w:lang w:val="it-IT"/>
        </w:rPr>
        <w:t xml:space="preserve">n, E. C. (2025). </w:t>
      </w:r>
      <w:r>
        <w:rPr>
          <w:rFonts w:ascii="Garamond" w:hAnsi="Garamond"/>
          <w:sz w:val="20"/>
          <w:szCs w:val="20"/>
          <w:rtl w:val="0"/>
          <w:lang w:val="en-US"/>
        </w:rPr>
        <w:t>Impact of EU non-financial reporting regulation on Spanish companies</w:t>
      </w:r>
      <w:r>
        <w:rPr>
          <w:rFonts w:ascii="Garamond" w:hAnsi="Garamond" w:hint="default"/>
          <w:sz w:val="20"/>
          <w:szCs w:val="20"/>
          <w:rtl w:val="0"/>
          <w:lang w:val="en-US"/>
        </w:rPr>
        <w:t xml:space="preserve">’ </w:t>
      </w:r>
      <w:r>
        <w:rPr>
          <w:rFonts w:ascii="Garamond" w:hAnsi="Garamond"/>
          <w:sz w:val="20"/>
          <w:szCs w:val="20"/>
          <w:rtl w:val="0"/>
          <w:lang w:val="en-US"/>
        </w:rPr>
        <w:t>environmental disclosure: a cutting-edge natural language processing approach.</w:t>
      </w:r>
      <w:r>
        <w:rPr>
          <w:rFonts w:ascii="Garamond" w:hAnsi="Garamond" w:hint="default"/>
          <w:sz w:val="20"/>
          <w:szCs w:val="20"/>
          <w:rtl w:val="0"/>
          <w:lang w:val="en-US"/>
        </w:rPr>
        <w:t> </w:t>
      </w:r>
      <w:r>
        <w:rPr>
          <w:rFonts w:ascii="Garamond" w:hAnsi="Garamond"/>
          <w:i w:val="1"/>
          <w:iCs w:val="1"/>
          <w:sz w:val="20"/>
          <w:szCs w:val="20"/>
          <w:rtl w:val="0"/>
          <w:lang w:val="it-IT"/>
        </w:rPr>
        <w:t>Environmental Sciences Europe</w:t>
      </w:r>
      <w:r>
        <w:rPr>
          <w:rFonts w:ascii="Garamond" w:hAnsi="Garamond"/>
          <w:sz w:val="20"/>
          <w:szCs w:val="20"/>
          <w:rtl w:val="0"/>
          <w:lang w:val="it-IT"/>
        </w:rPr>
        <w:t>,</w:t>
      </w:r>
      <w:r>
        <w:rPr>
          <w:rFonts w:ascii="Garamond" w:hAnsi="Garamond" w:hint="default"/>
          <w:sz w:val="20"/>
          <w:szCs w:val="20"/>
          <w:rtl w:val="0"/>
          <w:lang w:val="it-IT"/>
        </w:rPr>
        <w:t> </w:t>
      </w:r>
      <w:r>
        <w:rPr>
          <w:rFonts w:ascii="Garamond" w:hAnsi="Garamond"/>
          <w:i w:val="1"/>
          <w:iCs w:val="1"/>
          <w:sz w:val="20"/>
          <w:szCs w:val="20"/>
          <w:rtl w:val="0"/>
          <w:lang w:val="it-IT"/>
        </w:rPr>
        <w:t>37</w:t>
      </w:r>
      <w:r>
        <w:rPr>
          <w:rFonts w:ascii="Garamond" w:hAnsi="Garamond"/>
          <w:sz w:val="20"/>
          <w:szCs w:val="20"/>
          <w:rtl w:val="0"/>
          <w:lang w:val="it-IT"/>
        </w:rPr>
        <w:t>(1), 1-33.</w:t>
      </w:r>
    </w:p>
    <w:p>
      <w:pPr>
        <w:pStyle w:val="List Paragraph"/>
        <w:widowControl w:val="1"/>
        <w:numPr>
          <w:ilvl w:val="0"/>
          <w:numId w:val="2"/>
        </w:numPr>
        <w:bidi w:val="0"/>
        <w:spacing w:line="276" w:lineRule="auto"/>
        <w:ind w:right="0"/>
        <w:jc w:val="both"/>
        <w:rPr>
          <w:rFonts w:ascii="Garamond" w:hAnsi="Garamond"/>
          <w:sz w:val="20"/>
          <w:szCs w:val="20"/>
          <w:rtl w:val="0"/>
          <w:lang w:val="en-US"/>
        </w:rPr>
      </w:pPr>
      <w:r>
        <w:rPr>
          <w:rFonts w:ascii="Garamond" w:hAnsi="Garamond"/>
          <w:sz w:val="20"/>
          <w:szCs w:val="20"/>
          <w:rtl w:val="0"/>
          <w:lang w:val="en-US"/>
        </w:rPr>
        <w:t>Villiers, C. (2022). New directions in the European Union</w:t>
      </w:r>
      <w:r>
        <w:rPr>
          <w:rFonts w:ascii="Garamond" w:hAnsi="Garamond" w:hint="default"/>
          <w:sz w:val="20"/>
          <w:szCs w:val="20"/>
          <w:rtl w:val="0"/>
          <w:lang w:val="en-US"/>
        </w:rPr>
        <w:t>’</w:t>
      </w:r>
      <w:r>
        <w:rPr>
          <w:rFonts w:ascii="Garamond" w:hAnsi="Garamond"/>
          <w:sz w:val="20"/>
          <w:szCs w:val="20"/>
          <w:rtl w:val="0"/>
          <w:lang w:val="en-US"/>
        </w:rPr>
        <w:t>s regulatory framework for corporate reporting, due diligence and accountability: the challenge of complexity.</w:t>
      </w:r>
      <w:r>
        <w:rPr>
          <w:rFonts w:ascii="Garamond" w:hAnsi="Garamond" w:hint="default"/>
          <w:sz w:val="20"/>
          <w:szCs w:val="20"/>
          <w:rtl w:val="0"/>
          <w:lang w:val="en-US"/>
        </w:rPr>
        <w:t> </w:t>
      </w:r>
      <w:r>
        <w:rPr>
          <w:rFonts w:ascii="Garamond" w:hAnsi="Garamond"/>
          <w:i w:val="1"/>
          <w:iCs w:val="1"/>
          <w:sz w:val="20"/>
          <w:szCs w:val="20"/>
          <w:rtl w:val="0"/>
          <w:lang w:val="it-IT"/>
        </w:rPr>
        <w:t>European Journal of Risk Regulation</w:t>
      </w:r>
      <w:r>
        <w:rPr>
          <w:rFonts w:ascii="Garamond" w:hAnsi="Garamond"/>
          <w:sz w:val="20"/>
          <w:szCs w:val="20"/>
          <w:rtl w:val="0"/>
          <w:lang w:val="it-IT"/>
        </w:rPr>
        <w:t>,</w:t>
      </w:r>
      <w:r>
        <w:rPr>
          <w:rFonts w:ascii="Garamond" w:hAnsi="Garamond" w:hint="default"/>
          <w:sz w:val="20"/>
          <w:szCs w:val="20"/>
          <w:rtl w:val="0"/>
          <w:lang w:val="it-IT"/>
        </w:rPr>
        <w:t> </w:t>
      </w:r>
      <w:r>
        <w:rPr>
          <w:rFonts w:ascii="Garamond" w:hAnsi="Garamond"/>
          <w:i w:val="1"/>
          <w:iCs w:val="1"/>
          <w:sz w:val="20"/>
          <w:szCs w:val="20"/>
          <w:rtl w:val="0"/>
          <w:lang w:val="it-IT"/>
        </w:rPr>
        <w:t>13</w:t>
      </w:r>
      <w:r>
        <w:rPr>
          <w:rFonts w:ascii="Garamond" w:hAnsi="Garamond"/>
          <w:sz w:val="20"/>
          <w:szCs w:val="20"/>
          <w:rtl w:val="0"/>
          <w:lang w:val="it-IT"/>
        </w:rPr>
        <w:t>(4), 548-566.</w:t>
      </w:r>
    </w:p>
    <w:p>
      <w:pPr>
        <w:pStyle w:val="List Paragraph"/>
        <w:widowControl w:val="1"/>
        <w:numPr>
          <w:ilvl w:val="0"/>
          <w:numId w:val="2"/>
        </w:numPr>
        <w:bidi w:val="0"/>
        <w:spacing w:line="276" w:lineRule="auto"/>
        <w:ind w:right="0"/>
        <w:jc w:val="both"/>
        <w:rPr>
          <w:rFonts w:ascii="Garamond" w:hAnsi="Garamond"/>
          <w:sz w:val="20"/>
          <w:szCs w:val="20"/>
          <w:rtl w:val="0"/>
          <w:lang w:val="en-US"/>
        </w:rPr>
      </w:pPr>
      <w:r>
        <w:rPr>
          <w:rFonts w:ascii="Garamond" w:hAnsi="Garamond"/>
          <w:sz w:val="20"/>
          <w:szCs w:val="20"/>
          <w:rtl w:val="0"/>
          <w:lang w:val="en-US"/>
        </w:rPr>
        <w:t>Wang, W., Dong, Y., Huang, X., Sun, X., &amp; Ma, D. (2025). Governance of greenwashing in product circulation: from the perspective of commercial bribery.</w:t>
      </w:r>
      <w:r>
        <w:rPr>
          <w:rFonts w:ascii="Garamond" w:hAnsi="Garamond" w:hint="default"/>
          <w:sz w:val="20"/>
          <w:szCs w:val="20"/>
          <w:rtl w:val="0"/>
          <w:lang w:val="en-US"/>
        </w:rPr>
        <w:t> </w:t>
      </w:r>
      <w:r>
        <w:rPr>
          <w:rFonts w:ascii="Garamond" w:hAnsi="Garamond"/>
          <w:i w:val="1"/>
          <w:iCs w:val="1"/>
          <w:sz w:val="20"/>
          <w:szCs w:val="20"/>
          <w:rtl w:val="0"/>
          <w:lang w:val="it-IT"/>
        </w:rPr>
        <w:t>Annals of Operations Research</w:t>
      </w:r>
      <w:r>
        <w:rPr>
          <w:rFonts w:ascii="Garamond" w:hAnsi="Garamond"/>
          <w:sz w:val="20"/>
          <w:szCs w:val="20"/>
          <w:rtl w:val="0"/>
          <w:lang w:val="it-IT"/>
        </w:rPr>
        <w:t>, 1-30.</w:t>
      </w:r>
    </w:p>
    <w:p>
      <w:pPr>
        <w:pStyle w:val="List Paragraph"/>
        <w:widowControl w:val="1"/>
        <w:numPr>
          <w:ilvl w:val="0"/>
          <w:numId w:val="2"/>
        </w:numPr>
        <w:bidi w:val="0"/>
        <w:spacing w:line="276" w:lineRule="auto"/>
        <w:ind w:right="0"/>
        <w:jc w:val="both"/>
        <w:rPr>
          <w:rFonts w:ascii="Garamond" w:hAnsi="Garamond"/>
          <w:sz w:val="20"/>
          <w:szCs w:val="20"/>
          <w:rtl w:val="0"/>
          <w:lang w:val="en-US"/>
        </w:rPr>
      </w:pPr>
      <w:r>
        <w:rPr>
          <w:rFonts w:ascii="Garamond" w:hAnsi="Garamond"/>
          <w:sz w:val="20"/>
          <w:szCs w:val="20"/>
          <w:rtl w:val="0"/>
          <w:lang w:val="en-US"/>
        </w:rPr>
        <w:t xml:space="preserve">Wang, X., Zhao, M., &amp; Cheng, L. (2025). Lies behind the green: can business strategy lead to greenwashing?. </w:t>
      </w:r>
      <w:r>
        <w:rPr>
          <w:rFonts w:ascii="Garamond" w:hAnsi="Garamond"/>
          <w:i w:val="1"/>
          <w:iCs w:val="1"/>
          <w:sz w:val="20"/>
          <w:szCs w:val="20"/>
          <w:rtl w:val="0"/>
          <w:lang w:val="it-IT"/>
        </w:rPr>
        <w:t>Business Process Management Journal.</w:t>
      </w:r>
    </w:p>
    <w:p>
      <w:pPr>
        <w:pStyle w:val="List Paragraph"/>
        <w:widowControl w:val="1"/>
        <w:numPr>
          <w:ilvl w:val="0"/>
          <w:numId w:val="2"/>
        </w:numPr>
        <w:bidi w:val="0"/>
        <w:spacing w:line="276" w:lineRule="auto"/>
        <w:ind w:right="0"/>
        <w:jc w:val="both"/>
        <w:rPr>
          <w:rFonts w:ascii="Garamond" w:hAnsi="Garamond"/>
          <w:sz w:val="20"/>
          <w:szCs w:val="20"/>
          <w:rtl w:val="0"/>
          <w:lang w:val="en-US"/>
        </w:rPr>
      </w:pPr>
      <w:r>
        <w:rPr>
          <w:rFonts w:ascii="Garamond" w:hAnsi="Garamond"/>
          <w:sz w:val="20"/>
          <w:szCs w:val="20"/>
          <w:rtl w:val="0"/>
          <w:lang w:val="en-US"/>
        </w:rPr>
        <w:t xml:space="preserve">Weber, F. (2016). </w:t>
      </w:r>
      <w:r>
        <w:rPr>
          <w:rFonts w:ascii="Garamond" w:hAnsi="Garamond"/>
          <w:i w:val="1"/>
          <w:iCs w:val="1"/>
          <w:sz w:val="20"/>
          <w:szCs w:val="20"/>
          <w:rtl w:val="0"/>
          <w:lang w:val="en-US"/>
        </w:rPr>
        <w:t>The law and economics of enforcing European consumer law: A comparative analysis of package travel and misleading advertising</w:t>
      </w:r>
      <w:r>
        <w:rPr>
          <w:rFonts w:ascii="Garamond" w:hAnsi="Garamond"/>
          <w:sz w:val="20"/>
          <w:szCs w:val="20"/>
          <w:rtl w:val="0"/>
          <w:lang w:val="en-US"/>
        </w:rPr>
        <w:t xml:space="preserve">. </w:t>
      </w:r>
      <w:r>
        <w:rPr>
          <w:rFonts w:ascii="Garamond" w:hAnsi="Garamond"/>
          <w:sz w:val="20"/>
          <w:szCs w:val="20"/>
          <w:rtl w:val="0"/>
          <w:lang w:val="it-IT"/>
        </w:rPr>
        <w:t>Routledge.</w:t>
      </w:r>
    </w:p>
    <w:p>
      <w:pPr>
        <w:pStyle w:val="List Paragraph"/>
        <w:widowControl w:val="1"/>
        <w:numPr>
          <w:ilvl w:val="0"/>
          <w:numId w:val="2"/>
        </w:numPr>
        <w:bidi w:val="0"/>
        <w:spacing w:line="276" w:lineRule="auto"/>
        <w:ind w:right="0"/>
        <w:jc w:val="both"/>
        <w:rPr>
          <w:rFonts w:ascii="Garamond" w:hAnsi="Garamond"/>
          <w:sz w:val="20"/>
          <w:szCs w:val="20"/>
          <w:rtl w:val="0"/>
          <w:lang w:val="en-US"/>
        </w:rPr>
      </w:pPr>
      <w:r>
        <w:rPr>
          <w:rFonts w:ascii="Garamond" w:hAnsi="Garamond"/>
          <w:sz w:val="20"/>
          <w:szCs w:val="20"/>
          <w:rtl w:val="0"/>
          <w:lang w:val="en-US"/>
        </w:rPr>
        <w:t>Wu, J., Yang, S., Zhan, R., Yuan, Y., Chao, L. S., &amp; Wong, D. F. (2025). A survey on LLM-generated text detection: Necessity, methods, and future directions.</w:t>
      </w:r>
      <w:r>
        <w:rPr>
          <w:rFonts w:ascii="Garamond" w:hAnsi="Garamond" w:hint="default"/>
          <w:sz w:val="20"/>
          <w:szCs w:val="20"/>
          <w:rtl w:val="0"/>
          <w:lang w:val="en-US"/>
        </w:rPr>
        <w:t> </w:t>
      </w:r>
      <w:r>
        <w:rPr>
          <w:rFonts w:ascii="Garamond" w:hAnsi="Garamond"/>
          <w:i w:val="1"/>
          <w:iCs w:val="1"/>
          <w:sz w:val="20"/>
          <w:szCs w:val="20"/>
          <w:rtl w:val="0"/>
          <w:lang w:val="it-IT"/>
        </w:rPr>
        <w:t>Computational Linguistics</w:t>
      </w:r>
      <w:r>
        <w:rPr>
          <w:rFonts w:ascii="Garamond" w:hAnsi="Garamond"/>
          <w:sz w:val="20"/>
          <w:szCs w:val="20"/>
          <w:rtl w:val="0"/>
          <w:lang w:val="it-IT"/>
        </w:rPr>
        <w:t>, 1-66.</w:t>
      </w:r>
    </w:p>
    <w:p>
      <w:pPr>
        <w:pStyle w:val="List Paragraph"/>
        <w:widowControl w:val="1"/>
        <w:numPr>
          <w:ilvl w:val="0"/>
          <w:numId w:val="2"/>
        </w:numPr>
        <w:bidi w:val="0"/>
        <w:spacing w:line="276" w:lineRule="auto"/>
        <w:ind w:right="0"/>
        <w:jc w:val="both"/>
        <w:rPr>
          <w:rFonts w:ascii="Garamond" w:hAnsi="Garamond"/>
          <w:sz w:val="20"/>
          <w:szCs w:val="20"/>
          <w:rtl w:val="0"/>
          <w:lang w:val="en-US"/>
        </w:rPr>
      </w:pPr>
      <w:r>
        <w:rPr>
          <w:rFonts w:ascii="Garamond" w:hAnsi="Garamond"/>
          <w:sz w:val="20"/>
          <w:szCs w:val="20"/>
          <w:rtl w:val="0"/>
          <w:lang w:val="en-US"/>
        </w:rPr>
        <w:t xml:space="preserve">Xu, M., Tse, Y. K., Geng, R., Liu, Z., &amp; Potter, A. (2025). Greenwashing and market value of firms: An empirical study. </w:t>
      </w:r>
      <w:r>
        <w:rPr>
          <w:rFonts w:ascii="Garamond" w:hAnsi="Garamond"/>
          <w:i w:val="1"/>
          <w:iCs w:val="1"/>
          <w:sz w:val="20"/>
          <w:szCs w:val="20"/>
          <w:rtl w:val="0"/>
          <w:lang w:val="it-IT"/>
        </w:rPr>
        <w:t>International Journal of Production Economics</w:t>
      </w:r>
      <w:r>
        <w:rPr>
          <w:rFonts w:ascii="Garamond" w:hAnsi="Garamond"/>
          <w:sz w:val="20"/>
          <w:szCs w:val="20"/>
          <w:rtl w:val="0"/>
          <w:lang w:val="it-IT"/>
        </w:rPr>
        <w:t>, 284, 109606.</w:t>
      </w:r>
    </w:p>
    <w:p>
      <w:pPr>
        <w:pStyle w:val="List Paragraph"/>
        <w:widowControl w:val="1"/>
        <w:numPr>
          <w:ilvl w:val="0"/>
          <w:numId w:val="2"/>
        </w:numPr>
        <w:bidi w:val="0"/>
        <w:spacing w:line="276" w:lineRule="auto"/>
        <w:ind w:right="0"/>
        <w:jc w:val="both"/>
        <w:rPr>
          <w:rFonts w:ascii="Garamond" w:hAnsi="Garamond"/>
          <w:sz w:val="20"/>
          <w:szCs w:val="20"/>
          <w:rtl w:val="0"/>
          <w:lang w:val="en-US"/>
        </w:rPr>
      </w:pPr>
      <w:r>
        <w:rPr>
          <w:rFonts w:ascii="Garamond" w:hAnsi="Garamond"/>
          <w:sz w:val="20"/>
          <w:szCs w:val="20"/>
          <w:rtl w:val="0"/>
          <w:lang w:val="en-US"/>
        </w:rPr>
        <w:t>Zervoudi, E. K., Moschos, N., &amp; Christopoulos, A. G. (2025). From the corporate social responsibility (CSR) and the environmental, social and governance (ESG) criteria to the greenwashing phenomenon: A comprehensive literature review about the causes, consequences and solutions of the phenomenon with specific case studies.</w:t>
      </w:r>
      <w:r>
        <w:rPr>
          <w:rFonts w:ascii="Garamond" w:hAnsi="Garamond" w:hint="default"/>
          <w:sz w:val="20"/>
          <w:szCs w:val="20"/>
          <w:rtl w:val="0"/>
          <w:lang w:val="en-US"/>
        </w:rPr>
        <w:t> </w:t>
      </w:r>
      <w:r>
        <w:rPr>
          <w:rFonts w:ascii="Garamond" w:hAnsi="Garamond"/>
          <w:i w:val="1"/>
          <w:iCs w:val="1"/>
          <w:sz w:val="20"/>
          <w:szCs w:val="20"/>
          <w:rtl w:val="0"/>
          <w:lang w:val="it-IT"/>
        </w:rPr>
        <w:t>Sustainability</w:t>
      </w:r>
      <w:r>
        <w:rPr>
          <w:rFonts w:ascii="Garamond" w:hAnsi="Garamond"/>
          <w:sz w:val="20"/>
          <w:szCs w:val="20"/>
          <w:rtl w:val="0"/>
          <w:lang w:val="it-IT"/>
        </w:rPr>
        <w:t>,</w:t>
      </w:r>
      <w:r>
        <w:rPr>
          <w:rFonts w:ascii="Garamond" w:hAnsi="Garamond" w:hint="default"/>
          <w:sz w:val="20"/>
          <w:szCs w:val="20"/>
          <w:rtl w:val="0"/>
          <w:lang w:val="it-IT"/>
        </w:rPr>
        <w:t> </w:t>
      </w:r>
      <w:r>
        <w:rPr>
          <w:rFonts w:ascii="Garamond" w:hAnsi="Garamond"/>
          <w:i w:val="1"/>
          <w:iCs w:val="1"/>
          <w:sz w:val="20"/>
          <w:szCs w:val="20"/>
          <w:rtl w:val="0"/>
          <w:lang w:val="it-IT"/>
        </w:rPr>
        <w:t>17</w:t>
      </w:r>
      <w:r>
        <w:rPr>
          <w:rFonts w:ascii="Garamond" w:hAnsi="Garamond"/>
          <w:sz w:val="20"/>
          <w:szCs w:val="20"/>
          <w:rtl w:val="0"/>
          <w:lang w:val="it-IT"/>
        </w:rPr>
        <w:t>(5), 2222.</w:t>
      </w:r>
      <w:r>
        <w:rPr>
          <w:rFonts w:ascii="Garamond" w:cs="Garamond" w:hAnsi="Garamond" w:eastAsia="Garamond"/>
          <w:sz w:val="20"/>
          <w:szCs w:val="20"/>
        </w:rPr>
      </w:r>
    </w:p>
    <w:sectPr>
      <w:headerReference w:type="default" r:id="rId6"/>
      <w:footerReference w:type="default" r:id="rId7"/>
      <w:pgSz w:w="9940" w:h="14180" w:orient="portrait"/>
      <w:pgMar w:top="1040" w:right="1115" w:bottom="981" w:left="1160" w:header="0" w:footer="181"/>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Garamond">
    <w:charset w:val="00"/>
    <w:family w:val="roman"/>
    <w:pitch w:val="default"/>
  </w:font>
  <w:font w:name="Cambria Math">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footnotes.xml><?xml version="1.0" encoding="utf-8"?>
<w:footnotes xmlns:w="http://schemas.openxmlformats.org/wordprocessingml/2006/main" xmlns:r="http://schemas.openxmlformats.org/officeDocument/2006/relationships" xmlns:w14="http://schemas.microsoft.com/office/word/2010/wordml" xmlns:wp="http://schemas.openxmlformats.org/drawingml/2006/wordprocessingDrawing" xmlns:m="http://schemas.openxmlformats.org/officeDocument/2006/math">
  <w:footnote w:type="separator" w:id="-1">
    <w:p>
      <w:r>
        <w:separator/>
      </w:r>
    </w:p>
  </w:footnote>
  <w:footnote w:type="continuationSeparator" w:id="0">
    <w:p>
      <w:r>
        <w:continuationSeparator/>
      </w:r>
    </w:p>
  </w:footnote>
  <w:footnote w:type="continuationNotice" w:id="-2">
    <w:p>
      <w:r>
        <w:t/>
      </w:r>
    </w:p>
  </w:footnote>
  <w:footnote w:id="1">
    <w:p>
      <w:pPr>
        <w:pStyle w:val="footnote text"/>
        <w:jc w:val="both"/>
      </w:pPr>
      <w:r>
        <w:rPr>
          <w:rFonts w:ascii="Garamond" w:cs="Garamond" w:hAnsi="Garamond" w:eastAsia="Garamond"/>
          <w:outline w:val="0"/>
          <w:color w:val="231f20"/>
          <w:sz w:val="22"/>
          <w:szCs w:val="22"/>
          <w:u w:color="231f20"/>
          <w:vertAlign w:val="superscript"/>
          <w14:textFill>
            <w14:solidFill>
              <w14:srgbClr w14:val="231F20"/>
            </w14:solidFill>
          </w14:textFill>
        </w:rPr>
        <w:footnoteRef/>
      </w:r>
      <w:r>
        <w:rPr>
          <w:rFonts w:ascii="Garamond" w:hAnsi="Garamond"/>
          <w:sz w:val="18"/>
          <w:szCs w:val="18"/>
          <w:rtl w:val="0"/>
          <w:lang w:val="en-US"/>
        </w:rPr>
        <w:t xml:space="preserve"> See, in particular, art. 1, (2), (b), (d) of the </w:t>
      </w:r>
      <w:r>
        <w:rPr>
          <w:rStyle w:val="Hyperlink.0"/>
        </w:rPr>
        <w:fldChar w:fldCharType="begin" w:fldLock="0"/>
      </w:r>
      <w:r>
        <w:rPr>
          <w:rStyle w:val="Hyperlink.0"/>
        </w:rPr>
        <w:instrText xml:space="preserve"> HYPERLINK "https://eur-lex.europa.eu/eli/dir/2024/825/oj/eng"</w:instrText>
      </w:r>
      <w:r>
        <w:rPr>
          <w:rStyle w:val="Hyperlink.0"/>
        </w:rPr>
        <w:fldChar w:fldCharType="separate" w:fldLock="0"/>
      </w:r>
      <w:r>
        <w:rPr>
          <w:rStyle w:val="Hyperlink.0"/>
          <w:rtl w:val="0"/>
          <w:lang w:val="en-US"/>
        </w:rPr>
        <w:t>Directive (EU) 2024/825 of the European Parliament and of the Council of 28</w:t>
      </w:r>
      <w:r>
        <w:rPr>
          <w:rStyle w:val="Hyperlink.0"/>
          <w:rtl w:val="0"/>
          <w:lang w:val="en-US"/>
        </w:rPr>
        <w:t> </w:t>
      </w:r>
      <w:r>
        <w:rPr>
          <w:rStyle w:val="Hyperlink.0"/>
          <w:rtl w:val="0"/>
          <w:lang w:val="en-US"/>
        </w:rPr>
        <w:t>February 2024 amending Directives</w:t>
      </w:r>
      <w:r>
        <w:rPr>
          <w:rStyle w:val="Hyperlink.0"/>
          <w:rtl w:val="0"/>
          <w:lang w:val="en-US"/>
        </w:rPr>
        <w:t> </w:t>
      </w:r>
      <w:r>
        <w:rPr>
          <w:rStyle w:val="Hyperlink.0"/>
          <w:rtl w:val="0"/>
          <w:lang w:val="en-US"/>
        </w:rPr>
        <w:t>2005/29/EC and</w:t>
      </w:r>
      <w:r>
        <w:rPr>
          <w:rStyle w:val="Hyperlink.0"/>
          <w:rtl w:val="0"/>
          <w:lang w:val="en-US"/>
        </w:rPr>
        <w:t> </w:t>
      </w:r>
      <w:r>
        <w:rPr>
          <w:rStyle w:val="Hyperlink.0"/>
          <w:rtl w:val="0"/>
          <w:lang w:val="en-US"/>
        </w:rPr>
        <w:t>2011/83/EU as regards empowering consumers for the green transition through better protection against unfair practices and through</w:t>
      </w:r>
      <w:r>
        <w:rPr/>
        <w:fldChar w:fldCharType="end" w:fldLock="0"/>
      </w:r>
      <w:r>
        <w:rPr>
          <w:rFonts w:ascii="Garamond" w:hAnsi="Garamond"/>
          <w:sz w:val="18"/>
          <w:szCs w:val="18"/>
          <w:rtl w:val="0"/>
          <w:lang w:val="en-US"/>
        </w:rPr>
        <w:t xml:space="preserve"> (i.e., </w:t>
      </w:r>
      <w:r>
        <w:rPr>
          <w:rFonts w:ascii="Garamond" w:hAnsi="Garamond"/>
          <w:i w:val="1"/>
          <w:iCs w:val="1"/>
          <w:sz w:val="18"/>
          <w:szCs w:val="18"/>
          <w:rtl w:val="0"/>
          <w:lang w:val="en-US"/>
        </w:rPr>
        <w:t>Greenwashing Directive</w:t>
      </w:r>
      <w:r>
        <w:rPr>
          <w:rFonts w:ascii="Garamond" w:hAnsi="Garamond"/>
          <w:sz w:val="18"/>
          <w:szCs w:val="18"/>
          <w:rtl w:val="0"/>
          <w:lang w:val="en-US"/>
        </w:rPr>
        <w:t>).</w:t>
      </w:r>
    </w:p>
  </w:footnote>
  <w:footnote w:id="2">
    <w:p>
      <w:pPr>
        <w:pStyle w:val="footnote text"/>
      </w:pPr>
      <w:r>
        <w:rPr>
          <w:rFonts w:ascii="Garamond" w:cs="Garamond" w:hAnsi="Garamond" w:eastAsia="Garamond"/>
          <w:outline w:val="0"/>
          <w:color w:val="231f20"/>
          <w:sz w:val="22"/>
          <w:szCs w:val="22"/>
          <w:u w:color="231f20"/>
          <w:vertAlign w:val="superscript"/>
          <w14:textFill>
            <w14:solidFill>
              <w14:srgbClr w14:val="231F20"/>
            </w14:solidFill>
          </w14:textFill>
        </w:rPr>
        <w:footnoteRef/>
      </w:r>
      <w:r>
        <w:rPr>
          <w:rFonts w:ascii="Garamond" w:hAnsi="Garamond"/>
          <w:sz w:val="18"/>
          <w:szCs w:val="18"/>
          <w:rtl w:val="0"/>
          <w:lang w:val="en-US"/>
        </w:rPr>
        <w:t xml:space="preserve"> See recital (9) of the </w:t>
      </w:r>
      <w:r>
        <w:rPr>
          <w:rFonts w:ascii="Garamond" w:hAnsi="Garamond"/>
          <w:i w:val="1"/>
          <w:iCs w:val="1"/>
          <w:sz w:val="18"/>
          <w:szCs w:val="18"/>
          <w:rtl w:val="0"/>
          <w:lang w:val="en-US"/>
        </w:rPr>
        <w:t>Greenwashing Directive</w:t>
      </w:r>
      <w:r>
        <w:rPr>
          <w:rFonts w:ascii="Garamond" w:hAnsi="Garamond"/>
          <w:sz w:val="18"/>
          <w:szCs w:val="18"/>
          <w:rtl w:val="0"/>
          <w:lang w:val="en-US"/>
        </w:rPr>
        <w:t>.</w:t>
      </w:r>
    </w:p>
  </w:footnote>
  <w:footnote w:id="3">
    <w:p>
      <w:pPr>
        <w:pStyle w:val="footnote text"/>
      </w:pPr>
      <w:r>
        <w:rPr>
          <w:rFonts w:ascii="Garamond" w:cs="Garamond" w:hAnsi="Garamond" w:eastAsia="Garamond"/>
          <w:outline w:val="0"/>
          <w:color w:val="231f20"/>
          <w:sz w:val="22"/>
          <w:szCs w:val="22"/>
          <w:u w:color="231f20"/>
          <w:vertAlign w:val="superscript"/>
          <w14:textFill>
            <w14:solidFill>
              <w14:srgbClr w14:val="231F20"/>
            </w14:solidFill>
          </w14:textFill>
        </w:rPr>
        <w:footnoteRef/>
      </w:r>
      <w:r>
        <w:rPr>
          <w:rFonts w:ascii="Garamond" w:hAnsi="Garamond"/>
          <w:sz w:val="18"/>
          <w:szCs w:val="18"/>
          <w:rtl w:val="0"/>
          <w:lang w:val="en-US"/>
        </w:rPr>
        <w:t xml:space="preserve"> This principle follows the ancient latino maxim </w:t>
      </w:r>
      <w:r>
        <w:rPr>
          <w:rFonts w:ascii="Garamond" w:hAnsi="Garamond"/>
          <w:i w:val="1"/>
          <w:iCs w:val="1"/>
          <w:sz w:val="18"/>
          <w:szCs w:val="18"/>
          <w:rtl w:val="0"/>
          <w:lang w:val="en-US"/>
        </w:rPr>
        <w:t>ubi lex voluit dixit, ubi noluit tacuit</w:t>
      </w:r>
      <w:r>
        <w:rPr>
          <w:rFonts w:ascii="Garamond" w:hAnsi="Garamond"/>
          <w:sz w:val="18"/>
          <w:szCs w:val="18"/>
          <w:rtl w:val="0"/>
          <w:lang w:val="en-US"/>
        </w:rPr>
        <w:t xml:space="preserve">. See, for further references, Canale, D., &amp; Tuzet, G. (2010). Inferring the Intention. Or, What Law the Legislature Could Have Intended to Make. </w:t>
      </w:r>
      <w:r>
        <w:rPr>
          <w:rFonts w:ascii="Garamond" w:hAnsi="Garamond"/>
          <w:i w:val="1"/>
          <w:iCs w:val="1"/>
          <w:sz w:val="18"/>
          <w:szCs w:val="18"/>
          <w:rtl w:val="0"/>
          <w:lang w:val="en-US"/>
        </w:rPr>
        <w:t>Dignitas</w:t>
      </w:r>
      <w:r>
        <w:rPr>
          <w:rFonts w:ascii="Garamond" w:hAnsi="Garamond"/>
          <w:sz w:val="18"/>
          <w:szCs w:val="18"/>
          <w:rtl w:val="0"/>
          <w:lang w:val="en-US"/>
        </w:rPr>
        <w:t>, (47/48), 254-272.</w:t>
      </w:r>
    </w:p>
  </w:footnote>
  <w:footnote w:id="4">
    <w:p>
      <w:pPr>
        <w:pStyle w:val="footnote text"/>
      </w:pPr>
      <w:r>
        <w:rPr>
          <w:rFonts w:ascii="Garamond" w:cs="Garamond" w:hAnsi="Garamond" w:eastAsia="Garamond"/>
          <w:outline w:val="0"/>
          <w:color w:val="231f20"/>
          <w:sz w:val="22"/>
          <w:szCs w:val="22"/>
          <w:u w:color="231f20"/>
          <w:vertAlign w:val="superscript"/>
          <w:lang w:val="en-US"/>
          <w14:textFill>
            <w14:solidFill>
              <w14:srgbClr w14:val="231F20"/>
            </w14:solidFill>
          </w14:textFill>
        </w:rPr>
        <w:footnoteRef/>
      </w:r>
      <w:r>
        <w:rPr>
          <w:rFonts w:ascii="Garamond" w:hAnsi="Garamond"/>
          <w:sz w:val="18"/>
          <w:szCs w:val="18"/>
          <w:rtl w:val="0"/>
          <w:lang w:val="en-US"/>
        </w:rPr>
        <w:t xml:space="preserve"> The bank analyzed were the following: BNP Paribas, Cr</w:t>
      </w:r>
      <w:r>
        <w:rPr>
          <w:rFonts w:ascii="Garamond" w:hAnsi="Garamond" w:hint="default"/>
          <w:sz w:val="18"/>
          <w:szCs w:val="18"/>
          <w:rtl w:val="0"/>
          <w:lang w:val="en-US"/>
        </w:rPr>
        <w:t>é</w:t>
      </w:r>
      <w:r>
        <w:rPr>
          <w:rFonts w:ascii="Garamond" w:hAnsi="Garamond"/>
          <w:sz w:val="18"/>
          <w:szCs w:val="18"/>
          <w:rtl w:val="0"/>
          <w:lang w:val="en-US"/>
        </w:rPr>
        <w:t>dit Agricole, Banco Santander, Soci</w:t>
      </w:r>
      <w:r>
        <w:rPr>
          <w:rFonts w:ascii="Garamond" w:hAnsi="Garamond" w:hint="default"/>
          <w:sz w:val="18"/>
          <w:szCs w:val="18"/>
          <w:rtl w:val="0"/>
          <w:lang w:val="en-US"/>
        </w:rPr>
        <w:t>é</w:t>
      </w:r>
      <w:r>
        <w:rPr>
          <w:rFonts w:ascii="Garamond" w:hAnsi="Garamond"/>
          <w:sz w:val="18"/>
          <w:szCs w:val="18"/>
          <w:rtl w:val="0"/>
          <w:lang w:val="en-US"/>
        </w:rPr>
        <w:t>t</w:t>
      </w:r>
      <w:r>
        <w:rPr>
          <w:rFonts w:ascii="Garamond" w:hAnsi="Garamond" w:hint="default"/>
          <w:sz w:val="18"/>
          <w:szCs w:val="18"/>
          <w:rtl w:val="0"/>
          <w:lang w:val="en-US"/>
        </w:rPr>
        <w:t xml:space="preserve">é </w:t>
      </w:r>
      <w:r>
        <w:rPr>
          <w:rFonts w:ascii="Garamond" w:hAnsi="Garamond"/>
          <w:sz w:val="18"/>
          <w:szCs w:val="18"/>
          <w:rtl w:val="0"/>
          <w:lang w:val="en-US"/>
        </w:rPr>
        <w:t>G</w:t>
      </w:r>
      <w:r>
        <w:rPr>
          <w:rFonts w:ascii="Garamond" w:hAnsi="Garamond" w:hint="default"/>
          <w:sz w:val="18"/>
          <w:szCs w:val="18"/>
          <w:rtl w:val="0"/>
          <w:lang w:val="en-US"/>
        </w:rPr>
        <w:t>é</w:t>
      </w:r>
      <w:r>
        <w:rPr>
          <w:rFonts w:ascii="Garamond" w:hAnsi="Garamond"/>
          <w:sz w:val="18"/>
          <w:szCs w:val="18"/>
          <w:rtl w:val="0"/>
          <w:lang w:val="en-US"/>
        </w:rPr>
        <w:t>n</w:t>
      </w:r>
      <w:r>
        <w:rPr>
          <w:rFonts w:ascii="Garamond" w:hAnsi="Garamond" w:hint="default"/>
          <w:sz w:val="18"/>
          <w:szCs w:val="18"/>
          <w:rtl w:val="0"/>
          <w:lang w:val="en-US"/>
        </w:rPr>
        <w:t>é</w:t>
      </w:r>
      <w:r>
        <w:rPr>
          <w:rFonts w:ascii="Garamond" w:hAnsi="Garamond"/>
          <w:sz w:val="18"/>
          <w:szCs w:val="18"/>
          <w:rtl w:val="0"/>
          <w:lang w:val="en-US"/>
        </w:rPr>
        <w:t>rale, Deutsche Bank, Groupe BPCE, ING Group, Cr</w:t>
      </w:r>
      <w:r>
        <w:rPr>
          <w:rFonts w:ascii="Garamond" w:hAnsi="Garamond" w:hint="default"/>
          <w:sz w:val="18"/>
          <w:szCs w:val="18"/>
          <w:rtl w:val="0"/>
          <w:lang w:val="en-US"/>
        </w:rPr>
        <w:t>é</w:t>
      </w:r>
      <w:r>
        <w:rPr>
          <w:rFonts w:ascii="Garamond" w:hAnsi="Garamond"/>
          <w:sz w:val="18"/>
          <w:szCs w:val="18"/>
          <w:rtl w:val="0"/>
          <w:lang w:val="en-US"/>
        </w:rPr>
        <w:t>dit Mutuel Group, Intesa Sanpaolo, Unicredit.</w:t>
      </w:r>
    </w:p>
  </w:footnote>
  <w:footnote w:id="5">
    <w:p>
      <w:pPr>
        <w:pStyle w:val="footnote text"/>
        <w:jc w:val="both"/>
      </w:pPr>
      <w:r>
        <w:rPr>
          <w:rFonts w:ascii="Garamond" w:cs="Garamond" w:hAnsi="Garamond" w:eastAsia="Garamond"/>
          <w:outline w:val="0"/>
          <w:color w:val="231f20"/>
          <w:sz w:val="22"/>
          <w:szCs w:val="22"/>
          <w:u w:color="231f20"/>
          <w:vertAlign w:val="superscript"/>
          <w:lang w:val="en-US"/>
          <w14:textFill>
            <w14:solidFill>
              <w14:srgbClr w14:val="231F20"/>
            </w14:solidFill>
          </w14:textFill>
        </w:rPr>
        <w:footnoteRef/>
      </w:r>
      <w:r>
        <w:rPr>
          <w:rFonts w:ascii="Garamond" w:hAnsi="Garamond"/>
          <w:sz w:val="18"/>
          <w:szCs w:val="18"/>
          <w:rtl w:val="0"/>
          <w:lang w:val="en-US"/>
        </w:rPr>
        <w:t xml:space="preserve"> From a methodological point of view, each document is subjected to automatic language detection through the </w:t>
      </w:r>
      <w:r>
        <w:rPr>
          <w:rFonts w:ascii="Garamond" w:hAnsi="Garamond"/>
          <w:i w:val="1"/>
          <w:iCs w:val="1"/>
          <w:sz w:val="18"/>
          <w:szCs w:val="18"/>
          <w:rtl w:val="0"/>
          <w:lang w:val="en-US"/>
        </w:rPr>
        <w:t>langdetect</w:t>
      </w:r>
      <w:r>
        <w:rPr>
          <w:rFonts w:ascii="Garamond" w:hAnsi="Garamond"/>
          <w:sz w:val="18"/>
          <w:szCs w:val="18"/>
          <w:rtl w:val="0"/>
          <w:lang w:val="en-US"/>
        </w:rPr>
        <w:t xml:space="preserve"> library, ensuring that the subsequent keyword-matching phase is conducted using the correct linguistic set of environmental terms. Five languages are covered by the current implementation: English, Italian, French, German and Spanish, and for each language, a set of frequently used general environmental expressions has been compiled, given the list of keywords </w:t>
      </w:r>
      <w:r>
        <w:rPr>
          <w:rFonts w:ascii="Garamond" w:hAnsi="Garamond" w:hint="default"/>
          <w:sz w:val="18"/>
          <w:szCs w:val="18"/>
          <w:rtl w:val="0"/>
          <w:lang w:val="en-US"/>
        </w:rPr>
        <w:t xml:space="preserve">– </w:t>
      </w:r>
      <w:r>
        <w:rPr>
          <w:rFonts w:ascii="Garamond" w:hAnsi="Garamond"/>
          <w:sz w:val="18"/>
          <w:szCs w:val="18"/>
          <w:rtl w:val="0"/>
          <w:lang w:val="en-US"/>
        </w:rPr>
        <w:t xml:space="preserve">according to the official translations from the Official Journal of the European Union </w:t>
      </w:r>
      <w:r>
        <w:rPr>
          <w:rFonts w:ascii="Garamond" w:hAnsi="Garamond" w:hint="default"/>
          <w:sz w:val="18"/>
          <w:szCs w:val="18"/>
          <w:rtl w:val="0"/>
          <w:lang w:val="en-US"/>
        </w:rPr>
        <w:t xml:space="preserve">– </w:t>
      </w:r>
      <w:r>
        <w:rPr>
          <w:rFonts w:ascii="Garamond" w:hAnsi="Garamond"/>
          <w:sz w:val="18"/>
          <w:szCs w:val="18"/>
          <w:rtl w:val="0"/>
          <w:lang w:val="en-US"/>
        </w:rPr>
        <w:t xml:space="preserve">as presented in recital (9) of the </w:t>
      </w:r>
      <w:r>
        <w:rPr>
          <w:rFonts w:ascii="Garamond" w:hAnsi="Garamond"/>
          <w:i w:val="1"/>
          <w:iCs w:val="1"/>
          <w:sz w:val="18"/>
          <w:szCs w:val="18"/>
          <w:rtl w:val="0"/>
          <w:lang w:val="en-US"/>
        </w:rPr>
        <w:t>Greenwashing Directive</w:t>
      </w:r>
      <w:r>
        <w:rPr>
          <w:rFonts w:ascii="Garamond" w:hAnsi="Garamond"/>
          <w:sz w:val="18"/>
          <w:szCs w:val="18"/>
          <w:rtl w:val="0"/>
          <w:lang w:val="en-US"/>
        </w:rPr>
        <w:t>. Once the appropriate set of keywords has been assigned to each document based on its detected language, the text is scanned to count the total number of occurrences of such claims. The algorithm applies regular expression matching to identify all instances of the predefined phrases, using case-insensitive comparisons to ensure robustness across stylistic and typographic variations. For each document, the total number of general environmental claims is computed and stored. to enable meaningful comparisons between documents of differing lengths, the algorithm computes a density metric, defined as the number of keyword occurrences divided by the number of pages in the document.</w:t>
      </w:r>
    </w:p>
  </w:footnote>
  <w:footnote w:id="6">
    <w:p>
      <w:pPr>
        <w:pStyle w:val="footnote text"/>
        <w:jc w:val="both"/>
      </w:pPr>
      <w:r>
        <w:rPr>
          <w:rFonts w:ascii="Garamond" w:cs="Garamond" w:hAnsi="Garamond" w:eastAsia="Garamond"/>
          <w:outline w:val="0"/>
          <w:color w:val="231f20"/>
          <w:sz w:val="22"/>
          <w:szCs w:val="22"/>
          <w:u w:color="231f20"/>
          <w:vertAlign w:val="superscript"/>
          <w:lang w:val="en-US"/>
          <w14:textFill>
            <w14:solidFill>
              <w14:srgbClr w14:val="231F20"/>
            </w14:solidFill>
          </w14:textFill>
        </w:rPr>
        <w:footnoteRef/>
      </w:r>
      <w:r>
        <w:rPr>
          <w:rFonts w:ascii="Garamond" w:hAnsi="Garamond"/>
          <w:sz w:val="18"/>
          <w:szCs w:val="18"/>
          <w:rtl w:val="0"/>
          <w:lang w:val="en-US"/>
        </w:rPr>
        <w:t xml:space="preserve"> Similar to the previous empirical exercise </w:t>
      </w:r>
      <w:r>
        <w:rPr>
          <w:rFonts w:ascii="Garamond" w:hAnsi="Garamond" w:hint="default"/>
          <w:sz w:val="18"/>
          <w:szCs w:val="18"/>
          <w:rtl w:val="0"/>
          <w:lang w:val="en-US"/>
        </w:rPr>
        <w:t xml:space="preserve">– </w:t>
      </w:r>
      <w:r>
        <w:rPr>
          <w:rFonts w:ascii="Garamond" w:hAnsi="Garamond"/>
          <w:sz w:val="18"/>
          <w:szCs w:val="18"/>
          <w:rtl w:val="0"/>
          <w:lang w:val="en-US"/>
        </w:rPr>
        <w:t xml:space="preserve">from a methodological point of view </w:t>
      </w:r>
      <w:r>
        <w:rPr>
          <w:rFonts w:ascii="Garamond" w:hAnsi="Garamond" w:hint="default"/>
          <w:sz w:val="18"/>
          <w:szCs w:val="18"/>
          <w:rtl w:val="0"/>
          <w:lang w:val="en-US"/>
        </w:rPr>
        <w:t xml:space="preserve">– </w:t>
      </w:r>
      <w:r>
        <w:rPr>
          <w:rFonts w:ascii="Garamond" w:hAnsi="Garamond"/>
          <w:sz w:val="18"/>
          <w:szCs w:val="18"/>
          <w:rtl w:val="0"/>
          <w:lang w:val="en-US"/>
        </w:rPr>
        <w:t xml:space="preserve">we conduct a preliminary language detection step is conducted using the </w:t>
      </w:r>
      <w:r>
        <w:rPr>
          <w:rFonts w:ascii="Garamond" w:hAnsi="Garamond"/>
          <w:i w:val="1"/>
          <w:iCs w:val="1"/>
          <w:sz w:val="18"/>
          <w:szCs w:val="18"/>
          <w:rtl w:val="0"/>
          <w:lang w:val="en-US"/>
        </w:rPr>
        <w:t>langdetect</w:t>
      </w:r>
      <w:r>
        <w:rPr>
          <w:rFonts w:ascii="Garamond" w:hAnsi="Garamond"/>
          <w:sz w:val="18"/>
          <w:szCs w:val="18"/>
          <w:rtl w:val="0"/>
          <w:lang w:val="en-US"/>
        </w:rPr>
        <w:t xml:space="preserve"> library. This enables the algorithm to dynamically select the appropriate set of forward-looking keywords for each document, thereby ensuring linguistic precision and cross-jurisdictional comparability. The keywords used for this empirical exercise were the following: 'we are working on', 'we are committed to', 'in the future', 'long term', 'in the coming years', 'under development', 'evolving', 'prospectively', 'in preparation', 'we intend to', 'we might', 'we aim to', 'in discussion', 'creating sustainable value', 'sustainable strategies', 'we are monitoring', 'day by day', 'ongoing commitment', 'in case', 'it is expected', 'under evaluation', 'we consider', 'ongoing initiatives', 'gradually', 'ongoing', 'we plan to', 'in progress', 'long-term plans', 'zero impact', 'under review', 'zero emissions'. Once the language is identified and the corresponding keyword set selected, the algorithm scans each document using case-insensitive regular expressions to identify and count exact matches. Again, a critical consideration in comparing forward-looking language across documents is their heterogeneity in length. Longer documents may naturally contain more such statements, not necessarily indicating a higher degree of strategic commitment or potential greenwashing. To control for this, the analysis introduces a normalization factor: the number of forward-looking statements per page. The resulting metric, expressed as a ratio, provides a standardized measure of the density of forward-looking language per page. This approach enables a more equitable comparison among institutions, as it accounts for verbosity and formatting differences. It also provides insight into whether certain entities exhibit a disproportionately high reliance on aspirational language relative to the length of their disclosures, which may be indicative of inflated ESG narratives. As a note, we might acknowledge the limitation that the reliance on static keyword lists, though linguistically curated, may omit context-sensitive expressions or idiomatic variants, particularly in multilingual disclosures. An expansion toward supervised learning models could further refine accuracy and semantic sensitivity.</w:t>
      </w:r>
    </w:p>
  </w:footnote>
  <w:footnote w:id="7">
    <w:p>
      <w:pPr>
        <w:pStyle w:val="footnote text"/>
        <w:jc w:val="both"/>
      </w:pPr>
      <w:r>
        <w:rPr>
          <w:rFonts w:ascii="Garamond" w:cs="Garamond" w:hAnsi="Garamond" w:eastAsia="Garamond"/>
          <w:outline w:val="0"/>
          <w:color w:val="231f20"/>
          <w:sz w:val="22"/>
          <w:szCs w:val="22"/>
          <w:u w:color="231f20"/>
          <w:vertAlign w:val="superscript"/>
          <w:lang w:val="en-US"/>
          <w14:textFill>
            <w14:solidFill>
              <w14:srgbClr w14:val="231F20"/>
            </w14:solidFill>
          </w14:textFill>
        </w:rPr>
        <w:footnoteRef/>
      </w:r>
      <w:r>
        <w:rPr>
          <w:rFonts w:ascii="Garamond" w:hAnsi="Garamond"/>
          <w:sz w:val="18"/>
          <w:szCs w:val="18"/>
          <w:rtl w:val="0"/>
          <w:lang w:val="en-US"/>
        </w:rPr>
        <w:t xml:space="preserve"> Note that across all operators the most recurrent patterns center around conditionality, intentionality, and long-termism. As an example, </w:t>
      </w:r>
      <w:r>
        <w:rPr>
          <w:rFonts w:ascii="Garamond" w:hAnsi="Garamond" w:hint="default"/>
          <w:sz w:val="18"/>
          <w:szCs w:val="18"/>
          <w:rtl w:val="0"/>
          <w:lang w:val="en-US"/>
        </w:rPr>
        <w:t>“</w:t>
      </w:r>
      <w:r>
        <w:rPr>
          <w:rFonts w:ascii="Garamond" w:hAnsi="Garamond"/>
          <w:sz w:val="18"/>
          <w:szCs w:val="18"/>
          <w:rtl w:val="0"/>
          <w:lang w:val="en-US"/>
        </w:rPr>
        <w:t>long term</w:t>
      </w:r>
      <w:r>
        <w:rPr>
          <w:rFonts w:ascii="Garamond" w:hAnsi="Garamond" w:hint="default"/>
          <w:sz w:val="18"/>
          <w:szCs w:val="18"/>
          <w:rtl w:val="0"/>
          <w:lang w:val="en-US"/>
        </w:rPr>
        <w:t xml:space="preserve">” </w:t>
      </w:r>
      <w:r>
        <w:rPr>
          <w:rFonts w:ascii="Garamond" w:hAnsi="Garamond"/>
          <w:sz w:val="18"/>
          <w:szCs w:val="18"/>
          <w:rtl w:val="0"/>
          <w:lang w:val="en-US"/>
        </w:rPr>
        <w:t xml:space="preserve">and its multilingual equivalents, as a concept, appears over 81 times (37 in German as </w:t>
      </w:r>
      <w:r>
        <w:rPr>
          <w:rFonts w:ascii="Garamond" w:hAnsi="Garamond" w:hint="default"/>
          <w:sz w:val="18"/>
          <w:szCs w:val="18"/>
          <w:rtl w:val="0"/>
          <w:lang w:val="en-US"/>
        </w:rPr>
        <w:t>“</w:t>
      </w:r>
      <w:r>
        <w:rPr>
          <w:rFonts w:ascii="Garamond" w:hAnsi="Garamond"/>
          <w:sz w:val="18"/>
          <w:szCs w:val="18"/>
          <w:rtl w:val="0"/>
          <w:lang w:val="en-US"/>
        </w:rPr>
        <w:t>langfristig,</w:t>
      </w:r>
      <w:r>
        <w:rPr>
          <w:rFonts w:ascii="Garamond" w:hAnsi="Garamond" w:hint="default"/>
          <w:sz w:val="18"/>
          <w:szCs w:val="18"/>
          <w:rtl w:val="0"/>
          <w:lang w:val="en-US"/>
        </w:rPr>
        <w:t xml:space="preserve">” </w:t>
      </w:r>
      <w:r>
        <w:rPr>
          <w:rFonts w:ascii="Garamond" w:hAnsi="Garamond"/>
          <w:sz w:val="18"/>
          <w:szCs w:val="18"/>
          <w:rtl w:val="0"/>
          <w:lang w:val="en-US"/>
        </w:rPr>
        <w:t xml:space="preserve">27 in Spanish as </w:t>
      </w:r>
      <w:r>
        <w:rPr>
          <w:rFonts w:ascii="Garamond" w:hAnsi="Garamond" w:hint="default"/>
          <w:sz w:val="18"/>
          <w:szCs w:val="18"/>
          <w:rtl w:val="0"/>
          <w:lang w:val="en-US"/>
        </w:rPr>
        <w:t>“</w:t>
      </w:r>
      <w:r>
        <w:rPr>
          <w:rFonts w:ascii="Garamond" w:hAnsi="Garamond"/>
          <w:sz w:val="18"/>
          <w:szCs w:val="18"/>
          <w:rtl w:val="0"/>
          <w:lang w:val="en-US"/>
        </w:rPr>
        <w:t>a largo plazo,</w:t>
      </w:r>
      <w:r>
        <w:rPr>
          <w:rFonts w:ascii="Garamond" w:hAnsi="Garamond" w:hint="default"/>
          <w:sz w:val="18"/>
          <w:szCs w:val="18"/>
          <w:rtl w:val="0"/>
          <w:lang w:val="en-US"/>
        </w:rPr>
        <w:t xml:space="preserve">” </w:t>
      </w:r>
      <w:r>
        <w:rPr>
          <w:rFonts w:ascii="Garamond" w:hAnsi="Garamond"/>
          <w:sz w:val="18"/>
          <w:szCs w:val="18"/>
          <w:rtl w:val="0"/>
          <w:lang w:val="en-US"/>
        </w:rPr>
        <w:t xml:space="preserve">17 in French as </w:t>
      </w:r>
      <w:r>
        <w:rPr>
          <w:rFonts w:ascii="Garamond" w:hAnsi="Garamond" w:hint="default"/>
          <w:sz w:val="18"/>
          <w:szCs w:val="18"/>
          <w:rtl w:val="0"/>
          <w:lang w:val="en-US"/>
        </w:rPr>
        <w:t xml:space="preserve">“à </w:t>
      </w:r>
      <w:r>
        <w:rPr>
          <w:rFonts w:ascii="Garamond" w:hAnsi="Garamond"/>
          <w:sz w:val="18"/>
          <w:szCs w:val="18"/>
          <w:rtl w:val="0"/>
          <w:lang w:val="en-US"/>
        </w:rPr>
        <w:t>long terme,</w:t>
      </w:r>
      <w:r>
        <w:rPr>
          <w:rFonts w:ascii="Garamond" w:hAnsi="Garamond" w:hint="default"/>
          <w:sz w:val="18"/>
          <w:szCs w:val="18"/>
          <w:rtl w:val="0"/>
          <w:lang w:val="en-US"/>
        </w:rPr>
        <w:t xml:space="preserve">” </w:t>
      </w:r>
      <w:r>
        <w:rPr>
          <w:rFonts w:ascii="Garamond" w:hAnsi="Garamond"/>
          <w:sz w:val="18"/>
          <w:szCs w:val="18"/>
          <w:rtl w:val="0"/>
          <w:lang w:val="en-US"/>
        </w:rPr>
        <w:t xml:space="preserve">and 4 in English, as </w:t>
      </w:r>
      <w:r>
        <w:rPr>
          <w:rFonts w:ascii="Garamond" w:hAnsi="Garamond" w:hint="default"/>
          <w:sz w:val="18"/>
          <w:szCs w:val="18"/>
          <w:rtl w:val="0"/>
          <w:lang w:val="en-US"/>
        </w:rPr>
        <w:t>“</w:t>
      </w:r>
      <w:r>
        <w:rPr>
          <w:rFonts w:ascii="Garamond" w:hAnsi="Garamond"/>
          <w:sz w:val="18"/>
          <w:szCs w:val="18"/>
          <w:rtl w:val="0"/>
          <w:lang w:val="en-US"/>
        </w:rPr>
        <w:t>long term,</w:t>
      </w:r>
      <w:r>
        <w:rPr>
          <w:rFonts w:ascii="Garamond" w:hAnsi="Garamond" w:hint="default"/>
          <w:sz w:val="18"/>
          <w:szCs w:val="18"/>
          <w:rtl w:val="0"/>
          <w:lang w:val="en-US"/>
        </w:rPr>
        <w:t xml:space="preserve">” </w:t>
      </w:r>
      <w:r>
        <w:rPr>
          <w:rFonts w:ascii="Garamond" w:hAnsi="Garamond"/>
          <w:sz w:val="18"/>
          <w:szCs w:val="18"/>
          <w:rtl w:val="0"/>
          <w:lang w:val="en-US"/>
        </w:rPr>
        <w:t xml:space="preserve">and in Italian, as </w:t>
      </w:r>
      <w:r>
        <w:rPr>
          <w:rFonts w:ascii="Garamond" w:hAnsi="Garamond" w:hint="default"/>
          <w:sz w:val="18"/>
          <w:szCs w:val="18"/>
          <w:rtl w:val="0"/>
          <w:lang w:val="en-US"/>
        </w:rPr>
        <w:t>“</w:t>
      </w:r>
      <w:r>
        <w:rPr>
          <w:rFonts w:ascii="Garamond" w:hAnsi="Garamond"/>
          <w:sz w:val="18"/>
          <w:szCs w:val="18"/>
          <w:rtl w:val="0"/>
          <w:lang w:val="en-US"/>
        </w:rPr>
        <w:t>nel lungo termine</w:t>
      </w:r>
      <w:r>
        <w:rPr>
          <w:rFonts w:ascii="Garamond" w:hAnsi="Garamond" w:hint="default"/>
          <w:sz w:val="18"/>
          <w:szCs w:val="18"/>
          <w:rtl w:val="0"/>
          <w:lang w:val="en-US"/>
        </w:rPr>
        <w:t>”</w:t>
      </w:r>
      <w:r>
        <w:rPr>
          <w:rFonts w:ascii="Garamond" w:hAnsi="Garamond"/>
          <w:sz w:val="18"/>
          <w:szCs w:val="18"/>
          <w:rtl w:val="0"/>
          <w:lang w:val="en-US"/>
        </w:rPr>
        <w:t>), confirming the widespread rhetorical emphasis on extended temporal horizons.</w:t>
      </w:r>
    </w:p>
  </w:footnote>
  <w:footnote w:id="8">
    <w:p>
      <w:pPr>
        <w:pStyle w:val="footnote text"/>
        <w:jc w:val="both"/>
      </w:pPr>
      <w:r>
        <w:rPr>
          <w:rFonts w:ascii="Garamond" w:cs="Garamond" w:hAnsi="Garamond" w:eastAsia="Garamond"/>
          <w:outline w:val="0"/>
          <w:color w:val="231f20"/>
          <w:sz w:val="22"/>
          <w:szCs w:val="22"/>
          <w:u w:color="231f20"/>
          <w:vertAlign w:val="superscript"/>
          <w:lang w:val="en-US"/>
          <w14:textFill>
            <w14:solidFill>
              <w14:srgbClr w14:val="231F20"/>
            </w14:solidFill>
          </w14:textFill>
        </w:rPr>
        <w:footnoteRef/>
      </w:r>
      <w:r>
        <w:rPr>
          <w:rFonts w:ascii="Garamond" w:hAnsi="Garamond"/>
          <w:sz w:val="18"/>
          <w:szCs w:val="18"/>
          <w:rtl w:val="0"/>
          <w:lang w:val="en-US"/>
        </w:rPr>
        <w:t xml:space="preserve"> See, in this regard, the data presented in the European Commission Proposal 2023/0085 on the substantiation and communication of explicit environmental claims (Green Claims Directive), with particular attention to the high number of unsubstantiated environmental claims.</w:t>
      </w:r>
    </w:p>
  </w:footnote>
</w:footnotes>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291"/>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291"/>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291"/>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footnotePr>
    <w:numFmt w:val="decimal"/>
    <w:numStart w:val="1"/>
    <w:numRestart w:val="continuous"/>
    <w:footnote w:id="-1"/>
    <w:footnote w:id="0"/>
    <w:footnote w:id="-2"/>
  </w:footnotePr>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de-DE"/>
      <w14:textOutline>
        <w14:noFill/>
      </w14:textOutline>
      <w14:textFill>
        <w14:solidFill>
          <w14:srgbClr w14:val="000000"/>
        </w14:solidFill>
      </w14:textFill>
    </w:rPr>
  </w:style>
  <w:style w:type="paragraph" w:styleId="Body Text">
    <w:name w:val="Body Text"/>
    <w:next w:val="Body Text"/>
    <w:pPr>
      <w:keepNext w:val="0"/>
      <w:keepLines w:val="0"/>
      <w:pageBreakBefore w:val="0"/>
      <w:widowControl w:val="0"/>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16"/>
      <w:szCs w:val="16"/>
      <w:u w:val="none" w:color="000000"/>
      <w:shd w:val="nil" w:color="auto" w:fill="auto"/>
      <w:vertAlign w:val="baseline"/>
      <w:lang w:val="it-IT"/>
      <w14:textFill>
        <w14:solidFill>
          <w14:srgbClr w14:val="000000"/>
        </w14:solidFill>
      </w14:textFill>
    </w:rPr>
  </w:style>
  <w:style w:type="paragraph" w:styleId="footnote text">
    <w:name w:val="footnote text"/>
    <w:next w:val="footnote tex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lang w:val="en-US"/>
      <w14:textFill>
        <w14:solidFill>
          <w14:srgbClr w14:val="000000"/>
        </w14:solidFill>
      </w14:textFill>
    </w:rPr>
  </w:style>
  <w:style w:type="character" w:styleId="Link">
    <w:name w:val="Link"/>
    <w:rPr>
      <w:outline w:val="0"/>
      <w:color w:val="0000ff"/>
      <w:u w:val="single" w:color="0000ff"/>
      <w14:textFill>
        <w14:solidFill>
          <w14:srgbClr w14:val="0000FF"/>
        </w14:solidFill>
      </w14:textFill>
    </w:rPr>
  </w:style>
  <w:style w:type="character" w:styleId="Hyperlink.0">
    <w:name w:val="Hyperlink.0"/>
    <w:basedOn w:val="Link"/>
    <w:next w:val="Hyperlink.0"/>
    <w:rPr>
      <w:rFonts w:ascii="Garamond" w:cs="Garamond" w:hAnsi="Garamond" w:eastAsia="Garamond"/>
      <w:sz w:val="18"/>
      <w:szCs w:val="18"/>
    </w:rPr>
  </w:style>
  <w:style w:type="character" w:styleId="Hyperlink.1">
    <w:name w:val="Hyperlink.1"/>
    <w:basedOn w:val="Link"/>
    <w:next w:val="Hyperlink.1"/>
    <w:rPr>
      <w:rFonts w:ascii="Garamond" w:cs="Garamond" w:hAnsi="Garamond" w:eastAsia="Garamond"/>
      <w:outline w:val="0"/>
      <w:color w:val="595959"/>
      <w:sz w:val="22"/>
      <w:szCs w:val="22"/>
      <w:u w:color="595959"/>
      <w:lang w:val="en-US"/>
      <w14:textFill>
        <w14:solidFill>
          <w14:srgbClr w14:val="595959"/>
        </w14:solidFill>
      </w14:textFill>
    </w:rPr>
  </w:style>
  <w:style w:type="paragraph" w:styleId="List Paragraph">
    <w:name w:val="List Paragraph"/>
    <w:next w:val="List Paragraph"/>
    <w:pPr>
      <w:keepNext w:val="0"/>
      <w:keepLines w:val="0"/>
      <w:pageBreakBefore w:val="0"/>
      <w:widowControl w:val="0"/>
      <w:shd w:val="clear" w:color="auto" w:fill="auto"/>
      <w:suppressAutoHyphens w:val="0"/>
      <w:bidi w:val="0"/>
      <w:spacing w:before="0" w:after="0" w:line="240" w:lineRule="auto"/>
      <w:ind w:left="1085" w:right="177" w:firstLine="383"/>
      <w:jc w:val="both"/>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it-IT"/>
      <w14:textFill>
        <w14:solidFill>
          <w14:srgbClr w14:val="000000"/>
        </w14:solidFill>
      </w14:textFill>
    </w:rPr>
  </w:style>
  <w:style w:type="numbering" w:styleId="Imported Style 1">
    <w:name w:val="Imported Style 1"/>
    <w:pPr>
      <w:numPr>
        <w:numId w:val="1"/>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image" Target="media/image2.png"/><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otnotes" Target="footnotes.xml"/><Relationship Id="rId9" Type="http://schemas.openxmlformats.org/officeDocument/2006/relationships/numbering" Target="numbering.xml"/><Relationship Id="rId10"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