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566CF" w14:textId="77777777" w:rsidR="00287F83" w:rsidRDefault="00287F83" w:rsidP="0011538D">
      <w:pPr>
        <w:jc w:val="center"/>
        <w:rPr>
          <w:b/>
          <w:bCs/>
          <w:sz w:val="28"/>
          <w:szCs w:val="28"/>
        </w:rPr>
      </w:pPr>
      <w:bookmarkStart w:id="0" w:name="OLE_LINK1"/>
      <w:bookmarkStart w:id="1" w:name="OLE_LINK2"/>
    </w:p>
    <w:p w14:paraId="5D84A360" w14:textId="77777777" w:rsidR="00287F83" w:rsidRDefault="00287F83" w:rsidP="0011538D">
      <w:pPr>
        <w:jc w:val="center"/>
        <w:rPr>
          <w:b/>
          <w:bCs/>
          <w:sz w:val="28"/>
          <w:szCs w:val="28"/>
        </w:rPr>
      </w:pPr>
    </w:p>
    <w:p w14:paraId="558DAD4D" w14:textId="1334E016" w:rsidR="00115208" w:rsidRPr="00633995" w:rsidRDefault="00A65275" w:rsidP="0011538D">
      <w:pPr>
        <w:jc w:val="center"/>
        <w:rPr>
          <w:b/>
          <w:bCs/>
          <w:sz w:val="28"/>
          <w:szCs w:val="28"/>
        </w:rPr>
        <w:sectPr w:rsidR="00115208" w:rsidRPr="00633995" w:rsidSect="00115208">
          <w:footerReference w:type="default" r:id="rId8"/>
          <w:footerReference w:type="first" r:id="rId9"/>
          <w:footnotePr>
            <w:numFmt w:val="chicago"/>
            <w:numRestart w:val="eachSect"/>
          </w:footnotePr>
          <w:type w:val="continuous"/>
          <w:pgSz w:w="11906" w:h="16838"/>
          <w:pgMar w:top="1440" w:right="1440" w:bottom="1440" w:left="1440" w:header="706" w:footer="706" w:gutter="0"/>
          <w:pgNumType w:start="1"/>
          <w:cols w:space="708"/>
          <w:titlePg/>
          <w:docGrid w:linePitch="360"/>
        </w:sectPr>
      </w:pPr>
      <w:r w:rsidRPr="00633995">
        <w:rPr>
          <w:b/>
          <w:bCs/>
          <w:sz w:val="28"/>
          <w:szCs w:val="28"/>
        </w:rPr>
        <w:t xml:space="preserve">Digital Trade, Data Protection and </w:t>
      </w:r>
      <w:r w:rsidR="003B2A91" w:rsidRPr="00633995">
        <w:rPr>
          <w:b/>
          <w:bCs/>
          <w:sz w:val="28"/>
          <w:szCs w:val="28"/>
        </w:rPr>
        <w:t xml:space="preserve">the </w:t>
      </w:r>
      <w:r w:rsidRPr="00633995">
        <w:rPr>
          <w:b/>
          <w:bCs/>
          <w:sz w:val="28"/>
          <w:szCs w:val="28"/>
        </w:rPr>
        <w:t xml:space="preserve">EU Adequacy </w:t>
      </w:r>
      <w:r w:rsidR="003B2A91" w:rsidRPr="00633995">
        <w:rPr>
          <w:b/>
          <w:bCs/>
          <w:sz w:val="28"/>
          <w:szCs w:val="28"/>
        </w:rPr>
        <w:t>Club</w:t>
      </w:r>
      <w:r w:rsidRPr="00633995">
        <w:rPr>
          <w:rStyle w:val="FootnoteReference"/>
          <w:b/>
          <w:bCs/>
          <w:sz w:val="28"/>
          <w:szCs w:val="28"/>
        </w:rPr>
        <w:footnoteReference w:id="1"/>
      </w:r>
    </w:p>
    <w:p w14:paraId="1705877F" w14:textId="47D1C1E9" w:rsidR="007A5FA3" w:rsidRPr="00633995" w:rsidRDefault="007A5FA3" w:rsidP="0011538D">
      <w:pPr>
        <w:spacing w:after="0" w:line="240" w:lineRule="auto"/>
        <w:jc w:val="center"/>
      </w:pPr>
      <w:r w:rsidRPr="00633995">
        <w:t>Martina</w:t>
      </w:r>
      <w:r w:rsidR="00D41293" w:rsidRPr="00633995">
        <w:t xml:space="preserve"> F. </w:t>
      </w:r>
      <w:r w:rsidRPr="00633995">
        <w:t>Ferracane (Teesside University and EUI)</w:t>
      </w:r>
    </w:p>
    <w:p w14:paraId="4A2BC9E9" w14:textId="3996726A" w:rsidR="007A5FA3" w:rsidRPr="00633995" w:rsidRDefault="007A5FA3" w:rsidP="0011538D">
      <w:pPr>
        <w:spacing w:after="0" w:line="276" w:lineRule="auto"/>
        <w:jc w:val="center"/>
      </w:pPr>
      <w:r w:rsidRPr="00633995">
        <w:t>Bernard Hoekman (E</w:t>
      </w:r>
      <w:r w:rsidR="00B7719F">
        <w:t>uropean University Institute</w:t>
      </w:r>
      <w:r w:rsidRPr="00633995">
        <w:t xml:space="preserve"> and CEPR)</w:t>
      </w:r>
    </w:p>
    <w:p w14:paraId="0CEDC105" w14:textId="5C4F8FC6" w:rsidR="007A5FA3" w:rsidRPr="00633995" w:rsidRDefault="007A5FA3" w:rsidP="0011538D">
      <w:pPr>
        <w:spacing w:after="0" w:line="276" w:lineRule="auto"/>
        <w:jc w:val="center"/>
      </w:pPr>
      <w:r w:rsidRPr="00633995">
        <w:t>Erik van der Marel (ECIPE and</w:t>
      </w:r>
      <w:r w:rsidR="00B7719F">
        <w:t xml:space="preserve"> </w:t>
      </w:r>
      <w:r w:rsidR="00B7719F" w:rsidRPr="00B7719F">
        <w:t>Université libre de Bruxelles</w:t>
      </w:r>
      <w:r w:rsidRPr="00633995">
        <w:t>)</w:t>
      </w:r>
    </w:p>
    <w:p w14:paraId="18129A56" w14:textId="558C2566" w:rsidR="007A5FA3" w:rsidRPr="00DF5517" w:rsidRDefault="007A5FA3" w:rsidP="0011538D">
      <w:pPr>
        <w:tabs>
          <w:tab w:val="center" w:pos="4513"/>
          <w:tab w:val="right" w:pos="9026"/>
        </w:tabs>
        <w:spacing w:after="0" w:line="276" w:lineRule="auto"/>
        <w:jc w:val="center"/>
        <w:rPr>
          <w:lang w:val="it-IT"/>
        </w:rPr>
      </w:pPr>
      <w:r w:rsidRPr="00DF5517">
        <w:rPr>
          <w:lang w:val="it-IT"/>
        </w:rPr>
        <w:t>Filippo Santi (Università di Bologna)</w:t>
      </w:r>
    </w:p>
    <w:p w14:paraId="1CB78D97" w14:textId="77777777" w:rsidR="007A5FA3" w:rsidRPr="00DF5517" w:rsidRDefault="007A5FA3" w:rsidP="0011538D">
      <w:pPr>
        <w:jc w:val="center"/>
        <w:rPr>
          <w:sz w:val="20"/>
          <w:szCs w:val="20"/>
          <w:lang w:val="it-IT"/>
        </w:rPr>
      </w:pPr>
    </w:p>
    <w:p w14:paraId="3F120277" w14:textId="77777777" w:rsidR="00545E17" w:rsidRDefault="00545E17" w:rsidP="0011538D">
      <w:pPr>
        <w:jc w:val="center"/>
      </w:pPr>
      <w:r>
        <w:t>Revised</w:t>
      </w:r>
    </w:p>
    <w:p w14:paraId="48BFA41C" w14:textId="05697411" w:rsidR="007A5FA3" w:rsidRPr="00633995" w:rsidRDefault="00B7719F" w:rsidP="0011538D">
      <w:pPr>
        <w:jc w:val="center"/>
      </w:pPr>
      <w:r>
        <w:t>4</w:t>
      </w:r>
      <w:r w:rsidR="00545E17">
        <w:t xml:space="preserve"> </w:t>
      </w:r>
      <w:r w:rsidR="00A20BD5">
        <w:t xml:space="preserve">April </w:t>
      </w:r>
      <w:r w:rsidR="00004C48">
        <w:t>2025</w:t>
      </w:r>
    </w:p>
    <w:p w14:paraId="7B07A03B" w14:textId="77777777" w:rsidR="007A5FA3" w:rsidRPr="00633995" w:rsidRDefault="007A5FA3" w:rsidP="0011538D">
      <w:pPr>
        <w:jc w:val="both"/>
        <w:rPr>
          <w:b/>
          <w:bCs/>
        </w:rPr>
      </w:pPr>
      <w:r w:rsidRPr="00633995">
        <w:rPr>
          <w:b/>
          <w:bCs/>
        </w:rPr>
        <w:tab/>
      </w:r>
      <w:r w:rsidRPr="00633995">
        <w:rPr>
          <w:b/>
          <w:bCs/>
        </w:rPr>
        <w:tab/>
      </w:r>
    </w:p>
    <w:p w14:paraId="4C03A3FA" w14:textId="2F3FB9EB" w:rsidR="007A5FA3" w:rsidRPr="00633995" w:rsidRDefault="007A5FA3" w:rsidP="0011538D">
      <w:pPr>
        <w:jc w:val="both"/>
      </w:pPr>
      <w:r w:rsidRPr="00633995">
        <w:rPr>
          <w:b/>
          <w:bCs/>
        </w:rPr>
        <w:t>Abstract</w:t>
      </w:r>
      <w:r w:rsidR="006C62E2">
        <w:rPr>
          <w:b/>
          <w:bCs/>
        </w:rPr>
        <w:t xml:space="preserve">: </w:t>
      </w:r>
      <w:r w:rsidRPr="00633995">
        <w:t>Between 2000 and 202</w:t>
      </w:r>
      <w:r w:rsidR="00B16A8C" w:rsidRPr="00633995">
        <w:t>0</w:t>
      </w:r>
      <w:r w:rsidRPr="00633995">
        <w:t>, the EU granted</w:t>
      </w:r>
      <w:r w:rsidR="00F61F7D" w:rsidRPr="00633995">
        <w:t xml:space="preserve"> </w:t>
      </w:r>
      <w:r w:rsidR="00F10D0A">
        <w:t xml:space="preserve">14 </w:t>
      </w:r>
      <w:r w:rsidR="00862A03" w:rsidRPr="00633995">
        <w:t xml:space="preserve">so-called </w:t>
      </w:r>
      <w:r w:rsidRPr="00633995">
        <w:t xml:space="preserve">adequacy </w:t>
      </w:r>
      <w:r w:rsidR="00F10D0A">
        <w:t>decisions</w:t>
      </w:r>
      <w:r w:rsidRPr="00633995">
        <w:t xml:space="preserve">, permitting </w:t>
      </w:r>
      <w:r w:rsidR="00D95DD7" w:rsidRPr="00633995">
        <w:t xml:space="preserve">EU citizens’ </w:t>
      </w:r>
      <w:r w:rsidRPr="00633995">
        <w:t>personal data to flow freely</w:t>
      </w:r>
      <w:r w:rsidR="00F61F7D" w:rsidRPr="00633995">
        <w:t xml:space="preserve"> </w:t>
      </w:r>
      <w:r w:rsidR="00E53E1B" w:rsidRPr="00633995">
        <w:t xml:space="preserve">between </w:t>
      </w:r>
      <w:r w:rsidRPr="00633995">
        <w:t xml:space="preserve">the EU </w:t>
      </w:r>
      <w:r w:rsidR="00F61F7D" w:rsidRPr="00633995">
        <w:t xml:space="preserve">and </w:t>
      </w:r>
      <w:r w:rsidRPr="00633995">
        <w:t>the respective trading partner</w:t>
      </w:r>
      <w:r w:rsidR="00E53E1B" w:rsidRPr="00633995">
        <w:t xml:space="preserve">s, including </w:t>
      </w:r>
      <w:r w:rsidRPr="00633995">
        <w:t xml:space="preserve">between </w:t>
      </w:r>
      <w:r w:rsidR="00F10D0A">
        <w:t xml:space="preserve">the </w:t>
      </w:r>
      <w:r w:rsidRPr="00633995">
        <w:t xml:space="preserve">countries accorded adequacy. </w:t>
      </w:r>
      <w:r w:rsidR="00AC7D30" w:rsidRPr="00633995">
        <w:t xml:space="preserve">Adequacy decisions are unilateral, complementing more commonly observed and analyzed mutual recognition arrangements for technical regulations. </w:t>
      </w:r>
      <w:r w:rsidR="00335ED1">
        <w:t>Using</w:t>
      </w:r>
      <w:r w:rsidRPr="00633995">
        <w:t xml:space="preserve"> structural gravity and synthetic</w:t>
      </w:r>
      <w:r w:rsidR="00F61F7D" w:rsidRPr="00633995">
        <w:t xml:space="preserve"> </w:t>
      </w:r>
      <w:r w:rsidR="00627372" w:rsidRPr="00633995">
        <w:t xml:space="preserve">control </w:t>
      </w:r>
      <w:r w:rsidRPr="00633995">
        <w:t xml:space="preserve">methods to assess the </w:t>
      </w:r>
      <w:r w:rsidR="00862A03" w:rsidRPr="00633995">
        <w:t xml:space="preserve">relationship between </w:t>
      </w:r>
      <w:r w:rsidRPr="00633995">
        <w:t>EU adequacy decisions</w:t>
      </w:r>
      <w:r w:rsidR="00F61F7D" w:rsidRPr="00633995">
        <w:t xml:space="preserve"> </w:t>
      </w:r>
      <w:r w:rsidR="00862A03" w:rsidRPr="00633995">
        <w:t xml:space="preserve">and </w:t>
      </w:r>
      <w:r w:rsidR="00F61F7D" w:rsidRPr="00633995">
        <w:t>digital trade</w:t>
      </w:r>
      <w:r w:rsidR="00862A03" w:rsidRPr="00633995">
        <w:t>, using different approaches to define digital trade</w:t>
      </w:r>
      <w:r w:rsidR="00335ED1">
        <w:t>, w</w:t>
      </w:r>
      <w:r w:rsidRPr="00633995">
        <w:t>e find that adequacy increase</w:t>
      </w:r>
      <w:r w:rsidR="00F61F7D" w:rsidRPr="00633995">
        <w:t>s</w:t>
      </w:r>
      <w:r w:rsidRPr="00633995">
        <w:t xml:space="preserve"> bilateral digital trade, driven to an important extent by </w:t>
      </w:r>
      <w:r w:rsidR="00F61F7D" w:rsidRPr="00633995">
        <w:t xml:space="preserve">EU-US </w:t>
      </w:r>
      <w:r w:rsidRPr="00633995">
        <w:t xml:space="preserve">agreements. </w:t>
      </w:r>
      <w:r w:rsidR="00D76D46" w:rsidRPr="00633995">
        <w:t xml:space="preserve">We also </w:t>
      </w:r>
      <w:r w:rsidR="00E86574" w:rsidRPr="00633995">
        <w:t>show</w:t>
      </w:r>
      <w:r w:rsidR="00D76D46" w:rsidRPr="00633995">
        <w:t xml:space="preserve"> that d</w:t>
      </w:r>
      <w:r w:rsidRPr="00633995">
        <w:t xml:space="preserve">igital trade between adequacy-receiving countries increases, providing evidence of a ‘club effect’ </w:t>
      </w:r>
      <w:r w:rsidR="00E86574" w:rsidRPr="00633995">
        <w:t xml:space="preserve">associated with </w:t>
      </w:r>
      <w:r w:rsidRPr="00633995">
        <w:t xml:space="preserve">EU adequacy decisions.  </w:t>
      </w:r>
    </w:p>
    <w:p w14:paraId="6EFAF603" w14:textId="2A611D6A" w:rsidR="007A5FA3" w:rsidRPr="00633995" w:rsidRDefault="007A5FA3" w:rsidP="0011538D">
      <w:pPr>
        <w:jc w:val="both"/>
      </w:pPr>
      <w:r w:rsidRPr="00633995">
        <w:rPr>
          <w:b/>
          <w:bCs/>
        </w:rPr>
        <w:t>Keywords</w:t>
      </w:r>
      <w:r w:rsidRPr="00633995">
        <w:t xml:space="preserve">: digital trade; </w:t>
      </w:r>
      <w:r w:rsidR="00274A9B" w:rsidRPr="00633995">
        <w:t xml:space="preserve">regulation; trade costs; </w:t>
      </w:r>
      <w:r w:rsidRPr="00633995">
        <w:t xml:space="preserve">recognition; </w:t>
      </w:r>
      <w:r w:rsidR="000B6B31" w:rsidRPr="00633995">
        <w:t>clubs</w:t>
      </w:r>
    </w:p>
    <w:p w14:paraId="2CBCCE99" w14:textId="77777777" w:rsidR="007A5FA3" w:rsidRPr="00BE67F4" w:rsidRDefault="007A5FA3" w:rsidP="0011538D">
      <w:pPr>
        <w:jc w:val="both"/>
        <w:rPr>
          <w:lang w:val="fr-FR"/>
        </w:rPr>
      </w:pPr>
      <w:r w:rsidRPr="00BE67F4">
        <w:rPr>
          <w:b/>
          <w:bCs/>
          <w:lang w:val="fr-FR"/>
        </w:rPr>
        <w:t>JEL codes</w:t>
      </w:r>
      <w:r w:rsidRPr="00BE67F4">
        <w:rPr>
          <w:lang w:val="fr-FR"/>
        </w:rPr>
        <w:t>: D18; F13; F14: K24; L88; O38</w:t>
      </w:r>
    </w:p>
    <w:p w14:paraId="649F7EF2" w14:textId="77777777" w:rsidR="006F2F64" w:rsidRPr="00BE67F4" w:rsidRDefault="006F2F64" w:rsidP="0011538D">
      <w:pPr>
        <w:jc w:val="both"/>
        <w:rPr>
          <w:b/>
          <w:bCs/>
          <w:sz w:val="48"/>
          <w:szCs w:val="48"/>
          <w:lang w:val="fr-FR"/>
        </w:rPr>
      </w:pPr>
    </w:p>
    <w:p w14:paraId="777901F5" w14:textId="48A5E330" w:rsidR="00021C69" w:rsidRDefault="005C7020" w:rsidP="0011538D">
      <w:pPr>
        <w:jc w:val="both"/>
      </w:pPr>
      <w:r w:rsidRPr="00513BF1">
        <w:rPr>
          <w:b/>
          <w:bCs/>
        </w:rPr>
        <w:t>Data statement</w:t>
      </w:r>
      <w:r>
        <w:t>:</w:t>
      </w:r>
      <w:r w:rsidR="009B010F">
        <w:t xml:space="preserve"> </w:t>
      </w:r>
      <w:r w:rsidR="00EB7019" w:rsidRPr="00EB7019">
        <w:t xml:space="preserve">The data </w:t>
      </w:r>
      <w:r w:rsidR="00DC6C24">
        <w:t xml:space="preserve">used in the analysis </w:t>
      </w:r>
      <w:r w:rsidR="005775F5">
        <w:t xml:space="preserve">undertaken </w:t>
      </w:r>
      <w:r w:rsidR="00DC6C24">
        <w:t>in</w:t>
      </w:r>
      <w:r w:rsidR="00EB7019" w:rsidRPr="00EB7019">
        <w:t xml:space="preserve"> this study are open</w:t>
      </w:r>
      <w:r w:rsidR="00980EAD">
        <w:t xml:space="preserve"> access</w:t>
      </w:r>
      <w:r w:rsidR="00981CBC">
        <w:t>.</w:t>
      </w:r>
      <w:r w:rsidR="00DC491A">
        <w:t xml:space="preserve"> </w:t>
      </w:r>
    </w:p>
    <w:p w14:paraId="51C35891" w14:textId="4A19F800" w:rsidR="005C7020" w:rsidRDefault="005C7020" w:rsidP="0011538D">
      <w:pPr>
        <w:jc w:val="both"/>
      </w:pPr>
      <w:r w:rsidRPr="00513BF1">
        <w:rPr>
          <w:b/>
          <w:bCs/>
        </w:rPr>
        <w:t>Conflict of interest</w:t>
      </w:r>
      <w:r w:rsidR="00322F5A" w:rsidRPr="00513BF1">
        <w:rPr>
          <w:b/>
          <w:bCs/>
        </w:rPr>
        <w:t xml:space="preserve"> statement</w:t>
      </w:r>
      <w:r>
        <w:t>:</w:t>
      </w:r>
      <w:r w:rsidR="00DC1014">
        <w:t xml:space="preserve"> The </w:t>
      </w:r>
      <w:r w:rsidR="00CC0F6C" w:rsidRPr="00CC0F6C">
        <w:t>authors de</w:t>
      </w:r>
      <w:r w:rsidR="00CC0F6C">
        <w:t xml:space="preserve">clare </w:t>
      </w:r>
      <w:r w:rsidR="00CC0F6C" w:rsidRPr="00CC0F6C">
        <w:t xml:space="preserve">they have no known competing financial interests or personal relationships that could have appeared to influence the work reported in this </w:t>
      </w:r>
      <w:r w:rsidR="00926183">
        <w:t>paper.</w:t>
      </w:r>
    </w:p>
    <w:p w14:paraId="1BFBB2E3" w14:textId="6DDD66AD" w:rsidR="00AF29A0" w:rsidRPr="00513BF1" w:rsidRDefault="00AF29A0" w:rsidP="0011538D">
      <w:pPr>
        <w:jc w:val="both"/>
        <w:sectPr w:rsidR="00AF29A0" w:rsidRPr="00513BF1" w:rsidSect="00115208">
          <w:footnotePr>
            <w:numRestart w:val="eachSect"/>
          </w:footnotePr>
          <w:type w:val="continuous"/>
          <w:pgSz w:w="11906" w:h="16838"/>
          <w:pgMar w:top="1440" w:right="1440" w:bottom="1440" w:left="1440" w:header="706" w:footer="706" w:gutter="0"/>
          <w:pgNumType w:start="1"/>
          <w:cols w:space="708"/>
          <w:titlePg/>
          <w:docGrid w:linePitch="360"/>
        </w:sectPr>
      </w:pPr>
    </w:p>
    <w:p w14:paraId="18D4657C" w14:textId="709C130F" w:rsidR="00D97725" w:rsidRPr="00633995" w:rsidRDefault="00B211A8" w:rsidP="0011538D">
      <w:pPr>
        <w:pStyle w:val="ListParagraph"/>
        <w:numPr>
          <w:ilvl w:val="0"/>
          <w:numId w:val="1"/>
        </w:numPr>
        <w:jc w:val="both"/>
        <w:rPr>
          <w:b/>
          <w:bCs/>
        </w:rPr>
      </w:pPr>
      <w:r w:rsidRPr="00633995">
        <w:rPr>
          <w:b/>
          <w:bCs/>
        </w:rPr>
        <w:lastRenderedPageBreak/>
        <w:t>Introduction</w:t>
      </w:r>
    </w:p>
    <w:p w14:paraId="49DCC509" w14:textId="73899EE4" w:rsidR="00E03DA9" w:rsidRPr="00633995" w:rsidRDefault="00E02634" w:rsidP="00E03DA9">
      <w:pPr>
        <w:jc w:val="both"/>
      </w:pPr>
      <w:r w:rsidRPr="00633995">
        <w:t>Between 2005 and 2022, exports of digital</w:t>
      </w:r>
      <w:r w:rsidR="00D95DD7" w:rsidRPr="00633995">
        <w:t>ly delivered</w:t>
      </w:r>
      <w:r w:rsidRPr="00633995">
        <w:t xml:space="preserve"> services expanded by an average of 8.1</w:t>
      </w:r>
      <w:r w:rsidR="00D95DD7" w:rsidRPr="00633995">
        <w:t xml:space="preserve"> </w:t>
      </w:r>
      <w:r w:rsidRPr="00633995">
        <w:t xml:space="preserve">percent annually, the fastest growing category in global trade </w:t>
      </w:r>
      <w:r w:rsidR="009C5CBA" w:rsidRPr="00633995">
        <w:t>(</w:t>
      </w:r>
      <w:r w:rsidR="00D95DD7" w:rsidRPr="00633995">
        <w:t>WTO,</w:t>
      </w:r>
      <w:r w:rsidR="009C5CBA" w:rsidRPr="00633995">
        <w:t xml:space="preserve"> 2023).</w:t>
      </w:r>
      <w:r w:rsidR="003F775B" w:rsidRPr="00633995">
        <w:t xml:space="preserve"> </w:t>
      </w:r>
      <w:r w:rsidR="00E13FDE" w:rsidRPr="00633995">
        <w:t xml:space="preserve">Such services often </w:t>
      </w:r>
      <w:r w:rsidR="00F23D5D">
        <w:t xml:space="preserve">utilize </w:t>
      </w:r>
      <w:r w:rsidR="009C5CBA" w:rsidRPr="00633995">
        <w:t xml:space="preserve">personal data at </w:t>
      </w:r>
      <w:r w:rsidR="00C01CDD" w:rsidRPr="00633995">
        <w:t xml:space="preserve">multiple </w:t>
      </w:r>
      <w:r w:rsidR="009C5CBA" w:rsidRPr="00633995">
        <w:t xml:space="preserve">stages of the value chain, </w:t>
      </w:r>
      <w:r w:rsidR="00561A8F" w:rsidRPr="00633995">
        <w:t xml:space="preserve">including </w:t>
      </w:r>
      <w:r w:rsidR="00FE37C7">
        <w:t>research and development</w:t>
      </w:r>
      <w:r w:rsidR="00561A8F" w:rsidRPr="00633995">
        <w:t xml:space="preserve">, </w:t>
      </w:r>
      <w:r w:rsidR="009C5CBA" w:rsidRPr="00633995">
        <w:t>product design, marketing, and sales.</w:t>
      </w:r>
      <w:r w:rsidR="00401C63" w:rsidRPr="00633995">
        <w:t xml:space="preserve"> </w:t>
      </w:r>
      <w:r w:rsidR="00EC73BB" w:rsidRPr="00633995">
        <w:t>As the</w:t>
      </w:r>
      <w:r w:rsidR="00B57239" w:rsidRPr="00633995">
        <w:t xml:space="preserve"> </w:t>
      </w:r>
      <w:r w:rsidR="006B65C3">
        <w:t>ex</w:t>
      </w:r>
      <w:r w:rsidR="00B57239" w:rsidRPr="00633995">
        <w:t>tensive</w:t>
      </w:r>
      <w:r w:rsidR="00EC73BB" w:rsidRPr="00633995">
        <w:t xml:space="preserve"> </w:t>
      </w:r>
      <w:r w:rsidR="001F0D9F" w:rsidRPr="00633995">
        <w:t xml:space="preserve">use of personal data </w:t>
      </w:r>
      <w:r w:rsidR="006B65C3">
        <w:t xml:space="preserve">gives rise </w:t>
      </w:r>
      <w:r w:rsidR="001F0D9F" w:rsidRPr="00633995">
        <w:t xml:space="preserve">to privacy concerns (Zuboff, 2019), </w:t>
      </w:r>
      <w:r w:rsidR="00DB29F4" w:rsidRPr="00633995">
        <w:t xml:space="preserve">many </w:t>
      </w:r>
      <w:r w:rsidR="001F0D9F" w:rsidRPr="00633995">
        <w:t>governments regulate how personal data is used and shared</w:t>
      </w:r>
      <w:r w:rsidR="00DB29F4" w:rsidRPr="00633995">
        <w:t xml:space="preserve">, </w:t>
      </w:r>
      <w:r w:rsidR="00EC73BB" w:rsidRPr="00633995">
        <w:t xml:space="preserve">seeking to </w:t>
      </w:r>
      <w:r w:rsidR="00DB29F4" w:rsidRPr="00633995">
        <w:t>balanc</w:t>
      </w:r>
      <w:r w:rsidR="00EC73BB" w:rsidRPr="00633995">
        <w:t>e</w:t>
      </w:r>
      <w:r w:rsidR="00DB29F4" w:rsidRPr="00633995">
        <w:t xml:space="preserve"> </w:t>
      </w:r>
      <w:r w:rsidR="001F0D9F" w:rsidRPr="00633995">
        <w:t>the promotion of digital trade with the protection of individual privacy</w:t>
      </w:r>
      <w:r w:rsidR="008A3E24" w:rsidRPr="00633995">
        <w:t>.</w:t>
      </w:r>
      <w:r w:rsidR="00DB29F4" w:rsidRPr="00633995">
        <w:t xml:space="preserve"> Such</w:t>
      </w:r>
      <w:r w:rsidR="00F67C2B" w:rsidRPr="00633995">
        <w:t xml:space="preserve"> </w:t>
      </w:r>
      <w:r w:rsidR="00DB29F4" w:rsidRPr="00633995">
        <w:t>regulation</w:t>
      </w:r>
      <w:r w:rsidR="00413F27">
        <w:t xml:space="preserve"> </w:t>
      </w:r>
      <w:r w:rsidR="00413F27" w:rsidRPr="00633995">
        <w:t>may facilitate digital trade by fostering trust in the digital economy</w:t>
      </w:r>
      <w:r w:rsidR="00413F27">
        <w:t xml:space="preserve"> but</w:t>
      </w:r>
      <w:r w:rsidR="00DB29F4" w:rsidRPr="00633995">
        <w:t xml:space="preserve"> may </w:t>
      </w:r>
      <w:r w:rsidR="00413F27">
        <w:t xml:space="preserve">also </w:t>
      </w:r>
      <w:r w:rsidR="00DB29F4" w:rsidRPr="00633995">
        <w:t xml:space="preserve">increase trade costs. </w:t>
      </w:r>
      <w:r w:rsidR="00E03DA9" w:rsidRPr="00633995">
        <w:t>Much of the</w:t>
      </w:r>
      <w:r w:rsidR="00E03DA9">
        <w:t xml:space="preserve"> extant</w:t>
      </w:r>
      <w:r w:rsidR="00E03DA9" w:rsidRPr="00633995">
        <w:t xml:space="preserve"> literature </w:t>
      </w:r>
      <w:r w:rsidR="00E03DA9">
        <w:t xml:space="preserve">highlights </w:t>
      </w:r>
      <w:r w:rsidR="00E03DA9" w:rsidRPr="00633995">
        <w:t>the trade-offs between the free flow of personal data and privacy protection of citizens in the economy (Acquisti et al. 2016)</w:t>
      </w:r>
      <w:r w:rsidR="003F3CBB">
        <w:t xml:space="preserve">. Empirical studies have found </w:t>
      </w:r>
      <w:r w:rsidR="00E03DA9" w:rsidRPr="00633995">
        <w:t xml:space="preserve">that more restrictive </w:t>
      </w:r>
      <w:r w:rsidR="00413F27">
        <w:t xml:space="preserve">data </w:t>
      </w:r>
      <w:r w:rsidR="00E03DA9" w:rsidRPr="00633995">
        <w:t>policies negatively impact trade in information and communication technology (ICT) goods and digitally deliverable services.</w:t>
      </w:r>
      <w:r w:rsidR="00E03DA9" w:rsidRPr="00633995">
        <w:rPr>
          <w:rStyle w:val="FootnoteReference"/>
        </w:rPr>
        <w:footnoteReference w:id="2"/>
      </w:r>
      <w:r w:rsidR="00E03DA9" w:rsidRPr="00633995">
        <w:t xml:space="preserve"> </w:t>
      </w:r>
    </w:p>
    <w:p w14:paraId="31DC04C5" w14:textId="4808ABCE" w:rsidR="002544F1" w:rsidRPr="00633995" w:rsidRDefault="001D57B6" w:rsidP="0011538D">
      <w:pPr>
        <w:jc w:val="both"/>
      </w:pPr>
      <w:r w:rsidRPr="00633995">
        <w:t xml:space="preserve">The European Union (EU) </w:t>
      </w:r>
      <w:r w:rsidR="00F67C2B" w:rsidRPr="00633995">
        <w:t>has been</w:t>
      </w:r>
      <w:r w:rsidR="00C4725E" w:rsidRPr="00633995">
        <w:t xml:space="preserve"> a</w:t>
      </w:r>
      <w:r w:rsidR="00F67C2B" w:rsidRPr="00633995">
        <w:t xml:space="preserve"> </w:t>
      </w:r>
      <w:r w:rsidR="00D618D2" w:rsidRPr="00633995">
        <w:t>lead</w:t>
      </w:r>
      <w:r w:rsidR="00C4725E" w:rsidRPr="00633995">
        <w:t>er</w:t>
      </w:r>
      <w:r w:rsidR="00F67C2B" w:rsidRPr="00633995">
        <w:t xml:space="preserve"> in this area </w:t>
      </w:r>
      <w:r w:rsidR="00693326" w:rsidRPr="00633995">
        <w:t>with its General Data Protection Regulation (GDPR)</w:t>
      </w:r>
      <w:r w:rsidR="00490EB2" w:rsidRPr="00633995">
        <w:t>.</w:t>
      </w:r>
      <w:r w:rsidR="00753DC4" w:rsidRPr="00633995">
        <w:rPr>
          <w:rStyle w:val="FootnoteReference"/>
        </w:rPr>
        <w:footnoteReference w:id="3"/>
      </w:r>
      <w:r w:rsidR="00693326" w:rsidRPr="00633995">
        <w:t xml:space="preserve"> </w:t>
      </w:r>
      <w:r w:rsidR="00865D54" w:rsidRPr="00633995">
        <w:t xml:space="preserve">In addition to establishing rights for </w:t>
      </w:r>
      <w:r w:rsidR="00C4725E" w:rsidRPr="00633995">
        <w:t xml:space="preserve">EU </w:t>
      </w:r>
      <w:r w:rsidR="00865D54" w:rsidRPr="00633995">
        <w:t xml:space="preserve">citizens </w:t>
      </w:r>
      <w:r w:rsidR="00291BE8" w:rsidRPr="00633995">
        <w:t>(</w:t>
      </w:r>
      <w:r w:rsidR="006063C6" w:rsidRPr="00633995">
        <w:t>‘</w:t>
      </w:r>
      <w:r w:rsidR="00865D54" w:rsidRPr="00633995">
        <w:t>data subjects</w:t>
      </w:r>
      <w:r w:rsidR="006063C6" w:rsidRPr="00633995">
        <w:t>’</w:t>
      </w:r>
      <w:r w:rsidR="00865D54" w:rsidRPr="00633995">
        <w:t>) and regulati</w:t>
      </w:r>
      <w:r w:rsidR="00475AE0" w:rsidRPr="00633995">
        <w:t>ng</w:t>
      </w:r>
      <w:r w:rsidR="00865D54" w:rsidRPr="00633995">
        <w:t xml:space="preserve"> data processing, the GDPR also sets conditions for </w:t>
      </w:r>
      <w:r w:rsidR="00EA6624" w:rsidRPr="00633995">
        <w:t xml:space="preserve">firms to </w:t>
      </w:r>
      <w:r w:rsidR="00865D54" w:rsidRPr="00633995">
        <w:t xml:space="preserve">transfer personal data outside the EU. These conditions include obtaining </w:t>
      </w:r>
      <w:r w:rsidR="000F7936" w:rsidRPr="00633995">
        <w:t xml:space="preserve">consent from </w:t>
      </w:r>
      <w:r w:rsidR="00865D54" w:rsidRPr="00633995">
        <w:t>the data subject</w:t>
      </w:r>
      <w:r w:rsidR="000F7936" w:rsidRPr="00633995">
        <w:t xml:space="preserve"> </w:t>
      </w:r>
      <w:r w:rsidR="00865D54" w:rsidRPr="00633995">
        <w:t xml:space="preserve">or </w:t>
      </w:r>
      <w:r w:rsidR="00F46BC1" w:rsidRPr="00633995">
        <w:t xml:space="preserve">the use of </w:t>
      </w:r>
      <w:r w:rsidR="00865D54" w:rsidRPr="00633995">
        <w:t xml:space="preserve">firm-specific contractual </w:t>
      </w:r>
      <w:r w:rsidR="00BC4D22" w:rsidRPr="00633995">
        <w:t xml:space="preserve">mechanisms </w:t>
      </w:r>
      <w:r w:rsidR="00865D54" w:rsidRPr="00633995">
        <w:t>to ensure data privacy</w:t>
      </w:r>
      <w:r w:rsidR="000F7936" w:rsidRPr="00633995">
        <w:t xml:space="preserve"> </w:t>
      </w:r>
      <w:r w:rsidR="00185348" w:rsidRPr="00633995">
        <w:t xml:space="preserve">protection </w:t>
      </w:r>
      <w:r w:rsidR="000F7936" w:rsidRPr="00633995">
        <w:t>in third countries</w:t>
      </w:r>
      <w:r w:rsidR="00335ED1">
        <w:t xml:space="preserve">, measures that </w:t>
      </w:r>
      <w:r w:rsidR="00BC4D22" w:rsidRPr="00633995">
        <w:t>are generally associated with additional costs for firms.</w:t>
      </w:r>
      <w:r w:rsidR="00BC4D22" w:rsidRPr="00633995">
        <w:rPr>
          <w:rStyle w:val="FootnoteReference"/>
        </w:rPr>
        <w:footnoteReference w:id="4"/>
      </w:r>
      <w:r w:rsidR="00BC4D22" w:rsidRPr="00633995">
        <w:t xml:space="preserve"> </w:t>
      </w:r>
      <w:r w:rsidR="00185348" w:rsidRPr="00633995">
        <w:t xml:space="preserve">To facilitate data transfers to non-EU countries deemed to provide a level of personal data protection equivalent to that of the EU, </w:t>
      </w:r>
      <w:r w:rsidR="00290133" w:rsidRPr="00633995">
        <w:t>the European Commission</w:t>
      </w:r>
      <w:r w:rsidR="007A7BA9" w:rsidRPr="00633995">
        <w:t xml:space="preserve"> </w:t>
      </w:r>
      <w:r w:rsidR="00290133" w:rsidRPr="00633995">
        <w:t xml:space="preserve">may accord </w:t>
      </w:r>
      <w:r w:rsidR="00BD51C7" w:rsidRPr="00633995">
        <w:t xml:space="preserve">a </w:t>
      </w:r>
      <w:r w:rsidR="00185348" w:rsidRPr="00633995">
        <w:t xml:space="preserve">so-called adequacy </w:t>
      </w:r>
      <w:r w:rsidR="00BD51C7" w:rsidRPr="00633995">
        <w:t xml:space="preserve">decision to a foreign </w:t>
      </w:r>
      <w:r w:rsidR="00837F24" w:rsidRPr="00633995">
        <w:t>country</w:t>
      </w:r>
      <w:r w:rsidR="00185348" w:rsidRPr="00633995">
        <w:t xml:space="preserve">. </w:t>
      </w:r>
      <w:r w:rsidR="00BD51C7" w:rsidRPr="00633995">
        <w:t>A</w:t>
      </w:r>
      <w:r w:rsidR="00B817AD" w:rsidRPr="00633995">
        <w:t>n adequacy d</w:t>
      </w:r>
      <w:r w:rsidR="00BD51C7" w:rsidRPr="00633995">
        <w:t xml:space="preserve">etermination </w:t>
      </w:r>
      <w:r w:rsidR="00624137" w:rsidRPr="00633995">
        <w:t xml:space="preserve">allows </w:t>
      </w:r>
      <w:r w:rsidR="00185348" w:rsidRPr="00633995">
        <w:t xml:space="preserve">companies located in </w:t>
      </w:r>
      <w:r w:rsidR="0007680D" w:rsidRPr="00633995">
        <w:t xml:space="preserve">the </w:t>
      </w:r>
      <w:r w:rsidR="00667D28" w:rsidRPr="00633995">
        <w:t>‘</w:t>
      </w:r>
      <w:r w:rsidR="007A7BA9" w:rsidRPr="00633995">
        <w:t>adequate</w:t>
      </w:r>
      <w:r w:rsidR="00667D28" w:rsidRPr="00633995">
        <w:t>’</w:t>
      </w:r>
      <w:r w:rsidR="007A7BA9" w:rsidRPr="00633995">
        <w:t xml:space="preserve"> </w:t>
      </w:r>
      <w:r w:rsidR="00185348" w:rsidRPr="00633995">
        <w:t xml:space="preserve">country </w:t>
      </w:r>
      <w:r w:rsidR="00624137" w:rsidRPr="00633995">
        <w:t>to</w:t>
      </w:r>
      <w:r w:rsidR="00185348" w:rsidRPr="00633995">
        <w:t xml:space="preserve"> freely transfer </w:t>
      </w:r>
      <w:r w:rsidR="00BC4D22" w:rsidRPr="00633995">
        <w:t xml:space="preserve">EU citizens’ </w:t>
      </w:r>
      <w:r w:rsidR="00787098" w:rsidRPr="00633995">
        <w:t xml:space="preserve">personal </w:t>
      </w:r>
      <w:r w:rsidR="00185348" w:rsidRPr="00633995">
        <w:t>data to and from the EU</w:t>
      </w:r>
      <w:r w:rsidR="000739BA" w:rsidRPr="00633995">
        <w:t xml:space="preserve">, dispensing with </w:t>
      </w:r>
      <w:r w:rsidR="00C62D71" w:rsidRPr="00633995">
        <w:t xml:space="preserve">the need for costly </w:t>
      </w:r>
      <w:r w:rsidR="002F5531" w:rsidRPr="00633995">
        <w:t xml:space="preserve">firm-specific </w:t>
      </w:r>
      <w:r w:rsidR="00C62D71" w:rsidRPr="00633995">
        <w:t>contract</w:t>
      </w:r>
      <w:r w:rsidR="000174F7" w:rsidRPr="00633995">
        <w:t xml:space="preserve">ual </w:t>
      </w:r>
      <w:r w:rsidR="00C62D71" w:rsidRPr="00633995">
        <w:t xml:space="preserve">obligations </w:t>
      </w:r>
      <w:r w:rsidR="002F5531" w:rsidRPr="00633995">
        <w:t>t</w:t>
      </w:r>
      <w:r w:rsidR="00834582" w:rsidRPr="00633995">
        <w:t xml:space="preserve">o </w:t>
      </w:r>
      <w:r w:rsidR="00DC491D" w:rsidRPr="00633995">
        <w:t xml:space="preserve">assure compliance with </w:t>
      </w:r>
      <w:r w:rsidR="00944134" w:rsidRPr="00633995">
        <w:t>t</w:t>
      </w:r>
      <w:r w:rsidR="00251DDE" w:rsidRPr="00633995">
        <w:t>he GDPR.</w:t>
      </w:r>
      <w:r w:rsidR="003D2FCB" w:rsidRPr="00633995">
        <w:t xml:space="preserve"> </w:t>
      </w:r>
    </w:p>
    <w:p w14:paraId="30E1DF8B" w14:textId="600E1892" w:rsidR="00E760D8" w:rsidRPr="00633995" w:rsidRDefault="00DB29F4" w:rsidP="0011538D">
      <w:pPr>
        <w:jc w:val="both"/>
      </w:pPr>
      <w:r w:rsidRPr="00633995">
        <w:t>A</w:t>
      </w:r>
      <w:r w:rsidR="002B6873" w:rsidRPr="00633995">
        <w:t>n a</w:t>
      </w:r>
      <w:r w:rsidR="00A05395" w:rsidRPr="00633995">
        <w:t xml:space="preserve">dequacy decision </w:t>
      </w:r>
      <w:r w:rsidR="00FE0A31" w:rsidRPr="00633995">
        <w:t>function</w:t>
      </w:r>
      <w:r w:rsidR="002B6873" w:rsidRPr="00633995">
        <w:t>s</w:t>
      </w:r>
      <w:r w:rsidR="00FE0A31" w:rsidRPr="00633995">
        <w:t xml:space="preserve"> </w:t>
      </w:r>
      <w:r w:rsidR="00293B25" w:rsidRPr="00633995">
        <w:t xml:space="preserve">akin </w:t>
      </w:r>
      <w:r w:rsidR="00FE0A31" w:rsidRPr="00633995">
        <w:t>to</w:t>
      </w:r>
      <w:r w:rsidR="00293B25" w:rsidRPr="00633995">
        <w:t xml:space="preserve"> recognition arrangements that are commonly </w:t>
      </w:r>
      <w:r w:rsidR="00FE0A31" w:rsidRPr="00633995">
        <w:t xml:space="preserve">used by countries to </w:t>
      </w:r>
      <w:r w:rsidR="00293B25" w:rsidRPr="00633995">
        <w:t xml:space="preserve">reduce the trade costs associated with national regulatory standards for health </w:t>
      </w:r>
      <w:r w:rsidR="00EF4B7B" w:rsidRPr="00633995">
        <w:t>and</w:t>
      </w:r>
      <w:r w:rsidR="00293B25" w:rsidRPr="00633995">
        <w:t xml:space="preserve"> </w:t>
      </w:r>
      <w:r w:rsidR="00EF4B7B" w:rsidRPr="00633995">
        <w:t xml:space="preserve">product </w:t>
      </w:r>
      <w:r w:rsidR="00293B25" w:rsidRPr="00633995">
        <w:t>safety.</w:t>
      </w:r>
      <w:r w:rsidR="00B564DC" w:rsidRPr="00633995">
        <w:rPr>
          <w:rStyle w:val="FootnoteReference"/>
        </w:rPr>
        <w:footnoteReference w:id="5"/>
      </w:r>
      <w:r w:rsidR="00B564DC" w:rsidRPr="00633995">
        <w:t xml:space="preserve"> </w:t>
      </w:r>
      <w:r w:rsidR="00EC73BB" w:rsidRPr="00633995">
        <w:t xml:space="preserve">Such arrangements </w:t>
      </w:r>
      <w:r w:rsidR="0001542F" w:rsidRPr="00633995">
        <w:t xml:space="preserve">may involve </w:t>
      </w:r>
      <w:r w:rsidR="00FE0A31" w:rsidRPr="00633995">
        <w:t xml:space="preserve">unilateral </w:t>
      </w:r>
      <w:r w:rsidR="003B2A91" w:rsidRPr="00633995">
        <w:t xml:space="preserve">determinations </w:t>
      </w:r>
      <w:r w:rsidR="00CD0428">
        <w:t xml:space="preserve">that </w:t>
      </w:r>
      <w:r w:rsidR="00FE0A31" w:rsidRPr="00633995">
        <w:t xml:space="preserve">another </w:t>
      </w:r>
      <w:r w:rsidR="003B2A91" w:rsidRPr="00633995">
        <w:t>jurisdiction</w:t>
      </w:r>
      <w:r w:rsidR="0001542F" w:rsidRPr="00633995">
        <w:t xml:space="preserve">’s regulatory </w:t>
      </w:r>
      <w:r w:rsidR="00FE0A31" w:rsidRPr="00633995">
        <w:t xml:space="preserve">system </w:t>
      </w:r>
      <w:r w:rsidR="003B2A91" w:rsidRPr="00633995">
        <w:t xml:space="preserve">is </w:t>
      </w:r>
      <w:r w:rsidR="00FE0A31" w:rsidRPr="00633995">
        <w:t xml:space="preserve">equivalent to </w:t>
      </w:r>
      <w:r w:rsidR="003B2A91" w:rsidRPr="00633995">
        <w:t xml:space="preserve">the </w:t>
      </w:r>
      <w:r w:rsidR="00EC73BB" w:rsidRPr="00633995">
        <w:t xml:space="preserve">national </w:t>
      </w:r>
      <w:r w:rsidR="003B2A91" w:rsidRPr="00633995">
        <w:t>one</w:t>
      </w:r>
      <w:r w:rsidR="00671E13" w:rsidRPr="00633995">
        <w:t xml:space="preserve">, or </w:t>
      </w:r>
      <w:r w:rsidR="00DC491D" w:rsidRPr="00633995">
        <w:t xml:space="preserve">comprise </w:t>
      </w:r>
      <w:r w:rsidR="00333C6B" w:rsidRPr="00633995">
        <w:t>reciprocal</w:t>
      </w:r>
      <w:r w:rsidR="00EC73BB" w:rsidRPr="00633995">
        <w:t>,</w:t>
      </w:r>
      <w:r w:rsidR="00333C6B" w:rsidRPr="00633995">
        <w:t xml:space="preserve"> </w:t>
      </w:r>
      <w:r w:rsidR="00671E13" w:rsidRPr="00633995">
        <w:t>mutual recognition a</w:t>
      </w:r>
      <w:r w:rsidR="003B2A91" w:rsidRPr="00633995">
        <w:t xml:space="preserve">rrangements. </w:t>
      </w:r>
      <w:r w:rsidR="002544F1" w:rsidRPr="00633995">
        <w:t>A</w:t>
      </w:r>
      <w:r w:rsidR="00D61CF2" w:rsidRPr="00633995">
        <w:t xml:space="preserve">n </w:t>
      </w:r>
      <w:r w:rsidR="00853E8F" w:rsidRPr="00633995">
        <w:t xml:space="preserve">adequacy </w:t>
      </w:r>
      <w:r w:rsidR="00D61CF2" w:rsidRPr="00633995">
        <w:t xml:space="preserve">decision </w:t>
      </w:r>
      <w:r w:rsidR="00853E8F" w:rsidRPr="00633995">
        <w:t xml:space="preserve">not only allows companies to freely transfer data between the EU and </w:t>
      </w:r>
      <w:r w:rsidR="00E559F2" w:rsidRPr="00633995">
        <w:t xml:space="preserve">the </w:t>
      </w:r>
      <w:r w:rsidR="00853E8F" w:rsidRPr="00633995">
        <w:t>country</w:t>
      </w:r>
      <w:r w:rsidR="00451BCE" w:rsidRPr="00633995">
        <w:t xml:space="preserve"> concerned</w:t>
      </w:r>
      <w:r w:rsidR="00853E8F" w:rsidRPr="00633995">
        <w:t xml:space="preserve"> but also establishes </w:t>
      </w:r>
      <w:r w:rsidR="00BF071F" w:rsidRPr="00633995">
        <w:t>the right to transfer</w:t>
      </w:r>
      <w:r w:rsidR="006312F8" w:rsidRPr="00633995">
        <w:t xml:space="preserve"> </w:t>
      </w:r>
      <w:r w:rsidR="00BF071F" w:rsidRPr="00633995">
        <w:t>personal data</w:t>
      </w:r>
      <w:r w:rsidR="007A7BA9" w:rsidRPr="00633995">
        <w:t xml:space="preserve"> of EU citizens</w:t>
      </w:r>
      <w:r w:rsidR="00BF071F" w:rsidRPr="00633995">
        <w:t xml:space="preserve"> </w:t>
      </w:r>
      <w:r w:rsidR="00853E8F" w:rsidRPr="00633995">
        <w:t xml:space="preserve">among </w:t>
      </w:r>
      <w:r w:rsidR="00E03054" w:rsidRPr="00633995">
        <w:t xml:space="preserve">all </w:t>
      </w:r>
      <w:r w:rsidR="00853E8F" w:rsidRPr="00633995">
        <w:t xml:space="preserve">countries </w:t>
      </w:r>
      <w:r w:rsidR="00EC73BB" w:rsidRPr="00633995">
        <w:t xml:space="preserve">accorded </w:t>
      </w:r>
      <w:r w:rsidR="00853E8F" w:rsidRPr="00633995">
        <w:t>adequacy by the EU.</w:t>
      </w:r>
      <w:r w:rsidR="00571DF5" w:rsidRPr="00633995">
        <w:t xml:space="preserve"> </w:t>
      </w:r>
      <w:r w:rsidR="00EF5A3C" w:rsidRPr="00633995">
        <w:t>This</w:t>
      </w:r>
      <w:r w:rsidRPr="00633995">
        <w:t xml:space="preserve"> </w:t>
      </w:r>
      <w:r w:rsidR="00EC73BB" w:rsidRPr="00633995">
        <w:t xml:space="preserve">latter dimension </w:t>
      </w:r>
      <w:r w:rsidR="008D7E21" w:rsidRPr="00633995">
        <w:t xml:space="preserve">creates a </w:t>
      </w:r>
      <w:r w:rsidRPr="00633995">
        <w:t>potential</w:t>
      </w:r>
      <w:r w:rsidR="008D7E21" w:rsidRPr="00633995">
        <w:t xml:space="preserve"> additional </w:t>
      </w:r>
      <w:r w:rsidRPr="00633995">
        <w:t xml:space="preserve">indirect </w:t>
      </w:r>
      <w:r w:rsidR="00EA7C81" w:rsidRPr="00633995">
        <w:t>benefit</w:t>
      </w:r>
      <w:r w:rsidR="00B059E6">
        <w:t xml:space="preserve"> of adequacy</w:t>
      </w:r>
      <w:r w:rsidR="008D7E21" w:rsidRPr="00633995">
        <w:t xml:space="preserve">: </w:t>
      </w:r>
      <w:r w:rsidR="004A1853">
        <w:t xml:space="preserve">reducing </w:t>
      </w:r>
      <w:r w:rsidR="008D7E21" w:rsidRPr="00633995">
        <w:t xml:space="preserve">digital trade </w:t>
      </w:r>
      <w:r w:rsidR="00EA48BA">
        <w:t xml:space="preserve">costs </w:t>
      </w:r>
      <w:r w:rsidR="008D7E21" w:rsidRPr="00633995">
        <w:t xml:space="preserve">among the ‘club’ of </w:t>
      </w:r>
      <w:r w:rsidR="003707F4" w:rsidRPr="00633995">
        <w:t xml:space="preserve">all </w:t>
      </w:r>
      <w:r w:rsidR="008D7E21" w:rsidRPr="00633995">
        <w:t>jurisdictions granted adequacy.</w:t>
      </w:r>
      <w:r w:rsidR="00EA48BA" w:rsidRPr="00633995">
        <w:rPr>
          <w:rStyle w:val="FootnoteReference"/>
        </w:rPr>
        <w:footnoteReference w:id="6"/>
      </w:r>
    </w:p>
    <w:p w14:paraId="79F7F2C4" w14:textId="337F0446" w:rsidR="006C56BF" w:rsidRDefault="00CC6F36" w:rsidP="005515FA">
      <w:pPr>
        <w:jc w:val="both"/>
      </w:pPr>
      <w:r w:rsidRPr="00CC6F36">
        <w:t xml:space="preserve">The adoption of these regulatory mechanisms generally relies on </w:t>
      </w:r>
      <w:r>
        <w:t xml:space="preserve">the premise that </w:t>
      </w:r>
      <w:r w:rsidRPr="00CC6F36">
        <w:t xml:space="preserve">a technical and institutional determination that regulatory regimes are effectively </w:t>
      </w:r>
      <w:r w:rsidR="003B2A91" w:rsidRPr="00633995">
        <w:t>equivalent</w:t>
      </w:r>
      <w:r w:rsidR="0011794F">
        <w:t xml:space="preserve"> will</w:t>
      </w:r>
      <w:r w:rsidR="0011794F" w:rsidRPr="00CC6F36">
        <w:t xml:space="preserve"> lower trade costs</w:t>
      </w:r>
      <w:r w:rsidR="00335ED1">
        <w:t xml:space="preserve">. </w:t>
      </w:r>
      <w:r w:rsidR="0011794F">
        <w:t xml:space="preserve">It is important to note that this does imply </w:t>
      </w:r>
      <w:r w:rsidR="00335ED1">
        <w:t xml:space="preserve">adequacy is endogenous in the sense of </w:t>
      </w:r>
      <w:r w:rsidR="00335ED1">
        <w:lastRenderedPageBreak/>
        <w:t>countries self-selecting into adequacy by deciding to adopt EU-type data protection regimes.</w:t>
      </w:r>
      <w:r w:rsidR="00AD0A9D">
        <w:t xml:space="preserve"> R</w:t>
      </w:r>
      <w:r w:rsidR="0076757A">
        <w:t>egulatory</w:t>
      </w:r>
      <w:r w:rsidR="00965966">
        <w:t xml:space="preserve"> determinations</w:t>
      </w:r>
      <w:r w:rsidR="00874A35">
        <w:t xml:space="preserve"> </w:t>
      </w:r>
      <w:r w:rsidR="003B2A91" w:rsidRPr="00633995">
        <w:t xml:space="preserve">reflect political </w:t>
      </w:r>
      <w:r w:rsidR="0011794F">
        <w:t xml:space="preserve">as well as legal </w:t>
      </w:r>
      <w:r w:rsidR="003B2A91" w:rsidRPr="00633995">
        <w:t>considerations, e.g., a desire to offer preferential treatment to political allies.</w:t>
      </w:r>
      <w:r w:rsidR="00E760D8" w:rsidRPr="00633995">
        <w:t xml:space="preserve"> </w:t>
      </w:r>
      <w:r w:rsidR="0011794F">
        <w:t>Adequacy d</w:t>
      </w:r>
      <w:r w:rsidR="00E760D8" w:rsidRPr="00633995">
        <w:t>ecisions</w:t>
      </w:r>
      <w:r w:rsidR="00874A35">
        <w:t xml:space="preserve"> have been </w:t>
      </w:r>
      <w:r w:rsidR="00825519" w:rsidRPr="00633995">
        <w:t xml:space="preserve">accorded </w:t>
      </w:r>
      <w:r w:rsidR="00E760D8" w:rsidRPr="00633995">
        <w:t xml:space="preserve">to only a </w:t>
      </w:r>
      <w:r w:rsidR="006C56BF">
        <w:t xml:space="preserve">small </w:t>
      </w:r>
      <w:r w:rsidR="00E760D8" w:rsidRPr="00633995">
        <w:t xml:space="preserve">subset of the </w:t>
      </w:r>
      <w:r w:rsidR="00825519" w:rsidRPr="00633995">
        <w:t xml:space="preserve">many </w:t>
      </w:r>
      <w:r w:rsidR="00E760D8" w:rsidRPr="00633995">
        <w:t>countries that have adopted national personal data protection frameworks modeled on the GDPR</w:t>
      </w:r>
      <w:r w:rsidR="001E4745">
        <w:t>, as well as to the US, which does not have GDPR-like legislation</w:t>
      </w:r>
      <w:r w:rsidR="00E760D8" w:rsidRPr="00633995">
        <w:t>.</w:t>
      </w:r>
      <w:r w:rsidR="00AD0A9D">
        <w:rPr>
          <w:rStyle w:val="FootnoteReference"/>
        </w:rPr>
        <w:footnoteReference w:id="7"/>
      </w:r>
      <w:r w:rsidR="006C56BF">
        <w:t xml:space="preserve"> </w:t>
      </w:r>
    </w:p>
    <w:p w14:paraId="5664A263" w14:textId="2D859D80" w:rsidR="0037251F" w:rsidRDefault="00841596" w:rsidP="005515FA">
      <w:pPr>
        <w:jc w:val="both"/>
      </w:pPr>
      <w:r w:rsidRPr="00633995">
        <w:t xml:space="preserve">The fact that adequacy </w:t>
      </w:r>
      <w:r w:rsidR="00725549">
        <w:t xml:space="preserve">is granted </w:t>
      </w:r>
      <w:r w:rsidRPr="00633995">
        <w:t>on a selective basis raises the question of the magnitude of the direct trade benefits of the associated preferential access to markets that is implied</w:t>
      </w:r>
      <w:r w:rsidR="00874A35">
        <w:t>,</w:t>
      </w:r>
      <w:r w:rsidRPr="00633995">
        <w:t xml:space="preserve"> as well as the </w:t>
      </w:r>
      <w:r w:rsidR="00874A35">
        <w:t xml:space="preserve">potential </w:t>
      </w:r>
      <w:r w:rsidRPr="00633995">
        <w:t xml:space="preserve">indirect benefits that accrue </w:t>
      </w:r>
      <w:r w:rsidR="00EB72E6">
        <w:t xml:space="preserve">due </w:t>
      </w:r>
      <w:r w:rsidRPr="00633995">
        <w:t>to members</w:t>
      </w:r>
      <w:r w:rsidR="00EB72E6">
        <w:t>hip</w:t>
      </w:r>
      <w:r w:rsidRPr="00633995">
        <w:t xml:space="preserve"> of the club. </w:t>
      </w:r>
      <w:r w:rsidR="00DB29F4" w:rsidRPr="00513BF1">
        <w:t xml:space="preserve">In this paper, we use </w:t>
      </w:r>
      <w:r w:rsidR="00DB29F4" w:rsidRPr="00633995">
        <w:t>structural gravity modeling and synthetic control methods</w:t>
      </w:r>
      <w:r w:rsidR="00DB29F4" w:rsidRPr="00513BF1">
        <w:t xml:space="preserve"> to assess the</w:t>
      </w:r>
      <w:r w:rsidR="00AF7AEE">
        <w:t xml:space="preserve"> relationship between </w:t>
      </w:r>
      <w:r w:rsidR="00DB29F4" w:rsidRPr="00513BF1">
        <w:t xml:space="preserve">EU adequacy decisions </w:t>
      </w:r>
      <w:r w:rsidR="00AF7AEE">
        <w:t xml:space="preserve">and </w:t>
      </w:r>
      <w:r w:rsidR="00DB29F4" w:rsidRPr="00513BF1">
        <w:t xml:space="preserve">digital trade, distinguishing between </w:t>
      </w:r>
      <w:r w:rsidR="00B70E7D" w:rsidRPr="00633995">
        <w:t>EU-US decisions</w:t>
      </w:r>
      <w:r w:rsidR="00B70E7D" w:rsidRPr="00513BF1">
        <w:t xml:space="preserve"> and </w:t>
      </w:r>
      <w:r w:rsidR="003707F4" w:rsidRPr="00513BF1">
        <w:t xml:space="preserve">all other </w:t>
      </w:r>
      <w:r w:rsidRPr="00513BF1">
        <w:t>a</w:t>
      </w:r>
      <w:r w:rsidR="006600C7" w:rsidRPr="00513BF1">
        <w:t>dequacy decisions.</w:t>
      </w:r>
      <w:r w:rsidR="00DB29F4" w:rsidRPr="00513BF1">
        <w:rPr>
          <w:rStyle w:val="FootnoteReference"/>
        </w:rPr>
        <w:footnoteReference w:id="8"/>
      </w:r>
      <w:r w:rsidR="00DB29F4" w:rsidRPr="00633995">
        <w:t xml:space="preserve"> </w:t>
      </w:r>
      <w:r w:rsidR="00B215A8">
        <w:t xml:space="preserve"> </w:t>
      </w:r>
    </w:p>
    <w:p w14:paraId="018E998F" w14:textId="4251C7A3" w:rsidR="005515FA" w:rsidRPr="00633995" w:rsidRDefault="00B215A8" w:rsidP="005515FA">
      <w:pPr>
        <w:jc w:val="both"/>
      </w:pPr>
      <w:r w:rsidRPr="001329D9">
        <w:t>We extend extant analyses of the trade effects of personal data protection (</w:t>
      </w:r>
      <w:r w:rsidRPr="00633995">
        <w:t xml:space="preserve">Spiezia and Tscheke 2020; </w:t>
      </w:r>
      <w:r w:rsidRPr="001329D9">
        <w:t>Wu et al., 2023; Ma et al., 2023) by estimating the impact of unilaterally determined EU adequacy decisions on digital trade, controlling for regulatory data agreements and trade agreements with data privacy provisions that might also influence digital trade outcomes.</w:t>
      </w:r>
      <w:r w:rsidR="000701BE">
        <w:t xml:space="preserve"> </w:t>
      </w:r>
      <w:r w:rsidR="003F2F53" w:rsidRPr="00633995">
        <w:t xml:space="preserve">We identify both a </w:t>
      </w:r>
      <w:r w:rsidR="00F724EF" w:rsidRPr="00633995">
        <w:t xml:space="preserve">positive </w:t>
      </w:r>
      <w:r w:rsidR="003F2F53" w:rsidRPr="00633995">
        <w:t xml:space="preserve">bilateral digital trade impact and </w:t>
      </w:r>
      <w:r w:rsidR="00A54A16" w:rsidRPr="00633995">
        <w:t xml:space="preserve">an </w:t>
      </w:r>
      <w:r w:rsidR="003707F4" w:rsidRPr="00633995">
        <w:t xml:space="preserve">adequacy </w:t>
      </w:r>
      <w:r w:rsidR="003F2F53" w:rsidRPr="00633995">
        <w:t>club effect</w:t>
      </w:r>
      <w:r w:rsidR="00494F62" w:rsidRPr="00633995">
        <w:t xml:space="preserve">, thereby </w:t>
      </w:r>
      <w:r w:rsidR="00E27D4B" w:rsidRPr="00633995">
        <w:t>contribut</w:t>
      </w:r>
      <w:r w:rsidR="00494F62" w:rsidRPr="00633995">
        <w:t>ing</w:t>
      </w:r>
      <w:r w:rsidR="00E27D4B" w:rsidRPr="00633995">
        <w:t xml:space="preserve"> </w:t>
      </w:r>
      <w:r w:rsidR="007C4F75" w:rsidRPr="00633995">
        <w:t xml:space="preserve">to </w:t>
      </w:r>
      <w:r w:rsidR="00E27D4B" w:rsidRPr="00633995">
        <w:t xml:space="preserve">the literature </w:t>
      </w:r>
      <w:r w:rsidR="007C4F75" w:rsidRPr="00633995">
        <w:t xml:space="preserve">assessing the economic effects </w:t>
      </w:r>
      <w:r w:rsidR="00494F62" w:rsidRPr="00633995">
        <w:t xml:space="preserve">of </w:t>
      </w:r>
      <w:r w:rsidR="003707F4" w:rsidRPr="00633995">
        <w:t xml:space="preserve">discriminatory </w:t>
      </w:r>
      <w:r w:rsidR="00494F62" w:rsidRPr="00633995">
        <w:t>international cooperation aiming to lower the costs of regulatory heterogeneity</w:t>
      </w:r>
      <w:r w:rsidR="009928BF" w:rsidRPr="00633995">
        <w:t xml:space="preserve">. </w:t>
      </w:r>
      <w:r w:rsidR="005515FA" w:rsidRPr="00633995">
        <w:t xml:space="preserve">To the best of our knowledge, ours is the first empirical study to examine the digital trade impacts of GDPR adequacy decisions by focusing on </w:t>
      </w:r>
      <w:r w:rsidR="0076378E">
        <w:t xml:space="preserve">both </w:t>
      </w:r>
      <w:r w:rsidR="005515FA" w:rsidRPr="00633995">
        <w:t xml:space="preserve">(i) bilateral digital trade between the EU and partner countries and (ii) digital trade between countries accorded an EU adequacy decision, i.e., the </w:t>
      </w:r>
      <w:r w:rsidR="00CD0428">
        <w:t xml:space="preserve">potential </w:t>
      </w:r>
      <w:r w:rsidR="005515FA" w:rsidRPr="00633995">
        <w:t xml:space="preserve">club effect associated with recognition of national data protection regulations. </w:t>
      </w:r>
    </w:p>
    <w:p w14:paraId="1DA11F72" w14:textId="2AD3D35D" w:rsidR="00E674D1" w:rsidRPr="00633995" w:rsidRDefault="005631EB" w:rsidP="0011538D">
      <w:pPr>
        <w:jc w:val="both"/>
      </w:pPr>
      <w:r w:rsidRPr="00633995">
        <w:t xml:space="preserve">We </w:t>
      </w:r>
      <w:r w:rsidR="009F06DA">
        <w:t>em</w:t>
      </w:r>
      <w:r w:rsidR="001C2C2F">
        <w:t>ploy</w:t>
      </w:r>
      <w:r w:rsidRPr="00633995">
        <w:t xml:space="preserve"> </w:t>
      </w:r>
      <w:r w:rsidR="00AF6A51" w:rsidRPr="00633995">
        <w:t xml:space="preserve">different </w:t>
      </w:r>
      <w:r w:rsidR="00C37D91" w:rsidRPr="00633995">
        <w:t xml:space="preserve">approaches to </w:t>
      </w:r>
      <w:r w:rsidR="004D0904" w:rsidRPr="00633995">
        <w:t>defin</w:t>
      </w:r>
      <w:r w:rsidR="00C37D91" w:rsidRPr="00633995">
        <w:t xml:space="preserve">e </w:t>
      </w:r>
      <w:r w:rsidR="004D0904" w:rsidRPr="00633995">
        <w:t>digital trade</w:t>
      </w:r>
      <w:r w:rsidR="00CD0428">
        <w:t xml:space="preserve">, using both </w:t>
      </w:r>
      <w:r w:rsidR="00007707" w:rsidRPr="00633995">
        <w:t xml:space="preserve">sectoral </w:t>
      </w:r>
      <w:r w:rsidR="00CD0428">
        <w:t xml:space="preserve">classifications </w:t>
      </w:r>
      <w:r w:rsidR="00F414F7" w:rsidRPr="00633995">
        <w:t xml:space="preserve">of </w:t>
      </w:r>
      <w:r w:rsidR="007D49B5" w:rsidRPr="00633995">
        <w:t>digital trade</w:t>
      </w:r>
      <w:r w:rsidR="00CD0428">
        <w:t xml:space="preserve"> and data intensity measures that capture </w:t>
      </w:r>
      <w:r w:rsidR="00210337" w:rsidRPr="00633995">
        <w:t xml:space="preserve">the </w:t>
      </w:r>
      <w:r w:rsidR="007D49B5" w:rsidRPr="00633995">
        <w:t>dependenc</w:t>
      </w:r>
      <w:r w:rsidR="00007707" w:rsidRPr="00633995">
        <w:t>e</w:t>
      </w:r>
      <w:r w:rsidR="007D49B5" w:rsidRPr="00633995">
        <w:t xml:space="preserve"> </w:t>
      </w:r>
      <w:r w:rsidR="00007707" w:rsidRPr="00633995">
        <w:t xml:space="preserve">of </w:t>
      </w:r>
      <w:r w:rsidR="00874A35">
        <w:t xml:space="preserve">different </w:t>
      </w:r>
      <w:r w:rsidR="00007707" w:rsidRPr="00633995">
        <w:t xml:space="preserve">sectors </w:t>
      </w:r>
      <w:r w:rsidR="007D49B5" w:rsidRPr="00633995">
        <w:t>on data flows</w:t>
      </w:r>
      <w:r w:rsidR="00C37D91" w:rsidRPr="00633995">
        <w:t xml:space="preserve">. </w:t>
      </w:r>
      <w:r w:rsidR="00C37D91" w:rsidRPr="00513BF1">
        <w:t xml:space="preserve">Our baseline methodology builds on </w:t>
      </w:r>
      <w:r w:rsidR="00C37D91" w:rsidRPr="00633995">
        <w:t xml:space="preserve">a standard structural gravity model </w:t>
      </w:r>
      <w:r w:rsidR="001537BB" w:rsidRPr="00633995">
        <w:t xml:space="preserve">to </w:t>
      </w:r>
      <w:r w:rsidR="00C37D91" w:rsidRPr="00633995">
        <w:t xml:space="preserve">estimate the effect of adequacy decisions on aggregate bilateral digital trade with the EU and on digital trade between jurisdictions accorded adequacy. </w:t>
      </w:r>
      <w:r w:rsidR="00E2544A" w:rsidRPr="00633995">
        <w:t xml:space="preserve">This is </w:t>
      </w:r>
      <w:r w:rsidR="00874A35">
        <w:t xml:space="preserve">supplemented </w:t>
      </w:r>
      <w:r w:rsidR="00E2544A" w:rsidRPr="00633995">
        <w:t xml:space="preserve">by </w:t>
      </w:r>
      <w:r w:rsidR="004D0904" w:rsidRPr="00633995">
        <w:t xml:space="preserve">a pooled product-level gravity model </w:t>
      </w:r>
      <w:r w:rsidR="007A7BA9" w:rsidRPr="00633995">
        <w:t>across all industries and sectors</w:t>
      </w:r>
      <w:r w:rsidR="00EF4C25">
        <w:t xml:space="preserve"> using data intensity measures</w:t>
      </w:r>
      <w:r w:rsidR="00E2544A" w:rsidRPr="00633995">
        <w:t>.</w:t>
      </w:r>
      <w:r w:rsidR="000135C1" w:rsidRPr="00633995">
        <w:t xml:space="preserve"> </w:t>
      </w:r>
      <w:r w:rsidR="009A2174">
        <w:t>However, b</w:t>
      </w:r>
      <w:r w:rsidR="00E2544A" w:rsidRPr="00633995">
        <w:t xml:space="preserve">ecause the bilateral structural gravity framework and set of fixed effects preclude evaluation of the country-specific impact of adequacy on overall digital trade, </w:t>
      </w:r>
      <w:r w:rsidR="000135C1" w:rsidRPr="00633995">
        <w:t xml:space="preserve">we complement the gravity-based analysis with a synthetic control approach to assess </w:t>
      </w:r>
      <w:r w:rsidR="00007707" w:rsidRPr="00633995">
        <w:t xml:space="preserve">the heterogeneity of </w:t>
      </w:r>
      <w:r w:rsidR="00E2544A" w:rsidRPr="00633995">
        <w:t xml:space="preserve">both </w:t>
      </w:r>
      <w:r w:rsidR="000135C1" w:rsidRPr="00633995">
        <w:t xml:space="preserve">the bilateral and club effects of adequacy decisions on digital trade. </w:t>
      </w:r>
      <w:r w:rsidR="00533AB3" w:rsidRPr="00633995">
        <w:t xml:space="preserve"> </w:t>
      </w:r>
    </w:p>
    <w:p w14:paraId="417118F3" w14:textId="2453875B" w:rsidR="00604ACA" w:rsidRPr="00633995" w:rsidRDefault="008A294D" w:rsidP="0011538D">
      <w:pPr>
        <w:jc w:val="both"/>
      </w:pPr>
      <w:r w:rsidRPr="00633995">
        <w:t xml:space="preserve">We find </w:t>
      </w:r>
      <w:r w:rsidR="00E22958" w:rsidRPr="00633995">
        <w:t>that countries with adequacy decisions experience a</w:t>
      </w:r>
      <w:r w:rsidR="00DF6678" w:rsidRPr="00633995">
        <w:t>n</w:t>
      </w:r>
      <w:r w:rsidR="00E22958" w:rsidRPr="00633995">
        <w:t xml:space="preserve"> </w:t>
      </w:r>
      <w:r w:rsidR="00031C5B" w:rsidRPr="00633995">
        <w:t>8</w:t>
      </w:r>
      <w:r w:rsidR="00E22958" w:rsidRPr="00633995">
        <w:t>-</w:t>
      </w:r>
      <w:r w:rsidR="00031C5B" w:rsidRPr="00633995">
        <w:t>9</w:t>
      </w:r>
      <w:r w:rsidR="00E22958" w:rsidRPr="00633995">
        <w:t xml:space="preserve"> percent increase in </w:t>
      </w:r>
      <w:r w:rsidR="00AF6A51" w:rsidRPr="00633995">
        <w:t xml:space="preserve">bilateral </w:t>
      </w:r>
      <w:r w:rsidR="00E22958" w:rsidRPr="00633995">
        <w:t>digital trade</w:t>
      </w:r>
      <w:r w:rsidR="007A7BA9" w:rsidRPr="00633995">
        <w:t xml:space="preserve"> with the EU</w:t>
      </w:r>
      <w:r w:rsidRPr="00633995">
        <w:t>.</w:t>
      </w:r>
      <w:r w:rsidR="00E22958" w:rsidRPr="00633995">
        <w:t xml:space="preserve"> </w:t>
      </w:r>
      <w:r w:rsidR="00CD24EE" w:rsidRPr="00CD24EE">
        <w:t xml:space="preserve">Moreover, we find evidence of a positive club effect associated with EU adequacy decisions, reflected in increased digital trade between countries whose personal data protection regimes </w:t>
      </w:r>
      <w:r w:rsidR="0061448A">
        <w:t xml:space="preserve">are </w:t>
      </w:r>
      <w:r w:rsidR="00CD24EE" w:rsidRPr="00CD24EE">
        <w:t>deemed equivalent and have received adequacy decisions</w:t>
      </w:r>
      <w:r w:rsidR="00C36B00" w:rsidRPr="00513BF1">
        <w:t xml:space="preserve">, </w:t>
      </w:r>
      <w:r w:rsidR="00DE35CD" w:rsidRPr="00513BF1">
        <w:t xml:space="preserve">notwithstanding the bilateral </w:t>
      </w:r>
      <w:r w:rsidR="008117EE" w:rsidRPr="00513BF1">
        <w:t>‘</w:t>
      </w:r>
      <w:r w:rsidR="00DE35CD" w:rsidRPr="00513BF1">
        <w:t>hub and spoke</w:t>
      </w:r>
      <w:r w:rsidR="008117EE" w:rsidRPr="00513BF1">
        <w:t>’</w:t>
      </w:r>
      <w:r w:rsidR="00DE35CD" w:rsidRPr="00513BF1">
        <w:t xml:space="preserve"> nature of </w:t>
      </w:r>
      <w:r w:rsidR="00C36B00" w:rsidRPr="00513BF1">
        <w:t xml:space="preserve">adequacy </w:t>
      </w:r>
      <w:r w:rsidR="00DE35CD" w:rsidRPr="00513BF1">
        <w:t xml:space="preserve">decisions. This dynamic </w:t>
      </w:r>
      <w:r w:rsidR="00C36B00" w:rsidRPr="00513BF1">
        <w:t xml:space="preserve">has </w:t>
      </w:r>
      <w:r w:rsidR="00DE35CD" w:rsidRPr="00513BF1">
        <w:t xml:space="preserve">not previously </w:t>
      </w:r>
      <w:r w:rsidR="00C36B00" w:rsidRPr="00513BF1">
        <w:t xml:space="preserve">been </w:t>
      </w:r>
      <w:r w:rsidR="00D60A8A" w:rsidRPr="00D60A8A">
        <w:t>analyzed</w:t>
      </w:r>
      <w:r w:rsidR="00DE35CD" w:rsidRPr="00513BF1">
        <w:t xml:space="preserve"> in the literature</w:t>
      </w:r>
      <w:r w:rsidR="00DE35CD" w:rsidRPr="00633995">
        <w:t xml:space="preserve">. </w:t>
      </w:r>
      <w:r w:rsidR="001F6BCD" w:rsidRPr="00633995">
        <w:t xml:space="preserve">Our findings </w:t>
      </w:r>
      <w:r w:rsidR="00E22958" w:rsidRPr="00633995">
        <w:t xml:space="preserve">suggest that digital trade </w:t>
      </w:r>
      <w:r w:rsidR="00E2544A" w:rsidRPr="00633995">
        <w:t xml:space="preserve">expands </w:t>
      </w:r>
      <w:r w:rsidR="00E22958" w:rsidRPr="00633995">
        <w:t>within the network of adequacy-granted countries</w:t>
      </w:r>
      <w:r w:rsidRPr="00633995">
        <w:t>.</w:t>
      </w:r>
      <w:r w:rsidR="00E22958" w:rsidRPr="00633995">
        <w:t xml:space="preserve"> </w:t>
      </w:r>
      <w:r w:rsidR="00F52192" w:rsidRPr="00633995">
        <w:t>The</w:t>
      </w:r>
      <w:r w:rsidR="00E82A0B" w:rsidRPr="00633995">
        <w:t xml:space="preserve"> </w:t>
      </w:r>
      <w:r w:rsidR="00B30624" w:rsidRPr="00633995">
        <w:t xml:space="preserve">synthetic control </w:t>
      </w:r>
      <w:r w:rsidR="00E82A0B" w:rsidRPr="00633995">
        <w:t xml:space="preserve">analysis </w:t>
      </w:r>
      <w:r w:rsidR="00E22958" w:rsidRPr="00633995">
        <w:t>confirms these results</w:t>
      </w:r>
      <w:r w:rsidR="00E82A0B" w:rsidRPr="00633995">
        <w:t xml:space="preserve">, </w:t>
      </w:r>
      <w:r w:rsidR="001C2F08" w:rsidRPr="00633995">
        <w:t xml:space="preserve">while </w:t>
      </w:r>
      <w:r w:rsidR="00E22958" w:rsidRPr="00633995">
        <w:t>highlight</w:t>
      </w:r>
      <w:r w:rsidR="00E82A0B" w:rsidRPr="00633995">
        <w:t>ing</w:t>
      </w:r>
      <w:r w:rsidR="00E22958" w:rsidRPr="00633995">
        <w:t xml:space="preserve"> the heterogeneous impact across countries</w:t>
      </w:r>
      <w:r w:rsidR="007D3F0B" w:rsidRPr="00633995">
        <w:t xml:space="preserve"> accorded adequacy decisions</w:t>
      </w:r>
      <w:r w:rsidR="00F11193" w:rsidRPr="00633995">
        <w:t xml:space="preserve">. </w:t>
      </w:r>
    </w:p>
    <w:p w14:paraId="3CCD3659" w14:textId="169F8B23" w:rsidR="00604ACA" w:rsidRPr="00633995" w:rsidRDefault="00F11193" w:rsidP="0011538D">
      <w:pPr>
        <w:jc w:val="both"/>
      </w:pPr>
      <w:r w:rsidRPr="00633995">
        <w:lastRenderedPageBreak/>
        <w:t xml:space="preserve">The paper </w:t>
      </w:r>
      <w:r w:rsidR="00E82A0B" w:rsidRPr="00633995">
        <w:t xml:space="preserve">proceeds </w:t>
      </w:r>
      <w:r w:rsidRPr="00633995">
        <w:t xml:space="preserve">as follows. </w:t>
      </w:r>
      <w:r w:rsidR="00E82A0B" w:rsidRPr="00633995">
        <w:t>Section 2</w:t>
      </w:r>
      <w:r w:rsidR="00C95F72" w:rsidRPr="00633995">
        <w:t xml:space="preserve"> provides background information on the EU GDPR</w:t>
      </w:r>
      <w:r w:rsidR="003D3ABA" w:rsidRPr="00633995">
        <w:t xml:space="preserve"> and </w:t>
      </w:r>
      <w:r w:rsidR="00E82A0B" w:rsidRPr="00633995">
        <w:t xml:space="preserve">the process involved in obtaining an </w:t>
      </w:r>
      <w:r w:rsidR="003D3ABA" w:rsidRPr="00633995">
        <w:t xml:space="preserve">adequacy decision </w:t>
      </w:r>
      <w:r w:rsidR="00251A7A" w:rsidRPr="00633995">
        <w:t xml:space="preserve">for </w:t>
      </w:r>
      <w:r w:rsidR="00E82A0B" w:rsidRPr="00633995">
        <w:t xml:space="preserve">personal </w:t>
      </w:r>
      <w:r w:rsidR="00251A7A" w:rsidRPr="00633995">
        <w:t>data protection</w:t>
      </w:r>
      <w:r w:rsidR="00E82A0B" w:rsidRPr="00633995">
        <w:t xml:space="preserve"> regimes</w:t>
      </w:r>
      <w:r w:rsidR="00251A7A" w:rsidRPr="00633995">
        <w:t xml:space="preserve">. Section 3 </w:t>
      </w:r>
      <w:r w:rsidR="000038AC">
        <w:t xml:space="preserve">discusses </w:t>
      </w:r>
      <w:r w:rsidR="00E82A0B" w:rsidRPr="00633995">
        <w:t xml:space="preserve">the </w:t>
      </w:r>
      <w:r w:rsidR="00525387" w:rsidRPr="00633995">
        <w:t xml:space="preserve">gravity </w:t>
      </w:r>
      <w:r w:rsidR="00E82A0B" w:rsidRPr="00633995">
        <w:t xml:space="preserve">model </w:t>
      </w:r>
      <w:r w:rsidR="00251A7A" w:rsidRPr="00633995">
        <w:t xml:space="preserve">framework </w:t>
      </w:r>
      <w:r w:rsidR="00E82A0B" w:rsidRPr="00633995">
        <w:t xml:space="preserve">we use to </w:t>
      </w:r>
      <w:r w:rsidR="00C12673" w:rsidRPr="00633995">
        <w:t>estim</w:t>
      </w:r>
      <w:r w:rsidR="00E82A0B" w:rsidRPr="00633995">
        <w:t xml:space="preserve">ate bilateral </w:t>
      </w:r>
      <w:r w:rsidR="00C12673" w:rsidRPr="00633995">
        <w:t xml:space="preserve">adequacy and </w:t>
      </w:r>
      <w:r w:rsidR="0073768F" w:rsidRPr="00633995">
        <w:t>club</w:t>
      </w:r>
      <w:r w:rsidR="00C12673" w:rsidRPr="00633995">
        <w:t xml:space="preserve"> effects</w:t>
      </w:r>
      <w:r w:rsidR="00DF6678" w:rsidRPr="00633995">
        <w:t xml:space="preserve"> on digital trade and presents </w:t>
      </w:r>
      <w:r w:rsidR="00E82A0B" w:rsidRPr="00633995">
        <w:t xml:space="preserve">the </w:t>
      </w:r>
      <w:r w:rsidR="00DF6678" w:rsidRPr="00633995">
        <w:t xml:space="preserve">main </w:t>
      </w:r>
      <w:r w:rsidR="00C12673" w:rsidRPr="00633995">
        <w:t xml:space="preserve">results. </w:t>
      </w:r>
      <w:r w:rsidR="00DF6678" w:rsidRPr="00633995">
        <w:t xml:space="preserve">Section 4 </w:t>
      </w:r>
      <w:r w:rsidR="000038AC">
        <w:t>reports the results of</w:t>
      </w:r>
      <w:r w:rsidR="00CD0428">
        <w:t xml:space="preserve"> </w:t>
      </w:r>
      <w:r w:rsidR="000038AC">
        <w:t xml:space="preserve">applying </w:t>
      </w:r>
      <w:r w:rsidR="00CD0428">
        <w:t xml:space="preserve">a more detailed </w:t>
      </w:r>
      <w:r w:rsidR="00DF6678" w:rsidRPr="00633995">
        <w:t>empirical strategy</w:t>
      </w:r>
      <w:r w:rsidR="000038AC">
        <w:t xml:space="preserve">, </w:t>
      </w:r>
      <w:r w:rsidR="003F338B" w:rsidRPr="00633995">
        <w:t xml:space="preserve">pooling across all industries and sectors and using </w:t>
      </w:r>
      <w:r w:rsidR="00DF6678" w:rsidRPr="00633995">
        <w:t xml:space="preserve">different measures of data intensity. </w:t>
      </w:r>
      <w:r w:rsidR="003E6C5C" w:rsidRPr="00633995">
        <w:t xml:space="preserve">Section 5 </w:t>
      </w:r>
      <w:r w:rsidR="0021563D" w:rsidRPr="00633995">
        <w:t>analyze</w:t>
      </w:r>
      <w:r w:rsidR="00B16A8C" w:rsidRPr="00633995">
        <w:t>s</w:t>
      </w:r>
      <w:r w:rsidR="0021563D" w:rsidRPr="00633995">
        <w:t xml:space="preserve"> specific instances of adequacy decisions</w:t>
      </w:r>
      <w:r w:rsidR="00B16A8C" w:rsidRPr="00633995">
        <w:t xml:space="preserve"> using synthetic control methods</w:t>
      </w:r>
      <w:r w:rsidR="003E6C5C" w:rsidRPr="00633995">
        <w:t xml:space="preserve">. </w:t>
      </w:r>
      <w:r w:rsidR="00E82A0B" w:rsidRPr="00633995">
        <w:t>S</w:t>
      </w:r>
      <w:r w:rsidR="003E6C5C" w:rsidRPr="00633995">
        <w:t xml:space="preserve">ection </w:t>
      </w:r>
      <w:r w:rsidR="00E82A0B" w:rsidRPr="00633995">
        <w:t xml:space="preserve">6 </w:t>
      </w:r>
      <w:r w:rsidR="003E6C5C" w:rsidRPr="00633995">
        <w:t xml:space="preserve">concludes. </w:t>
      </w:r>
    </w:p>
    <w:p w14:paraId="37827B1E" w14:textId="14BD780D" w:rsidR="00B211A8" w:rsidRPr="00633995" w:rsidRDefault="003E62D9" w:rsidP="0011538D">
      <w:pPr>
        <w:pStyle w:val="ListParagraph"/>
        <w:numPr>
          <w:ilvl w:val="0"/>
          <w:numId w:val="1"/>
        </w:numPr>
        <w:spacing w:before="240"/>
        <w:ind w:left="714" w:hanging="357"/>
        <w:jc w:val="both"/>
        <w:rPr>
          <w:b/>
          <w:bCs/>
        </w:rPr>
      </w:pPr>
      <w:r w:rsidRPr="00633995">
        <w:rPr>
          <w:b/>
          <w:bCs/>
        </w:rPr>
        <w:t xml:space="preserve">The GDPR, </w:t>
      </w:r>
      <w:r w:rsidR="00942443" w:rsidRPr="00633995">
        <w:rPr>
          <w:b/>
          <w:bCs/>
        </w:rPr>
        <w:t>adequacy</w:t>
      </w:r>
      <w:r w:rsidR="00B70778" w:rsidRPr="00633995">
        <w:rPr>
          <w:b/>
          <w:bCs/>
        </w:rPr>
        <w:t xml:space="preserve"> decisions</w:t>
      </w:r>
      <w:r w:rsidR="00942443" w:rsidRPr="00633995">
        <w:rPr>
          <w:b/>
          <w:bCs/>
        </w:rPr>
        <w:t xml:space="preserve"> </w:t>
      </w:r>
      <w:r w:rsidRPr="00633995">
        <w:rPr>
          <w:b/>
          <w:bCs/>
        </w:rPr>
        <w:t>and digital trade</w:t>
      </w:r>
    </w:p>
    <w:p w14:paraId="272EBD57" w14:textId="31635492" w:rsidR="004225FD" w:rsidRPr="00513BF1" w:rsidRDefault="00580F50" w:rsidP="0011538D">
      <w:pPr>
        <w:jc w:val="both"/>
      </w:pPr>
      <w:r w:rsidRPr="00513BF1">
        <w:t>In 1998, the EU implemented the Data Protection Directive</w:t>
      </w:r>
      <w:r w:rsidR="004225FD" w:rsidRPr="00513BF1">
        <w:t xml:space="preserve"> </w:t>
      </w:r>
      <w:r w:rsidR="006D375D" w:rsidRPr="00513BF1">
        <w:t>governing</w:t>
      </w:r>
      <w:r w:rsidRPr="00513BF1">
        <w:t xml:space="preserve"> the treatment of personal data of </w:t>
      </w:r>
      <w:r w:rsidR="009E6C72" w:rsidRPr="00513BF1">
        <w:t xml:space="preserve">citizens from </w:t>
      </w:r>
      <w:r w:rsidR="004225FD" w:rsidRPr="00513BF1">
        <w:t>the European Economic Area</w:t>
      </w:r>
      <w:r w:rsidR="00952D5B" w:rsidRPr="00513BF1">
        <w:t>.</w:t>
      </w:r>
      <w:r w:rsidR="009E6C72" w:rsidRPr="00513BF1">
        <w:rPr>
          <w:rStyle w:val="FootnoteReference"/>
        </w:rPr>
        <w:footnoteReference w:id="9"/>
      </w:r>
      <w:r w:rsidR="004225FD" w:rsidRPr="00513BF1">
        <w:t xml:space="preserve"> </w:t>
      </w:r>
      <w:r w:rsidR="00FD3A35" w:rsidRPr="00513BF1">
        <w:t>Th</w:t>
      </w:r>
      <w:r w:rsidR="00DD2F23">
        <w:t>is directive</w:t>
      </w:r>
      <w:r w:rsidRPr="00513BF1">
        <w:t xml:space="preserve"> </w:t>
      </w:r>
      <w:r w:rsidR="00DD2F23">
        <w:t xml:space="preserve">permitted </w:t>
      </w:r>
      <w:r w:rsidRPr="00513BF1">
        <w:t xml:space="preserve">personal data </w:t>
      </w:r>
      <w:r w:rsidR="00DD2F23">
        <w:t xml:space="preserve">to </w:t>
      </w:r>
      <w:r w:rsidRPr="00513BF1">
        <w:t xml:space="preserve">be freely transferred to third countries if the EU determined that the receiving country </w:t>
      </w:r>
      <w:r w:rsidR="007F18C0" w:rsidRPr="00513BF1">
        <w:t xml:space="preserve">provided </w:t>
      </w:r>
      <w:r w:rsidRPr="00513BF1">
        <w:t xml:space="preserve">an adequate level of </w:t>
      </w:r>
      <w:r w:rsidR="00FD3A35" w:rsidRPr="00513BF1">
        <w:t xml:space="preserve">personal data </w:t>
      </w:r>
      <w:r w:rsidRPr="00513BF1">
        <w:t xml:space="preserve">protection. </w:t>
      </w:r>
      <w:r w:rsidR="00DD2F23">
        <w:t xml:space="preserve">It </w:t>
      </w:r>
      <w:r w:rsidRPr="00513BF1">
        <w:t>was replaced by the GDPR</w:t>
      </w:r>
      <w:r w:rsidR="008778F3">
        <w:t xml:space="preserve"> in 2018</w:t>
      </w:r>
      <w:r w:rsidR="00FD3A35" w:rsidRPr="00513BF1">
        <w:t xml:space="preserve">. </w:t>
      </w:r>
      <w:r w:rsidR="007F18C0" w:rsidRPr="00513BF1">
        <w:t>The GDPR</w:t>
      </w:r>
      <w:r w:rsidR="00FD3A35" w:rsidRPr="00513BF1">
        <w:t xml:space="preserve"> lays out</w:t>
      </w:r>
      <w:r w:rsidR="004225FD" w:rsidRPr="00513BF1">
        <w:t xml:space="preserve"> </w:t>
      </w:r>
      <w:r w:rsidR="008778F3">
        <w:t xml:space="preserve">specific </w:t>
      </w:r>
      <w:r w:rsidR="004225FD" w:rsidRPr="00513BF1">
        <w:t xml:space="preserve">conditions under which personal data can </w:t>
      </w:r>
      <w:r w:rsidR="00FD3A35" w:rsidRPr="00513BF1">
        <w:t xml:space="preserve">flow </w:t>
      </w:r>
      <w:r w:rsidR="004225FD" w:rsidRPr="00513BF1">
        <w:t xml:space="preserve">to countries in the absence of an adequacy </w:t>
      </w:r>
      <w:r w:rsidR="007F18C0" w:rsidRPr="00513BF1">
        <w:t>decision</w:t>
      </w:r>
      <w:r w:rsidR="004225FD" w:rsidRPr="00513BF1">
        <w:t>.</w:t>
      </w:r>
      <w:r w:rsidR="004D7250" w:rsidRPr="00513BF1">
        <w:rPr>
          <w:rStyle w:val="FootnoteReference"/>
        </w:rPr>
        <w:footnoteReference w:id="10"/>
      </w:r>
      <w:r w:rsidR="004225FD" w:rsidRPr="00513BF1">
        <w:t xml:space="preserve"> </w:t>
      </w:r>
      <w:r w:rsidR="007F18C0" w:rsidRPr="00513BF1">
        <w:t>T</w:t>
      </w:r>
      <w:r w:rsidR="004225FD" w:rsidRPr="00513BF1">
        <w:t xml:space="preserve">hese </w:t>
      </w:r>
      <w:r w:rsidR="00FD3A35" w:rsidRPr="00513BF1">
        <w:t xml:space="preserve">conditions </w:t>
      </w:r>
      <w:r w:rsidR="004225FD" w:rsidRPr="00513BF1">
        <w:t xml:space="preserve">entail the use of </w:t>
      </w:r>
      <w:r w:rsidR="00DB0B2D" w:rsidRPr="00633995">
        <w:t xml:space="preserve">contractual </w:t>
      </w:r>
      <w:r w:rsidR="001F7466" w:rsidRPr="00633995">
        <w:t>mechanisms</w:t>
      </w:r>
      <w:r w:rsidR="00DB0B2D" w:rsidRPr="00633995">
        <w:t>, including</w:t>
      </w:r>
      <w:r w:rsidR="004225FD" w:rsidRPr="00513BF1">
        <w:t xml:space="preserve"> binding corporate rules </w:t>
      </w:r>
      <w:r w:rsidR="00DB0B2D" w:rsidRPr="00513BF1">
        <w:t>and</w:t>
      </w:r>
      <w:r w:rsidR="004225FD" w:rsidRPr="00513BF1">
        <w:t xml:space="preserve"> standard contractual clauses.</w:t>
      </w:r>
      <w:r w:rsidR="00CD439B" w:rsidRPr="00513BF1">
        <w:rPr>
          <w:rStyle w:val="FootnoteReference"/>
        </w:rPr>
        <w:footnoteReference w:id="11"/>
      </w:r>
      <w:r w:rsidR="004225FD" w:rsidRPr="00513BF1">
        <w:t xml:space="preserve"> </w:t>
      </w:r>
      <w:r w:rsidR="00DD2F23">
        <w:t xml:space="preserve">The former </w:t>
      </w:r>
      <w:r w:rsidR="004225FD" w:rsidRPr="00513BF1">
        <w:t>provide a legal basis for transferring data within a multinational company and apply only to intra-firm data transfers</w:t>
      </w:r>
      <w:r w:rsidR="00DD2F23">
        <w:t xml:space="preserve">; the latter </w:t>
      </w:r>
      <w:r w:rsidR="004225FD" w:rsidRPr="00513BF1">
        <w:t>are legal template</w:t>
      </w:r>
      <w:r w:rsidR="009425A4" w:rsidRPr="00513BF1">
        <w:t>s</w:t>
      </w:r>
      <w:r w:rsidR="004225FD" w:rsidRPr="00513BF1">
        <w:t xml:space="preserve"> defined by the E</w:t>
      </w:r>
      <w:r w:rsidR="00FE37C7">
        <w:t xml:space="preserve">uropean </w:t>
      </w:r>
      <w:r w:rsidR="008778F3">
        <w:t>Commission</w:t>
      </w:r>
      <w:r w:rsidR="004225FD" w:rsidRPr="00513BF1">
        <w:t xml:space="preserve"> for transferring data to a firm located outside </w:t>
      </w:r>
      <w:r w:rsidR="00CD0428">
        <w:t xml:space="preserve">the </w:t>
      </w:r>
      <w:r w:rsidR="004225FD" w:rsidRPr="00513BF1">
        <w:t>EU</w:t>
      </w:r>
      <w:r w:rsidR="009425A4" w:rsidRPr="00513BF1">
        <w:t xml:space="preserve">. </w:t>
      </w:r>
    </w:p>
    <w:p w14:paraId="201DFDE4" w14:textId="337C6DC0" w:rsidR="009A0636" w:rsidRPr="00513BF1" w:rsidRDefault="00B70778" w:rsidP="0011538D">
      <w:pPr>
        <w:jc w:val="both"/>
      </w:pPr>
      <w:r w:rsidRPr="00513BF1">
        <w:t xml:space="preserve">These contractual mechanisms enable companies to certify compliance with EU regulations for transferring personal data abroad. They </w:t>
      </w:r>
      <w:r w:rsidR="00580F50" w:rsidRPr="00513BF1">
        <w:t xml:space="preserve">are costly for firms </w:t>
      </w:r>
      <w:r w:rsidR="00DE32D8" w:rsidRPr="00513BF1">
        <w:t xml:space="preserve">due to the </w:t>
      </w:r>
      <w:r w:rsidR="00580F50" w:rsidRPr="00513BF1">
        <w:t xml:space="preserve">burdensome </w:t>
      </w:r>
      <w:r w:rsidR="00DE32D8" w:rsidRPr="00513BF1">
        <w:t xml:space="preserve">approval </w:t>
      </w:r>
      <w:r w:rsidR="00580F50" w:rsidRPr="00513BF1">
        <w:t xml:space="preserve">procedures </w:t>
      </w:r>
      <w:r w:rsidR="00E2119A" w:rsidRPr="00513BF1">
        <w:t>involved</w:t>
      </w:r>
      <w:r w:rsidR="00F268B6" w:rsidRPr="00513BF1">
        <w:t xml:space="preserve"> </w:t>
      </w:r>
      <w:r w:rsidR="00580F50" w:rsidRPr="00513BF1">
        <w:t xml:space="preserve">(Cory et al., 2020). The </w:t>
      </w:r>
      <w:r w:rsidR="00F268B6" w:rsidRPr="00513BF1">
        <w:t xml:space="preserve">associated </w:t>
      </w:r>
      <w:r w:rsidR="00580F50" w:rsidRPr="00513BF1">
        <w:t>costs are both fixed and variable</w:t>
      </w:r>
      <w:r w:rsidR="003B63D7">
        <w:t>: i</w:t>
      </w:r>
      <w:r w:rsidR="00305216" w:rsidRPr="00633995">
        <w:t xml:space="preserve">n addition to fulfilling </w:t>
      </w:r>
      <w:r w:rsidR="00580F50" w:rsidRPr="00513BF1">
        <w:t>the contractual arrangement</w:t>
      </w:r>
      <w:r w:rsidR="00952D5B" w:rsidRPr="00513BF1">
        <w:t>s</w:t>
      </w:r>
      <w:r w:rsidR="00580F50" w:rsidRPr="00513BF1">
        <w:t xml:space="preserve"> </w:t>
      </w:r>
      <w:r w:rsidR="00920AE5" w:rsidRPr="00633995">
        <w:t>required to use these model documents</w:t>
      </w:r>
      <w:r w:rsidR="00580F50" w:rsidRPr="00513BF1">
        <w:t xml:space="preserve">, firms may need to hire data specialists and </w:t>
      </w:r>
      <w:r w:rsidR="00952D5B" w:rsidRPr="00513BF1">
        <w:t xml:space="preserve">specialized </w:t>
      </w:r>
      <w:r w:rsidR="00580F50" w:rsidRPr="00513BF1">
        <w:t xml:space="preserve">consultancy firms </w:t>
      </w:r>
      <w:r w:rsidR="00920AE5" w:rsidRPr="00513BF1">
        <w:t>for</w:t>
      </w:r>
      <w:r w:rsidR="00580F50" w:rsidRPr="00513BF1">
        <w:t xml:space="preserve"> data mapping, management, and third-party auditing services. </w:t>
      </w:r>
      <w:r w:rsidR="00047832" w:rsidRPr="00513BF1">
        <w:t xml:space="preserve">The costs </w:t>
      </w:r>
      <w:r w:rsidR="00AA1F8F" w:rsidRPr="00513BF1">
        <w:t xml:space="preserve">will </w:t>
      </w:r>
      <w:r w:rsidR="00047832" w:rsidRPr="00513BF1">
        <w:t>vary based on the number of countries, the type of data transfer, and the processing activity involved</w:t>
      </w:r>
      <w:r w:rsidR="00580F50" w:rsidRPr="00513BF1">
        <w:t xml:space="preserve">. </w:t>
      </w:r>
      <w:r w:rsidR="00DD2F23">
        <w:t xml:space="preserve">Thus, </w:t>
      </w:r>
      <w:r w:rsidR="00DD2F23" w:rsidRPr="00513BF1">
        <w:t>standard contractual clauses</w:t>
      </w:r>
      <w:r w:rsidR="00DD2F23" w:rsidRPr="00513BF1">
        <w:t xml:space="preserve"> </w:t>
      </w:r>
      <w:r w:rsidR="00DD2F23">
        <w:t>m</w:t>
      </w:r>
      <w:r w:rsidR="00580F50" w:rsidRPr="00513BF1">
        <w:t xml:space="preserve">ust be drafted every time personal data processing activities change (Chivot and Cory, 2020). </w:t>
      </w:r>
      <w:r w:rsidR="00FD4C0B" w:rsidRPr="00513BF1">
        <w:t>For</w:t>
      </w:r>
      <w:r w:rsidR="00DD2F23">
        <w:t xml:space="preserve"> </w:t>
      </w:r>
      <w:r w:rsidR="00DD2F23" w:rsidRPr="00513BF1">
        <w:t>binding corporate rules</w:t>
      </w:r>
      <w:r w:rsidR="00FD4C0B" w:rsidRPr="00513BF1">
        <w:t>, the Data Protection Authority of the EU Member States where the firm or its subsidiary operates must approve the data transfer</w:t>
      </w:r>
      <w:r w:rsidR="00580F50" w:rsidRPr="00513BF1">
        <w:t xml:space="preserve">. </w:t>
      </w:r>
      <w:r w:rsidR="00CD03BF" w:rsidRPr="00513BF1">
        <w:t>The fixed costs of using these legal templates will place a relatively larger burden on small and medium-sized enterprises.</w:t>
      </w:r>
      <w:r w:rsidR="006D2546" w:rsidRPr="00513BF1">
        <w:rPr>
          <w:rStyle w:val="FootnoteReference"/>
        </w:rPr>
        <w:footnoteReference w:id="12"/>
      </w:r>
      <w:r w:rsidR="00CD03BF" w:rsidRPr="00513BF1">
        <w:t xml:space="preserve"> </w:t>
      </w:r>
    </w:p>
    <w:p w14:paraId="14810E05" w14:textId="0588BF20" w:rsidR="00F44E77" w:rsidRPr="00633995" w:rsidRDefault="00405FEE" w:rsidP="0011538D">
      <w:pPr>
        <w:jc w:val="both"/>
      </w:pPr>
      <w:r w:rsidRPr="00513BF1">
        <w:t xml:space="preserve">When an adequacy decision is implemented, companies </w:t>
      </w:r>
      <w:r w:rsidR="00F83425" w:rsidRPr="00513BF1">
        <w:t xml:space="preserve">no longer need to rely on </w:t>
      </w:r>
      <w:r w:rsidR="00F44E77" w:rsidRPr="00513BF1">
        <w:t xml:space="preserve">prior consent, </w:t>
      </w:r>
      <w:r w:rsidR="00DD2F23" w:rsidRPr="00513BF1">
        <w:t>binding corporate rules and standard contractual clauses</w:t>
      </w:r>
      <w:r w:rsidR="00DD2F23" w:rsidRPr="00513BF1">
        <w:t xml:space="preserve"> </w:t>
      </w:r>
      <w:r w:rsidR="00DD2F23">
        <w:t xml:space="preserve">because </w:t>
      </w:r>
      <w:r w:rsidRPr="00513BF1">
        <w:t xml:space="preserve">the regulatory regime in the recipient countries is </w:t>
      </w:r>
      <w:r w:rsidR="00D233D6" w:rsidRPr="00513BF1">
        <w:t xml:space="preserve">deemed </w:t>
      </w:r>
      <w:r w:rsidR="000D571A" w:rsidRPr="00513BF1">
        <w:t>‘</w:t>
      </w:r>
      <w:r w:rsidRPr="00513BF1">
        <w:t>essentially equivalent</w:t>
      </w:r>
      <w:r w:rsidR="000D571A" w:rsidRPr="00513BF1">
        <w:t>’</w:t>
      </w:r>
      <w:r w:rsidRPr="00513BF1">
        <w:t xml:space="preserve"> </w:t>
      </w:r>
      <w:r w:rsidR="000D244A" w:rsidRPr="00513BF1">
        <w:t>t</w:t>
      </w:r>
      <w:r w:rsidRPr="00513BF1">
        <w:t xml:space="preserve">o </w:t>
      </w:r>
      <w:r w:rsidR="000D244A" w:rsidRPr="00513BF1">
        <w:t>that of the EU</w:t>
      </w:r>
      <w:r w:rsidRPr="00513BF1">
        <w:t xml:space="preserve">. </w:t>
      </w:r>
      <w:r w:rsidR="00753DC4" w:rsidRPr="00633995">
        <w:t xml:space="preserve">The equivalence in the level of data protection refers not </w:t>
      </w:r>
      <w:r w:rsidR="00C171BF" w:rsidRPr="00633995">
        <w:t xml:space="preserve">only </w:t>
      </w:r>
      <w:r w:rsidR="00D74C18" w:rsidRPr="00633995">
        <w:t xml:space="preserve">to </w:t>
      </w:r>
      <w:r w:rsidR="00C171BF" w:rsidRPr="00633995">
        <w:t xml:space="preserve">the </w:t>
      </w:r>
      <w:r w:rsidR="00007707" w:rsidRPr="00633995">
        <w:t xml:space="preserve">substance </w:t>
      </w:r>
      <w:r w:rsidR="00C171BF" w:rsidRPr="00633995">
        <w:t xml:space="preserve">of the data protection rules, but </w:t>
      </w:r>
      <w:r w:rsidR="00D74C18" w:rsidRPr="00633995">
        <w:t xml:space="preserve">includes </w:t>
      </w:r>
      <w:r w:rsidR="00C171BF" w:rsidRPr="00633995">
        <w:lastRenderedPageBreak/>
        <w:t xml:space="preserve">multiple other factors, including respect for the rule of law and human rights, access of public authorities to personal data, </w:t>
      </w:r>
      <w:r w:rsidR="008D0C15">
        <w:t xml:space="preserve">and </w:t>
      </w:r>
      <w:r w:rsidR="00C171BF" w:rsidRPr="00633995">
        <w:t>existence and effective functioning of independent supervisory authorities</w:t>
      </w:r>
      <w:r w:rsidR="00753DC4" w:rsidRPr="00633995">
        <w:t>.</w:t>
      </w:r>
      <w:r w:rsidR="00753DC4" w:rsidRPr="00633995">
        <w:rPr>
          <w:rStyle w:val="FootnoteReference"/>
        </w:rPr>
        <w:footnoteReference w:id="13"/>
      </w:r>
      <w:r w:rsidR="00753DC4" w:rsidRPr="00633995">
        <w:t xml:space="preserve"> </w:t>
      </w:r>
      <w:r w:rsidR="004A5FEB" w:rsidRPr="00633995">
        <w:t xml:space="preserve">In practice, the </w:t>
      </w:r>
      <w:r w:rsidR="008D4FA6" w:rsidRPr="00633995">
        <w:t xml:space="preserve">process for deciding whether to pursue a dialogue on adequacy with a third country </w:t>
      </w:r>
      <w:r w:rsidR="00D74C18" w:rsidRPr="00633995">
        <w:t xml:space="preserve">is </w:t>
      </w:r>
      <w:r w:rsidR="008D4FA6" w:rsidRPr="00633995">
        <w:t>discretionary</w:t>
      </w:r>
      <w:r w:rsidR="000038AC">
        <w:t xml:space="preserve">. The willingness of the EU to engage in adequacy discussions </w:t>
      </w:r>
      <w:r w:rsidR="00D74C18" w:rsidRPr="00633995">
        <w:t xml:space="preserve">will reflect </w:t>
      </w:r>
      <w:r w:rsidR="008D4FA6" w:rsidRPr="00633995">
        <w:t xml:space="preserve">political </w:t>
      </w:r>
      <w:r w:rsidR="00D74C18" w:rsidRPr="00633995">
        <w:t>considerations,</w:t>
      </w:r>
      <w:r w:rsidR="006C6EA9">
        <w:t xml:space="preserve"> as noted by the </w:t>
      </w:r>
      <w:r w:rsidR="009C4A35">
        <w:t>EU</w:t>
      </w:r>
      <w:r w:rsidR="00785341">
        <w:t>,</w:t>
      </w:r>
      <w:r w:rsidR="00D74C18" w:rsidRPr="00633995">
        <w:t xml:space="preserve"> consistent with the theory of discriminatory clubs developed by Davis (2023)</w:t>
      </w:r>
      <w:r w:rsidR="008D4FA6" w:rsidRPr="00633995">
        <w:t>.</w:t>
      </w:r>
      <w:r w:rsidR="008D4FA6" w:rsidRPr="00633995">
        <w:rPr>
          <w:rStyle w:val="FootnoteReference"/>
        </w:rPr>
        <w:footnoteReference w:id="14"/>
      </w:r>
      <w:r w:rsidR="000038AC">
        <w:t xml:space="preserve"> That is, adequacy decisions are determined by factors in addition to a nation’s personal data protection regime. </w:t>
      </w:r>
    </w:p>
    <w:p w14:paraId="6495FF84" w14:textId="0102D8B7" w:rsidR="00D24AF5" w:rsidRPr="00633995" w:rsidRDefault="00580F50" w:rsidP="0011538D">
      <w:pPr>
        <w:jc w:val="both"/>
      </w:pPr>
      <w:r w:rsidRPr="00513BF1">
        <w:t>Between 2000 and 202</w:t>
      </w:r>
      <w:r w:rsidR="00D218E9" w:rsidRPr="00513BF1">
        <w:t>3</w:t>
      </w:r>
      <w:r w:rsidRPr="00513BF1">
        <w:t xml:space="preserve">, the EU granted adequacy </w:t>
      </w:r>
      <w:r w:rsidR="00D502A2" w:rsidRPr="00513BF1">
        <w:t>1</w:t>
      </w:r>
      <w:r w:rsidR="00D218E9" w:rsidRPr="00513BF1">
        <w:t>7</w:t>
      </w:r>
      <w:r w:rsidR="00D502A2" w:rsidRPr="00513BF1">
        <w:t xml:space="preserve"> times</w:t>
      </w:r>
      <w:r w:rsidRPr="00513BF1">
        <w:t xml:space="preserve"> (</w:t>
      </w:r>
      <w:r w:rsidR="00022B1B" w:rsidRPr="00513BF1">
        <w:t>Appendix</w:t>
      </w:r>
      <w:r w:rsidR="00961079" w:rsidRPr="00513BF1">
        <w:t xml:space="preserve"> Table</w:t>
      </w:r>
      <w:r w:rsidRPr="00513BF1">
        <w:t xml:space="preserve"> </w:t>
      </w:r>
      <w:r w:rsidR="007B6788" w:rsidRPr="00513BF1">
        <w:t>A1</w:t>
      </w:r>
      <w:r w:rsidR="00B35F5E" w:rsidRPr="00513BF1">
        <w:t>).</w:t>
      </w:r>
      <w:r w:rsidRPr="00513BF1">
        <w:t xml:space="preserve"> </w:t>
      </w:r>
      <w:r w:rsidR="007B6788" w:rsidRPr="00513BF1">
        <w:t xml:space="preserve">In </w:t>
      </w:r>
      <w:r w:rsidR="007A7BA9" w:rsidRPr="00513BF1">
        <w:t xml:space="preserve">our </w:t>
      </w:r>
      <w:r w:rsidR="00E97F65" w:rsidRPr="00513BF1">
        <w:t xml:space="preserve">empirical </w:t>
      </w:r>
      <w:r w:rsidR="007B6788" w:rsidRPr="00513BF1">
        <w:t>analysis</w:t>
      </w:r>
      <w:r w:rsidR="007A7BA9" w:rsidRPr="00513BF1">
        <w:t>,</w:t>
      </w:r>
      <w:r w:rsidR="007B6788" w:rsidRPr="00513BF1">
        <w:t xml:space="preserve"> we focus on 1</w:t>
      </w:r>
      <w:r w:rsidR="001F7466" w:rsidRPr="00513BF1">
        <w:t>4</w:t>
      </w:r>
      <w:r w:rsidR="007B6788" w:rsidRPr="00513BF1">
        <w:t xml:space="preserve"> adequacy decisions agreed </w:t>
      </w:r>
      <w:r w:rsidR="002A433E" w:rsidRPr="00513BF1">
        <w:t xml:space="preserve">through </w:t>
      </w:r>
      <w:r w:rsidR="007B6788" w:rsidRPr="00513BF1">
        <w:t xml:space="preserve">2020, the last year for which we have </w:t>
      </w:r>
      <w:r w:rsidR="00BB40D7">
        <w:t xml:space="preserve">trade </w:t>
      </w:r>
      <w:r w:rsidR="00923F83">
        <w:t>as well as</w:t>
      </w:r>
      <w:r w:rsidR="00BB40D7">
        <w:t xml:space="preserve"> </w:t>
      </w:r>
      <w:r w:rsidR="002A433E" w:rsidRPr="00513BF1">
        <w:t xml:space="preserve">input-output </w:t>
      </w:r>
      <w:r w:rsidR="007B6788" w:rsidRPr="00513BF1">
        <w:t>data</w:t>
      </w:r>
      <w:r w:rsidR="00923F83">
        <w:t xml:space="preserve"> to measure our data intensity measures</w:t>
      </w:r>
      <w:r w:rsidR="007B6788" w:rsidRPr="00513BF1">
        <w:t>.</w:t>
      </w:r>
      <w:r w:rsidR="004D2AE2" w:rsidRPr="00513BF1">
        <w:t xml:space="preserve"> </w:t>
      </w:r>
      <w:r w:rsidR="00536147" w:rsidRPr="00513BF1">
        <w:t>Except for</w:t>
      </w:r>
      <w:r w:rsidR="00AE76DF" w:rsidRPr="00513BF1">
        <w:t xml:space="preserve"> the US, all adequacy decisions </w:t>
      </w:r>
      <w:r w:rsidR="00975601" w:rsidRPr="00513BF1">
        <w:t>require</w:t>
      </w:r>
      <w:r w:rsidR="00AE76DF" w:rsidRPr="00513BF1">
        <w:t xml:space="preserve"> countries </w:t>
      </w:r>
      <w:r w:rsidR="00975601" w:rsidRPr="00513BF1">
        <w:t>to</w:t>
      </w:r>
      <w:r w:rsidR="00997802" w:rsidRPr="00513BF1">
        <w:t xml:space="preserve"> </w:t>
      </w:r>
      <w:r w:rsidR="001F6BCD" w:rsidRPr="00513BF1">
        <w:t xml:space="preserve">have </w:t>
      </w:r>
      <w:r w:rsidR="00997802" w:rsidRPr="00513BF1">
        <w:t xml:space="preserve">a </w:t>
      </w:r>
      <w:r w:rsidR="00405FEE" w:rsidRPr="00513BF1">
        <w:t xml:space="preserve">comprehensive data </w:t>
      </w:r>
      <w:r w:rsidR="00A549F5" w:rsidRPr="00513BF1">
        <w:t xml:space="preserve">privacy protection </w:t>
      </w:r>
      <w:r w:rsidR="00405FEE" w:rsidRPr="00513BF1">
        <w:t>framework</w:t>
      </w:r>
      <w:r w:rsidR="00E06EEF" w:rsidRPr="00513BF1">
        <w:t>.</w:t>
      </w:r>
      <w:r w:rsidR="00405FEE" w:rsidRPr="00513BF1">
        <w:t xml:space="preserve"> </w:t>
      </w:r>
      <w:r w:rsidR="00D218E9" w:rsidRPr="00513BF1">
        <w:t xml:space="preserve">In </w:t>
      </w:r>
      <w:r w:rsidR="001F6BCD" w:rsidRPr="00513BF1">
        <w:t xml:space="preserve">an </w:t>
      </w:r>
      <w:r w:rsidR="003C576A" w:rsidRPr="00513BF1">
        <w:t>adequacy</w:t>
      </w:r>
      <w:r w:rsidRPr="00513BF1">
        <w:t xml:space="preserve"> decision</w:t>
      </w:r>
      <w:r w:rsidR="003C576A" w:rsidRPr="00513BF1">
        <w:t>,</w:t>
      </w:r>
      <w:r w:rsidRPr="00513BF1">
        <w:t xml:space="preserve"> the </w:t>
      </w:r>
      <w:r w:rsidR="00FB4569" w:rsidRPr="00513BF1">
        <w:t>E</w:t>
      </w:r>
      <w:r w:rsidR="00FE37C7">
        <w:t xml:space="preserve">uropean Commission </w:t>
      </w:r>
      <w:r w:rsidRPr="00513BF1">
        <w:t xml:space="preserve">certifies that the data protection regime of the trading partner </w:t>
      </w:r>
      <w:r w:rsidR="001F6BCD" w:rsidRPr="00513BF1">
        <w:t xml:space="preserve">is essentially equivalent in </w:t>
      </w:r>
      <w:r w:rsidR="0071507F" w:rsidRPr="00513BF1">
        <w:t>provid</w:t>
      </w:r>
      <w:r w:rsidR="001F6BCD" w:rsidRPr="00513BF1">
        <w:t>ing</w:t>
      </w:r>
      <w:r w:rsidR="00B7080B" w:rsidRPr="00513BF1">
        <w:t xml:space="preserve"> the same level </w:t>
      </w:r>
      <w:r w:rsidR="007A7BA9" w:rsidRPr="00513BF1">
        <w:t xml:space="preserve">of </w:t>
      </w:r>
      <w:r w:rsidR="0071507F" w:rsidRPr="00513BF1">
        <w:t xml:space="preserve">data protection </w:t>
      </w:r>
      <w:r w:rsidR="007A7BA9" w:rsidRPr="00513BF1">
        <w:t>as</w:t>
      </w:r>
      <w:r w:rsidR="00B7080B" w:rsidRPr="00513BF1">
        <w:t xml:space="preserve"> </w:t>
      </w:r>
      <w:r w:rsidR="001F6BCD" w:rsidRPr="00513BF1">
        <w:t xml:space="preserve">in </w:t>
      </w:r>
      <w:r w:rsidR="00B7080B" w:rsidRPr="00513BF1">
        <w:t>the EU</w:t>
      </w:r>
      <w:r w:rsidR="003C576A" w:rsidRPr="00513BF1">
        <w:t xml:space="preserve">. In the case of the US, </w:t>
      </w:r>
      <w:r w:rsidR="00391FD9" w:rsidRPr="00513BF1">
        <w:t xml:space="preserve">which </w:t>
      </w:r>
      <w:r w:rsidR="00611F47" w:rsidRPr="00513BF1">
        <w:t xml:space="preserve">does not have </w:t>
      </w:r>
      <w:r w:rsidR="003C576A" w:rsidRPr="00513BF1">
        <w:t>a comprehensive</w:t>
      </w:r>
      <w:r w:rsidR="001F6BCD" w:rsidRPr="00513BF1">
        <w:t xml:space="preserve"> national</w:t>
      </w:r>
      <w:r w:rsidR="003C576A" w:rsidRPr="00513BF1">
        <w:t xml:space="preserve"> data protection regime,</w:t>
      </w:r>
      <w:r w:rsidRPr="00513BF1">
        <w:t xml:space="preserve"> adequacy </w:t>
      </w:r>
      <w:r w:rsidR="00DA2AA7" w:rsidRPr="00513BF1">
        <w:t xml:space="preserve">decisions are </w:t>
      </w:r>
      <w:r w:rsidR="00E37C0D" w:rsidRPr="00513BF1">
        <w:t>based on a</w:t>
      </w:r>
      <w:r w:rsidRPr="00513BF1">
        <w:t xml:space="preserve"> </w:t>
      </w:r>
      <w:r w:rsidR="004B496C" w:rsidRPr="00513BF1">
        <w:t xml:space="preserve">specific framework agreement </w:t>
      </w:r>
      <w:r w:rsidR="00E37C0D" w:rsidRPr="00513BF1">
        <w:t>governing</w:t>
      </w:r>
      <w:r w:rsidRPr="00513BF1">
        <w:t xml:space="preserve"> data flows</w:t>
      </w:r>
      <w:r w:rsidR="001F6BCD" w:rsidRPr="00513BF1">
        <w:t xml:space="preserve">. </w:t>
      </w:r>
      <w:r w:rsidR="0071022F" w:rsidRPr="00633995">
        <w:t xml:space="preserve">As such, the adequacy decisions for the US certify the </w:t>
      </w:r>
      <w:r w:rsidR="006F26A2">
        <w:t xml:space="preserve">equivalence </w:t>
      </w:r>
      <w:r w:rsidR="0071022F" w:rsidRPr="00633995">
        <w:t xml:space="preserve">of the specific framework and not of the </w:t>
      </w:r>
      <w:r w:rsidR="00C171BF" w:rsidRPr="00633995">
        <w:t xml:space="preserve">data protection </w:t>
      </w:r>
      <w:r w:rsidR="0071022F" w:rsidRPr="00633995">
        <w:t>regime</w:t>
      </w:r>
      <w:r w:rsidR="00C171BF" w:rsidRPr="00633995">
        <w:t xml:space="preserve"> in the </w:t>
      </w:r>
      <w:r w:rsidR="00BD0A75">
        <w:t>US</w:t>
      </w:r>
      <w:r w:rsidR="0071022F" w:rsidRPr="00633995">
        <w:t xml:space="preserve">. Therefore, </w:t>
      </w:r>
      <w:r w:rsidR="0071022F" w:rsidRPr="00513BF1">
        <w:t>a</w:t>
      </w:r>
      <w:r w:rsidRPr="00513BF1">
        <w:t xml:space="preserve">dequacy status </w:t>
      </w:r>
      <w:r w:rsidR="00AF53B7" w:rsidRPr="00513BF1">
        <w:t xml:space="preserve">is granted </w:t>
      </w:r>
      <w:r w:rsidRPr="00513BF1">
        <w:t xml:space="preserve">only to companies that </w:t>
      </w:r>
      <w:r w:rsidR="005F2BA1" w:rsidRPr="00513BF1">
        <w:t>have self-</w:t>
      </w:r>
      <w:r w:rsidR="005A32B7" w:rsidRPr="00513BF1">
        <w:t xml:space="preserve">certified </w:t>
      </w:r>
      <w:r w:rsidR="00D218E9" w:rsidRPr="00513BF1">
        <w:t xml:space="preserve">compliance </w:t>
      </w:r>
      <w:r w:rsidRPr="00513BF1">
        <w:t xml:space="preserve">with </w:t>
      </w:r>
      <w:r w:rsidR="00FC48D4" w:rsidRPr="00513BF1">
        <w:t xml:space="preserve">specific requirements </w:t>
      </w:r>
      <w:r w:rsidR="00FD192A" w:rsidRPr="00513BF1">
        <w:t xml:space="preserve">that ensure </w:t>
      </w:r>
      <w:r w:rsidR="001F6BCD" w:rsidRPr="00513BF1">
        <w:t xml:space="preserve">personal data protection meets </w:t>
      </w:r>
      <w:r w:rsidR="00FD192A" w:rsidRPr="00513BF1">
        <w:t xml:space="preserve">EU </w:t>
      </w:r>
      <w:r w:rsidR="001F6BCD" w:rsidRPr="00513BF1">
        <w:t>standards</w:t>
      </w:r>
      <w:r w:rsidRPr="00513BF1">
        <w:t>.</w:t>
      </w:r>
      <w:r w:rsidR="00391FD9" w:rsidRPr="00513BF1">
        <w:t xml:space="preserve"> </w:t>
      </w:r>
    </w:p>
    <w:p w14:paraId="27C7977F" w14:textId="76F6277F" w:rsidR="00B114A7" w:rsidRDefault="00580F50" w:rsidP="0011538D">
      <w:pPr>
        <w:jc w:val="both"/>
      </w:pPr>
      <w:r w:rsidRPr="00513BF1">
        <w:t xml:space="preserve">The first EU-US </w:t>
      </w:r>
      <w:r w:rsidR="006A7FF7" w:rsidRPr="00513BF1">
        <w:t xml:space="preserve">framework </w:t>
      </w:r>
      <w:r w:rsidRPr="00513BF1">
        <w:t xml:space="preserve">agreement </w:t>
      </w:r>
      <w:r w:rsidR="004B496C" w:rsidRPr="00513BF1">
        <w:t>for personal data flows</w:t>
      </w:r>
      <w:r w:rsidRPr="00513BF1">
        <w:t xml:space="preserve"> was the Safe Harbor Privacy Principles, signed in 2000. </w:t>
      </w:r>
      <w:r w:rsidR="007D3010" w:rsidRPr="00513BF1">
        <w:t xml:space="preserve">This </w:t>
      </w:r>
      <w:r w:rsidRPr="00513BF1">
        <w:t xml:space="preserve">permitted US companies to </w:t>
      </w:r>
      <w:r w:rsidR="00B75E66" w:rsidRPr="00513BF1">
        <w:t>voluntarily</w:t>
      </w:r>
      <w:r w:rsidRPr="00513BF1">
        <w:t xml:space="preserve"> compl</w:t>
      </w:r>
      <w:r w:rsidR="00B75E66" w:rsidRPr="00513BF1">
        <w:t>y</w:t>
      </w:r>
      <w:r w:rsidRPr="00513BF1">
        <w:t xml:space="preserve"> with seven basic privacy principles and </w:t>
      </w:r>
      <w:r w:rsidR="009F478B" w:rsidRPr="00513BF1">
        <w:t>several</w:t>
      </w:r>
      <w:r w:rsidR="004B496C" w:rsidRPr="00513BF1">
        <w:t xml:space="preserve"> </w:t>
      </w:r>
      <w:r w:rsidRPr="00513BF1">
        <w:t>associated requirements. Any US business or organization subject to regulation by the Federal Trade Commission</w:t>
      </w:r>
      <w:r w:rsidR="002E1C7B" w:rsidRPr="00513BF1">
        <w:t xml:space="preserve"> </w:t>
      </w:r>
      <w:r w:rsidRPr="00513BF1">
        <w:t xml:space="preserve">that self-certified compliance could apply to </w:t>
      </w:r>
      <w:r w:rsidR="007D3010" w:rsidRPr="00513BF1">
        <w:t>participate</w:t>
      </w:r>
      <w:r w:rsidRPr="00513BF1">
        <w:t xml:space="preserve">. </w:t>
      </w:r>
      <w:r w:rsidR="00F66FAE" w:rsidRPr="00513BF1">
        <w:t>Over 4</w:t>
      </w:r>
      <w:r w:rsidR="005E418A" w:rsidRPr="00513BF1">
        <w:t>,</w:t>
      </w:r>
      <w:r w:rsidR="00F66FAE" w:rsidRPr="00513BF1">
        <w:t xml:space="preserve">500 </w:t>
      </w:r>
      <w:r w:rsidR="00BC7CB8" w:rsidRPr="00513BF1">
        <w:t xml:space="preserve">US </w:t>
      </w:r>
      <w:r w:rsidR="00F66FAE" w:rsidRPr="00513BF1">
        <w:t>companies relied on this me</w:t>
      </w:r>
      <w:r w:rsidR="005E418A" w:rsidRPr="00513BF1">
        <w:t xml:space="preserve">chanism to </w:t>
      </w:r>
      <w:r w:rsidR="00F66FAE" w:rsidRPr="00513BF1">
        <w:t xml:space="preserve">transfer </w:t>
      </w:r>
      <w:r w:rsidR="00BC7CB8" w:rsidRPr="00513BF1">
        <w:t xml:space="preserve">EU </w:t>
      </w:r>
      <w:r w:rsidR="005E418A" w:rsidRPr="00513BF1">
        <w:t xml:space="preserve">citizens’ </w:t>
      </w:r>
      <w:r w:rsidR="00B75E66" w:rsidRPr="00513BF1">
        <w:t xml:space="preserve">personal </w:t>
      </w:r>
      <w:r w:rsidR="00F66FAE" w:rsidRPr="00513BF1">
        <w:t xml:space="preserve">data </w:t>
      </w:r>
      <w:r w:rsidR="007451CD" w:rsidRPr="00513BF1">
        <w:t xml:space="preserve">between the EU and the US. </w:t>
      </w:r>
      <w:r w:rsidR="0003594B" w:rsidRPr="00513BF1">
        <w:t xml:space="preserve">In 2015, </w:t>
      </w:r>
      <w:r w:rsidR="0003594B" w:rsidRPr="00633995">
        <w:t xml:space="preserve">the </w:t>
      </w:r>
      <w:r w:rsidR="0003594B" w:rsidRPr="00513BF1">
        <w:t xml:space="preserve">Court of Justice of the European Union (CJEU) invalidated the </w:t>
      </w:r>
      <w:r w:rsidR="00770BDA" w:rsidRPr="00513BF1">
        <w:t xml:space="preserve">agreement, following </w:t>
      </w:r>
      <w:r w:rsidR="00F66FAE" w:rsidRPr="00513BF1">
        <w:t xml:space="preserve">a complaint brought by </w:t>
      </w:r>
      <w:r w:rsidR="00F66FAE" w:rsidRPr="00633995">
        <w:t>privacy activist Max Schrems against Facebook</w:t>
      </w:r>
      <w:r w:rsidR="00A06901" w:rsidRPr="00513BF1">
        <w:t>.</w:t>
      </w:r>
      <w:r w:rsidR="003C221D" w:rsidRPr="00513BF1">
        <w:rPr>
          <w:rStyle w:val="FootnoteReference"/>
        </w:rPr>
        <w:footnoteReference w:id="15"/>
      </w:r>
      <w:r w:rsidR="00F05548" w:rsidRPr="00513BF1">
        <w:t xml:space="preserve"> </w:t>
      </w:r>
      <w:r w:rsidR="00F66FAE" w:rsidRPr="00513BF1">
        <w:t>The C</w:t>
      </w:r>
      <w:r w:rsidR="00AC7A9C">
        <w:t xml:space="preserve">ourt </w:t>
      </w:r>
      <w:r w:rsidRPr="00513BF1">
        <w:t>rul</w:t>
      </w:r>
      <w:r w:rsidR="00F66FAE" w:rsidRPr="00513BF1">
        <w:t xml:space="preserve">ed </w:t>
      </w:r>
      <w:r w:rsidRPr="00513BF1">
        <w:t xml:space="preserve">that </w:t>
      </w:r>
      <w:r w:rsidR="00E10136" w:rsidRPr="00513BF1">
        <w:t>S</w:t>
      </w:r>
      <w:r w:rsidR="008778F3">
        <w:t>afe Harbor</w:t>
      </w:r>
      <w:r w:rsidR="00E10136" w:rsidRPr="00513BF1">
        <w:t xml:space="preserve"> </w:t>
      </w:r>
      <w:r w:rsidRPr="00513BF1">
        <w:t>did not sufficiently limit the potential for US authorities to access EU citizens’ personal data and therefore did not guarantee the protection of the EU</w:t>
      </w:r>
      <w:r w:rsidR="007A7BA9" w:rsidRPr="00513BF1">
        <w:t>’s</w:t>
      </w:r>
      <w:r w:rsidRPr="00513BF1">
        <w:t xml:space="preserve"> fundamental right </w:t>
      </w:r>
      <w:r w:rsidR="007A7BA9" w:rsidRPr="00513BF1">
        <w:t>to</w:t>
      </w:r>
      <w:r w:rsidRPr="00513BF1">
        <w:t xml:space="preserve"> privacy. Companies utilizing the framework were given a grace period of four months to revert to </w:t>
      </w:r>
      <w:r w:rsidR="001F7466" w:rsidRPr="00513BF1">
        <w:t>alternative mechanisms for data transfers</w:t>
      </w:r>
      <w:r w:rsidRPr="00513BF1">
        <w:t xml:space="preserve"> whilst </w:t>
      </w:r>
      <w:r w:rsidR="001F7629" w:rsidRPr="00513BF1">
        <w:t>the EU and US</w:t>
      </w:r>
      <w:r w:rsidRPr="00513BF1">
        <w:t xml:space="preserve"> negotiated a new agreement. In 2016, </w:t>
      </w:r>
      <w:r w:rsidR="00B66CB9" w:rsidRPr="00513BF1">
        <w:t xml:space="preserve">a </w:t>
      </w:r>
      <w:r w:rsidRPr="00513BF1">
        <w:t>substantially more detailed Privacy Shield Framework</w:t>
      </w:r>
      <w:r w:rsidR="001F7629" w:rsidRPr="00513BF1">
        <w:t xml:space="preserve"> was agreed</w:t>
      </w:r>
      <w:r w:rsidRPr="00513BF1">
        <w:t xml:space="preserve">. </w:t>
      </w:r>
      <w:r w:rsidR="001F7629" w:rsidRPr="00513BF1">
        <w:t xml:space="preserve">This </w:t>
      </w:r>
      <w:r w:rsidRPr="00513BF1">
        <w:t xml:space="preserve">clarified responsibility for compliance </w:t>
      </w:r>
      <w:r w:rsidR="00D218E9" w:rsidRPr="00513BF1">
        <w:t xml:space="preserve">with EU data protection standards </w:t>
      </w:r>
      <w:r w:rsidRPr="00513BF1">
        <w:t xml:space="preserve">and included assurances from the US authorities regarding </w:t>
      </w:r>
      <w:r w:rsidR="00D218E9" w:rsidRPr="00513BF1">
        <w:t xml:space="preserve">the </w:t>
      </w:r>
      <w:r w:rsidR="001F7629" w:rsidRPr="00513BF1">
        <w:t xml:space="preserve">treatment of </w:t>
      </w:r>
      <w:r w:rsidRPr="00513BF1">
        <w:t>complaints and redress possibilities</w:t>
      </w:r>
      <w:r w:rsidR="00F66FAE" w:rsidRPr="00513BF1">
        <w:t>. Over 5</w:t>
      </w:r>
      <w:r w:rsidR="001F7629" w:rsidRPr="00513BF1">
        <w:t>,</w:t>
      </w:r>
      <w:r w:rsidR="00F66FAE" w:rsidRPr="00513BF1">
        <w:t>300 companies signed up to th</w:t>
      </w:r>
      <w:r w:rsidR="00D218E9" w:rsidRPr="00513BF1">
        <w:t>e P</w:t>
      </w:r>
      <w:r w:rsidR="008778F3">
        <w:t xml:space="preserve">rivacy Shield </w:t>
      </w:r>
      <w:r w:rsidR="00F66FAE" w:rsidRPr="00513BF1">
        <w:t>framework</w:t>
      </w:r>
      <w:r w:rsidR="001F7629" w:rsidRPr="00513BF1">
        <w:t xml:space="preserve">. </w:t>
      </w:r>
      <w:r w:rsidR="00F05548" w:rsidRPr="00513BF1">
        <w:t xml:space="preserve">In 2020, </w:t>
      </w:r>
      <w:r w:rsidR="008778F3">
        <w:t xml:space="preserve">it </w:t>
      </w:r>
      <w:r w:rsidR="00F66FAE" w:rsidRPr="00513BF1">
        <w:t>was invalidated by a second ruling of the CJEU.</w:t>
      </w:r>
      <w:r w:rsidR="009A0636" w:rsidRPr="00513BF1">
        <w:rPr>
          <w:rStyle w:val="FootnoteReference"/>
        </w:rPr>
        <w:footnoteReference w:id="16"/>
      </w:r>
      <w:r w:rsidR="00F66FAE" w:rsidRPr="00513BF1">
        <w:t xml:space="preserve"> </w:t>
      </w:r>
      <w:r w:rsidR="00F05548" w:rsidRPr="00513BF1">
        <w:t xml:space="preserve">To address the ruling, in 2023 </w:t>
      </w:r>
      <w:r w:rsidRPr="00513BF1">
        <w:t xml:space="preserve">the </w:t>
      </w:r>
      <w:r w:rsidR="00FE37C7">
        <w:t xml:space="preserve">Commission </w:t>
      </w:r>
      <w:r w:rsidR="001F7629" w:rsidRPr="00513BF1">
        <w:t xml:space="preserve">replaced </w:t>
      </w:r>
      <w:r w:rsidR="00C34BC0" w:rsidRPr="00513BF1">
        <w:t>P</w:t>
      </w:r>
      <w:r w:rsidR="008778F3">
        <w:t xml:space="preserve">rivacy Shield </w:t>
      </w:r>
      <w:r w:rsidR="001F7629" w:rsidRPr="00513BF1">
        <w:t xml:space="preserve">with </w:t>
      </w:r>
      <w:r w:rsidRPr="00513BF1">
        <w:t>the EU-US Data Privacy Framework</w:t>
      </w:r>
      <w:r w:rsidR="00CF30C0">
        <w:t xml:space="preserve"> </w:t>
      </w:r>
      <w:r w:rsidRPr="00513BF1">
        <w:t>(E</w:t>
      </w:r>
      <w:r w:rsidR="008D0C15">
        <w:t>uropean Commission</w:t>
      </w:r>
      <w:r w:rsidRPr="00513BF1">
        <w:t>, 2023)</w:t>
      </w:r>
      <w:r w:rsidR="00F74E39" w:rsidRPr="00513BF1">
        <w:t>. To date, 2</w:t>
      </w:r>
      <w:r w:rsidR="001F7629" w:rsidRPr="00513BF1">
        <w:t>,</w:t>
      </w:r>
      <w:r w:rsidR="00F74E39" w:rsidRPr="00513BF1">
        <w:t xml:space="preserve">675 companies have </w:t>
      </w:r>
      <w:r w:rsidR="00D218E9" w:rsidRPr="00513BF1">
        <w:t>self-</w:t>
      </w:r>
      <w:r w:rsidR="00F74E39" w:rsidRPr="00513BF1">
        <w:t xml:space="preserve">certified </w:t>
      </w:r>
      <w:r w:rsidR="00D218E9" w:rsidRPr="00513BF1">
        <w:t xml:space="preserve">compliance </w:t>
      </w:r>
      <w:r w:rsidR="00F74E39" w:rsidRPr="00513BF1">
        <w:t>under this framework.</w:t>
      </w:r>
    </w:p>
    <w:p w14:paraId="1148B27D" w14:textId="77777777" w:rsidR="009C4A35" w:rsidRPr="00513BF1" w:rsidRDefault="009C4A35" w:rsidP="0011538D">
      <w:pPr>
        <w:jc w:val="both"/>
      </w:pPr>
    </w:p>
    <w:p w14:paraId="67CEA325" w14:textId="70006373" w:rsidR="000C1558" w:rsidRPr="00513BF1" w:rsidRDefault="000C1558" w:rsidP="0011538D">
      <w:pPr>
        <w:spacing w:before="240" w:after="120" w:line="240" w:lineRule="auto"/>
        <w:jc w:val="both"/>
        <w:rPr>
          <w:b/>
          <w:bCs/>
        </w:rPr>
      </w:pPr>
      <w:r w:rsidRPr="00513BF1">
        <w:rPr>
          <w:b/>
          <w:bCs/>
        </w:rPr>
        <w:lastRenderedPageBreak/>
        <w:t xml:space="preserve">2.1. </w:t>
      </w:r>
      <w:r w:rsidR="00CB3863" w:rsidRPr="00513BF1">
        <w:rPr>
          <w:b/>
          <w:bCs/>
        </w:rPr>
        <w:t xml:space="preserve">Exploratory </w:t>
      </w:r>
      <w:r w:rsidR="0095192D" w:rsidRPr="00513BF1">
        <w:rPr>
          <w:b/>
          <w:bCs/>
        </w:rPr>
        <w:t>analysis</w:t>
      </w:r>
    </w:p>
    <w:p w14:paraId="46D882CB" w14:textId="7AB87B16" w:rsidR="00D218E9" w:rsidRPr="00513BF1" w:rsidRDefault="00152766" w:rsidP="0011538D">
      <w:pPr>
        <w:jc w:val="both"/>
      </w:pPr>
      <w:r w:rsidRPr="00513BF1">
        <w:t xml:space="preserve">A basic event study estimating the impact of </w:t>
      </w:r>
      <w:r w:rsidR="00D218E9" w:rsidRPr="00513BF1">
        <w:t>the 1</w:t>
      </w:r>
      <w:r w:rsidR="001F7466" w:rsidRPr="00513BF1">
        <w:t>4</w:t>
      </w:r>
      <w:r w:rsidR="00D218E9" w:rsidRPr="00513BF1">
        <w:t xml:space="preserve"> </w:t>
      </w:r>
      <w:r w:rsidRPr="00513BF1">
        <w:t xml:space="preserve">EU adequacy decisions </w:t>
      </w:r>
      <w:r w:rsidR="00D218E9" w:rsidRPr="00513BF1">
        <w:t xml:space="preserve">implemented through 2020 </w:t>
      </w:r>
      <w:r w:rsidRPr="00513BF1">
        <w:t xml:space="preserve">on bilateral digital trade provides </w:t>
      </w:r>
      <w:r w:rsidR="00D1595C" w:rsidRPr="00513BF1">
        <w:t xml:space="preserve">the </w:t>
      </w:r>
      <w:r w:rsidRPr="00513BF1">
        <w:t xml:space="preserve">initial motivation for our empirical analysis. </w:t>
      </w:r>
      <w:r w:rsidR="00DA061D" w:rsidRPr="00513BF1">
        <w:t>Digital trade in this exercise spans digital services (audiovisual, telecommunications and IT services) and associated ICT goods and equipment.</w:t>
      </w:r>
      <w:r w:rsidR="00DA061D" w:rsidRPr="00513BF1">
        <w:rPr>
          <w:rStyle w:val="FootnoteReference"/>
        </w:rPr>
        <w:footnoteReference w:id="17"/>
      </w:r>
      <w:r w:rsidR="00DA061D" w:rsidRPr="00513BF1">
        <w:t xml:space="preserve"> </w:t>
      </w:r>
      <w:r w:rsidRPr="00513BF1">
        <w:t xml:space="preserve">Figure 1 plots the five-year period preceding and following an adequacy decision, set at </w:t>
      </w:r>
      <w:r w:rsidRPr="00513BF1">
        <w:rPr>
          <w:i/>
          <w:iCs/>
        </w:rPr>
        <w:t>t=0</w:t>
      </w:r>
      <w:r w:rsidRPr="00513BF1">
        <w:t xml:space="preserve">, for digital trade between </w:t>
      </w:r>
      <w:r w:rsidR="00D42466">
        <w:t xml:space="preserve">the </w:t>
      </w:r>
      <w:r w:rsidRPr="00513BF1">
        <w:t xml:space="preserve">EU and adequacy-granted partner countries (left-panel) and between partner countries that have an adequacy decision (right-panel). The latter captures what we call the </w:t>
      </w:r>
      <w:r w:rsidR="00264A41" w:rsidRPr="00513BF1">
        <w:t>club</w:t>
      </w:r>
      <w:r w:rsidRPr="00513BF1">
        <w:t xml:space="preserve"> effect of EU adequacy decisions. </w:t>
      </w:r>
    </w:p>
    <w:p w14:paraId="00961A86" w14:textId="16883AB8" w:rsidR="00262EAC" w:rsidRPr="00513BF1" w:rsidRDefault="00262EAC" w:rsidP="0011538D">
      <w:pPr>
        <w:jc w:val="both"/>
        <w:rPr>
          <w:b/>
          <w:bCs/>
        </w:rPr>
      </w:pPr>
      <w:r w:rsidRPr="00513BF1">
        <w:rPr>
          <w:b/>
          <w:bCs/>
        </w:rPr>
        <w:t>Figure 1: Event study of bilateral digital trade among countries</w:t>
      </w:r>
      <w:r w:rsidR="000B1FFB" w:rsidRPr="00513BF1">
        <w:rPr>
          <w:b/>
          <w:bCs/>
        </w:rPr>
        <w:t xml:space="preserve"> with adequ</w:t>
      </w:r>
      <w:r w:rsidR="0024659F" w:rsidRPr="00513BF1">
        <w:rPr>
          <w:b/>
          <w:bCs/>
        </w:rPr>
        <w:t>acy</w:t>
      </w:r>
    </w:p>
    <w:p w14:paraId="1984404D" w14:textId="5438C5DA" w:rsidR="00262EAC" w:rsidRPr="00513BF1" w:rsidRDefault="00152766" w:rsidP="0011538D">
      <w:pPr>
        <w:spacing w:after="120" w:line="240" w:lineRule="auto"/>
        <w:jc w:val="both"/>
      </w:pPr>
      <w:r w:rsidRPr="00513BF1">
        <w:t xml:space="preserve">  </w:t>
      </w:r>
      <w:r w:rsidR="00675328" w:rsidRPr="00513BF1">
        <w:t xml:space="preserve">           </w:t>
      </w:r>
      <w:r w:rsidRPr="00513BF1">
        <w:t xml:space="preserve">  </w:t>
      </w:r>
      <w:r w:rsidR="00262EAC" w:rsidRPr="00D93F3E">
        <w:rPr>
          <w:sz w:val="20"/>
          <w:szCs w:val="20"/>
        </w:rPr>
        <w:t>EU export</w:t>
      </w:r>
      <w:r w:rsidRPr="00D93F3E">
        <w:rPr>
          <w:sz w:val="20"/>
          <w:szCs w:val="20"/>
        </w:rPr>
        <w:t>s</w:t>
      </w:r>
      <w:r w:rsidR="00262EAC" w:rsidRPr="00D93F3E">
        <w:rPr>
          <w:sz w:val="20"/>
          <w:szCs w:val="20"/>
        </w:rPr>
        <w:t xml:space="preserve"> to </w:t>
      </w:r>
      <w:r w:rsidR="000A4DF7" w:rsidRPr="00D93F3E">
        <w:rPr>
          <w:sz w:val="20"/>
          <w:szCs w:val="20"/>
        </w:rPr>
        <w:t xml:space="preserve">countries with </w:t>
      </w:r>
      <w:r w:rsidR="00262EAC" w:rsidRPr="00D93F3E">
        <w:rPr>
          <w:sz w:val="20"/>
          <w:szCs w:val="20"/>
        </w:rPr>
        <w:t>adequa</w:t>
      </w:r>
      <w:r w:rsidR="00E02C73" w:rsidRPr="00D93F3E">
        <w:rPr>
          <w:sz w:val="20"/>
          <w:szCs w:val="20"/>
        </w:rPr>
        <w:t>cy</w:t>
      </w:r>
      <w:r w:rsidR="00675328" w:rsidRPr="00D93F3E">
        <w:rPr>
          <w:sz w:val="20"/>
          <w:szCs w:val="20"/>
        </w:rPr>
        <w:t xml:space="preserve">                      Exports </w:t>
      </w:r>
      <w:r w:rsidR="00262EAC" w:rsidRPr="00D93F3E">
        <w:rPr>
          <w:sz w:val="20"/>
          <w:szCs w:val="20"/>
        </w:rPr>
        <w:t>among</w:t>
      </w:r>
      <w:r w:rsidR="00675328" w:rsidRPr="00D93F3E">
        <w:rPr>
          <w:sz w:val="20"/>
          <w:szCs w:val="20"/>
        </w:rPr>
        <w:t xml:space="preserve"> </w:t>
      </w:r>
      <w:r w:rsidR="00262EAC" w:rsidRPr="00D93F3E">
        <w:rPr>
          <w:sz w:val="20"/>
          <w:szCs w:val="20"/>
        </w:rPr>
        <w:t>countries</w:t>
      </w:r>
      <w:r w:rsidR="00D93F3E">
        <w:rPr>
          <w:sz w:val="20"/>
          <w:szCs w:val="20"/>
        </w:rPr>
        <w:t xml:space="preserve"> with adequacy</w:t>
      </w:r>
    </w:p>
    <w:p w14:paraId="01A3979B" w14:textId="5BF47D63" w:rsidR="00262EAC" w:rsidRPr="00513BF1" w:rsidRDefault="006406BB" w:rsidP="0011538D">
      <w:pPr>
        <w:spacing w:after="120" w:line="240" w:lineRule="auto"/>
        <w:jc w:val="both"/>
      </w:pPr>
      <w:r>
        <w:rPr>
          <w:noProof/>
          <w14:ligatures w14:val="standardContextual"/>
        </w:rPr>
        <w:drawing>
          <wp:inline distT="0" distB="0" distL="0" distR="0" wp14:anchorId="2918E64D" wp14:editId="34BF4DBE">
            <wp:extent cx="2782813" cy="1855106"/>
            <wp:effectExtent l="0" t="0" r="0" b="0"/>
            <wp:docPr id="1639822689" name="Immagine 3" descr="Immagine che contiene diagramma, linea, Diagramma, Paralle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22689" name="Immagine 3" descr="Immagine che contiene diagramma, linea, Diagramma, Parallelo&#10;&#10;Il contenuto generato dall'IA potrebbe non essere corret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59598" cy="1906293"/>
                    </a:xfrm>
                    <a:prstGeom prst="rect">
                      <a:avLst/>
                    </a:prstGeom>
                  </pic:spPr>
                </pic:pic>
              </a:graphicData>
            </a:graphic>
          </wp:inline>
        </w:drawing>
      </w:r>
      <w:r>
        <w:rPr>
          <w:noProof/>
          <w14:ligatures w14:val="standardContextual"/>
        </w:rPr>
        <w:drawing>
          <wp:inline distT="0" distB="0" distL="0" distR="0" wp14:anchorId="2362F485" wp14:editId="15CB566D">
            <wp:extent cx="2919168" cy="1946004"/>
            <wp:effectExtent l="0" t="0" r="1905" b="0"/>
            <wp:docPr id="1041942560" name="Immagine 2" descr="Immagine che contiene diagramma, linea, Diagramma, Paralle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942560" name="Immagine 2" descr="Immagine che contiene diagramma, linea, Diagramma, Parallelo&#10;&#10;Il contenuto generato dall'IA potrebbe non essere corret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7940" cy="1978517"/>
                    </a:xfrm>
                    <a:prstGeom prst="rect">
                      <a:avLst/>
                    </a:prstGeom>
                  </pic:spPr>
                </pic:pic>
              </a:graphicData>
            </a:graphic>
          </wp:inline>
        </w:drawing>
      </w:r>
    </w:p>
    <w:p w14:paraId="6B682FBC" w14:textId="1E58C01E" w:rsidR="008A3E24" w:rsidRDefault="00262EAC" w:rsidP="005D2718">
      <w:pPr>
        <w:spacing w:after="0" w:line="240" w:lineRule="auto"/>
        <w:jc w:val="both"/>
        <w:rPr>
          <w:sz w:val="18"/>
          <w:szCs w:val="18"/>
        </w:rPr>
      </w:pPr>
      <w:r w:rsidRPr="00513BF1">
        <w:rPr>
          <w:i/>
          <w:iCs/>
          <w:sz w:val="18"/>
          <w:szCs w:val="18"/>
        </w:rPr>
        <w:t>Notes</w:t>
      </w:r>
      <w:r w:rsidRPr="00513BF1">
        <w:rPr>
          <w:sz w:val="18"/>
          <w:szCs w:val="18"/>
        </w:rPr>
        <w:t>: the plot reports the point estimates of a simple event study regression taking the form</w:t>
      </w:r>
      <w:r w:rsidRPr="00513BF1">
        <w:rPr>
          <w:rFonts w:eastAsiaTheme="minorEastAsia"/>
          <w:sz w:val="18"/>
          <w:szCs w:val="18"/>
        </w:rPr>
        <w:t xml:space="preserve">: </w:t>
      </w:r>
      <m:oMath>
        <m:sSub>
          <m:sSubPr>
            <m:ctrlPr>
              <w:rPr>
                <w:rFonts w:ascii="Cambria Math" w:hAnsi="Cambria Math"/>
                <w:i/>
                <w:iCs/>
                <w:sz w:val="18"/>
                <w:szCs w:val="18"/>
              </w:rPr>
            </m:ctrlPr>
          </m:sSubPr>
          <m:e>
            <m:r>
              <w:rPr>
                <w:rFonts w:ascii="Cambria Math" w:hAnsi="Cambria Math"/>
                <w:sz w:val="18"/>
                <w:szCs w:val="18"/>
              </w:rPr>
              <m:t>X</m:t>
            </m:r>
          </m:e>
          <m:sub>
            <m:r>
              <w:rPr>
                <w:rFonts w:ascii="Cambria Math" w:hAnsi="Cambria Math"/>
                <w:sz w:val="18"/>
                <w:szCs w:val="18"/>
              </w:rPr>
              <m:t>ijt</m:t>
            </m:r>
          </m:sub>
        </m:sSub>
        <m:r>
          <w:rPr>
            <w:rFonts w:ascii="Cambria Math" w:hAnsi="Cambria Math"/>
            <w:sz w:val="18"/>
            <w:szCs w:val="18"/>
          </w:rPr>
          <m:t>=α+</m:t>
        </m:r>
        <m:nary>
          <m:naryPr>
            <m:chr m:val="∑"/>
            <m:limLoc m:val="undOvr"/>
            <m:ctrlPr>
              <w:rPr>
                <w:rFonts w:ascii="Cambria Math" w:hAnsi="Cambria Math"/>
                <w:i/>
                <w:iCs/>
                <w:sz w:val="18"/>
                <w:szCs w:val="18"/>
              </w:rPr>
            </m:ctrlPr>
          </m:naryPr>
          <m:sub>
            <m:r>
              <w:rPr>
                <w:rFonts w:ascii="Cambria Math" w:hAnsi="Cambria Math"/>
                <w:sz w:val="18"/>
                <w:szCs w:val="18"/>
              </w:rPr>
              <m:t>t=1</m:t>
            </m:r>
          </m:sub>
          <m:sup>
            <m:r>
              <w:rPr>
                <w:rFonts w:ascii="Cambria Math" w:hAnsi="Cambria Math"/>
                <w:sz w:val="18"/>
                <w:szCs w:val="18"/>
              </w:rPr>
              <m:t>5</m:t>
            </m:r>
          </m:sup>
          <m:e>
            <m:sSub>
              <m:sSubPr>
                <m:ctrlPr>
                  <w:rPr>
                    <w:rFonts w:ascii="Cambria Math" w:hAnsi="Cambria Math"/>
                    <w:i/>
                    <w:iCs/>
                    <w:sz w:val="18"/>
                    <w:szCs w:val="18"/>
                  </w:rPr>
                </m:ctrlPr>
              </m:sSubPr>
              <m:e>
                <m:r>
                  <w:rPr>
                    <w:rFonts w:ascii="Cambria Math" w:hAnsi="Cambria Math"/>
                    <w:sz w:val="18"/>
                    <w:szCs w:val="18"/>
                  </w:rPr>
                  <m:t>β</m:t>
                </m:r>
              </m:e>
              <m:sub>
                <m:r>
                  <w:rPr>
                    <w:rFonts w:ascii="Cambria Math" w:hAnsi="Cambria Math"/>
                    <w:sz w:val="18"/>
                    <w:szCs w:val="18"/>
                  </w:rPr>
                  <m:t>w</m:t>
                </m:r>
              </m:sub>
            </m:sSub>
            <m:r>
              <w:rPr>
                <w:rFonts w:ascii="Cambria Math" w:hAnsi="Cambria Math"/>
                <w:sz w:val="18"/>
                <w:szCs w:val="18"/>
              </w:rPr>
              <m:t>La</m:t>
            </m:r>
            <m:sSub>
              <m:sSubPr>
                <m:ctrlPr>
                  <w:rPr>
                    <w:rFonts w:ascii="Cambria Math" w:hAnsi="Cambria Math"/>
                    <w:i/>
                    <w:iCs/>
                    <w:sz w:val="18"/>
                    <w:szCs w:val="18"/>
                  </w:rPr>
                </m:ctrlPr>
              </m:sSubPr>
              <m:e>
                <m:r>
                  <w:rPr>
                    <w:rFonts w:ascii="Cambria Math" w:hAnsi="Cambria Math"/>
                    <w:sz w:val="18"/>
                    <w:szCs w:val="18"/>
                  </w:rPr>
                  <m:t>g</m:t>
                </m:r>
              </m:e>
              <m:sub>
                <m:r>
                  <w:rPr>
                    <w:rFonts w:ascii="Cambria Math" w:hAnsi="Cambria Math"/>
                    <w:sz w:val="18"/>
                    <w:szCs w:val="18"/>
                  </w:rPr>
                  <m:t>w+t</m:t>
                </m:r>
              </m:sub>
            </m:sSub>
          </m:e>
        </m:nary>
        <m:r>
          <w:rPr>
            <w:rFonts w:ascii="Cambria Math" w:hAnsi="Cambria Math"/>
            <w:sz w:val="18"/>
            <w:szCs w:val="18"/>
          </w:rPr>
          <m:t>+</m:t>
        </m:r>
        <m:nary>
          <m:naryPr>
            <m:chr m:val="∑"/>
            <m:limLoc m:val="undOvr"/>
            <m:ctrlPr>
              <w:rPr>
                <w:rFonts w:ascii="Cambria Math" w:hAnsi="Cambria Math"/>
                <w:i/>
                <w:iCs/>
                <w:sz w:val="18"/>
                <w:szCs w:val="18"/>
              </w:rPr>
            </m:ctrlPr>
          </m:naryPr>
          <m:sub>
            <m:r>
              <w:rPr>
                <w:rFonts w:ascii="Cambria Math" w:hAnsi="Cambria Math"/>
                <w:sz w:val="18"/>
                <w:szCs w:val="18"/>
              </w:rPr>
              <m:t>t=1</m:t>
            </m:r>
          </m:sub>
          <m:sup>
            <m:r>
              <w:rPr>
                <w:rFonts w:ascii="Cambria Math" w:hAnsi="Cambria Math"/>
                <w:sz w:val="18"/>
                <w:szCs w:val="18"/>
              </w:rPr>
              <m:t>5</m:t>
            </m:r>
          </m:sup>
          <m:e>
            <m:sSub>
              <m:sSubPr>
                <m:ctrlPr>
                  <w:rPr>
                    <w:rFonts w:ascii="Cambria Math" w:hAnsi="Cambria Math"/>
                    <w:i/>
                    <w:iCs/>
                    <w:sz w:val="18"/>
                    <w:szCs w:val="18"/>
                  </w:rPr>
                </m:ctrlPr>
              </m:sSubPr>
              <m:e>
                <m:r>
                  <w:rPr>
                    <w:rFonts w:ascii="Cambria Math" w:hAnsi="Cambria Math"/>
                    <w:sz w:val="18"/>
                    <w:szCs w:val="18"/>
                  </w:rPr>
                  <m:t>β</m:t>
                </m:r>
              </m:e>
              <m:sub>
                <m:r>
                  <w:rPr>
                    <w:rFonts w:ascii="Cambria Math" w:hAnsi="Cambria Math"/>
                    <w:sz w:val="18"/>
                    <w:szCs w:val="18"/>
                  </w:rPr>
                  <m:t>k</m:t>
                </m:r>
              </m:sub>
            </m:sSub>
            <m:r>
              <w:rPr>
                <w:rFonts w:ascii="Cambria Math" w:hAnsi="Cambria Math"/>
                <w:sz w:val="18"/>
                <w:szCs w:val="18"/>
              </w:rPr>
              <m:t>Lea</m:t>
            </m:r>
            <m:sSub>
              <m:sSubPr>
                <m:ctrlPr>
                  <w:rPr>
                    <w:rFonts w:ascii="Cambria Math" w:hAnsi="Cambria Math"/>
                    <w:i/>
                    <w:iCs/>
                    <w:sz w:val="18"/>
                    <w:szCs w:val="18"/>
                  </w:rPr>
                </m:ctrlPr>
              </m:sSubPr>
              <m:e>
                <m:r>
                  <w:rPr>
                    <w:rFonts w:ascii="Cambria Math" w:hAnsi="Cambria Math"/>
                    <w:sz w:val="18"/>
                    <w:szCs w:val="18"/>
                  </w:rPr>
                  <m:t>d</m:t>
                </m:r>
              </m:e>
              <m:sub>
                <m:r>
                  <w:rPr>
                    <w:rFonts w:ascii="Cambria Math" w:hAnsi="Cambria Math"/>
                    <w:sz w:val="18"/>
                    <w:szCs w:val="18"/>
                  </w:rPr>
                  <m:t>k</m:t>
                </m:r>
              </m:sub>
            </m:sSub>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β'GRA</m:t>
                </m:r>
              </m:e>
              <m:sub>
                <m:r>
                  <w:rPr>
                    <w:rFonts w:ascii="Cambria Math" w:hAnsi="Cambria Math"/>
                    <w:sz w:val="18"/>
                    <w:szCs w:val="18"/>
                  </w:rPr>
                  <m:t>ijt</m:t>
                </m:r>
              </m:sub>
            </m:sSub>
            <m:sSub>
              <m:sSubPr>
                <m:ctrlPr>
                  <w:rPr>
                    <w:rFonts w:ascii="Cambria Math" w:hAnsi="Cambria Math"/>
                    <w:i/>
                    <w:iCs/>
                    <w:sz w:val="18"/>
                    <w:szCs w:val="18"/>
                  </w:rPr>
                </m:ctrlPr>
              </m:sSubPr>
              <m:e>
                <m:r>
                  <w:rPr>
                    <w:rFonts w:ascii="Cambria Math" w:hAnsi="Cambria Math"/>
                    <w:sz w:val="18"/>
                    <w:szCs w:val="18"/>
                  </w:rPr>
                  <m:t>+ α</m:t>
                </m:r>
              </m:e>
              <m:sub>
                <m:r>
                  <w:rPr>
                    <w:rFonts w:ascii="Cambria Math" w:hAnsi="Cambria Math"/>
                    <w:sz w:val="18"/>
                    <w:szCs w:val="18"/>
                  </w:rPr>
                  <m:t>i</m:t>
                </m:r>
              </m:sub>
            </m:sSub>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γ</m:t>
                </m:r>
              </m:e>
              <m:sub>
                <m:r>
                  <w:rPr>
                    <w:rFonts w:ascii="Cambria Math" w:hAnsi="Cambria Math"/>
                    <w:sz w:val="18"/>
                    <w:szCs w:val="18"/>
                  </w:rPr>
                  <m:t>j</m:t>
                </m:r>
              </m:sub>
            </m:sSub>
          </m:e>
        </m:nary>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λ</m:t>
            </m:r>
          </m:e>
          <m:sub>
            <m:r>
              <w:rPr>
                <w:rFonts w:ascii="Cambria Math" w:hAnsi="Cambria Math"/>
                <w:sz w:val="18"/>
                <w:szCs w:val="18"/>
              </w:rPr>
              <m:t>t</m:t>
            </m:r>
          </m:sub>
        </m:sSub>
        <m:r>
          <w:rPr>
            <w:rFonts w:ascii="Cambria Math" w:eastAsiaTheme="minorEastAsia" w:hAnsi="Cambria Math"/>
            <w:sz w:val="18"/>
            <w:szCs w:val="18"/>
          </w:rPr>
          <m:t>+</m:t>
        </m:r>
        <m:sSub>
          <m:sSubPr>
            <m:ctrlPr>
              <w:rPr>
                <w:rFonts w:ascii="Cambria Math" w:eastAsiaTheme="minorEastAsia" w:hAnsi="Cambria Math"/>
                <w:i/>
                <w:iCs/>
                <w:sz w:val="18"/>
                <w:szCs w:val="18"/>
              </w:rPr>
            </m:ctrlPr>
          </m:sSubPr>
          <m:e>
            <m:r>
              <w:rPr>
                <w:rFonts w:ascii="Cambria Math" w:eastAsiaTheme="minorEastAsia" w:hAnsi="Cambria Math"/>
                <w:sz w:val="18"/>
                <w:szCs w:val="18"/>
              </w:rPr>
              <m:t>ϵ</m:t>
            </m:r>
          </m:e>
          <m:sub>
            <m:r>
              <w:rPr>
                <w:rFonts w:ascii="Cambria Math" w:eastAsiaTheme="minorEastAsia" w:hAnsi="Cambria Math"/>
                <w:sz w:val="18"/>
                <w:szCs w:val="18"/>
              </w:rPr>
              <m:t>ijt</m:t>
            </m:r>
          </m:sub>
        </m:sSub>
      </m:oMath>
      <w:r w:rsidR="00F92B01" w:rsidRPr="00513BF1">
        <w:rPr>
          <w:rFonts w:eastAsiaTheme="minorEastAsia"/>
          <w:sz w:val="18"/>
          <w:szCs w:val="18"/>
        </w:rPr>
        <w:t>, w</w:t>
      </w:r>
      <w:r w:rsidR="00DE61DD" w:rsidRPr="00513BF1">
        <w:rPr>
          <w:rFonts w:eastAsiaTheme="minorEastAsia"/>
          <w:sz w:val="18"/>
          <w:szCs w:val="18"/>
        </w:rPr>
        <w:t xml:space="preserve">here </w:t>
      </w:r>
      <m:oMath>
        <m:sSub>
          <m:sSubPr>
            <m:ctrlPr>
              <w:rPr>
                <w:rFonts w:ascii="Cambria Math" w:hAnsi="Cambria Math"/>
                <w:i/>
                <w:iCs/>
                <w:sz w:val="18"/>
                <w:szCs w:val="18"/>
              </w:rPr>
            </m:ctrlPr>
          </m:sSubPr>
          <m:e>
            <m:r>
              <w:rPr>
                <w:rFonts w:ascii="Cambria Math" w:hAnsi="Cambria Math"/>
                <w:sz w:val="18"/>
                <w:szCs w:val="18"/>
              </w:rPr>
              <m:t>X</m:t>
            </m:r>
          </m:e>
          <m:sub>
            <m:r>
              <w:rPr>
                <w:rFonts w:ascii="Cambria Math" w:hAnsi="Cambria Math"/>
                <w:sz w:val="18"/>
                <w:szCs w:val="18"/>
              </w:rPr>
              <m:t>ij,t</m:t>
            </m:r>
          </m:sub>
        </m:sSub>
      </m:oMath>
      <w:r w:rsidR="00F92B01" w:rsidRPr="00513BF1">
        <w:rPr>
          <w:rFonts w:eastAsiaTheme="minorEastAsia"/>
          <w:i/>
          <w:iCs/>
          <w:sz w:val="18"/>
          <w:szCs w:val="18"/>
        </w:rPr>
        <w:t xml:space="preserve"> </w:t>
      </w:r>
      <w:r w:rsidR="00FA0D33" w:rsidRPr="00513BF1">
        <w:rPr>
          <w:rFonts w:eastAsiaTheme="minorEastAsia"/>
          <w:sz w:val="18"/>
          <w:szCs w:val="18"/>
        </w:rPr>
        <w:t xml:space="preserve">are </w:t>
      </w:r>
      <w:r w:rsidR="00B21F5D" w:rsidRPr="00513BF1">
        <w:rPr>
          <w:rFonts w:eastAsiaTheme="minorEastAsia"/>
          <w:sz w:val="18"/>
          <w:szCs w:val="18"/>
        </w:rPr>
        <w:t>digital</w:t>
      </w:r>
      <w:r w:rsidR="00675328" w:rsidRPr="00513BF1">
        <w:rPr>
          <w:rFonts w:eastAsiaTheme="minorEastAsia"/>
          <w:sz w:val="18"/>
          <w:szCs w:val="18"/>
        </w:rPr>
        <w:t xml:space="preserve"> trade</w:t>
      </w:r>
      <w:r w:rsidR="00B21F5D" w:rsidRPr="00513BF1">
        <w:rPr>
          <w:rFonts w:eastAsiaTheme="minorEastAsia"/>
          <w:sz w:val="18"/>
          <w:szCs w:val="18"/>
        </w:rPr>
        <w:t xml:space="preserve"> </w:t>
      </w:r>
      <w:r w:rsidR="00FA0D33" w:rsidRPr="00513BF1">
        <w:rPr>
          <w:rFonts w:eastAsiaTheme="minorEastAsia"/>
          <w:sz w:val="18"/>
          <w:szCs w:val="18"/>
        </w:rPr>
        <w:t>exports,</w:t>
      </w:r>
      <w:r w:rsidR="00F37DF5" w:rsidRPr="00513BF1">
        <w:rPr>
          <w:rFonts w:eastAsiaTheme="minorEastAsia"/>
          <w:sz w:val="18"/>
          <w:szCs w:val="18"/>
        </w:rPr>
        <w:t xml:space="preserve"> </w:t>
      </w:r>
      <m:oMath>
        <m:sSub>
          <m:sSubPr>
            <m:ctrlPr>
              <w:rPr>
                <w:rFonts w:ascii="Cambria Math" w:hAnsi="Cambria Math"/>
                <w:i/>
                <w:iCs/>
                <w:sz w:val="18"/>
                <w:szCs w:val="18"/>
              </w:rPr>
            </m:ctrlPr>
          </m:sSubPr>
          <m:e>
            <m:r>
              <w:rPr>
                <w:rFonts w:ascii="Cambria Math" w:hAnsi="Cambria Math"/>
                <w:sz w:val="18"/>
                <w:szCs w:val="18"/>
              </w:rPr>
              <m:t>GRA</m:t>
            </m:r>
          </m:e>
          <m:sub>
            <m:r>
              <w:rPr>
                <w:rFonts w:ascii="Cambria Math" w:hAnsi="Cambria Math"/>
                <w:sz w:val="18"/>
                <w:szCs w:val="18"/>
              </w:rPr>
              <m:t>ij,t</m:t>
            </m:r>
          </m:sub>
        </m:sSub>
      </m:oMath>
      <w:r w:rsidR="00F37DF5" w:rsidRPr="00513BF1">
        <w:rPr>
          <w:rFonts w:eastAsiaTheme="minorEastAsia"/>
          <w:sz w:val="18"/>
          <w:szCs w:val="18"/>
        </w:rPr>
        <w:t xml:space="preserve"> </w:t>
      </w:r>
      <w:r w:rsidR="00C14ACC" w:rsidRPr="00513BF1">
        <w:rPr>
          <w:rFonts w:eastAsiaTheme="minorEastAsia"/>
          <w:sz w:val="18"/>
          <w:szCs w:val="18"/>
        </w:rPr>
        <w:t xml:space="preserve">are </w:t>
      </w:r>
      <w:r w:rsidR="00F37DF5" w:rsidRPr="00513BF1">
        <w:rPr>
          <w:rFonts w:eastAsiaTheme="minorEastAsia"/>
          <w:sz w:val="18"/>
          <w:szCs w:val="18"/>
        </w:rPr>
        <w:t>standard gravity controls</w:t>
      </w:r>
      <w:r w:rsidR="00FA0D33" w:rsidRPr="00513BF1">
        <w:rPr>
          <w:rFonts w:eastAsiaTheme="minorEastAsia"/>
          <w:sz w:val="18"/>
          <w:szCs w:val="18"/>
        </w:rPr>
        <w:t>,</w:t>
      </w:r>
      <w:r w:rsidR="00F37DF5" w:rsidRPr="00513BF1">
        <w:rPr>
          <w:rFonts w:eastAsiaTheme="minorEastAsia"/>
          <w:sz w:val="18"/>
          <w:szCs w:val="18"/>
        </w:rPr>
        <w:t xml:space="preserve"> </w:t>
      </w:r>
      <m:oMath>
        <m:sSub>
          <m:sSubPr>
            <m:ctrlPr>
              <w:rPr>
                <w:rFonts w:ascii="Cambria Math" w:hAnsi="Cambria Math"/>
                <w:i/>
                <w:iCs/>
                <w:sz w:val="18"/>
                <w:szCs w:val="18"/>
              </w:rPr>
            </m:ctrlPr>
          </m:sSubPr>
          <m:e>
            <m:r>
              <w:rPr>
                <w:rFonts w:ascii="Cambria Math" w:hAnsi="Cambria Math"/>
                <w:sz w:val="18"/>
                <w:szCs w:val="18"/>
              </w:rPr>
              <m:t xml:space="preserve"> α</m:t>
            </m:r>
          </m:e>
          <m:sub>
            <m:r>
              <w:rPr>
                <w:rFonts w:ascii="Cambria Math" w:hAnsi="Cambria Math"/>
                <w:sz w:val="18"/>
                <w:szCs w:val="18"/>
              </w:rPr>
              <m:t>i</m:t>
            </m:r>
          </m:sub>
        </m:sSub>
      </m:oMath>
      <w:r w:rsidR="00F37DF5" w:rsidRPr="00513BF1">
        <w:rPr>
          <w:rFonts w:eastAsiaTheme="minorEastAsia"/>
          <w:iCs/>
          <w:sz w:val="18"/>
          <w:szCs w:val="18"/>
        </w:rPr>
        <w:t xml:space="preserve">, </w:t>
      </w:r>
      <m:oMath>
        <m:sSub>
          <m:sSubPr>
            <m:ctrlPr>
              <w:rPr>
                <w:rFonts w:ascii="Cambria Math" w:hAnsi="Cambria Math"/>
                <w:i/>
                <w:iCs/>
                <w:sz w:val="18"/>
                <w:szCs w:val="18"/>
              </w:rPr>
            </m:ctrlPr>
          </m:sSubPr>
          <m:e>
            <m:r>
              <w:rPr>
                <w:rFonts w:ascii="Cambria Math" w:hAnsi="Cambria Math"/>
                <w:sz w:val="18"/>
                <w:szCs w:val="18"/>
              </w:rPr>
              <m:t>γ</m:t>
            </m:r>
          </m:e>
          <m:sub>
            <m:r>
              <w:rPr>
                <w:rFonts w:ascii="Cambria Math" w:hAnsi="Cambria Math"/>
                <w:sz w:val="18"/>
                <w:szCs w:val="18"/>
              </w:rPr>
              <m:t>j</m:t>
            </m:r>
          </m:sub>
        </m:sSub>
      </m:oMath>
      <w:r w:rsidR="00F37DF5" w:rsidRPr="00513BF1">
        <w:rPr>
          <w:rFonts w:eastAsiaTheme="minorEastAsia"/>
          <w:iCs/>
          <w:sz w:val="18"/>
          <w:szCs w:val="18"/>
        </w:rPr>
        <w:t xml:space="preserve">, and </w:t>
      </w:r>
      <m:oMath>
        <m:sSub>
          <m:sSubPr>
            <m:ctrlPr>
              <w:rPr>
                <w:rFonts w:ascii="Cambria Math" w:hAnsi="Cambria Math"/>
                <w:i/>
                <w:iCs/>
                <w:sz w:val="18"/>
                <w:szCs w:val="18"/>
              </w:rPr>
            </m:ctrlPr>
          </m:sSubPr>
          <m:e>
            <m:r>
              <w:rPr>
                <w:rFonts w:ascii="Cambria Math" w:hAnsi="Cambria Math"/>
                <w:sz w:val="18"/>
                <w:szCs w:val="18"/>
              </w:rPr>
              <m:t>λ</m:t>
            </m:r>
          </m:e>
          <m:sub>
            <m:r>
              <w:rPr>
                <w:rFonts w:ascii="Cambria Math" w:hAnsi="Cambria Math"/>
                <w:sz w:val="18"/>
                <w:szCs w:val="18"/>
              </w:rPr>
              <m:t>t</m:t>
            </m:r>
          </m:sub>
        </m:sSub>
      </m:oMath>
      <w:r w:rsidR="00F37DF5" w:rsidRPr="00513BF1">
        <w:rPr>
          <w:rFonts w:eastAsiaTheme="minorEastAsia"/>
          <w:iCs/>
          <w:sz w:val="18"/>
          <w:szCs w:val="18"/>
        </w:rPr>
        <w:t xml:space="preserve"> are exporter, importer, and time fixed effects</w:t>
      </w:r>
      <w:r w:rsidR="00FA0D33" w:rsidRPr="00513BF1">
        <w:rPr>
          <w:rFonts w:eastAsiaTheme="minorEastAsia"/>
          <w:iCs/>
          <w:sz w:val="18"/>
          <w:szCs w:val="18"/>
        </w:rPr>
        <w:t>,</w:t>
      </w:r>
      <w:r w:rsidR="00F37DF5" w:rsidRPr="00513BF1">
        <w:rPr>
          <w:rFonts w:eastAsiaTheme="minorEastAsia"/>
          <w:iCs/>
          <w:sz w:val="18"/>
          <w:szCs w:val="18"/>
        </w:rPr>
        <w:t xml:space="preserve"> respectively</w:t>
      </w:r>
      <w:r w:rsidR="00FA0D33" w:rsidRPr="00513BF1">
        <w:rPr>
          <w:rFonts w:eastAsiaTheme="minorEastAsia"/>
          <w:iCs/>
          <w:sz w:val="18"/>
          <w:szCs w:val="18"/>
        </w:rPr>
        <w:t>,</w:t>
      </w:r>
      <w:r w:rsidR="00F37DF5" w:rsidRPr="00513BF1">
        <w:rPr>
          <w:rFonts w:eastAsiaTheme="minorEastAsia"/>
          <w:iCs/>
          <w:sz w:val="18"/>
          <w:szCs w:val="18"/>
        </w:rPr>
        <w:t xml:space="preserve"> and </w:t>
      </w:r>
      <m:oMath>
        <m:sSub>
          <m:sSubPr>
            <m:ctrlPr>
              <w:rPr>
                <w:rFonts w:ascii="Cambria Math" w:eastAsiaTheme="minorEastAsia" w:hAnsi="Cambria Math"/>
                <w:i/>
                <w:iCs/>
                <w:sz w:val="18"/>
                <w:szCs w:val="18"/>
              </w:rPr>
            </m:ctrlPr>
          </m:sSubPr>
          <m:e>
            <m:r>
              <w:rPr>
                <w:rFonts w:ascii="Cambria Math" w:eastAsiaTheme="minorEastAsia" w:hAnsi="Cambria Math"/>
                <w:sz w:val="18"/>
                <w:szCs w:val="18"/>
              </w:rPr>
              <m:t>ϵ</m:t>
            </m:r>
          </m:e>
          <m:sub>
            <m:r>
              <w:rPr>
                <w:rFonts w:ascii="Cambria Math" w:eastAsiaTheme="minorEastAsia" w:hAnsi="Cambria Math"/>
                <w:sz w:val="18"/>
                <w:szCs w:val="18"/>
              </w:rPr>
              <m:t>ij,t</m:t>
            </m:r>
          </m:sub>
        </m:sSub>
      </m:oMath>
      <w:r w:rsidR="00F37DF5" w:rsidRPr="00513BF1">
        <w:rPr>
          <w:rFonts w:eastAsiaTheme="minorEastAsia"/>
          <w:sz w:val="18"/>
          <w:szCs w:val="18"/>
        </w:rPr>
        <w:t xml:space="preserve"> </w:t>
      </w:r>
      <w:r w:rsidR="000D5B41" w:rsidRPr="00513BF1">
        <w:rPr>
          <w:rFonts w:eastAsiaTheme="minorEastAsia"/>
          <w:sz w:val="18"/>
          <w:szCs w:val="18"/>
        </w:rPr>
        <w:t xml:space="preserve">is an </w:t>
      </w:r>
      <w:r w:rsidR="00F37DF5" w:rsidRPr="00513BF1">
        <w:rPr>
          <w:rFonts w:eastAsiaTheme="minorEastAsia"/>
          <w:sz w:val="18"/>
          <w:szCs w:val="18"/>
        </w:rPr>
        <w:t>error term</w:t>
      </w:r>
      <w:r w:rsidR="00B21F5D" w:rsidRPr="00513BF1">
        <w:rPr>
          <w:rFonts w:eastAsiaTheme="minorEastAsia"/>
          <w:sz w:val="18"/>
          <w:szCs w:val="18"/>
        </w:rPr>
        <w:t xml:space="preserve">. </w:t>
      </w:r>
      <w:r w:rsidR="00FA0D33" w:rsidRPr="00513BF1">
        <w:rPr>
          <w:rFonts w:eastAsiaTheme="minorEastAsia"/>
          <w:sz w:val="18"/>
          <w:szCs w:val="18"/>
        </w:rPr>
        <w:t xml:space="preserve">Definitions of these variables are discussed in Section 3. </w:t>
      </w:r>
      <w:r w:rsidRPr="00513BF1">
        <w:rPr>
          <w:rFonts w:eastAsiaTheme="minorEastAsia"/>
          <w:sz w:val="18"/>
          <w:szCs w:val="18"/>
        </w:rPr>
        <w:t>T</w:t>
      </w:r>
      <w:r w:rsidRPr="00513BF1">
        <w:rPr>
          <w:sz w:val="18"/>
          <w:szCs w:val="18"/>
        </w:rPr>
        <w:t xml:space="preserve">he </w:t>
      </w:r>
      <w:r w:rsidR="00B96D2F" w:rsidRPr="00513BF1">
        <w:rPr>
          <w:sz w:val="18"/>
          <w:szCs w:val="18"/>
        </w:rPr>
        <w:t>left-hand</w:t>
      </w:r>
      <w:r w:rsidR="000D5B41" w:rsidRPr="00513BF1">
        <w:rPr>
          <w:sz w:val="18"/>
          <w:szCs w:val="18"/>
        </w:rPr>
        <w:t xml:space="preserve"> </w:t>
      </w:r>
      <w:r w:rsidRPr="00513BF1">
        <w:rPr>
          <w:sz w:val="18"/>
          <w:szCs w:val="18"/>
        </w:rPr>
        <w:t xml:space="preserve">panel </w:t>
      </w:r>
      <w:r w:rsidR="000D5B41" w:rsidRPr="00513BF1">
        <w:rPr>
          <w:sz w:val="18"/>
          <w:szCs w:val="18"/>
        </w:rPr>
        <w:t xml:space="preserve">plots </w:t>
      </w:r>
      <w:r w:rsidRPr="00513BF1">
        <w:rPr>
          <w:sz w:val="18"/>
          <w:szCs w:val="18"/>
        </w:rPr>
        <w:t xml:space="preserve">point estimates for </w:t>
      </w:r>
      <w:r w:rsidR="0048460B" w:rsidRPr="00513BF1">
        <w:rPr>
          <w:sz w:val="18"/>
          <w:szCs w:val="18"/>
        </w:rPr>
        <w:t xml:space="preserve">digital </w:t>
      </w:r>
      <w:r w:rsidR="00BE3B9A">
        <w:rPr>
          <w:sz w:val="18"/>
          <w:szCs w:val="18"/>
        </w:rPr>
        <w:t xml:space="preserve">trade </w:t>
      </w:r>
      <w:r w:rsidRPr="00513BF1">
        <w:rPr>
          <w:sz w:val="18"/>
          <w:szCs w:val="18"/>
        </w:rPr>
        <w:t xml:space="preserve">between EU members and all partner countries </w:t>
      </w:r>
      <w:r w:rsidR="008E06F2" w:rsidRPr="00513BF1">
        <w:rPr>
          <w:sz w:val="18"/>
          <w:szCs w:val="18"/>
        </w:rPr>
        <w:t xml:space="preserve">with </w:t>
      </w:r>
      <w:r w:rsidRPr="00513BF1">
        <w:rPr>
          <w:sz w:val="18"/>
          <w:szCs w:val="18"/>
        </w:rPr>
        <w:t xml:space="preserve">an adequacy decision. The </w:t>
      </w:r>
      <w:r w:rsidR="00B96D2F" w:rsidRPr="00513BF1">
        <w:rPr>
          <w:sz w:val="18"/>
          <w:szCs w:val="18"/>
        </w:rPr>
        <w:t>right-hand</w:t>
      </w:r>
      <w:r w:rsidR="000D5B41" w:rsidRPr="00513BF1">
        <w:rPr>
          <w:sz w:val="18"/>
          <w:szCs w:val="18"/>
        </w:rPr>
        <w:t xml:space="preserve"> </w:t>
      </w:r>
      <w:r w:rsidRPr="00513BF1">
        <w:rPr>
          <w:sz w:val="18"/>
          <w:szCs w:val="18"/>
        </w:rPr>
        <w:t xml:space="preserve">panel </w:t>
      </w:r>
      <w:r w:rsidR="00151922" w:rsidRPr="00513BF1">
        <w:rPr>
          <w:sz w:val="18"/>
          <w:szCs w:val="18"/>
        </w:rPr>
        <w:t xml:space="preserve">plots </w:t>
      </w:r>
      <w:r w:rsidRPr="00513BF1">
        <w:rPr>
          <w:sz w:val="18"/>
          <w:szCs w:val="18"/>
        </w:rPr>
        <w:t xml:space="preserve">estimates </w:t>
      </w:r>
      <w:r w:rsidR="003F1FB7" w:rsidRPr="00513BF1">
        <w:rPr>
          <w:sz w:val="18"/>
          <w:szCs w:val="18"/>
        </w:rPr>
        <w:t xml:space="preserve">for </w:t>
      </w:r>
      <w:r w:rsidR="00BE3B9A">
        <w:rPr>
          <w:sz w:val="18"/>
          <w:szCs w:val="18"/>
        </w:rPr>
        <w:t xml:space="preserve">digital trade </w:t>
      </w:r>
      <w:r w:rsidRPr="00513BF1">
        <w:rPr>
          <w:sz w:val="18"/>
          <w:szCs w:val="18"/>
        </w:rPr>
        <w:t xml:space="preserve">between countries with EU adequacy. </w:t>
      </w:r>
      <w:r w:rsidR="005D2718">
        <w:rPr>
          <w:i/>
          <w:iCs/>
          <w:sz w:val="18"/>
          <w:szCs w:val="18"/>
        </w:rPr>
        <w:t xml:space="preserve"> </w:t>
      </w:r>
      <w:r w:rsidR="008C4B4C" w:rsidRPr="00513BF1">
        <w:rPr>
          <w:i/>
          <w:iCs/>
          <w:sz w:val="18"/>
          <w:szCs w:val="18"/>
        </w:rPr>
        <w:t>Source</w:t>
      </w:r>
      <w:r w:rsidR="008C4B4C" w:rsidRPr="00513BF1">
        <w:rPr>
          <w:sz w:val="18"/>
          <w:szCs w:val="18"/>
        </w:rPr>
        <w:t xml:space="preserve">: OECD </w:t>
      </w:r>
      <w:r w:rsidR="00B60FBA">
        <w:rPr>
          <w:sz w:val="18"/>
          <w:szCs w:val="18"/>
        </w:rPr>
        <w:t>Trade in Value Added d</w:t>
      </w:r>
      <w:r w:rsidR="008C4B4C" w:rsidRPr="00513BF1">
        <w:rPr>
          <w:sz w:val="18"/>
          <w:szCs w:val="18"/>
        </w:rPr>
        <w:t>atabase.</w:t>
      </w:r>
    </w:p>
    <w:p w14:paraId="0C9CC0B6" w14:textId="77777777" w:rsidR="005D2718" w:rsidRPr="00513BF1" w:rsidRDefault="005D2718" w:rsidP="00604F53">
      <w:pPr>
        <w:spacing w:after="0" w:line="240" w:lineRule="auto"/>
        <w:jc w:val="both"/>
      </w:pPr>
    </w:p>
    <w:p w14:paraId="0C3D3260" w14:textId="13FBD690" w:rsidR="008A3E24" w:rsidRPr="00513BF1" w:rsidRDefault="008A3E24" w:rsidP="0011538D">
      <w:pPr>
        <w:jc w:val="both"/>
      </w:pPr>
      <w:r w:rsidRPr="00513BF1">
        <w:t xml:space="preserve">Prior to </w:t>
      </w:r>
      <w:r w:rsidR="00F05548" w:rsidRPr="00513BF1">
        <w:t xml:space="preserve">an </w:t>
      </w:r>
      <w:r w:rsidRPr="00513BF1">
        <w:t>adequacy</w:t>
      </w:r>
      <w:r w:rsidR="00F05548" w:rsidRPr="00513BF1">
        <w:t xml:space="preserve"> decision</w:t>
      </w:r>
      <w:r w:rsidRPr="00513BF1">
        <w:t xml:space="preserve">, both panels show no significant difference in digital trade compared to countries that did not receive adequacy during the sample period. The gap becomes positive following </w:t>
      </w:r>
      <w:r w:rsidR="00C14ACC" w:rsidRPr="00513BF1">
        <w:t xml:space="preserve">an </w:t>
      </w:r>
      <w:r w:rsidRPr="00513BF1">
        <w:t>adequacy decision, with coefficient estimates that are statistically significant at the 1 percent level in the second and subsequent years following the adequacy decision.</w:t>
      </w:r>
      <w:r w:rsidRPr="00513BF1">
        <w:rPr>
          <w:rStyle w:val="FootnoteReference"/>
        </w:rPr>
        <w:footnoteReference w:id="18"/>
      </w:r>
      <w:r w:rsidRPr="00513BF1">
        <w:t xml:space="preserve"> </w:t>
      </w:r>
      <w:r w:rsidR="005D2718">
        <w:t>The</w:t>
      </w:r>
      <w:r w:rsidRPr="00513BF1">
        <w:t xml:space="preserve"> event study </w:t>
      </w:r>
      <w:r w:rsidR="00A43417">
        <w:t xml:space="preserve">estimates </w:t>
      </w:r>
      <w:r w:rsidRPr="00513BF1">
        <w:t>plotted in the right</w:t>
      </w:r>
      <w:r w:rsidR="00B96D2F" w:rsidRPr="00513BF1">
        <w:t>-hand</w:t>
      </w:r>
      <w:r w:rsidRPr="00513BF1">
        <w:t xml:space="preserve"> panel </w:t>
      </w:r>
      <w:r w:rsidR="00D1595C" w:rsidRPr="00513BF1">
        <w:t xml:space="preserve">are </w:t>
      </w:r>
      <w:r w:rsidRPr="00513BF1">
        <w:t>suggest</w:t>
      </w:r>
      <w:r w:rsidR="00D1595C" w:rsidRPr="00513BF1">
        <w:t xml:space="preserve">ive of </w:t>
      </w:r>
      <w:r w:rsidR="003F3FC7" w:rsidRPr="00513BF1">
        <w:t xml:space="preserve">a club effect associated with </w:t>
      </w:r>
      <w:r w:rsidRPr="00513BF1">
        <w:t>decisions</w:t>
      </w:r>
      <w:r w:rsidR="003F3FC7" w:rsidRPr="00513BF1">
        <w:t xml:space="preserve"> </w:t>
      </w:r>
      <w:r w:rsidRPr="00513BF1">
        <w:t>enabl</w:t>
      </w:r>
      <w:r w:rsidR="003F3FC7" w:rsidRPr="00513BF1">
        <w:t xml:space="preserve">ing </w:t>
      </w:r>
      <w:r w:rsidRPr="00513BF1">
        <w:t xml:space="preserve">the onward transfer of EU personal data among the set of countries with an adequacy decision. </w:t>
      </w:r>
    </w:p>
    <w:p w14:paraId="1E7276DE" w14:textId="77777777" w:rsidR="007A023F" w:rsidRPr="00513BF1" w:rsidRDefault="007A023F" w:rsidP="0011538D">
      <w:pPr>
        <w:spacing w:after="0" w:line="240" w:lineRule="auto"/>
        <w:jc w:val="both"/>
      </w:pPr>
    </w:p>
    <w:p w14:paraId="1EAA0BEE" w14:textId="4BB8CC01" w:rsidR="000C65D9" w:rsidRPr="00633995" w:rsidRDefault="00A10B19" w:rsidP="0011538D">
      <w:pPr>
        <w:pStyle w:val="ListParagraph"/>
        <w:numPr>
          <w:ilvl w:val="0"/>
          <w:numId w:val="1"/>
        </w:numPr>
        <w:ind w:left="714" w:hanging="357"/>
        <w:contextualSpacing w:val="0"/>
        <w:jc w:val="both"/>
        <w:rPr>
          <w:b/>
          <w:bCs/>
        </w:rPr>
      </w:pPr>
      <w:r w:rsidRPr="00633995">
        <w:rPr>
          <w:b/>
          <w:bCs/>
        </w:rPr>
        <w:t>G</w:t>
      </w:r>
      <w:r w:rsidR="00F2507F" w:rsidRPr="00633995">
        <w:rPr>
          <w:b/>
          <w:bCs/>
        </w:rPr>
        <w:t>ravity</w:t>
      </w:r>
      <w:r w:rsidR="00D57D35" w:rsidRPr="00633995">
        <w:rPr>
          <w:b/>
          <w:bCs/>
        </w:rPr>
        <w:t>-based</w:t>
      </w:r>
      <w:r w:rsidR="00F2507F" w:rsidRPr="00633995">
        <w:rPr>
          <w:b/>
          <w:bCs/>
        </w:rPr>
        <w:t xml:space="preserve"> </w:t>
      </w:r>
      <w:r w:rsidRPr="00633995">
        <w:rPr>
          <w:b/>
          <w:bCs/>
        </w:rPr>
        <w:t>analysis</w:t>
      </w:r>
      <w:r w:rsidR="00F2507F" w:rsidRPr="00633995">
        <w:rPr>
          <w:b/>
          <w:bCs/>
        </w:rPr>
        <w:t xml:space="preserve"> </w:t>
      </w:r>
      <w:r w:rsidR="00B8379B" w:rsidRPr="00633995">
        <w:rPr>
          <w:b/>
          <w:bCs/>
        </w:rPr>
        <w:t xml:space="preserve">of </w:t>
      </w:r>
      <w:r w:rsidR="00EA6E60" w:rsidRPr="00633995">
        <w:rPr>
          <w:b/>
          <w:bCs/>
        </w:rPr>
        <w:t>a</w:t>
      </w:r>
      <w:r w:rsidR="00F2507F" w:rsidRPr="00633995">
        <w:rPr>
          <w:b/>
          <w:bCs/>
        </w:rPr>
        <w:t>dequacy</w:t>
      </w:r>
    </w:p>
    <w:p w14:paraId="39E10314" w14:textId="48B853DA" w:rsidR="005F186C" w:rsidRDefault="00DB6D34" w:rsidP="005F186C">
      <w:pPr>
        <w:jc w:val="both"/>
        <w:rPr>
          <w:rFonts w:eastAsiaTheme="minorEastAsia"/>
        </w:rPr>
      </w:pPr>
      <w:r>
        <w:t>The gravity model is a widely used empirical framework to assess the determinants of bilateral trade flows, including policy variables (Head and Mayer, 2014).</w:t>
      </w:r>
      <w:r w:rsidR="00386FE7">
        <w:rPr>
          <w:rStyle w:val="FootnoteReference"/>
        </w:rPr>
        <w:footnoteReference w:id="19"/>
      </w:r>
      <w:r w:rsidR="00386FE7">
        <w:t xml:space="preserve"> </w:t>
      </w:r>
      <w:r>
        <w:t>In our case, the policy of interest is an EU adequacy decision</w:t>
      </w:r>
      <w:r w:rsidR="00386FE7">
        <w:t xml:space="preserve">, which is expected to reduce bilateral trade costs. </w:t>
      </w:r>
      <w:r w:rsidR="00386FE7">
        <w:rPr>
          <w:rFonts w:eastAsiaTheme="minorEastAsia"/>
        </w:rPr>
        <w:t>Tr</w:t>
      </w:r>
      <w:r w:rsidR="005F186C" w:rsidRPr="00633995">
        <w:rPr>
          <w:rFonts w:eastAsiaTheme="minorEastAsia"/>
        </w:rPr>
        <w:t>ade costs</w:t>
      </w:r>
      <w:r w:rsidR="00386FE7">
        <w:rPr>
          <w:rFonts w:eastAsiaTheme="minorEastAsia"/>
        </w:rPr>
        <w:t xml:space="preserve">, </w:t>
      </w:r>
      <m:oMath>
        <m:sSub>
          <m:sSubPr>
            <m:ctrlPr>
              <w:rPr>
                <w:rFonts w:ascii="Cambria Math" w:hAnsi="Cambria Math"/>
                <w:i/>
              </w:rPr>
            </m:ctrlPr>
          </m:sSubPr>
          <m:e>
            <m:r>
              <w:rPr>
                <w:rFonts w:ascii="Cambria Math" w:hAnsi="Cambria Math"/>
              </w:rPr>
              <m:t>τ</m:t>
            </m:r>
          </m:e>
          <m:sub>
            <m:r>
              <w:rPr>
                <w:rFonts w:ascii="Cambria Math" w:hAnsi="Cambria Math"/>
              </w:rPr>
              <m:t>ijk</m:t>
            </m:r>
          </m:sub>
        </m:sSub>
      </m:oMath>
      <w:r w:rsidR="005F186C">
        <w:rPr>
          <w:rFonts w:eastAsiaTheme="minorEastAsia"/>
        </w:rPr>
        <w:t>,</w:t>
      </w:r>
      <w:r w:rsidR="00386FE7">
        <w:rPr>
          <w:rFonts w:eastAsiaTheme="minorEastAsia"/>
        </w:rPr>
        <w:t xml:space="preserve"> c</w:t>
      </w:r>
      <w:r w:rsidR="005F186C" w:rsidRPr="00633995">
        <w:rPr>
          <w:rFonts w:eastAsiaTheme="minorEastAsia"/>
        </w:rPr>
        <w:t>omprise</w:t>
      </w:r>
      <w:r w:rsidR="005F186C">
        <w:rPr>
          <w:rFonts w:eastAsiaTheme="minorEastAsia"/>
        </w:rPr>
        <w:t xml:space="preserve"> </w:t>
      </w:r>
      <w:r w:rsidR="005F186C" w:rsidRPr="00633995">
        <w:rPr>
          <w:rFonts w:eastAsiaTheme="minorEastAsia"/>
        </w:rPr>
        <w:t xml:space="preserve">two elements: </w:t>
      </w:r>
    </w:p>
    <w:p w14:paraId="083FEC96" w14:textId="471C4B09" w:rsidR="005F186C" w:rsidRPr="008D02F8" w:rsidRDefault="00000000" w:rsidP="005F186C">
      <w:pPr>
        <w:jc w:val="both"/>
        <w:rPr>
          <w:rFonts w:eastAsiaTheme="minorEastAsia"/>
        </w:rPr>
      </w:pPr>
      <m:oMathPara>
        <m:oMathParaPr>
          <m:jc m:val="center"/>
        </m:oMathParaPr>
        <m:oMath>
          <m:sSub>
            <m:sSubPr>
              <m:ctrlPr>
                <w:rPr>
                  <w:rFonts w:ascii="Cambria Math" w:hAnsi="Cambria Math"/>
                  <w:i/>
                </w:rPr>
              </m:ctrlPr>
            </m:sSubPr>
            <m:e>
              <m:r>
                <w:rPr>
                  <w:rFonts w:ascii="Cambria Math" w:eastAsiaTheme="minorEastAsia" w:hAnsi="Cambria Math"/>
                </w:rPr>
                <m:t>τ</m:t>
              </m:r>
            </m:e>
            <m:sub>
              <m:r>
                <w:rPr>
                  <w:rFonts w:ascii="Cambria Math" w:hAnsi="Cambria Math"/>
                </w:rPr>
                <m:t>ijk</m:t>
              </m:r>
              <m:r>
                <w:rPr>
                  <w:rFonts w:ascii="Cambria Math"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ijk</m:t>
              </m:r>
              <m:r>
                <w:rPr>
                  <w:rFonts w:ascii="Cambria Math" w:eastAsiaTheme="minorEastAsia" w:hAnsi="Cambria Math"/>
                </w:rPr>
                <m:t>t</m:t>
              </m:r>
            </m:sub>
          </m:sSub>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ijk</m:t>
              </m:r>
              <m:r>
                <w:rPr>
                  <w:rFonts w:ascii="Cambria Math" w:eastAsiaTheme="minorEastAsia" w:hAnsi="Cambria Math"/>
                </w:rPr>
                <m:t>t</m:t>
              </m:r>
            </m:sub>
          </m:sSub>
          <m:r>
            <w:rPr>
              <w:rFonts w:ascii="Cambria Math" w:eastAsiaTheme="minorEastAsia" w:hAnsi="Cambria Math"/>
            </w:rPr>
            <m:t>)</m:t>
          </m:r>
          <m:r>
            <w:rPr>
              <w:rFonts w:ascii="Cambria Math" w:hAnsi="Cambria Math"/>
            </w:rPr>
            <m:t xml:space="preserve">                                        (1)</m:t>
          </m:r>
        </m:oMath>
      </m:oMathPara>
    </w:p>
    <w:p w14:paraId="70839036" w14:textId="3A272FB1" w:rsidR="005F186C" w:rsidRDefault="005F186C" w:rsidP="005F186C">
      <w:pPr>
        <w:jc w:val="both"/>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ijk</m:t>
            </m:r>
          </m:sub>
        </m:sSub>
      </m:oMath>
      <w:r>
        <w:rPr>
          <w:rFonts w:eastAsiaTheme="minorEastAsia"/>
        </w:rPr>
        <w:t xml:space="preserve"> are the (iceberg) transfer costs incurred by firms in origin country </w:t>
      </w:r>
      <m:oMath>
        <m:r>
          <w:rPr>
            <w:rFonts w:ascii="Cambria Math" w:hAnsi="Cambria Math"/>
          </w:rPr>
          <m:t>i</m:t>
        </m:r>
      </m:oMath>
      <w:r>
        <w:rPr>
          <w:rFonts w:eastAsiaTheme="minorEastAsia"/>
        </w:rPr>
        <w:t xml:space="preserve"> when exporting to destination country </w:t>
      </w:r>
      <m:oMath>
        <m:r>
          <w:rPr>
            <w:rFonts w:ascii="Cambria Math" w:hAnsi="Cambria Math"/>
          </w:rPr>
          <m:t>j</m:t>
        </m:r>
      </m:oMath>
      <w:r>
        <w:rPr>
          <w:rFonts w:eastAsiaTheme="minorEastAsia"/>
        </w:rPr>
        <w:t>,</w:t>
      </w:r>
      <w:r w:rsidRPr="0001514F">
        <w:rPr>
          <w:rFonts w:eastAsiaTheme="minorEastAsia"/>
          <w:lang w:val="en-GB"/>
        </w:rPr>
        <w:t xml:space="preserve"> </w:t>
      </w:r>
      <w:r>
        <w:rPr>
          <w:rFonts w:eastAsiaTheme="minorEastAsia"/>
          <w:lang w:val="en-GB"/>
        </w:rPr>
        <w:t xml:space="preserve">and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ijk</m:t>
            </m:r>
          </m:sub>
        </m:sSub>
      </m:oMath>
      <w:r>
        <w:rPr>
          <w:rFonts w:eastAsiaTheme="minorEastAsia"/>
        </w:rPr>
        <w:t xml:space="preserve"> </w:t>
      </w:r>
      <w:r w:rsidRPr="0001514F">
        <w:rPr>
          <w:rFonts w:eastAsiaTheme="minorEastAsia"/>
          <w:lang w:val="en-GB"/>
        </w:rPr>
        <w:t>denot</w:t>
      </w:r>
      <w:r>
        <w:rPr>
          <w:rFonts w:eastAsiaTheme="minorEastAsia"/>
          <w:lang w:val="en-GB"/>
        </w:rPr>
        <w:t xml:space="preserve">es the </w:t>
      </w:r>
      <w:r w:rsidRPr="00A87959">
        <w:rPr>
          <w:rFonts w:eastAsiaTheme="minorEastAsia"/>
          <w:i/>
          <w:iCs/>
          <w:lang w:val="en-GB"/>
        </w:rPr>
        <w:t>ad valorem</w:t>
      </w:r>
      <w:r>
        <w:rPr>
          <w:rFonts w:eastAsiaTheme="minorEastAsia"/>
          <w:lang w:val="en-GB"/>
        </w:rPr>
        <w:t xml:space="preserve"> tariff on imports of ICT goods applied by destination </w:t>
      </w:r>
      <w:r>
        <w:rPr>
          <w:rFonts w:eastAsiaTheme="minorEastAsia"/>
        </w:rPr>
        <w:t>country</w:t>
      </w:r>
      <w:r w:rsidRPr="00194E29">
        <w:rPr>
          <w:rFonts w:eastAsiaTheme="minorEastAsia"/>
        </w:rPr>
        <w:t xml:space="preserve"> </w:t>
      </w:r>
      <m:oMath>
        <m:r>
          <w:rPr>
            <w:rFonts w:ascii="Cambria Math" w:eastAsiaTheme="minorEastAsia" w:hAnsi="Cambria Math"/>
          </w:rPr>
          <m:t>j</m:t>
        </m:r>
      </m:oMath>
      <w:r w:rsidRPr="00194E29">
        <w:rPr>
          <w:rFonts w:eastAsiaTheme="minorEastAsia"/>
        </w:rPr>
        <w:t xml:space="preserve"> from origin </w:t>
      </w:r>
      <m:oMath>
        <m:r>
          <w:rPr>
            <w:rFonts w:ascii="Cambria Math" w:eastAsiaTheme="minorEastAsia" w:hAnsi="Cambria Math"/>
          </w:rPr>
          <m:t>i</m:t>
        </m:r>
      </m:oMath>
      <w:r>
        <w:rPr>
          <w:rFonts w:eastAsiaTheme="minorEastAsia"/>
        </w:rPr>
        <w:t xml:space="preserve">. </w:t>
      </w:r>
      <w:r w:rsidR="000E6586">
        <w:rPr>
          <w:rFonts w:eastAsiaTheme="minorEastAsia"/>
        </w:rPr>
        <w:t xml:space="preserve">These may vary over </w:t>
      </w:r>
      <w:r w:rsidR="0061448A">
        <w:rPr>
          <w:rFonts w:eastAsiaTheme="minorEastAsia"/>
        </w:rPr>
        <w:t>time,</w:t>
      </w:r>
      <w:r w:rsidR="000E6586">
        <w:rPr>
          <w:rFonts w:eastAsiaTheme="minorEastAsia"/>
        </w:rPr>
        <w:t xml:space="preserve"> reflecting e.g., changes in policies. </w:t>
      </w:r>
      <w:r>
        <w:rPr>
          <w:rFonts w:eastAsiaTheme="minorEastAsia"/>
        </w:rPr>
        <w:t>S</w:t>
      </w:r>
      <w:r w:rsidRPr="00D41293">
        <w:rPr>
          <w:rFonts w:eastAsiaTheme="minorEastAsia"/>
        </w:rPr>
        <w:t xml:space="preserve">ince tariffs do not apply to digital services, and most ICT goods covered by our definition of digital trade have zero import duties due to the WTO International Technology Agreement, in our empirical analysis we focus on </w:t>
      </w:r>
      <m:oMath>
        <m:sSub>
          <m:sSubPr>
            <m:ctrlPr>
              <w:rPr>
                <w:rFonts w:ascii="Cambria Math" w:hAnsi="Cambria Math"/>
                <w:i/>
              </w:rPr>
            </m:ctrlPr>
          </m:sSubPr>
          <m:e>
            <m:r>
              <w:rPr>
                <w:rFonts w:ascii="Cambria Math" w:hAnsi="Cambria Math"/>
              </w:rPr>
              <m:t>T</m:t>
            </m:r>
          </m:e>
          <m:sub>
            <m:r>
              <w:rPr>
                <w:rFonts w:ascii="Cambria Math" w:hAnsi="Cambria Math"/>
              </w:rPr>
              <m:t>ijk</m:t>
            </m:r>
            <m:r>
              <w:rPr>
                <w:rFonts w:ascii="Cambria Math" w:hAnsi="Cambria Math"/>
              </w:rPr>
              <m:t>t</m:t>
            </m:r>
          </m:sub>
        </m:sSub>
      </m:oMath>
      <w:r w:rsidR="00386FE7">
        <w:rPr>
          <w:rFonts w:eastAsiaTheme="minorEastAsia"/>
        </w:rPr>
        <w:t>,</w:t>
      </w:r>
      <w:r w:rsidRPr="00D41293">
        <w:rPr>
          <w:rStyle w:val="FootnoteReference"/>
          <w:rFonts w:eastAsiaTheme="minorEastAsia"/>
        </w:rPr>
        <w:footnoteReference w:id="20"/>
      </w:r>
      <w:r w:rsidR="00386FE7">
        <w:t xml:space="preserve"> the </w:t>
      </w:r>
      <w:r>
        <w:t xml:space="preserve">transaction costs that firms in origin country </w:t>
      </w:r>
      <w:r>
        <w:rPr>
          <w:rStyle w:val="Emphasis"/>
        </w:rPr>
        <w:t>i</w:t>
      </w:r>
      <w:r>
        <w:t xml:space="preserve"> incur when exporting to destination country </w:t>
      </w:r>
      <w:r>
        <w:rPr>
          <w:rStyle w:val="Emphasis"/>
        </w:rPr>
        <w:t>j</w:t>
      </w:r>
      <w:r w:rsidR="00386FE7">
        <w:t xml:space="preserve">. These will be determined by </w:t>
      </w:r>
      <w:r>
        <w:t>standard gravity variables</w:t>
      </w:r>
      <w:r w:rsidR="00386FE7">
        <w:t xml:space="preserve"> such as </w:t>
      </w:r>
      <w:r>
        <w:t>bilateral distance, participation in trade agreements</w:t>
      </w:r>
      <w:r w:rsidR="00AC7A9C">
        <w:t xml:space="preserve"> or</w:t>
      </w:r>
      <w:r>
        <w:t xml:space="preserve"> shared language</w:t>
      </w:r>
      <w:r w:rsidR="00AC7A9C">
        <w:t>, as well as</w:t>
      </w:r>
      <w:r w:rsidR="00386FE7">
        <w:rPr>
          <w:rFonts w:eastAsiaTheme="minorEastAsia"/>
        </w:rPr>
        <w:t xml:space="preserve"> </w:t>
      </w:r>
      <w:r>
        <w:rPr>
          <w:rFonts w:eastAsiaTheme="minorEastAsia"/>
        </w:rPr>
        <w:t>policy frictions</w:t>
      </w:r>
      <w:r w:rsidR="00386FE7">
        <w:rPr>
          <w:rFonts w:eastAsiaTheme="minorEastAsia"/>
        </w:rPr>
        <w:t xml:space="preserve">, including </w:t>
      </w:r>
      <w:r w:rsidRPr="001E56CC">
        <w:rPr>
          <w:rFonts w:eastAsiaTheme="minorEastAsia"/>
        </w:rPr>
        <w:t>differences in regulatory regimes that increase the marginal cost for a firm trading across borders</w:t>
      </w:r>
      <w:r w:rsidR="00386FE7">
        <w:rPr>
          <w:rFonts w:eastAsiaTheme="minorEastAsia"/>
        </w:rPr>
        <w:t xml:space="preserve">. In our setting such costs </w:t>
      </w:r>
      <w:r>
        <w:rPr>
          <w:rFonts w:eastAsiaTheme="minorEastAsia"/>
        </w:rPr>
        <w:t>include the need for individual contract-specific measures to safeguard data privacy each time a firm engages in cross-border data transfers with the EU.</w:t>
      </w:r>
      <w:r>
        <w:rPr>
          <w:rStyle w:val="FootnoteReference"/>
        </w:rPr>
        <w:footnoteReference w:id="21"/>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ijk</m:t>
            </m:r>
            <m:r>
              <w:rPr>
                <w:rFonts w:ascii="Cambria Math" w:eastAsiaTheme="minorEastAsia" w:hAnsi="Cambria Math"/>
              </w:rPr>
              <m:t>t</m:t>
            </m:r>
          </m:sub>
        </m:sSub>
      </m:oMath>
      <w:r>
        <w:t xml:space="preserve"> </w:t>
      </w:r>
      <w:r w:rsidR="00386FE7">
        <w:t xml:space="preserve">will therefore </w:t>
      </w:r>
      <w:r>
        <w:t xml:space="preserve">incorporate </w:t>
      </w:r>
      <w:r w:rsidR="00386FE7">
        <w:t xml:space="preserve">the effects of </w:t>
      </w:r>
      <w:r>
        <w:t xml:space="preserve">cross-border data frameworks that </w:t>
      </w:r>
      <w:r>
        <w:rPr>
          <w:rFonts w:eastAsiaTheme="minorEastAsia"/>
        </w:rPr>
        <w:t xml:space="preserve">remove the need for </w:t>
      </w:r>
      <w:r w:rsidRPr="00194E29">
        <w:rPr>
          <w:rFonts w:eastAsiaTheme="minorEastAsia"/>
        </w:rPr>
        <w:t xml:space="preserve">firms </w:t>
      </w:r>
      <w:r>
        <w:rPr>
          <w:rFonts w:eastAsiaTheme="minorEastAsia"/>
        </w:rPr>
        <w:t xml:space="preserve">to incur </w:t>
      </w:r>
      <w:r w:rsidR="00386FE7">
        <w:rPr>
          <w:rFonts w:eastAsiaTheme="minorEastAsia"/>
        </w:rPr>
        <w:t xml:space="preserve">such </w:t>
      </w:r>
      <w:r w:rsidRPr="00194E29">
        <w:rPr>
          <w:rFonts w:eastAsiaTheme="minorEastAsia"/>
        </w:rPr>
        <w:t>cost</w:t>
      </w:r>
      <w:r>
        <w:rPr>
          <w:rFonts w:eastAsiaTheme="minorEastAsia"/>
        </w:rPr>
        <w:t xml:space="preserve">s, attenuating policy frictions between country pairs </w:t>
      </w:r>
      <m:oMath>
        <m:r>
          <w:rPr>
            <w:rFonts w:ascii="Cambria Math" w:hAnsi="Cambria Math"/>
          </w:rPr>
          <m:t>i</m:t>
        </m:r>
      </m:oMath>
      <w:r>
        <w:rPr>
          <w:rFonts w:eastAsiaTheme="minorEastAsia"/>
        </w:rPr>
        <w:t xml:space="preserve"> and </w:t>
      </w:r>
      <m:oMath>
        <m:r>
          <w:rPr>
            <w:rFonts w:ascii="Cambria Math" w:hAnsi="Cambria Math"/>
          </w:rPr>
          <m:t>j</m:t>
        </m:r>
      </m:oMath>
      <w:r>
        <w:rPr>
          <w:rFonts w:eastAsiaTheme="minorEastAsia"/>
        </w:rPr>
        <w:t xml:space="preserve"> for trade in digital sectors </w:t>
      </w:r>
      <m:oMath>
        <m:r>
          <w:rPr>
            <w:rFonts w:ascii="Cambria Math" w:hAnsi="Cambria Math"/>
          </w:rPr>
          <m:t>k</m:t>
        </m:r>
      </m:oMath>
      <w:r>
        <w:rPr>
          <w:rFonts w:eastAsiaTheme="minorEastAsia"/>
        </w:rPr>
        <w:t>.</w:t>
      </w:r>
      <w:r>
        <w:rPr>
          <w:rStyle w:val="FootnoteReference"/>
          <w:rFonts w:eastAsiaTheme="minorEastAsia"/>
        </w:rPr>
        <w:footnoteReference w:id="22"/>
      </w:r>
      <w:r>
        <w:rPr>
          <w:rFonts w:eastAsiaTheme="minorEastAsia"/>
        </w:rPr>
        <w:t xml:space="preserve"> </w:t>
      </w:r>
    </w:p>
    <w:p w14:paraId="4AE2C03F" w14:textId="2D250995" w:rsidR="007E2681" w:rsidRPr="00633995" w:rsidRDefault="007E2681" w:rsidP="0011538D">
      <w:pPr>
        <w:spacing w:before="240"/>
        <w:jc w:val="both"/>
        <w:rPr>
          <w:b/>
          <w:bCs/>
        </w:rPr>
      </w:pPr>
      <w:r w:rsidRPr="00633995">
        <w:rPr>
          <w:b/>
          <w:bCs/>
        </w:rPr>
        <w:t>3.</w:t>
      </w:r>
      <w:r w:rsidR="00386FE7">
        <w:rPr>
          <w:b/>
          <w:bCs/>
        </w:rPr>
        <w:t>1</w:t>
      </w:r>
      <w:r w:rsidRPr="00633995">
        <w:rPr>
          <w:b/>
          <w:bCs/>
        </w:rPr>
        <w:t xml:space="preserve"> Empirical specification</w:t>
      </w:r>
    </w:p>
    <w:p w14:paraId="7A83FFCC" w14:textId="6D78F7AC" w:rsidR="005F186C" w:rsidRDefault="005F186C" w:rsidP="005F186C">
      <w:pPr>
        <w:jc w:val="both"/>
        <w:rPr>
          <w:rFonts w:eastAsiaTheme="minorEastAsia"/>
        </w:rPr>
      </w:pPr>
      <w:r>
        <w:t>Our baseline empirical gravity equation is derived directly from Anderson et al (2018) and takes the form</w:t>
      </w:r>
      <w:r w:rsidR="00604F53">
        <w:t>:</w:t>
      </w:r>
      <w:r>
        <w:t xml:space="preserve"> </w:t>
      </w:r>
    </w:p>
    <w:p w14:paraId="34F934F0" w14:textId="77777777" w:rsidR="005F186C" w:rsidRPr="00703FC6" w:rsidRDefault="00000000" w:rsidP="005F186C">
      <w:pPr>
        <w:jc w:val="both"/>
      </w:pPr>
      <m:oMathPara>
        <m:oMathParaPr>
          <m:jc m:val="center"/>
        </m:oMathParaPr>
        <m:oMath>
          <m:sSubSup>
            <m:sSubSupPr>
              <m:ctrlPr>
                <w:rPr>
                  <w:rFonts w:ascii="Cambria Math" w:hAnsi="Cambria Math"/>
                  <w:i/>
                </w:rPr>
              </m:ctrlPr>
            </m:sSubSupPr>
            <m:e>
              <m:r>
                <w:rPr>
                  <w:rFonts w:ascii="Cambria Math" w:hAnsi="Cambria Math"/>
                </w:rPr>
                <m:t>X</m:t>
              </m:r>
            </m:e>
            <m:sub>
              <m:r>
                <w:rPr>
                  <w:rFonts w:ascii="Cambria Math" w:hAnsi="Cambria Math"/>
                </w:rPr>
                <m:t>ijt</m:t>
              </m:r>
            </m:sub>
            <m:sup>
              <m:r>
                <w:rPr>
                  <w:rFonts w:ascii="Cambria Math" w:hAnsi="Cambria Math"/>
                </w:rPr>
                <m:t>dig</m:t>
              </m:r>
            </m:sup>
          </m:sSubSup>
          <m:r>
            <w:rPr>
              <w:rFonts w:ascii="Cambria Math" w:hAnsi="Cambria Math"/>
            </w:rPr>
            <m:t>=</m:t>
          </m:r>
          <m:r>
            <w:rPr>
              <w:rFonts w:ascii="Cambria Math" w:hAnsi="Cambria Math"/>
            </w:rPr>
            <m:t>exp</m:t>
          </m:r>
          <m:d>
            <m:dPr>
              <m:ctrlPr>
                <w:rPr>
                  <w:rFonts w:ascii="Cambria Math" w:hAnsi="Cambria Math"/>
                  <w:i/>
                </w:rPr>
              </m:ctrlPr>
            </m:dPr>
            <m:e>
              <m:sSub>
                <m:sSubPr>
                  <m:ctrlPr>
                    <w:rPr>
                      <w:rFonts w:ascii="Cambria Math" w:hAnsi="Cambria Math"/>
                      <w:i/>
                    </w:rPr>
                  </m:ctrlPr>
                </m:sSubPr>
                <m:e>
                  <m:r>
                    <w:rPr>
                      <w:rFonts w:ascii="Cambria Math" w:eastAsiaTheme="minorEastAsia" w:hAnsi="Cambria Math"/>
                    </w:rPr>
                    <m:t>τ</m:t>
                  </m:r>
                </m:e>
                <m:sub>
                  <m:r>
                    <w:rPr>
                      <w:rFonts w:ascii="Cambria Math" w:hAnsi="Cambria Math"/>
                    </w:rPr>
                    <m:t>ijt</m:t>
                  </m:r>
                </m:sub>
              </m:sSub>
              <m:r>
                <w:rPr>
                  <w:rFonts w:ascii="Cambria Math" w:hAnsi="Cambria Math"/>
                </w:rPr>
                <m:t>φ</m:t>
              </m:r>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jt</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ij</m:t>
                  </m:r>
                </m:sub>
              </m:sSub>
            </m:e>
          </m:d>
          <m:sSub>
            <m:sSubPr>
              <m:ctrlPr>
                <w:rPr>
                  <w:rFonts w:ascii="Cambria Math" w:hAnsi="Cambria Math"/>
                  <w:i/>
                </w:rPr>
              </m:ctrlPr>
            </m:sSubPr>
            <m:e>
              <m:r>
                <w:rPr>
                  <w:rFonts w:ascii="Cambria Math" w:eastAsiaTheme="minorEastAsia" w:hAnsi="Cambria Math"/>
                </w:rPr>
                <m:t>e</m:t>
              </m:r>
            </m:e>
            <m:sub>
              <m:r>
                <w:rPr>
                  <w:rFonts w:ascii="Cambria Math" w:hAnsi="Cambria Math"/>
                </w:rPr>
                <m:t>ijt</m:t>
              </m:r>
            </m:sub>
          </m:sSub>
          <m:r>
            <w:rPr>
              <w:rFonts w:ascii="Cambria Math" w:hAnsi="Cambria Math"/>
            </w:rPr>
            <m:t xml:space="preserve">                                      (2)</m:t>
          </m:r>
        </m:oMath>
      </m:oMathPara>
    </w:p>
    <w:p w14:paraId="5770B061" w14:textId="31330E3E" w:rsidR="005F186C" w:rsidRPr="003B4BED" w:rsidRDefault="005F186C" w:rsidP="005F186C">
      <w:pPr>
        <w:jc w:val="both"/>
      </w:pPr>
      <w:r>
        <w:t>w</w:t>
      </w:r>
      <w:r w:rsidRPr="00DF13DE">
        <w:t>here</w:t>
      </w:r>
      <w:r>
        <w:t xml:space="preserve"> </w:t>
      </w:r>
      <m:oMath>
        <m:sSubSup>
          <m:sSubSupPr>
            <m:ctrlPr>
              <w:rPr>
                <w:rFonts w:ascii="Cambria Math" w:hAnsi="Cambria Math"/>
                <w:i/>
              </w:rPr>
            </m:ctrlPr>
          </m:sSubSupPr>
          <m:e>
            <m:r>
              <w:rPr>
                <w:rFonts w:ascii="Cambria Math" w:hAnsi="Cambria Math"/>
              </w:rPr>
              <m:t>X</m:t>
            </m:r>
          </m:e>
          <m:sub>
            <m:r>
              <w:rPr>
                <w:rFonts w:ascii="Cambria Math" w:hAnsi="Cambria Math"/>
              </w:rPr>
              <m:t>ijt</m:t>
            </m:r>
          </m:sub>
          <m:sup>
            <m:r>
              <w:rPr>
                <w:rFonts w:ascii="Cambria Math" w:hAnsi="Cambria Math"/>
              </w:rPr>
              <m:t>dig</m:t>
            </m:r>
          </m:sup>
        </m:sSubSup>
        <m:r>
          <w:rPr>
            <w:rFonts w:ascii="Cambria Math" w:hAnsi="Cambria Math"/>
          </w:rPr>
          <m:t>=</m:t>
        </m:r>
        <m:nary>
          <m:naryPr>
            <m:chr m:val="∑"/>
            <m:limLoc m:val="subSup"/>
            <m:ctrlPr>
              <w:rPr>
                <w:rFonts w:ascii="Cambria Math" w:hAnsi="Cambria Math"/>
                <w:i/>
              </w:rPr>
            </m:ctrlPr>
          </m:naryPr>
          <m:sub>
            <m:r>
              <w:rPr>
                <w:rFonts w:ascii="Cambria Math" w:hAnsi="Cambria Math"/>
              </w:rPr>
              <m:t>k=1</m:t>
            </m:r>
          </m:sub>
          <m:sup>
            <m:r>
              <w:rPr>
                <w:rFonts w:ascii="Cambria Math" w:hAnsi="Cambria Math"/>
              </w:rPr>
              <m:t>d</m:t>
            </m:r>
          </m:sup>
          <m:e>
            <m:sSub>
              <m:sSubPr>
                <m:ctrlPr>
                  <w:rPr>
                    <w:rFonts w:ascii="Cambria Math" w:hAnsi="Cambria Math"/>
                    <w:i/>
                  </w:rPr>
                </m:ctrlPr>
              </m:sSubPr>
              <m:e>
                <m:r>
                  <w:rPr>
                    <w:rFonts w:ascii="Cambria Math" w:hAnsi="Cambria Math"/>
                  </w:rPr>
                  <m:t>X</m:t>
                </m:r>
              </m:e>
              <m:sub>
                <m:r>
                  <w:rPr>
                    <w:rFonts w:ascii="Cambria Math" w:hAnsi="Cambria Math"/>
                  </w:rPr>
                  <m:t>ijk</m:t>
                </m:r>
              </m:sub>
            </m:sSub>
          </m:e>
        </m:nary>
      </m:oMath>
      <w:r w:rsidR="007D5C17">
        <w:rPr>
          <w:rFonts w:eastAsiaTheme="minorEastAsia"/>
        </w:rPr>
        <w:t>,</w:t>
      </w:r>
      <w:r>
        <w:rPr>
          <w:rFonts w:eastAsiaTheme="minorEastAsia"/>
        </w:rPr>
        <w:t xml:space="preserve"> the aggregate digital trade between country </w:t>
      </w:r>
      <m:oMath>
        <m:r>
          <w:rPr>
            <w:rFonts w:ascii="Cambria Math" w:eastAsiaTheme="minorEastAsia" w:hAnsi="Cambria Math"/>
          </w:rPr>
          <m:t>i</m:t>
        </m:r>
      </m:oMath>
      <w:r>
        <w:rPr>
          <w:rFonts w:eastAsiaTheme="minorEastAsia"/>
        </w:rPr>
        <w:t xml:space="preserve"> and country </w:t>
      </w:r>
      <m:oMath>
        <m:r>
          <w:rPr>
            <w:rFonts w:ascii="Cambria Math" w:eastAsiaTheme="minorEastAsia" w:hAnsi="Cambria Math"/>
          </w:rPr>
          <m:t>j</m:t>
        </m:r>
      </m:oMath>
      <w:r>
        <w:rPr>
          <w:rFonts w:eastAsiaTheme="minorEastAsia"/>
        </w:rPr>
        <w:t xml:space="preserve">, </w:t>
      </w:r>
      <w:r w:rsidR="007D5C17">
        <w:rPr>
          <w:rFonts w:eastAsiaTheme="minorEastAsia"/>
        </w:rPr>
        <w:t>with t</w:t>
      </w:r>
      <w:r>
        <w:rPr>
          <w:rFonts w:eastAsiaTheme="minorEastAsia"/>
        </w:rPr>
        <w:t xml:space="preserve">he superscript </w:t>
      </w:r>
      <m:oMath>
        <m:r>
          <w:rPr>
            <w:rFonts w:ascii="Cambria Math" w:hAnsi="Cambria Math"/>
          </w:rPr>
          <m:t>dig</m:t>
        </m:r>
      </m:oMath>
      <w:r>
        <w:rPr>
          <w:rFonts w:eastAsiaTheme="minorEastAsia"/>
          <w:i/>
          <w:iCs/>
        </w:rPr>
        <w:t xml:space="preserve"> </w:t>
      </w:r>
      <w:r>
        <w:rPr>
          <w:rFonts w:eastAsiaTheme="minorEastAsia"/>
        </w:rPr>
        <w:t>denot</w:t>
      </w:r>
      <w:r w:rsidR="007D5C17">
        <w:rPr>
          <w:rFonts w:eastAsiaTheme="minorEastAsia"/>
        </w:rPr>
        <w:t>ing</w:t>
      </w:r>
      <w:r>
        <w:rPr>
          <w:rFonts w:eastAsiaTheme="minorEastAsia"/>
        </w:rPr>
        <w:t xml:space="preserve"> </w:t>
      </w:r>
      <w:r w:rsidR="007D5C17">
        <w:rPr>
          <w:rFonts w:eastAsiaTheme="minorEastAsia"/>
        </w:rPr>
        <w:t xml:space="preserve">one of the two definitions of digital trade described in Section 3.2, </w:t>
      </w:r>
      <w:r>
        <w:rPr>
          <w:rFonts w:eastAsiaTheme="minorEastAsia"/>
        </w:rPr>
        <w:t xml:space="preserve">summing over </w:t>
      </w:r>
      <w:r w:rsidRPr="00125FFA">
        <w:rPr>
          <w:rFonts w:eastAsiaTheme="minorEastAsia"/>
        </w:rPr>
        <w:t>sector</w:t>
      </w:r>
      <w:r>
        <w:rPr>
          <w:rFonts w:eastAsiaTheme="minorEastAsia"/>
        </w:rPr>
        <w:t>s</w:t>
      </w:r>
      <w:r w:rsidRPr="00125FFA">
        <w:rPr>
          <w:rFonts w:eastAsiaTheme="minorEastAsia"/>
        </w:rPr>
        <w:t xml:space="preserve"> </w:t>
      </w:r>
      <m:oMath>
        <m:r>
          <w:rPr>
            <w:rFonts w:ascii="Cambria Math" w:hAnsi="Cambria Math"/>
          </w:rPr>
          <m:t>k</m:t>
        </m:r>
      </m:oMath>
      <w:r w:rsidRPr="00125FFA">
        <w:rPr>
          <w:rFonts w:eastAsiaTheme="minorEastAsia"/>
        </w:rPr>
        <w:t xml:space="preserve"> for </w:t>
      </w:r>
      <w:r w:rsidRPr="00125FFA">
        <w:t xml:space="preserve">year </w:t>
      </w:r>
      <m:oMath>
        <m:r>
          <w:rPr>
            <w:rFonts w:ascii="Cambria Math" w:hAnsi="Cambria Math"/>
          </w:rPr>
          <m:t>t</m:t>
        </m:r>
        <m:r>
          <w:rPr>
            <w:rFonts w:ascii="Cambria Math" w:eastAsiaTheme="minorEastAsia" w:hAnsi="Cambria Math"/>
          </w:rPr>
          <m:t>.</m:t>
        </m:r>
      </m:oMath>
      <w:r>
        <w:rPr>
          <w:rFonts w:eastAsiaTheme="minorEastAsia"/>
        </w:rPr>
        <w:t xml:space="preserve">  </w:t>
      </w:r>
      <w:r w:rsidRPr="00633995">
        <w:rPr>
          <w:rFonts w:eastAsiaTheme="minorEastAsia"/>
        </w:rPr>
        <w:t>The term</w:t>
      </w:r>
      <w:r w:rsidRPr="00633995">
        <w:t xml:space="preserve"> </w:t>
      </w:r>
      <m:oMath>
        <m:sSub>
          <m:sSubPr>
            <m:ctrlPr>
              <w:rPr>
                <w:rFonts w:ascii="Cambria Math" w:hAnsi="Cambria Math"/>
                <w:i/>
              </w:rPr>
            </m:ctrlPr>
          </m:sSubPr>
          <m:e>
            <m:r>
              <w:rPr>
                <w:rFonts w:ascii="Cambria Math" w:eastAsiaTheme="minorEastAsia" w:hAnsi="Cambria Math"/>
              </w:rPr>
              <m:t>τ</m:t>
            </m:r>
          </m:e>
          <m:sub>
            <m:r>
              <w:rPr>
                <w:rFonts w:ascii="Cambria Math" w:hAnsi="Cambria Math"/>
              </w:rPr>
              <m:t>ijt</m:t>
            </m:r>
          </m:sub>
        </m:sSub>
      </m:oMath>
      <w:r w:rsidRPr="00633995">
        <w:rPr>
          <w:rFonts w:eastAsiaTheme="minorEastAsia"/>
        </w:rPr>
        <w:t xml:space="preserve"> is a vector that captures all observable trade costs relevant for digital trade</w:t>
      </w:r>
      <w:r>
        <w:rPr>
          <w:rFonts w:eastAsiaTheme="minorEastAsia"/>
        </w:rPr>
        <w:t xml:space="preserve"> as described above, with </w:t>
      </w:r>
      <m:oMath>
        <m:r>
          <w:rPr>
            <w:rFonts w:ascii="Cambria Math" w:hAnsi="Cambria Math"/>
          </w:rPr>
          <m:t>φ</m:t>
        </m:r>
      </m:oMath>
      <w:r>
        <w:rPr>
          <w:rFonts w:eastAsiaTheme="minorEastAsia"/>
        </w:rPr>
        <w:t xml:space="preserve"> being the associated vector of coefficients. The terms</w:t>
      </w:r>
      <w:r w:rsidRPr="00633995">
        <w:rPr>
          <w:rFonts w:eastAsiaTheme="minorEastAsia"/>
        </w:rPr>
        <w:t xml:space="preserve"> </w:t>
      </w:r>
      <m:oMath>
        <m:sSub>
          <m:sSubPr>
            <m:ctrlPr>
              <w:rPr>
                <w:rFonts w:ascii="Cambria Math" w:hAnsi="Cambria Math"/>
                <w:i/>
              </w:rPr>
            </m:ctrlPr>
          </m:sSubPr>
          <m:e>
            <m:r>
              <w:rPr>
                <w:rFonts w:ascii="Cambria Math" w:hAnsi="Cambria Math"/>
              </w:rPr>
              <m:t>α</m:t>
            </m:r>
          </m:e>
          <m:sub>
            <m:r>
              <w:rPr>
                <w:rFonts w:ascii="Cambria Math" w:hAnsi="Cambria Math"/>
              </w:rPr>
              <m:t>it</m:t>
            </m:r>
          </m:sub>
        </m:sSub>
        <m:r>
          <w:rPr>
            <w:rFonts w:ascii="Cambria Math" w:hAnsi="Cambria Math"/>
          </w:rPr>
          <m:t xml:space="preserve">, </m:t>
        </m:r>
        <m:sSub>
          <m:sSubPr>
            <m:ctrlPr>
              <w:rPr>
                <w:rFonts w:ascii="Cambria Math" w:hAnsi="Cambria Math"/>
                <w:i/>
              </w:rPr>
            </m:ctrlPr>
          </m:sSubPr>
          <m:e>
            <m:r>
              <w:rPr>
                <w:rFonts w:ascii="Cambria Math" w:hAnsi="Cambria Math"/>
              </w:rPr>
              <m:t>γ</m:t>
            </m:r>
          </m:e>
          <m:sub>
            <m:r>
              <w:rPr>
                <w:rFonts w:ascii="Cambria Math" w:hAnsi="Cambria Math"/>
              </w:rPr>
              <m:t>jt</m:t>
            </m:r>
          </m:sub>
        </m:sSub>
      </m:oMath>
      <w:r w:rsidRPr="00633995">
        <w:rPr>
          <w:rFonts w:eastAsiaTheme="minorEastAsia"/>
        </w:rPr>
        <w:t xml:space="preserve"> and </w:t>
      </w:r>
      <m:oMath>
        <m:sSub>
          <m:sSubPr>
            <m:ctrlPr>
              <w:rPr>
                <w:rFonts w:ascii="Cambria Math" w:hAnsi="Cambria Math"/>
                <w:i/>
              </w:rPr>
            </m:ctrlPr>
          </m:sSubPr>
          <m:e>
            <m:r>
              <w:rPr>
                <w:rFonts w:ascii="Cambria Math" w:hAnsi="Cambria Math"/>
              </w:rPr>
              <m:t>δ</m:t>
            </m:r>
          </m:e>
          <m:sub>
            <m:r>
              <w:rPr>
                <w:rFonts w:ascii="Cambria Math" w:hAnsi="Cambria Math"/>
              </w:rPr>
              <m:t>ij</m:t>
            </m:r>
          </m:sub>
        </m:sSub>
      </m:oMath>
      <w:r w:rsidRPr="00633995">
        <w:rPr>
          <w:rFonts w:eastAsiaTheme="minorEastAsia"/>
        </w:rPr>
        <w:t xml:space="preserve"> </w:t>
      </w:r>
      <w:r>
        <w:rPr>
          <w:rFonts w:eastAsiaTheme="minorEastAsia"/>
        </w:rPr>
        <w:t xml:space="preserve">correspond to </w:t>
      </w:r>
      <w:r w:rsidRPr="00633995">
        <w:rPr>
          <w:rFonts w:eastAsiaTheme="minorEastAsia"/>
        </w:rPr>
        <w:t>exporter, importer and bilateral fixed effects</w:t>
      </w:r>
      <w:r w:rsidR="00604F53">
        <w:rPr>
          <w:rFonts w:eastAsiaTheme="minorEastAsia"/>
        </w:rPr>
        <w:t xml:space="preserve">; </w:t>
      </w:r>
      <m:oMath>
        <m:sSub>
          <m:sSubPr>
            <m:ctrlPr>
              <w:rPr>
                <w:rFonts w:ascii="Cambria Math" w:hAnsi="Cambria Math"/>
                <w:i/>
              </w:rPr>
            </m:ctrlPr>
          </m:sSubPr>
          <m:e>
            <m:r>
              <w:rPr>
                <w:rFonts w:ascii="Cambria Math" w:eastAsiaTheme="minorEastAsia" w:hAnsi="Cambria Math"/>
              </w:rPr>
              <m:t>e</m:t>
            </m:r>
          </m:e>
          <m:sub>
            <m:r>
              <w:rPr>
                <w:rFonts w:ascii="Cambria Math" w:hAnsi="Cambria Math"/>
              </w:rPr>
              <m:t>ijt</m:t>
            </m:r>
          </m:sub>
        </m:sSub>
      </m:oMath>
      <w:r w:rsidRPr="00633995">
        <w:t xml:space="preserve"> is the error term</w:t>
      </w:r>
      <w:r>
        <w:t>.</w:t>
      </w:r>
      <w:r w:rsidRPr="00633995">
        <w:rPr>
          <w:rStyle w:val="FootnoteReference"/>
          <w:rFonts w:eastAsiaTheme="minorEastAsia"/>
        </w:rPr>
        <w:footnoteReference w:id="23"/>
      </w:r>
    </w:p>
    <w:p w14:paraId="192B673C" w14:textId="746310A5" w:rsidR="005F186C" w:rsidRPr="00125FFA" w:rsidRDefault="005F186C" w:rsidP="005F186C">
      <w:pPr>
        <w:jc w:val="both"/>
      </w:pPr>
      <w:r>
        <w:rPr>
          <w:rFonts w:eastAsiaTheme="minorEastAsia"/>
        </w:rPr>
        <w:t xml:space="preserve">As </w:t>
      </w:r>
      <w:r w:rsidR="002275BF">
        <w:rPr>
          <w:rFonts w:eastAsiaTheme="minorEastAsia"/>
        </w:rPr>
        <w:t xml:space="preserve">is </w:t>
      </w:r>
      <w:r>
        <w:rPr>
          <w:rFonts w:eastAsiaTheme="minorEastAsia"/>
        </w:rPr>
        <w:t>standard in the gravity literature</w:t>
      </w:r>
      <w:r w:rsidR="005F2E44">
        <w:rPr>
          <w:rFonts w:eastAsiaTheme="minorEastAsia"/>
        </w:rPr>
        <w:t xml:space="preserve"> (</w:t>
      </w:r>
      <w:r w:rsidR="00C7202F">
        <w:rPr>
          <w:rFonts w:eastAsiaTheme="minorEastAsia"/>
        </w:rPr>
        <w:t xml:space="preserve">i.e. </w:t>
      </w:r>
      <w:r w:rsidR="005F2E44" w:rsidRPr="00633995">
        <w:t>Santos Silva and Tenreyro 2006</w:t>
      </w:r>
      <w:r w:rsidR="00C7202F">
        <w:rPr>
          <w:rFonts w:eastAsiaTheme="minorEastAsia"/>
        </w:rPr>
        <w:t xml:space="preserve">; </w:t>
      </w:r>
      <w:r w:rsidR="005F2E44">
        <w:rPr>
          <w:rFonts w:eastAsiaTheme="minorEastAsia"/>
        </w:rPr>
        <w:t>Woolridge, 2023),</w:t>
      </w:r>
      <w:r>
        <w:rPr>
          <w:rFonts w:eastAsiaTheme="minorEastAsia"/>
        </w:rPr>
        <w:t xml:space="preserve"> we use PPML to estimate equation (2) as follows: </w:t>
      </w:r>
    </w:p>
    <w:p w14:paraId="31243526" w14:textId="77777777" w:rsidR="005F186C" w:rsidRPr="00F64D39" w:rsidRDefault="00000000" w:rsidP="005F186C">
      <w:pPr>
        <w:jc w:val="both"/>
      </w:pPr>
      <m:oMathPara>
        <m:oMath>
          <m:sSubSup>
            <m:sSubSupPr>
              <m:ctrlPr>
                <w:rPr>
                  <w:rFonts w:ascii="Cambria Math" w:hAnsi="Cambria Math"/>
                  <w:i/>
                  <w:iCs/>
                  <w:lang w:val="it-IT"/>
                </w:rPr>
              </m:ctrlPr>
            </m:sSubSupPr>
            <m:e>
              <m:r>
                <w:rPr>
                  <w:rFonts w:ascii="Cambria Math" w:hAnsi="Cambria Math"/>
                </w:rPr>
                <m:t>X</m:t>
              </m:r>
            </m:e>
            <m:sub>
              <m:r>
                <w:rPr>
                  <w:rFonts w:ascii="Cambria Math" w:hAnsi="Cambria Math"/>
                </w:rPr>
                <m:t>ijt</m:t>
              </m:r>
            </m:sub>
            <m:sup>
              <m:r>
                <w:rPr>
                  <w:rFonts w:ascii="Cambria Math" w:hAnsi="Cambria Math"/>
                </w:rPr>
                <m:t>dig</m:t>
              </m:r>
            </m:sup>
          </m:sSubSup>
          <m:r>
            <w:rPr>
              <w:rFonts w:ascii="Cambria Math" w:hAnsi="Cambria Math"/>
            </w:rPr>
            <m:t>=</m:t>
          </m:r>
          <m:r>
            <w:rPr>
              <w:rFonts w:ascii="Cambria Math" w:hAnsi="Cambria Math"/>
            </w:rPr>
            <m:t>exp</m:t>
          </m:r>
          <m:d>
            <m:dPr>
              <m:begChr m:val="{"/>
              <m:endChr m:val="}"/>
              <m:ctrlPr>
                <w:rPr>
                  <w:rFonts w:ascii="Cambria Math" w:hAnsi="Cambria Math"/>
                  <w:i/>
                  <w:iCs/>
                  <w:lang w:val="it-IT"/>
                </w:rPr>
              </m:ctrlPr>
            </m:dPr>
            <m:e>
              <m:sSub>
                <m:sSubPr>
                  <m:ctrlPr>
                    <w:rPr>
                      <w:rFonts w:ascii="Cambria Math" w:hAnsi="Cambria Math"/>
                      <w:i/>
                      <w:iCs/>
                      <w:lang w:val="it-IT"/>
                    </w:rPr>
                  </m:ctrlPr>
                </m:sSubPr>
                <m:e>
                  <m:r>
                    <w:rPr>
                      <w:rFonts w:ascii="Cambria Math" w:hAnsi="Cambria Math"/>
                    </w:rPr>
                    <m:t>βADQ</m:t>
                  </m:r>
                </m:e>
                <m:sub>
                  <m:r>
                    <w:rPr>
                      <w:rFonts w:ascii="Cambria Math" w:hAnsi="Cambria Math"/>
                    </w:rPr>
                    <m:t>ijt</m:t>
                  </m:r>
                </m:sub>
              </m:sSub>
              <m:r>
                <w:rPr>
                  <w:rFonts w:ascii="Cambria Math" w:hAnsi="Cambria Math"/>
                </w:rPr>
                <m:t>+</m:t>
              </m:r>
              <m:sSub>
                <m:sSubPr>
                  <m:ctrlPr>
                    <w:rPr>
                      <w:rFonts w:ascii="Cambria Math" w:hAnsi="Cambria Math"/>
                      <w:i/>
                      <w:iCs/>
                      <w:lang w:val="it-IT"/>
                    </w:rPr>
                  </m:ctrlPr>
                </m:sSubPr>
                <m:e>
                  <m:r>
                    <w:rPr>
                      <w:rFonts w:ascii="Cambria Math" w:hAnsi="Cambria Math"/>
                    </w:rPr>
                    <m:t>ϕGRA</m:t>
                  </m:r>
                </m:e>
                <m:sub>
                  <m:r>
                    <w:rPr>
                      <w:rFonts w:ascii="Cambria Math" w:hAnsi="Cambria Math"/>
                    </w:rPr>
                    <m:t>ijt</m:t>
                  </m:r>
                </m:sub>
              </m:sSub>
              <m:r>
                <w:rPr>
                  <w:rFonts w:ascii="Cambria Math" w:hAnsi="Cambria Math"/>
                </w:rPr>
                <m:t>+</m:t>
              </m:r>
              <m:sSub>
                <m:sSubPr>
                  <m:ctrlPr>
                    <w:rPr>
                      <w:rFonts w:ascii="Cambria Math" w:hAnsi="Cambria Math"/>
                      <w:i/>
                      <w:iCs/>
                      <w:lang w:val="it-IT"/>
                    </w:rPr>
                  </m:ctrlPr>
                </m:sSubPr>
                <m:e>
                  <m:r>
                    <w:rPr>
                      <w:rFonts w:ascii="Cambria Math" w:hAnsi="Cambria Math"/>
                    </w:rPr>
                    <m:t>α</m:t>
                  </m:r>
                </m:e>
                <m:sub>
                  <m:r>
                    <w:rPr>
                      <w:rFonts w:ascii="Cambria Math" w:hAnsi="Cambria Math"/>
                    </w:rPr>
                    <m:t>it</m:t>
                  </m:r>
                </m:sub>
              </m:sSub>
              <m:r>
                <w:rPr>
                  <w:rFonts w:ascii="Cambria Math" w:hAnsi="Cambria Math"/>
                </w:rPr>
                <m:t>+</m:t>
              </m:r>
              <m:sSub>
                <m:sSubPr>
                  <m:ctrlPr>
                    <w:rPr>
                      <w:rFonts w:ascii="Cambria Math" w:hAnsi="Cambria Math"/>
                      <w:i/>
                      <w:iCs/>
                      <w:lang w:val="it-IT"/>
                    </w:rPr>
                  </m:ctrlPr>
                </m:sSubPr>
                <m:e>
                  <m:r>
                    <w:rPr>
                      <w:rFonts w:ascii="Cambria Math" w:hAnsi="Cambria Math"/>
                    </w:rPr>
                    <m:t>γ</m:t>
                  </m:r>
                </m:e>
                <m:sub>
                  <m:r>
                    <w:rPr>
                      <w:rFonts w:ascii="Cambria Math" w:hAnsi="Cambria Math"/>
                    </w:rPr>
                    <m:t>jt</m:t>
                  </m:r>
                </m:sub>
              </m:sSub>
              <m:r>
                <w:rPr>
                  <w:rFonts w:ascii="Cambria Math" w:hAnsi="Cambria Math"/>
                </w:rPr>
                <m:t>+</m:t>
              </m:r>
              <m:sSub>
                <m:sSubPr>
                  <m:ctrlPr>
                    <w:rPr>
                      <w:rFonts w:ascii="Cambria Math" w:hAnsi="Cambria Math"/>
                      <w:i/>
                      <w:iCs/>
                      <w:lang w:val="it-IT"/>
                    </w:rPr>
                  </m:ctrlPr>
                </m:sSubPr>
                <m:e>
                  <m:r>
                    <w:rPr>
                      <w:rFonts w:ascii="Cambria Math" w:hAnsi="Cambria Math"/>
                    </w:rPr>
                    <m:t>δ</m:t>
                  </m:r>
                </m:e>
                <m:sub>
                  <m:r>
                    <w:rPr>
                      <w:rFonts w:ascii="Cambria Math" w:hAnsi="Cambria Math"/>
                    </w:rPr>
                    <m:t>ij</m:t>
                  </m:r>
                </m:sub>
              </m:sSub>
            </m:e>
          </m:d>
          <m:r>
            <w:rPr>
              <w:rFonts w:ascii="Cambria Math" w:hAnsi="Cambria Math"/>
            </w:rPr>
            <m:t>+</m:t>
          </m:r>
          <m:sSub>
            <m:sSubPr>
              <m:ctrlPr>
                <w:rPr>
                  <w:rFonts w:ascii="Cambria Math" w:hAnsi="Cambria Math"/>
                  <w:i/>
                  <w:iCs/>
                  <w:lang w:val="it-IT"/>
                </w:rPr>
              </m:ctrlPr>
            </m:sSubPr>
            <m:e>
              <m:r>
                <w:rPr>
                  <w:rFonts w:ascii="Cambria Math" w:hAnsi="Cambria Math"/>
                </w:rPr>
                <m:t>ε</m:t>
              </m:r>
            </m:e>
            <m:sub>
              <m:r>
                <w:rPr>
                  <w:rFonts w:ascii="Cambria Math" w:hAnsi="Cambria Math"/>
                </w:rPr>
                <m:t>ijt</m:t>
              </m:r>
            </m:sub>
          </m:sSub>
          <m:r>
            <w:rPr>
              <w:rFonts w:ascii="Cambria Math" w:hAnsi="Cambria Math"/>
            </w:rPr>
            <m:t>              (3)</m:t>
          </m:r>
        </m:oMath>
      </m:oMathPara>
    </w:p>
    <w:p w14:paraId="7DA5B24C" w14:textId="7D54C951" w:rsidR="00EF777B" w:rsidRDefault="005F186C" w:rsidP="0011538D">
      <w:pPr>
        <w:jc w:val="both"/>
      </w:pPr>
      <w:r>
        <w:t>where</w:t>
      </w:r>
      <w:r>
        <w:rPr>
          <w:rFonts w:eastAsiaTheme="minorEastAsia"/>
        </w:rPr>
        <w:t xml:space="preserve"> </w:t>
      </w:r>
      <m:oMath>
        <m:sSub>
          <m:sSubPr>
            <m:ctrlPr>
              <w:rPr>
                <w:rFonts w:ascii="Cambria Math" w:hAnsi="Cambria Math"/>
                <w:i/>
                <w:iCs/>
                <w:lang w:val="it-IT"/>
              </w:rPr>
            </m:ctrlPr>
          </m:sSubPr>
          <m:e>
            <m:r>
              <w:rPr>
                <w:rFonts w:ascii="Cambria Math" w:hAnsi="Cambria Math"/>
              </w:rPr>
              <m:t>ADQ</m:t>
            </m:r>
          </m:e>
          <m:sub>
            <m:r>
              <w:rPr>
                <w:rFonts w:ascii="Cambria Math" w:hAnsi="Cambria Math"/>
              </w:rPr>
              <m:t>ijt</m:t>
            </m:r>
          </m:sub>
        </m:sSub>
      </m:oMath>
      <w:r>
        <w:t xml:space="preserve"> captures the existence of bilateral adequacy decisions between EU members and partner countries, whereas the other elements of </w:t>
      </w:r>
      <m:oMath>
        <m:sSub>
          <m:sSubPr>
            <m:ctrlPr>
              <w:rPr>
                <w:rFonts w:ascii="Cambria Math" w:hAnsi="Cambria Math"/>
                <w:i/>
              </w:rPr>
            </m:ctrlPr>
          </m:sSubPr>
          <m:e>
            <m:r>
              <w:rPr>
                <w:rFonts w:ascii="Cambria Math" w:eastAsiaTheme="minorEastAsia" w:hAnsi="Cambria Math"/>
              </w:rPr>
              <m:t>τ</m:t>
            </m:r>
          </m:e>
          <m:sub>
            <m:r>
              <w:rPr>
                <w:rFonts w:ascii="Cambria Math" w:hAnsi="Cambria Math"/>
              </w:rPr>
              <m:t>ij,k</m:t>
            </m:r>
          </m:sub>
        </m:sSub>
      </m:oMath>
      <w:r>
        <w:rPr>
          <w:rFonts w:eastAsiaTheme="minorEastAsia"/>
        </w:rPr>
        <w:t xml:space="preserve"> </w:t>
      </w:r>
      <w:r w:rsidR="007D5C17">
        <w:rPr>
          <w:rFonts w:eastAsiaTheme="minorEastAsia"/>
        </w:rPr>
        <w:t xml:space="preserve">reflecting </w:t>
      </w:r>
      <w:r>
        <w:t xml:space="preserve">all </w:t>
      </w:r>
      <w:r w:rsidRPr="00125FFA">
        <w:rPr>
          <w:rFonts w:eastAsiaTheme="minorEastAsia"/>
        </w:rPr>
        <w:t xml:space="preserve">standard dyadic </w:t>
      </w:r>
      <w:r>
        <w:rPr>
          <w:rFonts w:eastAsiaTheme="minorEastAsia"/>
        </w:rPr>
        <w:t xml:space="preserve">time-varying </w:t>
      </w:r>
      <w:r w:rsidRPr="00125FFA">
        <w:rPr>
          <w:rFonts w:eastAsiaTheme="minorEastAsia"/>
        </w:rPr>
        <w:lastRenderedPageBreak/>
        <w:t xml:space="preserve">covariates typically </w:t>
      </w:r>
      <w:r>
        <w:rPr>
          <w:rFonts w:eastAsiaTheme="minorEastAsia"/>
        </w:rPr>
        <w:t xml:space="preserve">used in </w:t>
      </w:r>
      <w:r w:rsidRPr="00125FFA">
        <w:rPr>
          <w:rFonts w:eastAsiaTheme="minorEastAsia"/>
        </w:rPr>
        <w:t>gravity model</w:t>
      </w:r>
      <w:r>
        <w:rPr>
          <w:rFonts w:eastAsiaTheme="minorEastAsia"/>
        </w:rPr>
        <w:t xml:space="preserve">s are captured </w:t>
      </w:r>
      <w:r w:rsidRPr="00F64D39">
        <w:t xml:space="preserve">by </w:t>
      </w:r>
      <m:oMath>
        <m:sSub>
          <m:sSubPr>
            <m:ctrlPr>
              <w:rPr>
                <w:rFonts w:ascii="Cambria Math" w:hAnsi="Cambria Math"/>
                <w:i/>
              </w:rPr>
            </m:ctrlPr>
          </m:sSubPr>
          <m:e>
            <m:r>
              <w:rPr>
                <w:rFonts w:ascii="Cambria Math" w:hAnsi="Cambria Math"/>
              </w:rPr>
              <m:t>GRA</m:t>
            </m:r>
          </m:e>
          <m:sub>
            <m:r>
              <w:rPr>
                <w:rFonts w:ascii="Cambria Math" w:hAnsi="Cambria Math"/>
              </w:rPr>
              <m:t>ijt</m:t>
            </m:r>
          </m:sub>
        </m:sSub>
      </m:oMath>
      <w:r>
        <w:t xml:space="preserve"> </w:t>
      </w:r>
      <w:r>
        <w:rPr>
          <w:rFonts w:eastAsiaTheme="minorEastAsia"/>
        </w:rPr>
        <w:t>(</w:t>
      </w:r>
      <w:r w:rsidR="00CB2F27">
        <w:rPr>
          <w:rFonts w:eastAsiaTheme="minorEastAsia"/>
        </w:rPr>
        <w:t xml:space="preserve">discussed further in </w:t>
      </w:r>
      <w:r>
        <w:rPr>
          <w:rFonts w:eastAsiaTheme="minorEastAsia"/>
        </w:rPr>
        <w:t>Section 3.</w:t>
      </w:r>
      <w:r w:rsidR="002A1753">
        <w:rPr>
          <w:rFonts w:eastAsiaTheme="minorEastAsia"/>
        </w:rPr>
        <w:t>2</w:t>
      </w:r>
      <w:r>
        <w:rPr>
          <w:rFonts w:eastAsiaTheme="minorEastAsia"/>
        </w:rPr>
        <w:t xml:space="preserve">). Equation (3) includes </w:t>
      </w:r>
      <w:r>
        <w:t xml:space="preserve">the three </w:t>
      </w:r>
      <w:r w:rsidRPr="00F64D39">
        <w:t>set</w:t>
      </w:r>
      <w:r>
        <w:t>s</w:t>
      </w:r>
      <w:r w:rsidRPr="00F64D39">
        <w:t xml:space="preserve"> of fixed effects. </w:t>
      </w:r>
      <w:r w:rsidR="00CB2F27">
        <w:rPr>
          <w:rFonts w:eastAsiaTheme="minorEastAsia"/>
        </w:rPr>
        <w:t xml:space="preserve">Given </w:t>
      </w:r>
      <w:r>
        <w:rPr>
          <w:rFonts w:eastAsiaTheme="minorEastAsia"/>
        </w:rPr>
        <w:t>the difference between the S</w:t>
      </w:r>
      <w:r w:rsidR="008778F3">
        <w:rPr>
          <w:rFonts w:eastAsiaTheme="minorEastAsia"/>
        </w:rPr>
        <w:t xml:space="preserve">afe Habor </w:t>
      </w:r>
      <w:r w:rsidR="00CB2F27">
        <w:rPr>
          <w:rFonts w:eastAsiaTheme="minorEastAsia"/>
        </w:rPr>
        <w:t xml:space="preserve">and </w:t>
      </w:r>
      <w:r w:rsidR="008778F3">
        <w:rPr>
          <w:rFonts w:eastAsiaTheme="minorEastAsia"/>
        </w:rPr>
        <w:t xml:space="preserve">Privacy Shield </w:t>
      </w:r>
      <w:r>
        <w:rPr>
          <w:rFonts w:eastAsiaTheme="minorEastAsia"/>
        </w:rPr>
        <w:t>frameworks</w:t>
      </w:r>
      <w:r w:rsidR="00CB2F27">
        <w:rPr>
          <w:rFonts w:eastAsiaTheme="minorEastAsia"/>
        </w:rPr>
        <w:t xml:space="preserve"> for the US and other adequacy decisions</w:t>
      </w:r>
      <w:r>
        <w:rPr>
          <w:rFonts w:eastAsiaTheme="minorEastAsia"/>
        </w:rPr>
        <w:t xml:space="preserve">, </w:t>
      </w:r>
      <w:r w:rsidR="00CB2F27">
        <w:rPr>
          <w:rFonts w:eastAsiaTheme="minorEastAsia"/>
        </w:rPr>
        <w:t xml:space="preserve">in most of the analysis </w:t>
      </w:r>
      <w:r>
        <w:rPr>
          <w:rFonts w:eastAsiaTheme="minorEastAsia"/>
        </w:rPr>
        <w:t xml:space="preserve">we split the term </w:t>
      </w:r>
      <m:oMath>
        <m:sSub>
          <m:sSubPr>
            <m:ctrlPr>
              <w:rPr>
                <w:rFonts w:ascii="Cambria Math" w:hAnsi="Cambria Math"/>
                <w:i/>
              </w:rPr>
            </m:ctrlPr>
          </m:sSubPr>
          <m:e>
            <m:r>
              <w:rPr>
                <w:rFonts w:ascii="Cambria Math" w:hAnsi="Cambria Math"/>
              </w:rPr>
              <m:t>ADQ</m:t>
            </m:r>
          </m:e>
          <m:sub>
            <m:r>
              <w:rPr>
                <w:rFonts w:ascii="Cambria Math" w:hAnsi="Cambria Math"/>
              </w:rPr>
              <m:t>ijt</m:t>
            </m:r>
          </m:sub>
        </m:sSub>
      </m:oMath>
      <w:r>
        <w:rPr>
          <w:rFonts w:eastAsiaTheme="minorEastAsia"/>
        </w:rPr>
        <w:t xml:space="preserve"> in</w:t>
      </w:r>
      <w:r w:rsidR="00CB2F27">
        <w:rPr>
          <w:rFonts w:eastAsiaTheme="minorEastAsia"/>
        </w:rPr>
        <w:t>to</w:t>
      </w:r>
      <w:r>
        <w:rPr>
          <w:rFonts w:eastAsiaTheme="minorEastAsia"/>
        </w:rPr>
        <w:t xml:space="preserve"> two</w:t>
      </w:r>
      <w:r w:rsidR="00CB2F27">
        <w:rPr>
          <w:rFonts w:eastAsiaTheme="minorEastAsia"/>
        </w:rPr>
        <w:t xml:space="preserve"> components</w:t>
      </w:r>
      <w:r w:rsidR="008778F3">
        <w:rPr>
          <w:rFonts w:eastAsiaTheme="minorEastAsia"/>
        </w:rPr>
        <w:t xml:space="preserve">. </w:t>
      </w:r>
      <w:r w:rsidR="00CB2F27">
        <w:rPr>
          <w:rFonts w:eastAsiaTheme="minorEastAsia"/>
        </w:rPr>
        <w:t>One c</w:t>
      </w:r>
      <w:r>
        <w:rPr>
          <w:rFonts w:eastAsiaTheme="minorEastAsia"/>
        </w:rPr>
        <w:t>aptures whether</w:t>
      </w:r>
      <w:r w:rsidRPr="00125FFA">
        <w:rPr>
          <w:rFonts w:eastAsiaTheme="minorEastAsia"/>
        </w:rPr>
        <w:t xml:space="preserve"> the EU </w:t>
      </w:r>
      <w:r>
        <w:rPr>
          <w:rFonts w:eastAsiaTheme="minorEastAsia"/>
        </w:rPr>
        <w:t xml:space="preserve">has </w:t>
      </w:r>
      <w:r w:rsidRPr="00125FFA">
        <w:rPr>
          <w:rFonts w:eastAsiaTheme="minorEastAsia"/>
        </w:rPr>
        <w:t>grant</w:t>
      </w:r>
      <w:r>
        <w:rPr>
          <w:rFonts w:eastAsiaTheme="minorEastAsia"/>
        </w:rPr>
        <w:t>ed</w:t>
      </w:r>
      <w:r w:rsidRPr="00125FFA">
        <w:rPr>
          <w:rFonts w:eastAsiaTheme="minorEastAsia"/>
        </w:rPr>
        <w:t xml:space="preserve"> adequacy to a</w:t>
      </w:r>
      <w:r>
        <w:rPr>
          <w:rFonts w:eastAsiaTheme="minorEastAsia"/>
        </w:rPr>
        <w:t>ny</w:t>
      </w:r>
      <w:r w:rsidRPr="00125FFA">
        <w:rPr>
          <w:rFonts w:eastAsiaTheme="minorEastAsia"/>
        </w:rPr>
        <w:t xml:space="preserve"> country</w:t>
      </w:r>
      <w:r>
        <w:rPr>
          <w:rFonts w:eastAsiaTheme="minorEastAsia"/>
        </w:rPr>
        <w:t xml:space="preserve"> other than the US. We label this as ‘regular’ adequacy decisions (</w:t>
      </w:r>
      <m:oMath>
        <m:sSub>
          <m:sSubPr>
            <m:ctrlPr>
              <w:rPr>
                <w:rFonts w:ascii="Cambria Math" w:hAnsi="Cambria Math"/>
                <w:i/>
              </w:rPr>
            </m:ctrlPr>
          </m:sSubPr>
          <m:e>
            <m:r>
              <w:rPr>
                <w:rFonts w:ascii="Cambria Math" w:hAnsi="Cambria Math"/>
              </w:rPr>
              <m:t>RADQ</m:t>
            </m:r>
          </m:e>
          <m:sub>
            <m:r>
              <w:rPr>
                <w:rFonts w:ascii="Cambria Math" w:hAnsi="Cambria Math"/>
              </w:rPr>
              <m:t>ijt</m:t>
            </m:r>
          </m:sub>
        </m:sSub>
      </m:oMath>
      <w:r>
        <w:rPr>
          <w:rFonts w:eastAsiaTheme="minorEastAsia"/>
        </w:rPr>
        <w:t xml:space="preserve">). The second component captures whether the Safe Harbor/ Privacy Shield frameworks between the EU and the US </w:t>
      </w:r>
      <w:r w:rsidR="008778F3">
        <w:rPr>
          <w:rFonts w:eastAsiaTheme="minorEastAsia"/>
        </w:rPr>
        <w:t>were</w:t>
      </w:r>
      <w:r>
        <w:rPr>
          <w:rFonts w:eastAsiaTheme="minorEastAsia"/>
        </w:rPr>
        <w:t xml:space="preserve"> in place (</w:t>
      </w:r>
      <m:oMath>
        <m:r>
          <w:rPr>
            <w:rFonts w:ascii="Cambria Math" w:eastAsiaTheme="minorEastAsia" w:hAnsi="Cambria Math"/>
          </w:rPr>
          <m:t>SH/P</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ijt</m:t>
            </m:r>
          </m:sub>
        </m:sSub>
      </m:oMath>
      <w:r>
        <w:rPr>
          <w:rFonts w:eastAsiaTheme="minorEastAsia"/>
        </w:rPr>
        <w:t>).</w:t>
      </w:r>
      <w:r>
        <w:t xml:space="preserve"> </w:t>
      </w:r>
      <w:r>
        <w:rPr>
          <w:rFonts w:eastAsiaTheme="minorEastAsia"/>
        </w:rPr>
        <w:t xml:space="preserve">Both terms are represented as a </w:t>
      </w:r>
      <w:r w:rsidRPr="00125FFA">
        <w:rPr>
          <w:rFonts w:eastAsiaTheme="minorEastAsia"/>
        </w:rPr>
        <w:t>dummy variable</w:t>
      </w:r>
      <w:r>
        <w:rPr>
          <w:rFonts w:eastAsiaTheme="minorEastAsia"/>
        </w:rPr>
        <w:t xml:space="preserve"> assuming value 1 in every period following the </w:t>
      </w:r>
      <w:r w:rsidR="00D21BFE">
        <w:rPr>
          <w:rFonts w:eastAsiaTheme="minorEastAsia"/>
        </w:rPr>
        <w:t xml:space="preserve">determination </w:t>
      </w:r>
      <w:r>
        <w:rPr>
          <w:rFonts w:eastAsiaTheme="minorEastAsia"/>
        </w:rPr>
        <w:t xml:space="preserve">of adequacy for the </w:t>
      </w:r>
      <w:r w:rsidR="00CE5509">
        <w:rPr>
          <w:rFonts w:eastAsiaTheme="minorEastAsia"/>
        </w:rPr>
        <w:t>partner country</w:t>
      </w:r>
      <w:r>
        <w:rPr>
          <w:rFonts w:eastAsiaTheme="minorEastAsia"/>
        </w:rPr>
        <w:t>.</w:t>
      </w:r>
      <w:r w:rsidR="001F07B9" w:rsidRPr="00633995">
        <w:t xml:space="preserve"> </w:t>
      </w:r>
    </w:p>
    <w:p w14:paraId="7C7E6A77" w14:textId="043273EA" w:rsidR="006D62D6" w:rsidRPr="00633995" w:rsidRDefault="003D4B92" w:rsidP="00604F53">
      <w:pPr>
        <w:rPr>
          <w:b/>
          <w:bCs/>
          <w:i/>
          <w:iCs/>
        </w:rPr>
      </w:pPr>
      <w:r w:rsidRPr="00633995">
        <w:rPr>
          <w:b/>
          <w:bCs/>
          <w:i/>
          <w:iCs/>
        </w:rPr>
        <w:t>Club</w:t>
      </w:r>
      <w:r w:rsidR="006D62D6" w:rsidRPr="00633995">
        <w:rPr>
          <w:b/>
          <w:bCs/>
          <w:i/>
          <w:iCs/>
        </w:rPr>
        <w:t xml:space="preserve"> effect</w:t>
      </w:r>
    </w:p>
    <w:p w14:paraId="57214A74" w14:textId="2F91878E" w:rsidR="005F186C" w:rsidRDefault="00C1016B" w:rsidP="005F186C">
      <w:pPr>
        <w:jc w:val="both"/>
      </w:pPr>
      <w:r>
        <w:t>The potential effects of a</w:t>
      </w:r>
      <w:r w:rsidR="005F186C">
        <w:t xml:space="preserve">dequacy decisions </w:t>
      </w:r>
      <w:r>
        <w:t xml:space="preserve">are not limited to </w:t>
      </w:r>
      <w:r w:rsidR="005F186C">
        <w:t>d</w:t>
      </w:r>
      <w:r>
        <w:t xml:space="preserve">igital trade </w:t>
      </w:r>
      <w:r w:rsidR="005F186C">
        <w:t xml:space="preserve">between the EU and </w:t>
      </w:r>
      <w:r w:rsidR="00FE5936">
        <w:t xml:space="preserve">partner </w:t>
      </w:r>
      <w:r w:rsidR="005F186C">
        <w:t xml:space="preserve">countries </w:t>
      </w:r>
      <w:r w:rsidR="001C09B4">
        <w:t>granted</w:t>
      </w:r>
      <w:r w:rsidR="009A32E1">
        <w:t xml:space="preserve"> </w:t>
      </w:r>
      <w:r>
        <w:t>adequacy</w:t>
      </w:r>
      <w:r w:rsidR="005F186C">
        <w:t xml:space="preserve">. </w:t>
      </w:r>
      <w:r>
        <w:t>T</w:t>
      </w:r>
      <w:r w:rsidR="005F186C">
        <w:t xml:space="preserve">he fact that the European Commission permits onward transfers of EU citizens' personal data to </w:t>
      </w:r>
      <w:r>
        <w:t xml:space="preserve">any country accorded adequacy </w:t>
      </w:r>
      <w:r w:rsidR="005F186C">
        <w:t xml:space="preserve">potentially reduces bilateral trade costs among members of </w:t>
      </w:r>
      <w:r>
        <w:t xml:space="preserve">the </w:t>
      </w:r>
      <w:r w:rsidR="005F186C">
        <w:t>“</w:t>
      </w:r>
      <w:r>
        <w:t xml:space="preserve">adequacy </w:t>
      </w:r>
      <w:r w:rsidR="005F186C">
        <w:t xml:space="preserve">club”. For this reason, we </w:t>
      </w:r>
      <w:r>
        <w:t xml:space="preserve">distinguish between </w:t>
      </w:r>
      <w:r w:rsidR="005F186C">
        <w:t>the "direct effect" of an adequacy decision on trade between the EU and an adequacy recipient country (</w:t>
      </w:r>
      <m:oMath>
        <m:sSub>
          <m:sSubPr>
            <m:ctrlPr>
              <w:rPr>
                <w:rFonts w:ascii="Cambria Math" w:eastAsiaTheme="minorEastAsia" w:hAnsi="Cambria Math"/>
                <w:i/>
              </w:rPr>
            </m:ctrlPr>
          </m:sSubPr>
          <m:e>
            <m:r>
              <w:rPr>
                <w:rFonts w:ascii="Cambria Math" w:eastAsiaTheme="minorEastAsia" w:hAnsi="Cambria Math"/>
                <w:lang w:val="it-IT"/>
              </w:rPr>
              <m:t>ADQ</m:t>
            </m:r>
            <m:ctrlPr>
              <w:rPr>
                <w:rFonts w:ascii="Cambria Math" w:eastAsiaTheme="minorEastAsia" w:hAnsi="Cambria Math"/>
                <w:i/>
                <w:lang w:val="it-IT"/>
              </w:rPr>
            </m:ctrlPr>
          </m:e>
          <m:sub>
            <m:r>
              <w:rPr>
                <w:rFonts w:ascii="Cambria Math" w:eastAsiaTheme="minorEastAsia" w:hAnsi="Cambria Math"/>
              </w:rPr>
              <m:t>ijt</m:t>
            </m:r>
          </m:sub>
        </m:sSub>
      </m:oMath>
      <w:r w:rsidR="005F186C">
        <w:rPr>
          <w:rFonts w:eastAsiaTheme="minorEastAsia"/>
        </w:rPr>
        <w:t>)</w:t>
      </w:r>
      <w:r>
        <w:rPr>
          <w:rFonts w:eastAsiaTheme="minorEastAsia"/>
        </w:rPr>
        <w:t xml:space="preserve"> and </w:t>
      </w:r>
      <w:r w:rsidR="005F186C">
        <w:t xml:space="preserve">the </w:t>
      </w:r>
      <w:r>
        <w:t xml:space="preserve">potential </w:t>
      </w:r>
      <w:r w:rsidR="005F186C">
        <w:t>indirect "</w:t>
      </w:r>
      <w:r>
        <w:t>c</w:t>
      </w:r>
      <w:r w:rsidR="005F186C">
        <w:t>lub effect" of adequacy (</w:t>
      </w:r>
      <m:oMath>
        <m:sSub>
          <m:sSubPr>
            <m:ctrlPr>
              <w:rPr>
                <w:rFonts w:ascii="Cambria Math" w:eastAsiaTheme="minorEastAsia" w:hAnsi="Cambria Math"/>
                <w:i/>
              </w:rPr>
            </m:ctrlPr>
          </m:sSubPr>
          <m:e>
            <m:r>
              <w:rPr>
                <w:rFonts w:ascii="Cambria Math" w:eastAsiaTheme="minorEastAsia" w:hAnsi="Cambria Math"/>
                <w:lang w:val="it-IT"/>
              </w:rPr>
              <m:t>CLB</m:t>
            </m:r>
            <m:ctrlPr>
              <w:rPr>
                <w:rFonts w:ascii="Cambria Math" w:eastAsiaTheme="minorEastAsia" w:hAnsi="Cambria Math"/>
                <w:i/>
                <w:lang w:val="it-IT"/>
              </w:rPr>
            </m:ctrlPr>
          </m:e>
          <m:sub>
            <m:r>
              <w:rPr>
                <w:rFonts w:ascii="Cambria Math" w:eastAsiaTheme="minorEastAsia" w:hAnsi="Cambria Math"/>
              </w:rPr>
              <m:t>ijt</m:t>
            </m:r>
          </m:sub>
        </m:sSub>
      </m:oMath>
      <w:r w:rsidR="005F186C">
        <w:t xml:space="preserve">) that may enhance bilateral </w:t>
      </w:r>
      <w:r>
        <w:t xml:space="preserve">digital </w:t>
      </w:r>
      <w:r w:rsidR="005F186C">
        <w:t>trade between countr</w:t>
      </w:r>
      <w:r>
        <w:t xml:space="preserve">y pairs that have been accorded </w:t>
      </w:r>
      <w:r w:rsidR="005F186C">
        <w:t xml:space="preserve">adequacy </w:t>
      </w:r>
      <w:r>
        <w:t>decisions</w:t>
      </w:r>
      <w:r w:rsidR="005F186C">
        <w:t xml:space="preserve">. The </w:t>
      </w:r>
      <m:oMath>
        <m:sSub>
          <m:sSubPr>
            <m:ctrlPr>
              <w:rPr>
                <w:rFonts w:ascii="Cambria Math" w:eastAsiaTheme="minorEastAsia" w:hAnsi="Cambria Math"/>
                <w:i/>
              </w:rPr>
            </m:ctrlPr>
          </m:sSubPr>
          <m:e>
            <m:r>
              <w:rPr>
                <w:rFonts w:ascii="Cambria Math" w:eastAsiaTheme="minorEastAsia" w:hAnsi="Cambria Math"/>
                <w:lang w:val="it-IT"/>
              </w:rPr>
              <m:t>CLB</m:t>
            </m:r>
            <m:ctrlPr>
              <w:rPr>
                <w:rFonts w:ascii="Cambria Math" w:eastAsiaTheme="minorEastAsia" w:hAnsi="Cambria Math"/>
                <w:i/>
                <w:lang w:val="it-IT"/>
              </w:rPr>
            </m:ctrlPr>
          </m:e>
          <m:sub>
            <m:r>
              <w:rPr>
                <w:rFonts w:ascii="Cambria Math" w:eastAsiaTheme="minorEastAsia" w:hAnsi="Cambria Math"/>
              </w:rPr>
              <m:t>ijt</m:t>
            </m:r>
          </m:sub>
        </m:sSub>
      </m:oMath>
      <w:r w:rsidR="005F186C">
        <w:rPr>
          <w:rFonts w:eastAsiaTheme="minorEastAsia"/>
        </w:rPr>
        <w:t xml:space="preserve"> </w:t>
      </w:r>
      <w:r w:rsidR="005F186C">
        <w:t xml:space="preserve">parameter </w:t>
      </w:r>
      <w:r>
        <w:t xml:space="preserve">therefore </w:t>
      </w:r>
      <w:r w:rsidR="005F186C">
        <w:t>captures whether and to what extent adequacy induces an</w:t>
      </w:r>
      <w:r w:rsidR="005F186C" w:rsidRPr="00633995">
        <w:t xml:space="preserve"> additional </w:t>
      </w:r>
      <w:r w:rsidR="005F186C" w:rsidRPr="00633995">
        <w:rPr>
          <w:rFonts w:eastAsiaTheme="minorEastAsia"/>
        </w:rPr>
        <w:t>bilateral trade cost reduction within the club of adequacy countries.</w:t>
      </w:r>
      <w:r w:rsidR="000E6586">
        <w:rPr>
          <w:rStyle w:val="FootnoteReference"/>
          <w:rFonts w:eastAsiaTheme="minorEastAsia"/>
        </w:rPr>
        <w:footnoteReference w:id="24"/>
      </w:r>
      <w:r w:rsidR="005F186C">
        <w:rPr>
          <w:rFonts w:eastAsiaTheme="minorEastAsia"/>
        </w:rPr>
        <w:t xml:space="preserve"> </w:t>
      </w:r>
    </w:p>
    <w:p w14:paraId="3332221A" w14:textId="4A4D946D" w:rsidR="005F186C" w:rsidRPr="00633995" w:rsidRDefault="00106424" w:rsidP="005F186C">
      <w:pPr>
        <w:jc w:val="both"/>
        <w:rPr>
          <w:rFonts w:eastAsiaTheme="minorEastAsia"/>
        </w:rPr>
      </w:pPr>
      <w:r>
        <w:rPr>
          <w:rFonts w:eastAsiaTheme="minorEastAsia"/>
        </w:rPr>
        <w:t>T</w:t>
      </w:r>
      <w:r w:rsidR="005F186C">
        <w:rPr>
          <w:rFonts w:eastAsiaTheme="minorEastAsia"/>
        </w:rPr>
        <w:t xml:space="preserve">o explore the </w:t>
      </w:r>
      <w:r w:rsidR="005F6BA3">
        <w:rPr>
          <w:rFonts w:eastAsiaTheme="minorEastAsia"/>
        </w:rPr>
        <w:t xml:space="preserve">potential </w:t>
      </w:r>
      <w:r>
        <w:rPr>
          <w:rFonts w:eastAsiaTheme="minorEastAsia"/>
        </w:rPr>
        <w:t>c</w:t>
      </w:r>
      <w:r w:rsidR="005F186C">
        <w:rPr>
          <w:rFonts w:eastAsiaTheme="minorEastAsia"/>
        </w:rPr>
        <w:t xml:space="preserve">lub </w:t>
      </w:r>
      <w:r w:rsidR="0061448A">
        <w:rPr>
          <w:rFonts w:eastAsiaTheme="minorEastAsia"/>
        </w:rPr>
        <w:t>effect,</w:t>
      </w:r>
      <w:r w:rsidR="005F186C">
        <w:rPr>
          <w:rFonts w:eastAsiaTheme="minorEastAsia"/>
        </w:rPr>
        <w:t xml:space="preserve"> we modify </w:t>
      </w:r>
      <w:r w:rsidR="005F6BA3">
        <w:rPr>
          <w:rFonts w:eastAsiaTheme="minorEastAsia"/>
        </w:rPr>
        <w:t>e</w:t>
      </w:r>
      <w:r w:rsidR="005F186C">
        <w:rPr>
          <w:rFonts w:eastAsiaTheme="minorEastAsia"/>
        </w:rPr>
        <w:t>quation 3 as follows</w:t>
      </w:r>
      <w:r>
        <w:rPr>
          <w:rFonts w:eastAsiaTheme="minorEastAsia"/>
        </w:rPr>
        <w:t>:</w:t>
      </w:r>
    </w:p>
    <w:p w14:paraId="255310BF" w14:textId="77777777" w:rsidR="005F186C" w:rsidRPr="00513BF1" w:rsidRDefault="00000000" w:rsidP="005F186C">
      <w:pPr>
        <w:jc w:val="both"/>
      </w:pPr>
      <m:oMathPara>
        <m:oMath>
          <m:sSubSup>
            <m:sSubSupPr>
              <m:ctrlPr>
                <w:rPr>
                  <w:rFonts w:ascii="Cambria Math" w:hAnsi="Cambria Math"/>
                  <w:i/>
                  <w:iCs/>
                </w:rPr>
              </m:ctrlPr>
            </m:sSubSupPr>
            <m:e>
              <m:r>
                <w:rPr>
                  <w:rFonts w:ascii="Cambria Math" w:hAnsi="Cambria Math"/>
                </w:rPr>
                <m:t>X</m:t>
              </m:r>
            </m:e>
            <m:sub>
              <m:r>
                <w:rPr>
                  <w:rFonts w:ascii="Cambria Math" w:hAnsi="Cambria Math"/>
                </w:rPr>
                <m:t>ijt</m:t>
              </m:r>
            </m:sub>
            <m:sup>
              <m:r>
                <w:rPr>
                  <w:rFonts w:ascii="Cambria Math" w:hAnsi="Cambria Math"/>
                </w:rPr>
                <m:t>dig</m:t>
              </m:r>
            </m:sup>
          </m:sSubSup>
          <m:r>
            <w:rPr>
              <w:rFonts w:ascii="Cambria Math" w:hAnsi="Cambria Math"/>
            </w:rPr>
            <m:t>=</m:t>
          </m:r>
          <m:r>
            <w:rPr>
              <w:rFonts w:ascii="Cambria Math" w:hAnsi="Cambria Math"/>
            </w:rPr>
            <m:t>exp</m:t>
          </m:r>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βADQ</m:t>
                  </m:r>
                </m:e>
                <m:sub>
                  <m:r>
                    <w:rPr>
                      <w:rFonts w:ascii="Cambria Math" w:hAnsi="Cambria Math"/>
                    </w:rPr>
                    <m:t>ijt</m:t>
                  </m:r>
                </m:sub>
              </m:sSub>
              <m:r>
                <w:rPr>
                  <w:rFonts w:ascii="Cambria Math" w:hAnsi="Cambria Math"/>
                </w:rPr>
                <m:t>+</m:t>
              </m:r>
              <m:r>
                <m:rPr>
                  <m:sty m:val="p"/>
                </m:rPr>
                <w:rPr>
                  <w:rFonts w:ascii="Cambria Math" w:eastAsiaTheme="minorEastAsia" w:hAnsi="Cambria Math"/>
                </w:rPr>
                <m:t>λ</m:t>
              </m:r>
              <m:sSub>
                <m:sSubPr>
                  <m:ctrlPr>
                    <w:rPr>
                      <w:rFonts w:ascii="Cambria Math" w:hAnsi="Cambria Math"/>
                      <w:i/>
                      <w:iCs/>
                    </w:rPr>
                  </m:ctrlPr>
                </m:sSubPr>
                <m:e>
                  <m:r>
                    <w:rPr>
                      <w:rFonts w:ascii="Cambria Math" w:hAnsi="Cambria Math"/>
                    </w:rPr>
                    <m:t>CLB</m:t>
                  </m:r>
                </m:e>
                <m:sub>
                  <m:r>
                    <w:rPr>
                      <w:rFonts w:ascii="Cambria Math" w:hAnsi="Cambria Math"/>
                    </w:rPr>
                    <m:t>ijt</m:t>
                  </m:r>
                </m:sub>
              </m:sSub>
              <m:r>
                <w:rPr>
                  <w:rFonts w:ascii="Cambria Math" w:hAnsi="Cambria Math"/>
                </w:rPr>
                <m:t>+</m:t>
              </m:r>
              <m:sSub>
                <m:sSubPr>
                  <m:ctrlPr>
                    <w:rPr>
                      <w:rFonts w:ascii="Cambria Math" w:hAnsi="Cambria Math"/>
                      <w:i/>
                      <w:iCs/>
                    </w:rPr>
                  </m:ctrlPr>
                </m:sSubPr>
                <m:e>
                  <m:r>
                    <w:rPr>
                      <w:rFonts w:ascii="Cambria Math" w:hAnsi="Cambria Math"/>
                    </w:rPr>
                    <m:t>ϕGRA</m:t>
                  </m:r>
                </m:e>
                <m:sub>
                  <m:r>
                    <w:rPr>
                      <w:rFonts w:ascii="Cambria Math" w:hAnsi="Cambria Math"/>
                    </w:rPr>
                    <m:t>ijt</m:t>
                  </m:r>
                </m:sub>
              </m:sSub>
              <m:r>
                <w:rPr>
                  <w:rFonts w:ascii="Cambria Math" w:hAnsi="Cambria Math"/>
                </w:rPr>
                <m:t>+</m:t>
              </m:r>
              <m:sSub>
                <m:sSubPr>
                  <m:ctrlPr>
                    <w:rPr>
                      <w:rFonts w:ascii="Cambria Math" w:hAnsi="Cambria Math"/>
                      <w:i/>
                      <w:iCs/>
                    </w:rPr>
                  </m:ctrlPr>
                </m:sSubPr>
                <m:e>
                  <m:r>
                    <w:rPr>
                      <w:rFonts w:ascii="Cambria Math" w:hAnsi="Cambria Math"/>
                    </w:rPr>
                    <m:t>α</m:t>
                  </m:r>
                </m:e>
                <m:sub>
                  <m:r>
                    <w:rPr>
                      <w:rFonts w:ascii="Cambria Math" w:hAnsi="Cambria Math"/>
                    </w:rPr>
                    <m:t>it</m:t>
                  </m:r>
                </m:sub>
              </m:sSub>
              <m:r>
                <w:rPr>
                  <w:rFonts w:ascii="Cambria Math" w:hAnsi="Cambria Math"/>
                </w:rPr>
                <m:t>+</m:t>
              </m:r>
              <m:sSub>
                <m:sSubPr>
                  <m:ctrlPr>
                    <w:rPr>
                      <w:rFonts w:ascii="Cambria Math" w:hAnsi="Cambria Math"/>
                      <w:i/>
                      <w:iCs/>
                    </w:rPr>
                  </m:ctrlPr>
                </m:sSubPr>
                <m:e>
                  <m:r>
                    <w:rPr>
                      <w:rFonts w:ascii="Cambria Math" w:hAnsi="Cambria Math"/>
                    </w:rPr>
                    <m:t>γ</m:t>
                  </m:r>
                </m:e>
                <m:sub>
                  <m:r>
                    <w:rPr>
                      <w:rFonts w:ascii="Cambria Math" w:hAnsi="Cambria Math"/>
                    </w:rPr>
                    <m:t>jt</m:t>
                  </m:r>
                </m:sub>
              </m:sSub>
              <m:r>
                <w:rPr>
                  <w:rFonts w:ascii="Cambria Math" w:hAnsi="Cambria Math"/>
                </w:rPr>
                <m:t>+</m:t>
              </m:r>
              <m:sSub>
                <m:sSubPr>
                  <m:ctrlPr>
                    <w:rPr>
                      <w:rFonts w:ascii="Cambria Math" w:hAnsi="Cambria Math"/>
                      <w:i/>
                      <w:iCs/>
                    </w:rPr>
                  </m:ctrlPr>
                </m:sSubPr>
                <m:e>
                  <m:r>
                    <w:rPr>
                      <w:rFonts w:ascii="Cambria Math" w:hAnsi="Cambria Math"/>
                    </w:rPr>
                    <m:t>δ</m:t>
                  </m:r>
                </m:e>
                <m:sub>
                  <m:r>
                    <w:rPr>
                      <w:rFonts w:ascii="Cambria Math" w:hAnsi="Cambria Math"/>
                    </w:rPr>
                    <m:t>ij</m:t>
                  </m:r>
                </m:sub>
              </m:sSub>
            </m:e>
          </m:d>
          <m:r>
            <w:rPr>
              <w:rFonts w:ascii="Cambria Math" w:hAnsi="Cambria Math"/>
            </w:rPr>
            <m:t>+</m:t>
          </m:r>
          <m:sSub>
            <m:sSubPr>
              <m:ctrlPr>
                <w:rPr>
                  <w:rFonts w:ascii="Cambria Math" w:hAnsi="Cambria Math"/>
                  <w:i/>
                  <w:iCs/>
                </w:rPr>
              </m:ctrlPr>
            </m:sSubPr>
            <m:e>
              <m:r>
                <w:rPr>
                  <w:rFonts w:ascii="Cambria Math" w:hAnsi="Cambria Math"/>
                </w:rPr>
                <m:t>ε</m:t>
              </m:r>
            </m:e>
            <m:sub>
              <m:r>
                <w:rPr>
                  <w:rFonts w:ascii="Cambria Math" w:hAnsi="Cambria Math"/>
                </w:rPr>
                <m:t>ijt</m:t>
              </m:r>
            </m:sub>
          </m:sSub>
          <m:r>
            <w:rPr>
              <w:rFonts w:ascii="Cambria Math" w:hAnsi="Cambria Math"/>
            </w:rPr>
            <m:t>     (4)</m:t>
          </m:r>
        </m:oMath>
      </m:oMathPara>
    </w:p>
    <w:p w14:paraId="7EB625EE" w14:textId="1CA41F2F" w:rsidR="005F186C" w:rsidRPr="00A63C0D" w:rsidRDefault="002275BF" w:rsidP="005F186C">
      <w:pPr>
        <w:jc w:val="both"/>
        <w:rPr>
          <w:rFonts w:eastAsiaTheme="minorEastAsia"/>
        </w:rPr>
      </w:pPr>
      <w:r>
        <w:rPr>
          <w:rFonts w:eastAsiaTheme="minorEastAsia"/>
        </w:rPr>
        <w:t>w</w:t>
      </w:r>
      <w:r w:rsidR="005F186C">
        <w:rPr>
          <w:rFonts w:eastAsiaTheme="minorEastAsia"/>
        </w:rPr>
        <w:t xml:space="preserve">here </w:t>
      </w:r>
      <m:oMath>
        <m:r>
          <w:rPr>
            <w:rFonts w:ascii="Cambria Math" w:eastAsiaTheme="minorEastAsia" w:hAnsi="Cambria Math"/>
          </w:rPr>
          <m:t>AD</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ijt</m:t>
            </m:r>
          </m:sub>
        </m:sSub>
      </m:oMath>
      <w:r w:rsidR="005F186C" w:rsidRPr="00633995">
        <w:rPr>
          <w:rFonts w:eastAsiaTheme="minorEastAsia"/>
        </w:rPr>
        <w:t xml:space="preserve"> is a dummy variable equal to one </w:t>
      </w:r>
      <w:r w:rsidR="003567A8">
        <w:rPr>
          <w:rFonts w:eastAsiaTheme="minorEastAsia"/>
        </w:rPr>
        <w:t xml:space="preserve">starting </w:t>
      </w:r>
      <w:r w:rsidR="005F186C" w:rsidRPr="00633995">
        <w:rPr>
          <w:rFonts w:eastAsiaTheme="minorEastAsia"/>
        </w:rPr>
        <w:t>in the year the EU accords adequacy to a partner</w:t>
      </w:r>
      <w:r w:rsidR="00106424">
        <w:rPr>
          <w:rFonts w:eastAsiaTheme="minorEastAsia"/>
        </w:rPr>
        <w:t xml:space="preserve"> </w:t>
      </w:r>
      <w:r w:rsidR="003567A8">
        <w:rPr>
          <w:rFonts w:eastAsiaTheme="minorEastAsia"/>
        </w:rPr>
        <w:t>country</w:t>
      </w:r>
      <w:r w:rsidR="003567A8" w:rsidRPr="00633995">
        <w:rPr>
          <w:rFonts w:eastAsiaTheme="minorEastAsia"/>
        </w:rPr>
        <w:t xml:space="preserve"> </w:t>
      </w:r>
      <w:r w:rsidR="005F186C" w:rsidRPr="00633995">
        <w:rPr>
          <w:rFonts w:eastAsiaTheme="minorEastAsia"/>
        </w:rPr>
        <w:t>and</w:t>
      </w:r>
      <m:oMath>
        <m:r>
          <w:rPr>
            <w:rFonts w:ascii="Cambria Math" w:eastAsiaTheme="minorEastAsia" w:hAnsi="Cambria Math"/>
          </w:rPr>
          <m:t xml:space="preserve"> </m:t>
        </m:r>
        <m:sSub>
          <m:sSubPr>
            <m:ctrlPr>
              <w:rPr>
                <w:rFonts w:ascii="Cambria Math" w:hAnsi="Cambria Math"/>
                <w:i/>
              </w:rPr>
            </m:ctrlPr>
          </m:sSubPr>
          <m:e>
            <m:r>
              <w:rPr>
                <w:rFonts w:ascii="Cambria Math" w:hAnsi="Cambria Math"/>
              </w:rPr>
              <m:t>CLB</m:t>
            </m:r>
          </m:e>
          <m:sub>
            <m:r>
              <w:rPr>
                <w:rFonts w:ascii="Cambria Math" w:hAnsi="Cambria Math"/>
              </w:rPr>
              <m:t>ijt</m:t>
            </m:r>
          </m:sub>
        </m:sSub>
      </m:oMath>
      <w:r w:rsidR="005F186C" w:rsidRPr="00633995">
        <w:rPr>
          <w:rFonts w:eastAsiaTheme="minorEastAsia"/>
        </w:rPr>
        <w:t xml:space="preserve"> is a </w:t>
      </w:r>
      <w:r w:rsidR="005F186C" w:rsidRPr="00633995">
        <w:t xml:space="preserve">dummy variable equal to 1 </w:t>
      </w:r>
      <w:r w:rsidR="005F186C" w:rsidRPr="00633995">
        <w:rPr>
          <w:rFonts w:eastAsiaTheme="minorEastAsia"/>
        </w:rPr>
        <w:t xml:space="preserve">in year </w:t>
      </w:r>
      <m:oMath>
        <m:r>
          <w:rPr>
            <w:rFonts w:ascii="Cambria Math" w:hAnsi="Cambria Math"/>
          </w:rPr>
          <m:t>t</m:t>
        </m:r>
      </m:oMath>
      <w:r w:rsidR="005F186C" w:rsidRPr="00633995">
        <w:rPr>
          <w:rFonts w:eastAsiaTheme="minorEastAsia"/>
          <w:i/>
        </w:rPr>
        <w:t xml:space="preserve"> </w:t>
      </w:r>
      <w:r w:rsidR="005F186C" w:rsidRPr="00633995">
        <w:t xml:space="preserve">when countries </w:t>
      </w:r>
      <w:r w:rsidR="005F186C" w:rsidRPr="00633995">
        <w:rPr>
          <w:i/>
          <w:iCs/>
        </w:rPr>
        <w:t>i</w:t>
      </w:r>
      <w:r w:rsidR="005F186C" w:rsidRPr="00633995">
        <w:t xml:space="preserve"> and </w:t>
      </w:r>
      <w:r w:rsidR="005F186C" w:rsidRPr="00633995">
        <w:rPr>
          <w:i/>
          <w:iCs/>
        </w:rPr>
        <w:t>j</w:t>
      </w:r>
      <w:r w:rsidR="005F186C" w:rsidRPr="00633995">
        <w:t xml:space="preserve"> </w:t>
      </w:r>
      <w:r w:rsidR="00106424">
        <w:t xml:space="preserve">both </w:t>
      </w:r>
      <w:r w:rsidR="005F186C" w:rsidRPr="00633995">
        <w:t>have adequacy status</w:t>
      </w:r>
      <w:r w:rsidR="00106424">
        <w:t xml:space="preserve">. In doing so we </w:t>
      </w:r>
      <w:r w:rsidR="005F186C" w:rsidRPr="00633995">
        <w:t>again distinguish between regular adequacy decisions (</w:t>
      </w:r>
      <m:oMath>
        <m:sSubSup>
          <m:sSubSupPr>
            <m:ctrlPr>
              <w:rPr>
                <w:rFonts w:ascii="Cambria Math" w:hAnsi="Cambria Math"/>
                <w:i/>
              </w:rPr>
            </m:ctrlPr>
          </m:sSubSupPr>
          <m:e>
            <m:r>
              <w:rPr>
                <w:rFonts w:ascii="Cambria Math" w:hAnsi="Cambria Math"/>
              </w:rPr>
              <m:t>RADQ</m:t>
            </m:r>
          </m:e>
          <m:sub>
            <m:r>
              <w:rPr>
                <w:rFonts w:ascii="Cambria Math" w:hAnsi="Cambria Math"/>
              </w:rPr>
              <m:t>ijt</m:t>
            </m:r>
          </m:sub>
          <m:sup>
            <m:r>
              <w:rPr>
                <w:rFonts w:ascii="Cambria Math" w:hAnsi="Cambria Math"/>
              </w:rPr>
              <m:t>Club</m:t>
            </m:r>
          </m:sup>
        </m:sSubSup>
      </m:oMath>
      <w:r w:rsidR="005F186C" w:rsidRPr="00633995">
        <w:rPr>
          <w:rFonts w:eastAsiaTheme="minorEastAsia"/>
        </w:rPr>
        <w:t>) and adequacy frameworks with the U.S. (</w:t>
      </w:r>
      <m:oMath>
        <m:r>
          <w:rPr>
            <w:rFonts w:ascii="Cambria Math" w:eastAsiaTheme="minorEastAsia" w:hAnsi="Cambria Math"/>
          </w:rPr>
          <m:t>SH/P</m:t>
        </m:r>
        <m:sSubSup>
          <m:sSubSupPr>
            <m:ctrlPr>
              <w:rPr>
                <w:rFonts w:ascii="Cambria Math" w:eastAsiaTheme="minorEastAsia" w:hAnsi="Cambria Math"/>
                <w:i/>
              </w:rPr>
            </m:ctrlPr>
          </m:sSubSupPr>
          <m:e>
            <m:r>
              <w:rPr>
                <w:rFonts w:ascii="Cambria Math" w:eastAsiaTheme="minorEastAsia" w:hAnsi="Cambria Math"/>
              </w:rPr>
              <m:t>S</m:t>
            </m:r>
            <m:ctrlPr>
              <w:rPr>
                <w:rFonts w:ascii="Cambria Math" w:hAnsi="Cambria Math"/>
                <w:i/>
              </w:rPr>
            </m:ctrlPr>
          </m:e>
          <m:sub>
            <m:r>
              <w:rPr>
                <w:rFonts w:ascii="Cambria Math" w:eastAsiaTheme="minorEastAsia" w:hAnsi="Cambria Math"/>
              </w:rPr>
              <m:t>ijt</m:t>
            </m:r>
          </m:sub>
          <m:sup>
            <m:r>
              <w:rPr>
                <w:rFonts w:ascii="Cambria Math" w:eastAsiaTheme="minorEastAsia" w:hAnsi="Cambria Math"/>
              </w:rPr>
              <m:t>Club</m:t>
            </m:r>
          </m:sup>
        </m:sSubSup>
      </m:oMath>
      <w:r w:rsidR="005F186C" w:rsidRPr="00633995">
        <w:rPr>
          <w:rFonts w:eastAsiaTheme="minorEastAsia"/>
        </w:rPr>
        <w:t>)</w:t>
      </w:r>
      <w:r w:rsidR="005F186C" w:rsidRPr="00633995">
        <w:t>.</w:t>
      </w:r>
      <w:r w:rsidR="005F186C">
        <w:rPr>
          <w:rStyle w:val="FootnoteReference"/>
        </w:rPr>
        <w:footnoteReference w:id="25"/>
      </w:r>
      <w:r w:rsidR="005F186C">
        <w:rPr>
          <w:rFonts w:eastAsiaTheme="minorEastAsia"/>
        </w:rPr>
        <w:t xml:space="preserve"> </w:t>
      </w:r>
      <w:r w:rsidR="005F186C" w:rsidRPr="007C1B27">
        <w:t xml:space="preserve">If an adequacy decision </w:t>
      </w:r>
      <w:r w:rsidR="005F186C" w:rsidRPr="001D1F57">
        <w:t xml:space="preserve">sufficiently </w:t>
      </w:r>
      <w:r w:rsidR="005F186C">
        <w:t>lowers</w:t>
      </w:r>
      <w:r w:rsidR="005F186C" w:rsidRPr="007C1B27">
        <w:t xml:space="preserve"> </w:t>
      </w:r>
      <w:r w:rsidR="005F186C" w:rsidRPr="0060368E">
        <w:rPr>
          <w:rFonts w:eastAsiaTheme="minorEastAsia"/>
        </w:rPr>
        <w:t>policy frictions between third countries</w:t>
      </w:r>
      <w:r w:rsidR="005F186C">
        <w:rPr>
          <w:rFonts w:eastAsiaTheme="minorEastAsia"/>
        </w:rPr>
        <w:t xml:space="preserve"> that have been granted adequacy</w:t>
      </w:r>
      <w:r w:rsidR="005F186C" w:rsidRPr="0060368E">
        <w:rPr>
          <w:rFonts w:eastAsiaTheme="minorEastAsia"/>
        </w:rPr>
        <w:t xml:space="preserve">, </w:t>
      </w:r>
      <w:r w:rsidR="005F186C">
        <w:rPr>
          <w:rFonts w:eastAsiaTheme="minorEastAsia"/>
        </w:rPr>
        <w:t>reducing trade costs,</w:t>
      </w:r>
      <w:r w:rsidR="005F186C" w:rsidRPr="0060368E">
        <w:rPr>
          <w:rFonts w:eastAsiaTheme="minorEastAsia"/>
        </w:rPr>
        <w:t xml:space="preserve"> we </w:t>
      </w:r>
      <w:r w:rsidR="005F186C" w:rsidRPr="007C1B27">
        <w:t xml:space="preserve">expect a positive coefficient estimate for </w:t>
      </w:r>
      <w:r w:rsidR="005F186C">
        <w:t>this</w:t>
      </w:r>
      <w:r w:rsidR="005F186C" w:rsidRPr="007C1B27">
        <w:t xml:space="preserve"> term.</w:t>
      </w:r>
      <w:r w:rsidR="005F186C" w:rsidRPr="0060368E">
        <w:t xml:space="preserve"> </w:t>
      </w:r>
      <w:r w:rsidR="00106424">
        <w:t>T</w:t>
      </w:r>
      <w:r w:rsidR="005F186C" w:rsidRPr="0060368E">
        <w:rPr>
          <w:rFonts w:eastAsiaTheme="minorEastAsia"/>
        </w:rPr>
        <w:t xml:space="preserve">he </w:t>
      </w:r>
      <w:r w:rsidR="005F186C">
        <w:rPr>
          <w:rFonts w:eastAsiaTheme="minorEastAsia"/>
        </w:rPr>
        <w:t xml:space="preserve">vector </w:t>
      </w:r>
      <m:oMath>
        <m:sSub>
          <m:sSubPr>
            <m:ctrlPr>
              <w:rPr>
                <w:rFonts w:ascii="Cambria Math" w:hAnsi="Cambria Math"/>
                <w:i/>
                <w:iCs/>
              </w:rPr>
            </m:ctrlPr>
          </m:sSubPr>
          <m:e>
            <m:r>
              <w:rPr>
                <w:rFonts w:ascii="Cambria Math" w:hAnsi="Cambria Math"/>
              </w:rPr>
              <m:t>GRA</m:t>
            </m:r>
          </m:e>
          <m:sub>
            <m:r>
              <w:rPr>
                <w:rFonts w:ascii="Cambria Math" w:hAnsi="Cambria Math"/>
              </w:rPr>
              <m:t>ijt</m:t>
            </m:r>
          </m:sub>
        </m:sSub>
      </m:oMath>
      <w:r w:rsidR="005F186C" w:rsidRPr="00125FFA">
        <w:rPr>
          <w:rFonts w:eastAsiaTheme="minorEastAsia"/>
        </w:rPr>
        <w:t xml:space="preserve"> </w:t>
      </w:r>
      <w:r w:rsidR="005F186C">
        <w:rPr>
          <w:rFonts w:eastAsiaTheme="minorEastAsia"/>
        </w:rPr>
        <w:t xml:space="preserve">and the three sets of fixed effects are the same as in equation (3). </w:t>
      </w:r>
    </w:p>
    <w:p w14:paraId="02BFA13A" w14:textId="0DD4DD16" w:rsidR="006D62D6" w:rsidRPr="00633995" w:rsidRDefault="0083073F" w:rsidP="00917EAA">
      <w:pPr>
        <w:spacing w:before="240"/>
        <w:jc w:val="both"/>
        <w:rPr>
          <w:b/>
          <w:bCs/>
        </w:rPr>
      </w:pPr>
      <w:r w:rsidRPr="00633995">
        <w:rPr>
          <w:b/>
          <w:bCs/>
        </w:rPr>
        <w:t>3.</w:t>
      </w:r>
      <w:r w:rsidR="00386FE7">
        <w:rPr>
          <w:b/>
          <w:bCs/>
        </w:rPr>
        <w:t>2</w:t>
      </w:r>
      <w:r w:rsidRPr="00633995">
        <w:rPr>
          <w:b/>
          <w:bCs/>
        </w:rPr>
        <w:t xml:space="preserve"> Dependent</w:t>
      </w:r>
      <w:r w:rsidR="00A36D0E" w:rsidRPr="00633995">
        <w:rPr>
          <w:b/>
          <w:bCs/>
        </w:rPr>
        <w:t xml:space="preserve"> and e</w:t>
      </w:r>
      <w:r w:rsidR="001E4C9B" w:rsidRPr="00633995">
        <w:rPr>
          <w:b/>
          <w:bCs/>
        </w:rPr>
        <w:t>xplanatory v</w:t>
      </w:r>
      <w:r w:rsidR="006D62D6" w:rsidRPr="00633995">
        <w:rPr>
          <w:b/>
          <w:bCs/>
        </w:rPr>
        <w:t>ariables</w:t>
      </w:r>
    </w:p>
    <w:p w14:paraId="53D6B23C" w14:textId="5CB4D582" w:rsidR="00A36D0E" w:rsidRPr="00633995" w:rsidRDefault="00A36D0E" w:rsidP="0011538D">
      <w:pPr>
        <w:spacing w:before="240"/>
        <w:jc w:val="both"/>
        <w:rPr>
          <w:rFonts w:eastAsiaTheme="minorEastAsia"/>
          <w:b/>
          <w:bCs/>
          <w:i/>
          <w:iCs/>
        </w:rPr>
      </w:pPr>
      <w:r w:rsidRPr="00633995">
        <w:rPr>
          <w:rFonts w:eastAsiaTheme="minorEastAsia"/>
          <w:b/>
          <w:bCs/>
          <w:i/>
          <w:iCs/>
        </w:rPr>
        <w:t>Defining digital trade</w:t>
      </w:r>
    </w:p>
    <w:p w14:paraId="355478B2" w14:textId="6D33881C" w:rsidR="00386FE7" w:rsidRDefault="00A43417" w:rsidP="00386FE7">
      <w:pPr>
        <w:jc w:val="both"/>
        <w:rPr>
          <w:rFonts w:eastAsiaTheme="minorEastAsia"/>
        </w:rPr>
      </w:pPr>
      <w:r>
        <w:rPr>
          <w:rFonts w:eastAsiaTheme="minorEastAsia"/>
        </w:rPr>
        <w:t>D</w:t>
      </w:r>
      <w:r w:rsidR="00386FE7">
        <w:rPr>
          <w:rFonts w:eastAsiaTheme="minorEastAsia"/>
        </w:rPr>
        <w:t>igital trade is defined to span both ICT goods and digital services. We include ICT goods because the activities of firms using EU personal data are often dependent on these goods. The complementarity between trade in digital equipment and digital services trade becomes evident when examining the list of firms that have subscribed to the EU-US data transfer</w:t>
      </w:r>
      <w:r>
        <w:rPr>
          <w:rFonts w:eastAsiaTheme="minorEastAsia"/>
        </w:rPr>
        <w:t xml:space="preserve"> framework</w:t>
      </w:r>
      <w:r w:rsidR="00386FE7">
        <w:rPr>
          <w:rFonts w:eastAsiaTheme="minorEastAsia"/>
        </w:rPr>
        <w:t>s</w:t>
      </w:r>
      <w:r>
        <w:rPr>
          <w:rFonts w:eastAsiaTheme="minorEastAsia"/>
        </w:rPr>
        <w:t>.</w:t>
      </w:r>
      <w:r w:rsidR="00386FE7">
        <w:rPr>
          <w:rFonts w:eastAsiaTheme="minorEastAsia"/>
        </w:rPr>
        <w:t xml:space="preserve"> </w:t>
      </w:r>
      <w:r w:rsidR="00D61A23">
        <w:rPr>
          <w:rFonts w:eastAsiaTheme="minorEastAsia"/>
        </w:rPr>
        <w:t>The US Department of Commerce</w:t>
      </w:r>
      <w:r w:rsidR="00740873">
        <w:rPr>
          <w:rFonts w:eastAsiaTheme="minorEastAsia"/>
        </w:rPr>
        <w:t xml:space="preserve"> requires p</w:t>
      </w:r>
      <w:r w:rsidR="00386FE7">
        <w:rPr>
          <w:rFonts w:eastAsiaTheme="minorEastAsia"/>
        </w:rPr>
        <w:t>artici</w:t>
      </w:r>
      <w:r w:rsidR="00740873">
        <w:rPr>
          <w:rFonts w:eastAsiaTheme="minorEastAsia"/>
        </w:rPr>
        <w:t>pating firms</w:t>
      </w:r>
      <w:r w:rsidR="00386FE7">
        <w:rPr>
          <w:rFonts w:eastAsiaTheme="minorEastAsia"/>
        </w:rPr>
        <w:t xml:space="preserve"> in these frameworks to report on their </w:t>
      </w:r>
      <w:r w:rsidR="00386FE7">
        <w:rPr>
          <w:rFonts w:eastAsiaTheme="minorEastAsia"/>
        </w:rPr>
        <w:lastRenderedPageBreak/>
        <w:t xml:space="preserve">sector activity and </w:t>
      </w:r>
      <w:r>
        <w:rPr>
          <w:rFonts w:eastAsiaTheme="minorEastAsia"/>
        </w:rPr>
        <w:t xml:space="preserve">to </w:t>
      </w:r>
      <w:r w:rsidR="00386FE7">
        <w:rPr>
          <w:rFonts w:eastAsiaTheme="minorEastAsia"/>
        </w:rPr>
        <w:t xml:space="preserve">provide a </w:t>
      </w:r>
      <w:r w:rsidR="0061448A">
        <w:rPr>
          <w:rFonts w:eastAsiaTheme="minorEastAsia"/>
        </w:rPr>
        <w:t>description of</w:t>
      </w:r>
      <w:r w:rsidR="00386FE7">
        <w:rPr>
          <w:rFonts w:eastAsiaTheme="minorEastAsia"/>
        </w:rPr>
        <w:t xml:space="preserve"> why they want to use the data </w:t>
      </w:r>
      <w:r w:rsidR="001B1C30">
        <w:rPr>
          <w:rFonts w:eastAsiaTheme="minorEastAsia"/>
        </w:rPr>
        <w:t>agreement</w:t>
      </w:r>
      <w:r w:rsidR="00386FE7">
        <w:rPr>
          <w:rFonts w:eastAsiaTheme="minorEastAsia"/>
        </w:rPr>
        <w:t>. A text analysis algorithm applied to these purpose descriptions reveals that words such as ‘goods’, ‘devices’, ‘electronics’ and ‘equipment’ are mentioned by almost half of the companies that have self-certified compliance with the 2023 EU-US Data Privacy Framework.</w:t>
      </w:r>
      <w:r w:rsidR="00386FE7">
        <w:rPr>
          <w:rStyle w:val="FootnoteReference"/>
          <w:rFonts w:eastAsiaTheme="minorEastAsia"/>
        </w:rPr>
        <w:footnoteReference w:id="26"/>
      </w:r>
      <w:r w:rsidR="00386FE7">
        <w:rPr>
          <w:rFonts w:eastAsiaTheme="minorEastAsia"/>
        </w:rPr>
        <w:t xml:space="preserve"> Appendix</w:t>
      </w:r>
      <w:r w:rsidR="00386FE7" w:rsidRPr="00C45DC7">
        <w:rPr>
          <w:rFonts w:eastAsiaTheme="minorEastAsia"/>
        </w:rPr>
        <w:t xml:space="preserve"> Table </w:t>
      </w:r>
      <w:r w:rsidR="001E7A74" w:rsidRPr="00C45DC7">
        <w:rPr>
          <w:rFonts w:eastAsiaTheme="minorEastAsia"/>
        </w:rPr>
        <w:t>A</w:t>
      </w:r>
      <w:r w:rsidR="001E7A74">
        <w:rPr>
          <w:rFonts w:eastAsiaTheme="minorEastAsia"/>
        </w:rPr>
        <w:t>2</w:t>
      </w:r>
      <w:r w:rsidR="001E7A74" w:rsidRPr="00C45DC7">
        <w:rPr>
          <w:rFonts w:eastAsiaTheme="minorEastAsia"/>
        </w:rPr>
        <w:t xml:space="preserve"> </w:t>
      </w:r>
      <w:r w:rsidR="00386FE7" w:rsidRPr="00C45DC7">
        <w:rPr>
          <w:rFonts w:eastAsiaTheme="minorEastAsia"/>
        </w:rPr>
        <w:t xml:space="preserve">lists the top 10 sectors represented by firms </w:t>
      </w:r>
      <w:r w:rsidR="00386FE7">
        <w:rPr>
          <w:rFonts w:eastAsiaTheme="minorEastAsia"/>
        </w:rPr>
        <w:t>participating in th</w:t>
      </w:r>
      <w:r w:rsidR="00FC02A2">
        <w:rPr>
          <w:rFonts w:eastAsiaTheme="minorEastAsia"/>
        </w:rPr>
        <w:t>is arrangement</w:t>
      </w:r>
      <w:r w:rsidR="00386FE7">
        <w:rPr>
          <w:rFonts w:eastAsiaTheme="minorEastAsia"/>
        </w:rPr>
        <w:t xml:space="preserve">. These sectors </w:t>
      </w:r>
      <w:r w:rsidR="00386FE7" w:rsidRPr="00C45DC7">
        <w:rPr>
          <w:rFonts w:eastAsiaTheme="minorEastAsia"/>
        </w:rPr>
        <w:t>account for about 95</w:t>
      </w:r>
      <w:r w:rsidR="00386FE7">
        <w:rPr>
          <w:rFonts w:eastAsiaTheme="minorEastAsia"/>
        </w:rPr>
        <w:t xml:space="preserve"> percent</w:t>
      </w:r>
      <w:r w:rsidR="00386FE7" w:rsidRPr="00C45DC7">
        <w:rPr>
          <w:rFonts w:eastAsiaTheme="minorEastAsia"/>
        </w:rPr>
        <w:t xml:space="preserve"> of </w:t>
      </w:r>
      <w:r w:rsidR="00386FE7">
        <w:rPr>
          <w:rFonts w:eastAsiaTheme="minorEastAsia"/>
        </w:rPr>
        <w:t xml:space="preserve">all listed </w:t>
      </w:r>
      <w:r w:rsidR="00386FE7" w:rsidRPr="00C45DC7">
        <w:rPr>
          <w:rFonts w:eastAsiaTheme="minorEastAsia"/>
        </w:rPr>
        <w:t xml:space="preserve">firms. </w:t>
      </w:r>
      <w:r w:rsidR="00386FE7">
        <w:rPr>
          <w:rFonts w:eastAsiaTheme="minorEastAsia"/>
        </w:rPr>
        <w:t xml:space="preserve">Companies active in ICT services and business and professional services most frequently mention ICT goods </w:t>
      </w:r>
      <w:r w:rsidR="00386FE7" w:rsidRPr="00C45DC7">
        <w:rPr>
          <w:rFonts w:eastAsiaTheme="minorEastAsia"/>
        </w:rPr>
        <w:t>in the</w:t>
      </w:r>
      <w:r w:rsidR="00386FE7">
        <w:rPr>
          <w:rFonts w:eastAsiaTheme="minorEastAsia"/>
        </w:rPr>
        <w:t>ir</w:t>
      </w:r>
      <w:r w:rsidR="00386FE7" w:rsidRPr="00C45DC7">
        <w:rPr>
          <w:rFonts w:eastAsiaTheme="minorEastAsia"/>
        </w:rPr>
        <w:t xml:space="preserve"> purpose description</w:t>
      </w:r>
      <w:r w:rsidR="00386FE7">
        <w:rPr>
          <w:rFonts w:eastAsiaTheme="minorEastAsia"/>
        </w:rPr>
        <w:t>s</w:t>
      </w:r>
      <w:r w:rsidR="00386FE7" w:rsidRPr="00C45DC7">
        <w:rPr>
          <w:rFonts w:eastAsiaTheme="minorEastAsia"/>
        </w:rPr>
        <w:t>.</w:t>
      </w:r>
      <w:r w:rsidR="00386FE7">
        <w:rPr>
          <w:rFonts w:eastAsiaTheme="minorEastAsia"/>
        </w:rPr>
        <w:t xml:space="preserve"> Firms in industries such as education technology, biopharmaceuticals, and c</w:t>
      </w:r>
      <w:r w:rsidR="00386FE7" w:rsidRPr="002B2FD4">
        <w:rPr>
          <w:rFonts w:eastAsiaTheme="minorEastAsia"/>
        </w:rPr>
        <w:t>omputer-</w:t>
      </w:r>
      <w:r w:rsidR="00386FE7">
        <w:rPr>
          <w:rFonts w:eastAsiaTheme="minorEastAsia"/>
        </w:rPr>
        <w:t>a</w:t>
      </w:r>
      <w:r w:rsidR="00386FE7" w:rsidRPr="002B2FD4">
        <w:rPr>
          <w:rFonts w:eastAsiaTheme="minorEastAsia"/>
        </w:rPr>
        <w:t xml:space="preserve">ided </w:t>
      </w:r>
      <w:r w:rsidR="00386FE7">
        <w:rPr>
          <w:rFonts w:eastAsiaTheme="minorEastAsia"/>
        </w:rPr>
        <w:t xml:space="preserve">activities have also subscribed extensively to the </w:t>
      </w:r>
      <w:r w:rsidR="005F6BA3">
        <w:rPr>
          <w:rFonts w:eastAsiaTheme="minorEastAsia"/>
        </w:rPr>
        <w:t xml:space="preserve">framework </w:t>
      </w:r>
      <w:r w:rsidR="00386FE7">
        <w:rPr>
          <w:rFonts w:eastAsiaTheme="minorEastAsia"/>
        </w:rPr>
        <w:t>and therefore presumably directly benefit from an adequacy agreement. This mix of sectors is consistent with research highlighting the importance of complementarity between goods and services trade and how they are simultaneously affected by trade policy (e.g., Ariu et al., 2019).</w:t>
      </w:r>
      <w:r w:rsidR="00386FE7" w:rsidRPr="0017776A">
        <w:rPr>
          <w:rStyle w:val="FootnoteReference"/>
          <w:rFonts w:eastAsiaTheme="minorEastAsia"/>
        </w:rPr>
        <w:footnoteReference w:id="27"/>
      </w:r>
    </w:p>
    <w:p w14:paraId="7FAD8072" w14:textId="40C8BA95" w:rsidR="005C67CB" w:rsidRPr="00633995" w:rsidRDefault="00753B84" w:rsidP="0011538D">
      <w:pPr>
        <w:jc w:val="both"/>
      </w:pPr>
      <w:r w:rsidRPr="00633995">
        <w:rPr>
          <w:rFonts w:eastAsiaTheme="minorEastAsia"/>
        </w:rPr>
        <w:t xml:space="preserve">The </w:t>
      </w:r>
      <w:r w:rsidR="00A36D0E" w:rsidRPr="00633995">
        <w:rPr>
          <w:rFonts w:eastAsiaTheme="minorEastAsia"/>
        </w:rPr>
        <w:t xml:space="preserve">dependent variable </w:t>
      </w:r>
      <m:oMath>
        <m:sSubSup>
          <m:sSubSupPr>
            <m:ctrlPr>
              <w:rPr>
                <w:rFonts w:ascii="Cambria Math" w:hAnsi="Cambria Math"/>
                <w:i/>
              </w:rPr>
            </m:ctrlPr>
          </m:sSubSupPr>
          <m:e>
            <m:r>
              <w:rPr>
                <w:rFonts w:ascii="Cambria Math" w:hAnsi="Cambria Math"/>
              </w:rPr>
              <m:t>X</m:t>
            </m:r>
          </m:e>
          <m:sub>
            <m:r>
              <w:rPr>
                <w:rFonts w:ascii="Cambria Math" w:hAnsi="Cambria Math"/>
              </w:rPr>
              <m:t>ijt</m:t>
            </m:r>
          </m:sub>
          <m:sup>
            <m:r>
              <w:rPr>
                <w:rFonts w:ascii="Cambria Math" w:hAnsi="Cambria Math"/>
              </w:rPr>
              <m:t>dig</m:t>
            </m:r>
          </m:sup>
        </m:sSubSup>
      </m:oMath>
      <w:r w:rsidR="00A36D0E" w:rsidRPr="00633995">
        <w:rPr>
          <w:rFonts w:eastAsiaTheme="minorEastAsia"/>
        </w:rPr>
        <w:t xml:space="preserve"> measures digital trade. Given there is no commonly accepted definition of digital trade, we need to select sectors that qualify as digital </w:t>
      </w:r>
      <w:r w:rsidR="00463C17" w:rsidRPr="00633995">
        <w:rPr>
          <w:rFonts w:eastAsiaTheme="minorEastAsia"/>
        </w:rPr>
        <w:t>a</w:t>
      </w:r>
      <w:r w:rsidR="00B76D28" w:rsidRPr="00633995">
        <w:rPr>
          <w:rFonts w:eastAsiaTheme="minorEastAsia"/>
        </w:rPr>
        <w:t xml:space="preserve">nd </w:t>
      </w:r>
      <w:r w:rsidRPr="00633995">
        <w:rPr>
          <w:rFonts w:eastAsiaTheme="minorEastAsia"/>
        </w:rPr>
        <w:t xml:space="preserve">that </w:t>
      </w:r>
      <w:r w:rsidR="00B4066E" w:rsidRPr="00633995">
        <w:rPr>
          <w:rFonts w:eastAsiaTheme="minorEastAsia"/>
        </w:rPr>
        <w:t>rely</w:t>
      </w:r>
      <w:r w:rsidR="00B76D28" w:rsidRPr="00633995">
        <w:rPr>
          <w:rFonts w:eastAsiaTheme="minorEastAsia"/>
        </w:rPr>
        <w:t xml:space="preserve"> </w:t>
      </w:r>
      <w:r w:rsidR="00B4066E" w:rsidRPr="00633995">
        <w:rPr>
          <w:rFonts w:eastAsiaTheme="minorEastAsia"/>
        </w:rPr>
        <w:t>on cross-border</w:t>
      </w:r>
      <w:r w:rsidR="00A36D0E" w:rsidRPr="00633995">
        <w:rPr>
          <w:rFonts w:eastAsiaTheme="minorEastAsia"/>
        </w:rPr>
        <w:t xml:space="preserve"> data </w:t>
      </w:r>
      <w:r w:rsidR="00B4066E" w:rsidRPr="00633995">
        <w:rPr>
          <w:rFonts w:eastAsiaTheme="minorEastAsia"/>
        </w:rPr>
        <w:t>transfers</w:t>
      </w:r>
      <w:r w:rsidR="00A36D0E" w:rsidRPr="00633995">
        <w:rPr>
          <w:rFonts w:eastAsiaTheme="minorEastAsia"/>
        </w:rPr>
        <w:t xml:space="preserve">. </w:t>
      </w:r>
      <w:r w:rsidR="003940E5" w:rsidRPr="00633995">
        <w:rPr>
          <w:rFonts w:eastAsiaTheme="minorEastAsia"/>
        </w:rPr>
        <w:t>W</w:t>
      </w:r>
      <w:r w:rsidR="00A36D0E" w:rsidRPr="00633995">
        <w:t xml:space="preserve">e develop </w:t>
      </w:r>
      <w:r w:rsidR="004232F1" w:rsidRPr="00633995">
        <w:t xml:space="preserve">two </w:t>
      </w:r>
      <w:r w:rsidR="00A36D0E" w:rsidRPr="00633995">
        <w:t xml:space="preserve">definitions of digital trade. </w:t>
      </w:r>
      <w:r w:rsidR="00867A83" w:rsidRPr="00633995">
        <w:t xml:space="preserve">The first is limited to core digital sectors, as defined by OECD (2023), and includes ICT goods, which complement digital services, as explained earlier. </w:t>
      </w:r>
      <w:r w:rsidR="00872FEB" w:rsidRPr="00633995">
        <w:t>This narrow definition spans publishing, audiovisual and broadcasting, telecommunications, information technology services, and computer, electronic and optical equipment</w:t>
      </w:r>
      <w:r w:rsidR="002B3547" w:rsidRPr="00633995">
        <w:t>.</w:t>
      </w:r>
      <w:r w:rsidR="00872FEB" w:rsidRPr="00633995" w:rsidDel="00872FEB">
        <w:t xml:space="preserve"> </w:t>
      </w:r>
      <w:r w:rsidRPr="00633995">
        <w:t>A</w:t>
      </w:r>
      <w:r w:rsidR="00A36D0E" w:rsidRPr="00633995">
        <w:t xml:space="preserve"> second</w:t>
      </w:r>
      <w:r w:rsidR="00872FEB" w:rsidRPr="00633995">
        <w:t xml:space="preserve"> broader </w:t>
      </w:r>
      <w:r w:rsidR="003940E5" w:rsidRPr="00633995">
        <w:t>definition</w:t>
      </w:r>
      <w:r w:rsidR="00A36D0E" w:rsidRPr="00633995">
        <w:t xml:space="preserve"> adds</w:t>
      </w:r>
      <w:r w:rsidR="003940E5" w:rsidRPr="00633995">
        <w:t xml:space="preserve"> other</w:t>
      </w:r>
      <w:r w:rsidR="00A36D0E" w:rsidRPr="00633995">
        <w:t xml:space="preserve"> </w:t>
      </w:r>
      <w:r w:rsidR="00007A7E" w:rsidRPr="00633995">
        <w:t>digitally delivera</w:t>
      </w:r>
      <w:r w:rsidR="003734B0" w:rsidRPr="00633995">
        <w:t xml:space="preserve">ble services, such as </w:t>
      </w:r>
      <w:r w:rsidR="00A36D0E" w:rsidRPr="00633995">
        <w:t>business, financial, health, and education services</w:t>
      </w:r>
      <w:r w:rsidRPr="00633995">
        <w:t>,</w:t>
      </w:r>
      <w:r w:rsidR="002B3547" w:rsidRPr="00633995">
        <w:t xml:space="preserve"> followin</w:t>
      </w:r>
      <w:r w:rsidR="00E75E00" w:rsidRPr="00633995">
        <w:t xml:space="preserve">g </w:t>
      </w:r>
      <w:r w:rsidR="001F433B">
        <w:t xml:space="preserve">the </w:t>
      </w:r>
      <w:r w:rsidR="002C18C6">
        <w:t>Handbook on Measuring Digital Trade</w:t>
      </w:r>
      <w:r w:rsidR="00DD3FE0">
        <w:t xml:space="preserve"> (</w:t>
      </w:r>
      <w:r w:rsidR="0094236C" w:rsidRPr="00633995">
        <w:t>IMF-OECD-UNCTAD-WTO</w:t>
      </w:r>
      <w:r w:rsidR="00DD3FE0">
        <w:t xml:space="preserve">, </w:t>
      </w:r>
      <w:r w:rsidR="0094236C" w:rsidRPr="00633995">
        <w:t>2023)</w:t>
      </w:r>
      <w:r w:rsidR="003734B0" w:rsidRPr="00633995">
        <w:t>.</w:t>
      </w:r>
      <w:r w:rsidR="003940E5" w:rsidRPr="00633995">
        <w:rPr>
          <w:rStyle w:val="FootnoteReference"/>
        </w:rPr>
        <w:footnoteReference w:id="28"/>
      </w:r>
      <w:r w:rsidR="003734B0" w:rsidRPr="00633995">
        <w:t xml:space="preserve"> </w:t>
      </w:r>
    </w:p>
    <w:p w14:paraId="55B49C76" w14:textId="13DA90C2" w:rsidR="00A36D0E" w:rsidRPr="00633995" w:rsidRDefault="00F46D76" w:rsidP="0011538D">
      <w:pPr>
        <w:jc w:val="both"/>
      </w:pPr>
      <w:r w:rsidRPr="00633995">
        <w:t xml:space="preserve">These </w:t>
      </w:r>
      <w:r w:rsidR="00753B84" w:rsidRPr="00633995">
        <w:t xml:space="preserve">sectoral </w:t>
      </w:r>
      <w:r w:rsidRPr="00633995">
        <w:t xml:space="preserve">definitions do not consider the extent to which </w:t>
      </w:r>
      <w:r w:rsidR="00753B84" w:rsidRPr="00633995">
        <w:t xml:space="preserve">other </w:t>
      </w:r>
      <w:r w:rsidRPr="00633995">
        <w:t xml:space="preserve">sectors </w:t>
      </w:r>
      <w:r w:rsidR="00753B84" w:rsidRPr="00633995">
        <w:t xml:space="preserve">may be </w:t>
      </w:r>
      <w:r w:rsidRPr="00633995">
        <w:t xml:space="preserve">affected by cost frictions related to data protection because of their reliance on personal data transfers. For example, the pharmaceutical sector, while not digital, relies on data transfers for medical research and clinical trials and as such is affected by the GDPR (Bentzen et al., 2023). </w:t>
      </w:r>
      <w:r w:rsidR="00F33508" w:rsidRPr="00633995">
        <w:rPr>
          <w:rFonts w:eastAsiaTheme="minorEastAsia"/>
        </w:rPr>
        <w:t xml:space="preserve">Appendix Table </w:t>
      </w:r>
      <w:r w:rsidR="001739FD" w:rsidRPr="00633995">
        <w:rPr>
          <w:rFonts w:eastAsiaTheme="minorEastAsia"/>
        </w:rPr>
        <w:t>A</w:t>
      </w:r>
      <w:r w:rsidR="001739FD">
        <w:rPr>
          <w:rFonts w:eastAsiaTheme="minorEastAsia"/>
        </w:rPr>
        <w:t>2</w:t>
      </w:r>
      <w:r w:rsidR="001739FD" w:rsidRPr="00633995">
        <w:rPr>
          <w:rFonts w:eastAsiaTheme="minorEastAsia"/>
        </w:rPr>
        <w:t xml:space="preserve"> </w:t>
      </w:r>
      <w:r w:rsidR="00542CA6" w:rsidRPr="00633995">
        <w:rPr>
          <w:rFonts w:eastAsiaTheme="minorEastAsia"/>
        </w:rPr>
        <w:t xml:space="preserve">shows that the biopharmaceutical sector is one of the top sectors participating in the </w:t>
      </w:r>
      <w:r w:rsidR="00952E5B">
        <w:rPr>
          <w:rFonts w:eastAsiaTheme="minorEastAsia"/>
        </w:rPr>
        <w:t>2023 EU-US Data Protection Framework</w:t>
      </w:r>
      <w:r w:rsidR="00E63B46" w:rsidRPr="00633995">
        <w:rPr>
          <w:rFonts w:eastAsiaTheme="minorEastAsia"/>
        </w:rPr>
        <w:t xml:space="preserve">. We therefore include this sector in our broader definition of digital trade. </w:t>
      </w:r>
      <w:r w:rsidR="00022B1B" w:rsidRPr="00633995">
        <w:t>Appendix</w:t>
      </w:r>
      <w:r w:rsidR="00A36D0E" w:rsidRPr="00633995">
        <w:t xml:space="preserve"> Table </w:t>
      </w:r>
      <w:r w:rsidR="00C9171D" w:rsidRPr="00633995">
        <w:t>A</w:t>
      </w:r>
      <w:r w:rsidR="00C9171D">
        <w:t>5</w:t>
      </w:r>
      <w:r w:rsidR="00C9171D" w:rsidRPr="00633995">
        <w:t xml:space="preserve"> </w:t>
      </w:r>
      <w:r w:rsidR="00A36D0E" w:rsidRPr="00633995">
        <w:t xml:space="preserve">provides a list of 2-digit ISIC sectors </w:t>
      </w:r>
      <w:r w:rsidR="00753B84" w:rsidRPr="00633995">
        <w:t xml:space="preserve">that are </w:t>
      </w:r>
      <w:r w:rsidR="00A36D0E" w:rsidRPr="00633995">
        <w:t xml:space="preserve">included in </w:t>
      </w:r>
      <w:r w:rsidR="00753B84" w:rsidRPr="00633995">
        <w:t xml:space="preserve">both </w:t>
      </w:r>
      <w:r w:rsidR="00C40F16" w:rsidRPr="00633995">
        <w:t xml:space="preserve">the </w:t>
      </w:r>
      <w:r w:rsidR="00BE69BC" w:rsidRPr="00633995">
        <w:t>narrow and broad</w:t>
      </w:r>
      <w:r w:rsidR="00A36D0E" w:rsidRPr="00633995">
        <w:t xml:space="preserve"> definition</w:t>
      </w:r>
      <w:r w:rsidR="00C40F16" w:rsidRPr="00633995">
        <w:t xml:space="preserve"> of digital trade</w:t>
      </w:r>
      <w:r w:rsidR="00A36D0E" w:rsidRPr="00633995">
        <w:t xml:space="preserve">. </w:t>
      </w:r>
    </w:p>
    <w:p w14:paraId="0CE3305D" w14:textId="2865EE96" w:rsidR="00A36D0E" w:rsidRPr="00633995" w:rsidRDefault="00A36D0E" w:rsidP="0011538D">
      <w:pPr>
        <w:jc w:val="both"/>
      </w:pPr>
      <w:r w:rsidRPr="00633995">
        <w:t xml:space="preserve">In </w:t>
      </w:r>
      <w:r w:rsidR="009A6CE3" w:rsidRPr="00633995">
        <w:t>both</w:t>
      </w:r>
      <w:r w:rsidRPr="00633995">
        <w:t xml:space="preserve"> cases</w:t>
      </w:r>
      <w:r w:rsidR="00906E6E" w:rsidRPr="00633995">
        <w:t>,</w:t>
      </w:r>
      <w:r w:rsidRPr="00633995">
        <w:t xml:space="preserve"> </w:t>
      </w:r>
      <w:r w:rsidR="005978BE" w:rsidRPr="00633995">
        <w:t xml:space="preserve">the associated </w:t>
      </w:r>
      <w:r w:rsidRPr="00633995">
        <w:rPr>
          <w:rFonts w:eastAsiaTheme="minorEastAsia"/>
        </w:rPr>
        <w:t xml:space="preserve">bilateral gross trade values for the </w:t>
      </w:r>
      <w:r w:rsidR="00407D73" w:rsidRPr="00633995">
        <w:rPr>
          <w:rFonts w:eastAsiaTheme="minorEastAsia"/>
        </w:rPr>
        <w:t xml:space="preserve">included </w:t>
      </w:r>
      <w:r w:rsidRPr="00633995">
        <w:rPr>
          <w:rFonts w:eastAsiaTheme="minorEastAsia"/>
        </w:rPr>
        <w:t xml:space="preserve">sectors </w:t>
      </w:r>
      <w:r w:rsidR="005978BE" w:rsidRPr="00633995">
        <w:rPr>
          <w:rFonts w:eastAsiaTheme="minorEastAsia"/>
        </w:rPr>
        <w:t xml:space="preserve">are </w:t>
      </w:r>
      <w:r w:rsidRPr="00633995">
        <w:rPr>
          <w:rFonts w:eastAsiaTheme="minorEastAsia"/>
        </w:rPr>
        <w:t>sourced from the OECD T</w:t>
      </w:r>
      <w:r w:rsidR="005F6BA3">
        <w:rPr>
          <w:rFonts w:eastAsiaTheme="minorEastAsia"/>
        </w:rPr>
        <w:t>rade in Value Added (TiVA)</w:t>
      </w:r>
      <w:r w:rsidRPr="00633995">
        <w:rPr>
          <w:rFonts w:eastAsiaTheme="minorEastAsia"/>
        </w:rPr>
        <w:t xml:space="preserve"> dataset.</w:t>
      </w:r>
      <w:r w:rsidR="00906E6E" w:rsidRPr="00633995">
        <w:rPr>
          <w:rStyle w:val="FootnoteReference"/>
          <w:rFonts w:eastAsiaTheme="minorEastAsia"/>
        </w:rPr>
        <w:footnoteReference w:id="29"/>
      </w:r>
      <w:r w:rsidRPr="00633995">
        <w:rPr>
          <w:rFonts w:eastAsiaTheme="minorEastAsia"/>
        </w:rPr>
        <w:t xml:space="preserve"> </w:t>
      </w:r>
      <w:r w:rsidRPr="00633995">
        <w:t xml:space="preserve">An advantage of using TiVA is that </w:t>
      </w:r>
      <w:r w:rsidR="00407D73" w:rsidRPr="00633995">
        <w:t xml:space="preserve">data for </w:t>
      </w:r>
      <w:r w:rsidRPr="00633995">
        <w:t xml:space="preserve">trade </w:t>
      </w:r>
      <w:r w:rsidR="00407D73" w:rsidRPr="00633995">
        <w:t xml:space="preserve">in </w:t>
      </w:r>
      <w:r w:rsidRPr="00633995">
        <w:t xml:space="preserve">goods and services </w:t>
      </w:r>
      <w:r w:rsidR="005978BE" w:rsidRPr="00633995">
        <w:t xml:space="preserve">are reported </w:t>
      </w:r>
      <w:r w:rsidRPr="00633995">
        <w:t xml:space="preserve">in a consistent manner from 1995 to 2020 </w:t>
      </w:r>
      <w:r w:rsidR="00407D73" w:rsidRPr="00633995">
        <w:t xml:space="preserve">for the </w:t>
      </w:r>
      <w:r w:rsidRPr="00633995">
        <w:t xml:space="preserve">ISIC </w:t>
      </w:r>
      <w:r w:rsidRPr="00633995">
        <w:lastRenderedPageBreak/>
        <w:t>Rev. 4</w:t>
      </w:r>
      <w:r w:rsidR="005978BE" w:rsidRPr="00633995">
        <w:t xml:space="preserve"> </w:t>
      </w:r>
      <w:r w:rsidR="00407D73" w:rsidRPr="00633995">
        <w:t>sectoral classification</w:t>
      </w:r>
      <w:r w:rsidR="005978BE" w:rsidRPr="00633995">
        <w:t>,</w:t>
      </w:r>
      <w:r w:rsidRPr="00633995">
        <w:t xml:space="preserve"> well before the EU started to grant adequacy in 2000.</w:t>
      </w:r>
      <w:r w:rsidR="00906E6E" w:rsidRPr="00633995">
        <w:rPr>
          <w:rStyle w:val="FootnoteReference"/>
          <w:rFonts w:eastAsiaTheme="minorEastAsia"/>
        </w:rPr>
        <w:footnoteReference w:id="30"/>
      </w:r>
      <w:r w:rsidRPr="00633995">
        <w:t xml:space="preserve"> </w:t>
      </w:r>
      <w:r w:rsidR="00407D73" w:rsidRPr="00633995">
        <w:t>A</w:t>
      </w:r>
      <w:r w:rsidRPr="00633995">
        <w:t>s the database records trade data in squared balanced format across exports and imports, results are similar for both types of flows. We choose to use exports.</w:t>
      </w:r>
    </w:p>
    <w:p w14:paraId="4B6525BA" w14:textId="34C13742" w:rsidR="00A36D0E" w:rsidRPr="00633995" w:rsidRDefault="00A36D0E" w:rsidP="0011538D">
      <w:pPr>
        <w:spacing w:before="240" w:after="120"/>
        <w:jc w:val="both"/>
        <w:rPr>
          <w:rFonts w:eastAsiaTheme="minorEastAsia"/>
          <w:b/>
          <w:bCs/>
          <w:i/>
        </w:rPr>
      </w:pPr>
      <w:r w:rsidRPr="00633995">
        <w:rPr>
          <w:rFonts w:eastAsiaTheme="minorEastAsia"/>
          <w:b/>
          <w:bCs/>
          <w:i/>
        </w:rPr>
        <w:t>Explanatory variables</w:t>
      </w:r>
    </w:p>
    <w:p w14:paraId="0B520C0F" w14:textId="3C1468FB" w:rsidR="00884673" w:rsidRPr="00513BF1" w:rsidRDefault="00FD675B" w:rsidP="0011538D">
      <w:pPr>
        <w:jc w:val="both"/>
      </w:pPr>
      <w:r w:rsidRPr="00633995">
        <w:rPr>
          <w:rFonts w:eastAsiaTheme="minorEastAsia"/>
        </w:rPr>
        <w:t xml:space="preserve">Given </w:t>
      </w:r>
      <w:r w:rsidR="005F20D2" w:rsidRPr="00633995">
        <w:rPr>
          <w:rFonts w:eastAsiaTheme="minorEastAsia"/>
        </w:rPr>
        <w:t xml:space="preserve">the stringent set of fixed effects, </w:t>
      </w:r>
      <w:r w:rsidR="00EF7B35" w:rsidRPr="00633995">
        <w:rPr>
          <w:rFonts w:eastAsiaTheme="minorEastAsia"/>
        </w:rPr>
        <w:t xml:space="preserve">we </w:t>
      </w:r>
      <w:r w:rsidR="00CB09A5" w:rsidRPr="00633995">
        <w:rPr>
          <w:rFonts w:eastAsiaTheme="minorEastAsia"/>
        </w:rPr>
        <w:t xml:space="preserve">only need </w:t>
      </w:r>
      <w:r w:rsidR="00EF7B35" w:rsidRPr="00633995">
        <w:rPr>
          <w:rFonts w:eastAsiaTheme="minorEastAsia"/>
        </w:rPr>
        <w:t xml:space="preserve">to control for </w:t>
      </w:r>
      <w:r w:rsidRPr="00633995">
        <w:rPr>
          <w:rFonts w:eastAsiaTheme="minorEastAsia"/>
        </w:rPr>
        <w:t xml:space="preserve">dyadic covariates </w:t>
      </w:r>
      <w:r w:rsidR="00EF7B35" w:rsidRPr="00633995">
        <w:rPr>
          <w:rFonts w:eastAsiaTheme="minorEastAsia"/>
        </w:rPr>
        <w:t>which</w:t>
      </w:r>
      <w:r w:rsidR="005F20D2" w:rsidRPr="00633995">
        <w:rPr>
          <w:rFonts w:eastAsiaTheme="minorEastAsia"/>
        </w:rPr>
        <w:t xml:space="preserve"> vary by country pairs</w:t>
      </w:r>
      <w:r w:rsidR="00CA1DB6" w:rsidRPr="00633995">
        <w:t xml:space="preserve"> over time</w:t>
      </w:r>
      <w:r w:rsidR="005F20D2" w:rsidRPr="00633995">
        <w:t xml:space="preserve">. </w:t>
      </w:r>
      <w:r w:rsidR="005978BE" w:rsidRPr="00633995">
        <w:t>W</w:t>
      </w:r>
      <w:r w:rsidR="005F20D2" w:rsidRPr="00633995">
        <w:t xml:space="preserve">e incorporate </w:t>
      </w:r>
      <w:r w:rsidR="00EF7B35" w:rsidRPr="00633995">
        <w:t>a</w:t>
      </w:r>
      <w:r w:rsidR="00494A0E" w:rsidRPr="00633995">
        <w:t xml:space="preserve"> dummy</w:t>
      </w:r>
      <w:r w:rsidR="00EF7B35" w:rsidRPr="00633995">
        <w:t xml:space="preserve"> variable capturing </w:t>
      </w:r>
      <w:r w:rsidR="005F20D2" w:rsidRPr="00633995">
        <w:t>whether countries</w:t>
      </w:r>
      <w:r w:rsidR="00EF7B35" w:rsidRPr="00633995">
        <w:t xml:space="preserve"> in a dyad</w:t>
      </w:r>
      <w:r w:rsidR="005F20D2" w:rsidRPr="00633995">
        <w:t xml:space="preserve"> </w:t>
      </w:r>
      <w:r w:rsidR="005978BE" w:rsidRPr="00633995">
        <w:t xml:space="preserve">are </w:t>
      </w:r>
      <w:r w:rsidR="005F20D2" w:rsidRPr="00633995">
        <w:t>member</w:t>
      </w:r>
      <w:r w:rsidR="005978BE" w:rsidRPr="00633995">
        <w:t>s</w:t>
      </w:r>
      <w:r w:rsidR="005F20D2" w:rsidRPr="00633995">
        <w:t xml:space="preserve"> of a</w:t>
      </w:r>
      <w:r w:rsidR="00D76223">
        <w:t xml:space="preserve"> preferential trade agreement (</w:t>
      </w:r>
      <w:r w:rsidR="005F20D2" w:rsidRPr="00633995">
        <w:t>PTA</w:t>
      </w:r>
      <w:r w:rsidR="00D76223">
        <w:t>)</w:t>
      </w:r>
      <w:r w:rsidR="00EF7B35" w:rsidRPr="00633995">
        <w:t xml:space="preserve"> during our sample period</w:t>
      </w:r>
      <w:r w:rsidR="005F20D2" w:rsidRPr="00633995">
        <w:t xml:space="preserve">, and </w:t>
      </w:r>
      <w:r w:rsidR="00EF7B35" w:rsidRPr="00633995">
        <w:t>a</w:t>
      </w:r>
      <w:r w:rsidR="00494A0E" w:rsidRPr="00633995">
        <w:t xml:space="preserve">nother dummy </w:t>
      </w:r>
      <w:r w:rsidR="00EF7B35" w:rsidRPr="00633995">
        <w:t xml:space="preserve">variable indicating </w:t>
      </w:r>
      <w:r w:rsidR="005F20D2" w:rsidRPr="00633995">
        <w:t xml:space="preserve">whether </w:t>
      </w:r>
      <w:r w:rsidR="00816E2E" w:rsidRPr="00633995">
        <w:t>partner</w:t>
      </w:r>
      <w:r w:rsidR="00EF7B35" w:rsidRPr="00633995">
        <w:t xml:space="preserve"> </w:t>
      </w:r>
      <w:r w:rsidR="005F20D2" w:rsidRPr="00633995">
        <w:t xml:space="preserve">countries </w:t>
      </w:r>
      <w:r w:rsidR="005978BE" w:rsidRPr="00633995">
        <w:t xml:space="preserve">are </w:t>
      </w:r>
      <w:r w:rsidR="005F20D2" w:rsidRPr="00633995">
        <w:t>World Trade Organization (WTO)</w:t>
      </w:r>
      <w:r w:rsidR="005978BE" w:rsidRPr="00633995">
        <w:t xml:space="preserve"> members</w:t>
      </w:r>
      <w:r w:rsidR="00816E2E" w:rsidRPr="00633995">
        <w:t xml:space="preserve">, </w:t>
      </w:r>
      <w:r w:rsidR="00BE5334">
        <w:t>sourced</w:t>
      </w:r>
      <w:r w:rsidR="00EF7B35" w:rsidRPr="00633995">
        <w:t xml:space="preserve"> </w:t>
      </w:r>
      <w:r w:rsidR="005F20D2" w:rsidRPr="00633995">
        <w:t xml:space="preserve">from </w:t>
      </w:r>
      <w:r w:rsidR="00EF7B35" w:rsidRPr="00633995">
        <w:t xml:space="preserve">Egger and Larch (2008) and </w:t>
      </w:r>
      <w:r w:rsidR="00431C87" w:rsidRPr="00633995">
        <w:t xml:space="preserve">Gurevich and Herman (2018), </w:t>
      </w:r>
      <w:r w:rsidR="00EF7B35" w:rsidRPr="00633995">
        <w:t>respectively</w:t>
      </w:r>
      <w:r w:rsidR="00C33724" w:rsidRPr="00633995">
        <w:t>.</w:t>
      </w:r>
      <w:r w:rsidR="005978BE" w:rsidRPr="00633995">
        <w:rPr>
          <w:rStyle w:val="FootnoteReference"/>
        </w:rPr>
        <w:footnoteReference w:id="31"/>
      </w:r>
      <w:r w:rsidR="00C33724" w:rsidRPr="00633995">
        <w:t xml:space="preserve"> </w:t>
      </w:r>
      <w:r w:rsidR="002C46A9" w:rsidRPr="00633995">
        <w:t xml:space="preserve">We refine </w:t>
      </w:r>
      <w:r w:rsidR="005978BE" w:rsidRPr="00633995">
        <w:t xml:space="preserve">the </w:t>
      </w:r>
      <w:r w:rsidR="002C46A9" w:rsidRPr="00633995">
        <w:t>PTA variable to include only agreements with binding provisions on data protection</w:t>
      </w:r>
      <w:r w:rsidR="0000465F" w:rsidRPr="00633995">
        <w:t xml:space="preserve"> </w:t>
      </w:r>
      <w:r w:rsidR="008A47D2">
        <w:t xml:space="preserve">contained </w:t>
      </w:r>
      <w:r w:rsidR="0000465F" w:rsidRPr="00633995">
        <w:t>in an e-commerce chapter</w:t>
      </w:r>
      <w:r w:rsidR="006B6A79">
        <w:t xml:space="preserve"> (</w:t>
      </w:r>
      <w:r w:rsidR="006B6A79" w:rsidRPr="006B6A79">
        <w:rPr>
          <w:i/>
          <w:iCs/>
        </w:rPr>
        <w:t>PTA</w:t>
      </w:r>
      <w:r w:rsidR="00723029">
        <w:rPr>
          <w:i/>
          <w:iCs/>
        </w:rPr>
        <w:t>-</w:t>
      </w:r>
      <w:r w:rsidR="006B6A79" w:rsidRPr="006B6A79">
        <w:rPr>
          <w:i/>
          <w:iCs/>
        </w:rPr>
        <w:t>DP</w:t>
      </w:r>
      <w:r w:rsidR="006B6A79">
        <w:t>)</w:t>
      </w:r>
      <w:r w:rsidR="002C46A9" w:rsidRPr="00633995">
        <w:t>.</w:t>
      </w:r>
      <w:r w:rsidR="0000465F" w:rsidRPr="00633995">
        <w:rPr>
          <w:rStyle w:val="FootnoteReference"/>
        </w:rPr>
        <w:footnoteReference w:id="32"/>
      </w:r>
      <w:r w:rsidR="0000465F" w:rsidRPr="00633995">
        <w:t xml:space="preserve"> </w:t>
      </w:r>
      <w:r w:rsidR="002C46A9" w:rsidRPr="00633995">
        <w:t xml:space="preserve">Not </w:t>
      </w:r>
      <w:r w:rsidR="00CB09A5" w:rsidRPr="00633995">
        <w:t>controlling</w:t>
      </w:r>
      <w:r w:rsidR="002C46A9" w:rsidRPr="00633995">
        <w:t xml:space="preserve"> </w:t>
      </w:r>
      <w:r w:rsidR="00CB09A5" w:rsidRPr="00633995">
        <w:t xml:space="preserve">for </w:t>
      </w:r>
      <w:r w:rsidR="002C46A9" w:rsidRPr="00633995">
        <w:t xml:space="preserve">PTAs with </w:t>
      </w:r>
      <w:r w:rsidR="00CB09A5" w:rsidRPr="00633995">
        <w:t xml:space="preserve">such </w:t>
      </w:r>
      <w:r w:rsidR="002C46A9" w:rsidRPr="00633995">
        <w:t xml:space="preserve">provisions could bias our adequacy estimates upwards </w:t>
      </w:r>
      <w:r w:rsidR="00CB09A5" w:rsidRPr="00633995">
        <w:t xml:space="preserve">given </w:t>
      </w:r>
      <w:r w:rsidR="002C46A9" w:rsidRPr="00633995">
        <w:t>potential overlap</w:t>
      </w:r>
      <w:r w:rsidR="005978BE" w:rsidRPr="00633995">
        <w:t xml:space="preserve"> </w:t>
      </w:r>
      <w:r w:rsidR="00130AE2" w:rsidRPr="00633995">
        <w:t>of partner countries that have a</w:t>
      </w:r>
      <w:r w:rsidR="00582B13">
        <w:t xml:space="preserve"> P</w:t>
      </w:r>
      <w:r w:rsidR="00130AE2" w:rsidRPr="00633995">
        <w:t xml:space="preserve">TA </w:t>
      </w:r>
      <w:r w:rsidR="00BD7E4A" w:rsidRPr="00633995">
        <w:t xml:space="preserve">with data protection provisions as well as </w:t>
      </w:r>
      <w:r w:rsidR="005978BE" w:rsidRPr="00633995">
        <w:t>adequacy</w:t>
      </w:r>
      <w:r w:rsidR="002C46A9" w:rsidRPr="00633995">
        <w:t>.</w:t>
      </w:r>
      <w:r w:rsidR="002C413D">
        <w:t xml:space="preserve"> Moreover, our </w:t>
      </w:r>
      <w:r w:rsidR="00F615AA">
        <w:t xml:space="preserve">adjusted </w:t>
      </w:r>
      <w:r w:rsidR="00582B13">
        <w:t>P</w:t>
      </w:r>
      <w:r w:rsidR="00F615AA">
        <w:t xml:space="preserve">TA variable is likely </w:t>
      </w:r>
      <w:r w:rsidR="00124FAE">
        <w:t>capturing</w:t>
      </w:r>
      <w:r w:rsidR="00F615AA">
        <w:t xml:space="preserve"> the effect of digital trade better as it narrows down to </w:t>
      </w:r>
      <w:r w:rsidR="00124FAE">
        <w:t>affect</w:t>
      </w:r>
      <w:r w:rsidR="00F615AA">
        <w:t xml:space="preserve"> those sectors which are reliant on data protection, which are</w:t>
      </w:r>
      <w:r w:rsidR="00124FAE">
        <w:t xml:space="preserve"> digital trade sectors. </w:t>
      </w:r>
      <w:r w:rsidR="002C46A9" w:rsidRPr="00633995">
        <w:t xml:space="preserve">We use data from the </w:t>
      </w:r>
      <w:r w:rsidR="00CB09A5" w:rsidRPr="00633995">
        <w:t xml:space="preserve">Burri and Polanco (2020) </w:t>
      </w:r>
      <w:r w:rsidR="002C46A9" w:rsidRPr="00633995">
        <w:t>Trade Agreements Provisions on Electronic-commerce and Data database, which records all types of binding and non-binding digital provisions in PTAs</w:t>
      </w:r>
      <w:r w:rsidR="00532DA8" w:rsidRPr="00633995">
        <w:t>.</w:t>
      </w:r>
      <w:r w:rsidR="002E12A9" w:rsidRPr="00633995">
        <w:t xml:space="preserve"> </w:t>
      </w:r>
      <w:r w:rsidR="00532DA8" w:rsidRPr="00633995">
        <w:t xml:space="preserve">We check </w:t>
      </w:r>
      <w:r w:rsidR="007768B5" w:rsidRPr="00633995">
        <w:t xml:space="preserve">all </w:t>
      </w:r>
      <w:r w:rsidR="00532DA8" w:rsidRPr="00633995">
        <w:t>PTA</w:t>
      </w:r>
      <w:r w:rsidR="007768B5" w:rsidRPr="00633995">
        <w:t>s</w:t>
      </w:r>
      <w:r w:rsidR="00532DA8" w:rsidRPr="00633995">
        <w:t xml:space="preserve"> in this data</w:t>
      </w:r>
      <w:r w:rsidR="002E7A7D" w:rsidRPr="00633995">
        <w:t>set</w:t>
      </w:r>
      <w:r w:rsidR="00532DA8" w:rsidRPr="00633995">
        <w:t xml:space="preserve"> and cross-reference them with the Egger and Larch (2008) database. If they match, we create a PTA variable indicating whether it contains legally binding data protection provisions in a specific e-commerce chapter</w:t>
      </w:r>
      <w:r w:rsidR="005C24D1" w:rsidRPr="00633995">
        <w:t>.</w:t>
      </w:r>
    </w:p>
    <w:p w14:paraId="33E765DB" w14:textId="5A187715" w:rsidR="006668FF" w:rsidRPr="00633995" w:rsidRDefault="005978BE" w:rsidP="0011538D">
      <w:pPr>
        <w:jc w:val="both"/>
      </w:pPr>
      <w:r w:rsidRPr="00633995">
        <w:t xml:space="preserve">Additionally, </w:t>
      </w:r>
      <w:r w:rsidR="004D2B50" w:rsidRPr="00633995">
        <w:t>we</w:t>
      </w:r>
      <w:r w:rsidR="00A21624" w:rsidRPr="00633995">
        <w:t xml:space="preserve"> include </w:t>
      </w:r>
      <w:r w:rsidRPr="00633995">
        <w:t xml:space="preserve">several </w:t>
      </w:r>
      <w:r w:rsidR="00A21624" w:rsidRPr="00633995">
        <w:t>data-related dyadic controls</w:t>
      </w:r>
      <w:r w:rsidR="00466943" w:rsidRPr="00633995">
        <w:t xml:space="preserve">. First, a variable capturing </w:t>
      </w:r>
      <w:r w:rsidR="00A21624" w:rsidRPr="00633995">
        <w:t xml:space="preserve">whether </w:t>
      </w:r>
      <w:r w:rsidR="00FE37C7">
        <w:t xml:space="preserve">a country is </w:t>
      </w:r>
      <w:r w:rsidR="007857D9" w:rsidRPr="00633995">
        <w:t>subject to</w:t>
      </w:r>
      <w:r w:rsidR="00A21624" w:rsidRPr="00633995">
        <w:t xml:space="preserve"> the 1995 EU </w:t>
      </w:r>
      <w:r w:rsidRPr="00633995">
        <w:t xml:space="preserve">Data Protection </w:t>
      </w:r>
      <w:r w:rsidR="00A21624" w:rsidRPr="00633995">
        <w:t xml:space="preserve">Directive 95/46/EC. As discussed above, this </w:t>
      </w:r>
      <w:r w:rsidRPr="00633995">
        <w:t xml:space="preserve">precursor to the GDPR </w:t>
      </w:r>
      <w:r w:rsidR="00A21624" w:rsidRPr="00633995">
        <w:t xml:space="preserve">mandates the protection of citizens </w:t>
      </w:r>
      <w:r w:rsidRPr="00633995">
        <w:t>when transferring a</w:t>
      </w:r>
      <w:r w:rsidR="00A21624" w:rsidRPr="00633995">
        <w:t>nd processing personal data.</w:t>
      </w:r>
      <w:r w:rsidR="003F4F79" w:rsidRPr="00633995">
        <w:rPr>
          <w:rStyle w:val="FootnoteReference"/>
        </w:rPr>
        <w:footnoteReference w:id="33"/>
      </w:r>
      <w:r w:rsidR="006668FF" w:rsidRPr="00633995">
        <w:t xml:space="preserve"> </w:t>
      </w:r>
      <w:r w:rsidR="00466943" w:rsidRPr="00633995">
        <w:t>S</w:t>
      </w:r>
      <w:r w:rsidR="005509B1" w:rsidRPr="00633995">
        <w:t>econd</w:t>
      </w:r>
      <w:r w:rsidR="00466943" w:rsidRPr="00633995">
        <w:t>, we consider</w:t>
      </w:r>
      <w:r w:rsidR="005509B1" w:rsidRPr="00633995">
        <w:t xml:space="preserve"> membership in the 1981 Council of Europe Convention for the Protection of Individuals with regard to Automatic Processing of Personal Data. This agreement safeguards individuals' right to privacy and sets certain limits and exceptions for cross-border data flows among </w:t>
      </w:r>
      <w:r w:rsidR="002E7A7D" w:rsidRPr="00633995">
        <w:t xml:space="preserve">signatory </w:t>
      </w:r>
      <w:r w:rsidR="005509B1" w:rsidRPr="00633995">
        <w:t>countries.</w:t>
      </w:r>
      <w:r w:rsidR="00FF602F" w:rsidRPr="00633995">
        <w:rPr>
          <w:rStyle w:val="FootnoteReference"/>
        </w:rPr>
        <w:footnoteReference w:id="34"/>
      </w:r>
      <w:r w:rsidR="00A51094" w:rsidRPr="00633995">
        <w:t xml:space="preserve"> </w:t>
      </w:r>
      <w:r w:rsidR="002E7A7D" w:rsidRPr="00633995">
        <w:t xml:space="preserve">A </w:t>
      </w:r>
      <w:r w:rsidR="00A51094" w:rsidRPr="00633995">
        <w:t>third control is whether a country adheres to the APEC Cross Border Privacy Rules system, an agreement involving Canada, Japan, Mexico, Korea, Singapore, and the US that addresses cross-border data flows</w:t>
      </w:r>
      <w:r w:rsidR="003F4F79" w:rsidRPr="00633995">
        <w:t>.</w:t>
      </w:r>
      <w:r w:rsidR="000F2B38" w:rsidRPr="00633995">
        <w:rPr>
          <w:rStyle w:val="FootnoteReference"/>
        </w:rPr>
        <w:footnoteReference w:id="35"/>
      </w:r>
      <w:r w:rsidR="003F4F79" w:rsidRPr="00633995">
        <w:t xml:space="preserve"> </w:t>
      </w:r>
      <w:r w:rsidR="002E7A7D" w:rsidRPr="00633995">
        <w:t xml:space="preserve">Finally, </w:t>
      </w:r>
      <w:r w:rsidR="003F4F79" w:rsidRPr="00633995">
        <w:t xml:space="preserve">we </w:t>
      </w:r>
      <w:r w:rsidR="003F4F79" w:rsidRPr="00633995">
        <w:lastRenderedPageBreak/>
        <w:t>control for EU membership given that adequacy decisions are issued by the EU</w:t>
      </w:r>
      <w:r w:rsidR="002E7A7D" w:rsidRPr="00633995">
        <w:t xml:space="preserve"> and apply to all EU members</w:t>
      </w:r>
      <w:r w:rsidR="003F4F79" w:rsidRPr="00633995">
        <w:t>.</w:t>
      </w:r>
      <w:r w:rsidR="00DE161A" w:rsidRPr="00633995">
        <w:rPr>
          <w:rStyle w:val="FootnoteReference"/>
        </w:rPr>
        <w:footnoteReference w:id="36"/>
      </w:r>
      <w:r w:rsidR="003F4F79" w:rsidRPr="00633995">
        <w:t xml:space="preserve">  </w:t>
      </w:r>
    </w:p>
    <w:p w14:paraId="1847416B" w14:textId="1263A2DC" w:rsidR="00125FFA" w:rsidRPr="00633995" w:rsidRDefault="00B20630" w:rsidP="0011538D">
      <w:pPr>
        <w:jc w:val="both"/>
      </w:pPr>
      <w:r w:rsidRPr="00633995">
        <w:t>The t</w:t>
      </w:r>
      <w:r w:rsidR="005978BE" w:rsidRPr="00633995">
        <w:t xml:space="preserve">hree </w:t>
      </w:r>
      <w:r w:rsidR="0098730F" w:rsidRPr="00633995">
        <w:t xml:space="preserve">sets of fixed effects, </w:t>
      </w:r>
      <m:oMath>
        <m:sSub>
          <m:sSubPr>
            <m:ctrlPr>
              <w:rPr>
                <w:rFonts w:ascii="Cambria Math" w:hAnsi="Cambria Math"/>
                <w:i/>
              </w:rPr>
            </m:ctrlPr>
          </m:sSubPr>
          <m:e>
            <m:r>
              <w:rPr>
                <w:rFonts w:ascii="Cambria Math" w:hAnsi="Cambria Math"/>
              </w:rPr>
              <m:t>α</m:t>
            </m:r>
          </m:e>
          <m:sub>
            <m:r>
              <w:rPr>
                <w:rFonts w:ascii="Cambria Math" w:hAnsi="Cambria Math"/>
              </w:rPr>
              <m:t>it</m:t>
            </m:r>
          </m:sub>
        </m:sSub>
      </m:oMath>
      <w:r w:rsidR="0098730F" w:rsidRPr="00633995">
        <w:rPr>
          <w:rFonts w:eastAsiaTheme="minorEastAsia"/>
        </w:rPr>
        <w:t xml:space="preserve">, </w:t>
      </w:r>
      <m:oMath>
        <m:sSub>
          <m:sSubPr>
            <m:ctrlPr>
              <w:rPr>
                <w:rFonts w:ascii="Cambria Math" w:hAnsi="Cambria Math"/>
                <w:i/>
              </w:rPr>
            </m:ctrlPr>
          </m:sSubPr>
          <m:e>
            <m:r>
              <w:rPr>
                <w:rFonts w:ascii="Cambria Math" w:hAnsi="Cambria Math"/>
              </w:rPr>
              <m:t>γ</m:t>
            </m:r>
          </m:e>
          <m:sub>
            <m:r>
              <w:rPr>
                <w:rFonts w:ascii="Cambria Math" w:hAnsi="Cambria Math"/>
              </w:rPr>
              <m:t>jt</m:t>
            </m:r>
          </m:sub>
        </m:sSub>
      </m:oMath>
      <w:r w:rsidR="0098730F" w:rsidRPr="00633995">
        <w:rPr>
          <w:rFonts w:eastAsiaTheme="minorEastAsia"/>
        </w:rPr>
        <w:t xml:space="preserve"> and </w:t>
      </w:r>
      <m:oMath>
        <m:sSub>
          <m:sSubPr>
            <m:ctrlPr>
              <w:rPr>
                <w:rFonts w:ascii="Cambria Math" w:hAnsi="Cambria Math"/>
                <w:i/>
              </w:rPr>
            </m:ctrlPr>
          </m:sSubPr>
          <m:e>
            <m:r>
              <w:rPr>
                <w:rFonts w:ascii="Cambria Math" w:hAnsi="Cambria Math"/>
              </w:rPr>
              <m:t>δ</m:t>
            </m:r>
          </m:e>
          <m:sub>
            <m:r>
              <w:rPr>
                <w:rFonts w:ascii="Cambria Math" w:hAnsi="Cambria Math"/>
              </w:rPr>
              <m:t>ij</m:t>
            </m:r>
          </m:sub>
        </m:sSub>
      </m:oMath>
      <w:r w:rsidR="00123E81" w:rsidRPr="00633995">
        <w:rPr>
          <w:rFonts w:eastAsiaTheme="minorEastAsia"/>
        </w:rPr>
        <w:t xml:space="preserve">, </w:t>
      </w:r>
      <w:r w:rsidR="005978BE" w:rsidRPr="00633995">
        <w:rPr>
          <w:rFonts w:eastAsiaTheme="minorEastAsia"/>
        </w:rPr>
        <w:t xml:space="preserve">control for </w:t>
      </w:r>
      <w:r w:rsidR="0098730F" w:rsidRPr="00633995">
        <w:rPr>
          <w:rFonts w:eastAsiaTheme="minorEastAsia"/>
        </w:rPr>
        <w:t>exporter-year</w:t>
      </w:r>
      <w:r w:rsidR="005978BE" w:rsidRPr="00633995">
        <w:rPr>
          <w:rFonts w:eastAsiaTheme="minorEastAsia"/>
        </w:rPr>
        <w:t xml:space="preserve">, </w:t>
      </w:r>
      <w:r w:rsidR="0098730F" w:rsidRPr="00633995">
        <w:rPr>
          <w:rFonts w:eastAsiaTheme="minorEastAsia"/>
        </w:rPr>
        <w:t xml:space="preserve">importer-year </w:t>
      </w:r>
      <w:r w:rsidR="005978BE" w:rsidRPr="00633995">
        <w:rPr>
          <w:rFonts w:eastAsiaTheme="minorEastAsia"/>
        </w:rPr>
        <w:t xml:space="preserve">and bilateral </w:t>
      </w:r>
      <w:r w:rsidR="0098730F" w:rsidRPr="00633995">
        <w:rPr>
          <w:rFonts w:eastAsiaTheme="minorEastAsia"/>
        </w:rPr>
        <w:t>specific shocks</w:t>
      </w:r>
      <w:r w:rsidR="00E16CFE">
        <w:rPr>
          <w:rFonts w:eastAsiaTheme="minorEastAsia"/>
        </w:rPr>
        <w:t>, respectively</w:t>
      </w:r>
      <w:r w:rsidR="00123E81" w:rsidRPr="00633995">
        <w:rPr>
          <w:rFonts w:eastAsiaTheme="minorEastAsia"/>
        </w:rPr>
        <w:t xml:space="preserve">. </w:t>
      </w:r>
      <w:r w:rsidR="00A3478B" w:rsidRPr="00633995">
        <w:rPr>
          <w:rFonts w:eastAsiaTheme="minorEastAsia"/>
        </w:rPr>
        <w:t>O</w:t>
      </w:r>
      <w:r w:rsidR="003F4F79" w:rsidRPr="00633995">
        <w:t>ther standard gravity variables</w:t>
      </w:r>
      <w:r w:rsidR="00906E6E" w:rsidRPr="00633995">
        <w:t>,</w:t>
      </w:r>
      <w:r w:rsidR="003F4F79" w:rsidRPr="00633995">
        <w:t xml:space="preserve"> such as distance</w:t>
      </w:r>
      <w:r w:rsidR="00906E6E" w:rsidRPr="00633995">
        <w:t>,</w:t>
      </w:r>
      <w:r w:rsidR="003F4F79" w:rsidRPr="00633995">
        <w:t xml:space="preserve"> are collinear with </w:t>
      </w:r>
      <w:r w:rsidR="00DC3053" w:rsidRPr="00633995">
        <w:t>th</w:t>
      </w:r>
      <w:r w:rsidR="00906E6E" w:rsidRPr="00633995">
        <w:t>is</w:t>
      </w:r>
      <w:r w:rsidR="003F4F79" w:rsidRPr="00633995">
        <w:t xml:space="preserve"> set of fixed effects and are</w:t>
      </w:r>
      <w:r w:rsidR="00906E6E" w:rsidRPr="00633995">
        <w:t>,</w:t>
      </w:r>
      <w:r w:rsidR="003F4F79" w:rsidRPr="00633995">
        <w:t xml:space="preserve"> therefore</w:t>
      </w:r>
      <w:r w:rsidR="00906E6E" w:rsidRPr="00633995">
        <w:t>,</w:t>
      </w:r>
      <w:r w:rsidR="003F4F79" w:rsidRPr="00633995">
        <w:t xml:space="preserve"> dropped from our regressions. </w:t>
      </w:r>
      <w:r w:rsidR="00022B1B" w:rsidRPr="00633995">
        <w:t>Appendix</w:t>
      </w:r>
      <w:r w:rsidR="003F4F79" w:rsidRPr="00633995">
        <w:t xml:space="preserve"> Table</w:t>
      </w:r>
      <w:r w:rsidR="00E16CFE">
        <w:t>s</w:t>
      </w:r>
      <w:r w:rsidR="003F4F79" w:rsidRPr="00633995">
        <w:t xml:space="preserve"> </w:t>
      </w:r>
      <w:r w:rsidR="00265E7F" w:rsidRPr="00633995">
        <w:t>A</w:t>
      </w:r>
      <w:r w:rsidR="00265E7F">
        <w:t>3</w:t>
      </w:r>
      <w:r w:rsidR="00265E7F" w:rsidRPr="00633995">
        <w:t xml:space="preserve"> </w:t>
      </w:r>
      <w:r w:rsidR="00D961BE">
        <w:t>and A</w:t>
      </w:r>
      <w:r w:rsidR="00265E7F">
        <w:t>4</w:t>
      </w:r>
      <w:r w:rsidR="00D961BE">
        <w:t xml:space="preserve"> </w:t>
      </w:r>
      <w:r w:rsidR="003F4F79" w:rsidRPr="00633995">
        <w:t>provide</w:t>
      </w:r>
      <w:r w:rsidR="00A5366C" w:rsidRPr="00633995">
        <w:t xml:space="preserve"> </w:t>
      </w:r>
      <w:r w:rsidR="003F4F79" w:rsidRPr="00633995">
        <w:t>details on the</w:t>
      </w:r>
      <w:r w:rsidR="00A565D8" w:rsidRPr="00633995">
        <w:t>se</w:t>
      </w:r>
      <w:r w:rsidR="003F4F79" w:rsidRPr="00633995">
        <w:t xml:space="preserve"> variables </w:t>
      </w:r>
      <w:r w:rsidR="00A565D8" w:rsidRPr="00633995">
        <w:t xml:space="preserve">and </w:t>
      </w:r>
      <w:r w:rsidR="003F4F79" w:rsidRPr="00633995">
        <w:t>their source</w:t>
      </w:r>
      <w:r w:rsidR="00A565D8" w:rsidRPr="00633995">
        <w:t>s</w:t>
      </w:r>
      <w:r w:rsidR="003F4F79" w:rsidRPr="00633995">
        <w:t>.</w:t>
      </w:r>
      <w:r w:rsidR="00DC3053" w:rsidRPr="00633995">
        <w:t xml:space="preserve"> Standard errors are clustered by country-pair</w:t>
      </w:r>
      <w:r w:rsidR="003C294C" w:rsidRPr="00633995">
        <w:t xml:space="preserve"> and </w:t>
      </w:r>
      <w:r w:rsidR="00DC3053" w:rsidRPr="00633995">
        <w:t>time</w:t>
      </w:r>
      <w:r w:rsidR="003C294C" w:rsidRPr="00633995">
        <w:t>,</w:t>
      </w:r>
      <w:r w:rsidR="00DC3053" w:rsidRPr="00633995">
        <w:t xml:space="preserve"> following Egger and Tarlea (2015).</w:t>
      </w:r>
      <w:r w:rsidR="00DD2F3E" w:rsidRPr="00633995">
        <w:t xml:space="preserve"> </w:t>
      </w:r>
      <w:r w:rsidR="00262985" w:rsidRPr="00633995">
        <w:t>In addition</w:t>
      </w:r>
      <w:r w:rsidR="003C332D" w:rsidRPr="00633995">
        <w:t>,</w:t>
      </w:r>
      <w:r w:rsidR="00262985" w:rsidRPr="00633995">
        <w:t xml:space="preserve"> </w:t>
      </w:r>
      <w:r w:rsidR="00125FFA" w:rsidRPr="00633995">
        <w:t xml:space="preserve">to control for the likelihood </w:t>
      </w:r>
      <w:r w:rsidR="00125FFA" w:rsidRPr="00633995">
        <w:rPr>
          <w:highlight w:val="white"/>
        </w:rPr>
        <w:t>that adequacy decisions between country-pairs are signed when cross-border data flows are trending upwards</w:t>
      </w:r>
      <w:r w:rsidR="00125FFA" w:rsidRPr="00633995">
        <w:t xml:space="preserve">, we also add a linear country-pair-specific time </w:t>
      </w:r>
      <w:r w:rsidR="009A4D1C" w:rsidRPr="00633995">
        <w:t>trend</w:t>
      </w:r>
      <w:r w:rsidR="00262985" w:rsidRPr="00633995">
        <w:t xml:space="preserve">. </w:t>
      </w:r>
      <w:r w:rsidR="008420C1" w:rsidRPr="008420C1">
        <w:t>This captures any common linear trend specific to a given country pair due to other digital integration factors, such as cross-border data flows in our case</w:t>
      </w:r>
      <w:r w:rsidR="00A37F2B">
        <w:t xml:space="preserve">. </w:t>
      </w:r>
      <w:r w:rsidR="00EA01B2">
        <w:t>By controlling for this</w:t>
      </w:r>
      <w:r w:rsidR="00125FFA" w:rsidRPr="00633995">
        <w:t xml:space="preserve"> trend</w:t>
      </w:r>
      <w:r w:rsidR="00C80CCC">
        <w:t xml:space="preserve">, the identification </w:t>
      </w:r>
      <w:r w:rsidR="00127599">
        <w:t xml:space="preserve">comes solely from above average changes in </w:t>
      </w:r>
      <w:r w:rsidR="00125FFA" w:rsidRPr="00633995">
        <w:t>bilateral digital trade during the sample period relative to countries without adequacy.</w:t>
      </w:r>
      <w:r w:rsidR="00793D72" w:rsidRPr="00633995">
        <w:t xml:space="preserve"> </w:t>
      </w:r>
      <w:r w:rsidR="003D2F76" w:rsidRPr="00633995">
        <w:t xml:space="preserve">The inclusion of </w:t>
      </w:r>
      <w:r w:rsidR="00F7286F">
        <w:t xml:space="preserve">these </w:t>
      </w:r>
      <w:r w:rsidR="00793D72" w:rsidRPr="00633995">
        <w:t xml:space="preserve">time trends </w:t>
      </w:r>
      <w:r w:rsidR="009A4D1C" w:rsidRPr="00633995">
        <w:t xml:space="preserve">further </w:t>
      </w:r>
      <w:r w:rsidR="00793D72" w:rsidRPr="00633995">
        <w:t>mitigate</w:t>
      </w:r>
      <w:r w:rsidR="003D2F76" w:rsidRPr="00633995">
        <w:t>s</w:t>
      </w:r>
      <w:r w:rsidR="00906E6E" w:rsidRPr="00633995">
        <w:t xml:space="preserve"> the</w:t>
      </w:r>
      <w:r w:rsidR="00793D72" w:rsidRPr="00633995">
        <w:t xml:space="preserve"> potential endogeneity of adequacy decisions.</w:t>
      </w:r>
    </w:p>
    <w:p w14:paraId="2E17A3C9" w14:textId="4C5DB872" w:rsidR="00A404C2" w:rsidRPr="00633995" w:rsidRDefault="002A7A8A" w:rsidP="0011538D">
      <w:pPr>
        <w:jc w:val="both"/>
        <w:rPr>
          <w:rFonts w:eastAsiaTheme="minorEastAsia"/>
        </w:rPr>
      </w:pPr>
      <w:r w:rsidRPr="00633995">
        <w:t>T</w:t>
      </w:r>
      <w:r w:rsidR="003A326C" w:rsidRPr="00633995">
        <w:t xml:space="preserve">he inclusion of </w:t>
      </w:r>
      <w:r w:rsidR="00793D72" w:rsidRPr="00633995">
        <w:t>country-time and pair</w:t>
      </w:r>
      <w:r w:rsidR="00906E6E" w:rsidRPr="00633995">
        <w:t>-</w:t>
      </w:r>
      <w:r w:rsidR="00793D72" w:rsidRPr="00633995">
        <w:t>fixed effects</w:t>
      </w:r>
      <w:r w:rsidR="003A326C" w:rsidRPr="00633995">
        <w:t>, along with the pair-trend effects, remove</w:t>
      </w:r>
      <w:r w:rsidR="007857D9" w:rsidRPr="00633995">
        <w:t>s</w:t>
      </w:r>
      <w:r w:rsidR="003A326C" w:rsidRPr="00633995">
        <w:t xml:space="preserve"> much of the variation in the data, </w:t>
      </w:r>
      <w:r w:rsidR="0087146E" w:rsidRPr="00633995">
        <w:t xml:space="preserve">raising the threshold for </w:t>
      </w:r>
      <w:r w:rsidR="003A326C" w:rsidRPr="00633995">
        <w:t>find</w:t>
      </w:r>
      <w:r w:rsidR="0087146E" w:rsidRPr="00633995">
        <w:t>ing</w:t>
      </w:r>
      <w:r w:rsidR="003A326C" w:rsidRPr="00633995">
        <w:t xml:space="preserve"> statistically significant </w:t>
      </w:r>
      <w:r w:rsidR="0087146E" w:rsidRPr="00633995">
        <w:t xml:space="preserve">relationships </w:t>
      </w:r>
      <w:r w:rsidR="003A326C" w:rsidRPr="00633995">
        <w:t>between digital trade and adequacy decisions</w:t>
      </w:r>
      <w:r w:rsidR="00915E09" w:rsidRPr="00633995">
        <w:t xml:space="preserve">. </w:t>
      </w:r>
      <w:r w:rsidR="00DD2F3E" w:rsidRPr="00633995">
        <w:t>In principle, a</w:t>
      </w:r>
      <w:r w:rsidR="00A404C2" w:rsidRPr="00633995">
        <w:rPr>
          <w:rFonts w:eastAsiaTheme="minorEastAsia"/>
        </w:rPr>
        <w:t>ssuming</w:t>
      </w:r>
      <w:r w:rsidR="007857D9" w:rsidRPr="00633995">
        <w:rPr>
          <w:rFonts w:eastAsiaTheme="minorEastAsia"/>
        </w:rPr>
        <w:t xml:space="preserve"> that</w:t>
      </w:r>
      <w:r w:rsidR="00793D72" w:rsidRPr="00633995">
        <w:rPr>
          <w:rFonts w:eastAsiaTheme="minorEastAsia"/>
        </w:rPr>
        <w:t xml:space="preserve"> </w:t>
      </w:r>
      <m:oMath>
        <m:sSub>
          <m:sSubPr>
            <m:ctrlPr>
              <w:rPr>
                <w:rFonts w:ascii="Cambria Math" w:hAnsi="Cambria Math"/>
                <w:i/>
              </w:rPr>
            </m:ctrlPr>
          </m:sSubPr>
          <m:e>
            <m:r>
              <w:rPr>
                <w:rFonts w:ascii="Cambria Math" w:hAnsi="Cambria Math"/>
              </w:rPr>
              <m:t>GRA</m:t>
            </m:r>
          </m:e>
          <m:sub>
            <m:r>
              <w:rPr>
                <w:rFonts w:ascii="Cambria Math" w:hAnsi="Cambria Math"/>
              </w:rPr>
              <m:t>ijt</m:t>
            </m:r>
          </m:sub>
        </m:sSub>
      </m:oMath>
      <w:r w:rsidR="00427084" w:rsidRPr="00633995">
        <w:rPr>
          <w:rFonts w:eastAsiaTheme="minorEastAsia"/>
        </w:rPr>
        <w:t xml:space="preserve">, </w:t>
      </w:r>
      <w:r w:rsidR="00A404C2" w:rsidRPr="00633995">
        <w:rPr>
          <w:rFonts w:eastAsiaTheme="minorEastAsia"/>
        </w:rPr>
        <w:t xml:space="preserve">together with the </w:t>
      </w:r>
      <w:r w:rsidR="00793D72" w:rsidRPr="00633995">
        <w:rPr>
          <w:rFonts w:eastAsiaTheme="minorEastAsia"/>
        </w:rPr>
        <w:t xml:space="preserve">set of </w:t>
      </w:r>
      <w:r w:rsidR="00A404C2" w:rsidRPr="00633995">
        <w:rPr>
          <w:rFonts w:eastAsiaTheme="minorEastAsia"/>
        </w:rPr>
        <w:t>fixed effects</w:t>
      </w:r>
      <w:r w:rsidR="00427084" w:rsidRPr="00633995">
        <w:rPr>
          <w:rFonts w:eastAsiaTheme="minorEastAsia"/>
        </w:rPr>
        <w:t>,</w:t>
      </w:r>
      <w:r w:rsidR="00A404C2" w:rsidRPr="00633995">
        <w:rPr>
          <w:rFonts w:eastAsiaTheme="minorEastAsia"/>
        </w:rPr>
        <w:t xml:space="preserve"> </w:t>
      </w:r>
      <w:r w:rsidR="00025EF2" w:rsidRPr="00633995">
        <w:rPr>
          <w:rFonts w:eastAsiaTheme="minorEastAsia"/>
        </w:rPr>
        <w:t>accounts for all</w:t>
      </w:r>
      <w:r w:rsidR="00A404C2" w:rsidRPr="00633995">
        <w:rPr>
          <w:rFonts w:eastAsiaTheme="minorEastAsia"/>
        </w:rPr>
        <w:t xml:space="preserve"> </w:t>
      </w:r>
      <w:r w:rsidR="00C0506D" w:rsidRPr="00633995">
        <w:rPr>
          <w:rFonts w:eastAsiaTheme="minorEastAsia"/>
        </w:rPr>
        <w:t>data</w:t>
      </w:r>
      <w:r w:rsidR="0087146E" w:rsidRPr="00633995">
        <w:rPr>
          <w:rFonts w:eastAsiaTheme="minorEastAsia"/>
        </w:rPr>
        <w:t xml:space="preserve"> </w:t>
      </w:r>
      <w:r w:rsidR="00427084" w:rsidRPr="00633995">
        <w:rPr>
          <w:rFonts w:eastAsiaTheme="minorEastAsia"/>
        </w:rPr>
        <w:t>regulation</w:t>
      </w:r>
      <w:r w:rsidR="0087146E" w:rsidRPr="00633995">
        <w:rPr>
          <w:rFonts w:eastAsiaTheme="minorEastAsia"/>
        </w:rPr>
        <w:t>-</w:t>
      </w:r>
      <w:r w:rsidR="00C0506D" w:rsidRPr="00633995">
        <w:rPr>
          <w:rFonts w:eastAsiaTheme="minorEastAsia"/>
        </w:rPr>
        <w:t>rel</w:t>
      </w:r>
      <w:r w:rsidR="00427084" w:rsidRPr="00633995">
        <w:rPr>
          <w:rFonts w:eastAsiaTheme="minorEastAsia"/>
        </w:rPr>
        <w:t xml:space="preserve">ated </w:t>
      </w:r>
      <w:r w:rsidR="00A404C2" w:rsidRPr="00633995">
        <w:rPr>
          <w:rFonts w:eastAsiaTheme="minorEastAsia"/>
        </w:rPr>
        <w:t>time varying trade frictions, the estimated coefficient</w:t>
      </w:r>
      <w:r w:rsidR="00E8306B" w:rsidRPr="00633995">
        <w:rPr>
          <w:rFonts w:eastAsiaTheme="minorEastAsia"/>
        </w:rPr>
        <w:t xml:space="preserve">s </w:t>
      </w:r>
      <w:r w:rsidR="00A404C2" w:rsidRPr="00633995">
        <w:rPr>
          <w:rFonts w:eastAsiaTheme="minorEastAsia"/>
        </w:rPr>
        <w:t xml:space="preserve">can be recovered without bias. </w:t>
      </w:r>
    </w:p>
    <w:p w14:paraId="6FF43ECE" w14:textId="6491425E" w:rsidR="003A56E6" w:rsidRPr="00633995" w:rsidRDefault="003A56E6" w:rsidP="0011538D">
      <w:pPr>
        <w:spacing w:before="240" w:after="120" w:line="240" w:lineRule="auto"/>
        <w:jc w:val="both"/>
        <w:rPr>
          <w:b/>
          <w:bCs/>
        </w:rPr>
      </w:pPr>
      <w:r w:rsidRPr="00633995">
        <w:rPr>
          <w:b/>
          <w:bCs/>
        </w:rPr>
        <w:t>3.</w:t>
      </w:r>
      <w:r w:rsidR="009448B3">
        <w:rPr>
          <w:b/>
          <w:bCs/>
        </w:rPr>
        <w:t>3</w:t>
      </w:r>
      <w:r w:rsidRPr="00633995">
        <w:rPr>
          <w:b/>
          <w:bCs/>
        </w:rPr>
        <w:t xml:space="preserve"> </w:t>
      </w:r>
      <w:r w:rsidR="006D62D6" w:rsidRPr="00633995">
        <w:rPr>
          <w:b/>
          <w:bCs/>
        </w:rPr>
        <w:t>Baseline results</w:t>
      </w:r>
    </w:p>
    <w:p w14:paraId="45D5853F" w14:textId="24F1D706" w:rsidR="001146A8" w:rsidRDefault="000F5583" w:rsidP="0011538D">
      <w:pPr>
        <w:jc w:val="both"/>
      </w:pPr>
      <w:r w:rsidRPr="00633995">
        <w:t xml:space="preserve">Table 1 presents the </w:t>
      </w:r>
      <w:r w:rsidR="00AE39E3" w:rsidRPr="00633995">
        <w:t xml:space="preserve">results of </w:t>
      </w:r>
      <w:r w:rsidRPr="00633995">
        <w:t xml:space="preserve">PPML </w:t>
      </w:r>
      <w:r w:rsidR="00AE39E3" w:rsidRPr="00633995">
        <w:t xml:space="preserve">estimation of </w:t>
      </w:r>
      <w:r w:rsidRPr="00633995">
        <w:t>equations (</w:t>
      </w:r>
      <w:r w:rsidR="00CC0202">
        <w:t>3</w:t>
      </w:r>
      <w:r w:rsidRPr="00633995">
        <w:t>) and (</w:t>
      </w:r>
      <w:r w:rsidR="00CC0202">
        <w:t>4</w:t>
      </w:r>
      <w:r w:rsidRPr="00633995">
        <w:t>)</w:t>
      </w:r>
      <w:r w:rsidR="00407D73" w:rsidRPr="00633995">
        <w:t xml:space="preserve"> for</w:t>
      </w:r>
      <w:r w:rsidR="008D1F88" w:rsidRPr="00633995">
        <w:t xml:space="preserve"> both</w:t>
      </w:r>
      <w:r w:rsidR="00407D73" w:rsidRPr="00633995">
        <w:t xml:space="preserve"> </w:t>
      </w:r>
      <w:r w:rsidR="0087146E" w:rsidRPr="00633995">
        <w:t xml:space="preserve">the </w:t>
      </w:r>
      <w:r w:rsidR="00407D73" w:rsidRPr="00633995">
        <w:t>narrow (columns 1-</w:t>
      </w:r>
      <w:r w:rsidR="001146A8">
        <w:t>6</w:t>
      </w:r>
      <w:r w:rsidR="00407D73" w:rsidRPr="00633995">
        <w:t>) and broader definition</w:t>
      </w:r>
      <w:r w:rsidR="008D1F88" w:rsidRPr="00633995">
        <w:t xml:space="preserve"> of digital trade</w:t>
      </w:r>
      <w:r w:rsidR="00407D73" w:rsidRPr="00633995">
        <w:t xml:space="preserve"> (column </w:t>
      </w:r>
      <w:r w:rsidR="001146A8">
        <w:t>7</w:t>
      </w:r>
      <w:r w:rsidR="00407D73" w:rsidRPr="00633995">
        <w:t>)</w:t>
      </w:r>
      <w:r w:rsidRPr="00633995">
        <w:t xml:space="preserve">. </w:t>
      </w:r>
      <w:r w:rsidR="002F4411">
        <w:t>Only the results for the adequacy variables are presented</w:t>
      </w:r>
      <w:r w:rsidR="003F6DC5">
        <w:t xml:space="preserve">. The control variables are reported in </w:t>
      </w:r>
      <w:r w:rsidR="00426889">
        <w:t>Appendix B</w:t>
      </w:r>
      <w:r w:rsidR="003F6DC5">
        <w:t>.</w:t>
      </w:r>
      <w:r w:rsidR="007A0BE0">
        <w:rPr>
          <w:rStyle w:val="FootnoteReference"/>
        </w:rPr>
        <w:footnoteReference w:id="37"/>
      </w:r>
      <w:r w:rsidR="003F6DC5">
        <w:t xml:space="preserve"> </w:t>
      </w:r>
      <w:r w:rsidR="008D1F88" w:rsidRPr="00633995">
        <w:t>T</w:t>
      </w:r>
      <w:r w:rsidRPr="00633995">
        <w:t xml:space="preserve">he results </w:t>
      </w:r>
      <w:r w:rsidR="003F6DC5">
        <w:t xml:space="preserve">in Table 1 </w:t>
      </w:r>
      <w:r w:rsidRPr="00633995">
        <w:t xml:space="preserve">distinguish between </w:t>
      </w:r>
      <w:r w:rsidR="003E232C" w:rsidRPr="00633995">
        <w:t>regular ade</w:t>
      </w:r>
      <w:r w:rsidRPr="00633995">
        <w:t>quacy decisions</w:t>
      </w:r>
      <w:r w:rsidR="00AF023E" w:rsidRPr="00633995">
        <w:t xml:space="preserve"> granted to </w:t>
      </w:r>
      <w:r w:rsidR="008D1F88" w:rsidRPr="00633995">
        <w:t xml:space="preserve">non-US </w:t>
      </w:r>
      <w:r w:rsidR="00AF023E" w:rsidRPr="00633995">
        <w:t>partner countries (</w:t>
      </w:r>
      <m:oMath>
        <m:r>
          <w:rPr>
            <w:rFonts w:ascii="Cambria Math" w:hAnsi="Cambria Math"/>
          </w:rPr>
          <m:t>RAD</m:t>
        </m:r>
        <m:sSub>
          <m:sSubPr>
            <m:ctrlPr>
              <w:rPr>
                <w:rFonts w:ascii="Cambria Math" w:hAnsi="Cambria Math"/>
                <w:i/>
                <w:iCs/>
              </w:rPr>
            </m:ctrlPr>
          </m:sSubPr>
          <m:e>
            <m:r>
              <w:rPr>
                <w:rFonts w:ascii="Cambria Math" w:hAnsi="Cambria Math"/>
              </w:rPr>
              <m:t>Q</m:t>
            </m:r>
          </m:e>
          <m:sub>
            <m:r>
              <w:rPr>
                <w:rFonts w:ascii="Cambria Math" w:hAnsi="Cambria Math"/>
              </w:rPr>
              <m:t>ijt</m:t>
            </m:r>
          </m:sub>
        </m:sSub>
      </m:oMath>
      <w:r w:rsidR="00AF023E" w:rsidRPr="00633995">
        <w:t xml:space="preserve">), and those </w:t>
      </w:r>
      <w:r w:rsidR="008D1F88" w:rsidRPr="00633995">
        <w:t xml:space="preserve">pertaining to </w:t>
      </w:r>
      <w:r w:rsidR="00AF023E" w:rsidRPr="00633995">
        <w:t>the U</w:t>
      </w:r>
      <w:r w:rsidR="0040227D" w:rsidRPr="00633995">
        <w:t>.</w:t>
      </w:r>
      <w:r w:rsidR="00AF023E" w:rsidRPr="00633995">
        <w:t>S</w:t>
      </w:r>
      <w:r w:rsidR="0040227D" w:rsidRPr="00633995">
        <w:t>.</w:t>
      </w:r>
      <w:r w:rsidR="00AF023E" w:rsidRPr="00633995">
        <w:t xml:space="preserve"> </w:t>
      </w:r>
      <w:r w:rsidR="00407D73" w:rsidRPr="00633995">
        <w:t>(</w:t>
      </w:r>
      <m:oMath>
        <m:sSub>
          <m:sSubPr>
            <m:ctrlPr>
              <w:rPr>
                <w:rFonts w:ascii="Cambria Math" w:hAnsi="Cambria Math"/>
                <w:i/>
                <w:iCs/>
              </w:rPr>
            </m:ctrlPr>
          </m:sSubPr>
          <m:e>
            <m:r>
              <w:rPr>
                <w:rFonts w:ascii="Cambria Math" w:hAnsi="Cambria Math"/>
              </w:rPr>
              <m:t>SH/PS</m:t>
            </m:r>
          </m:e>
          <m:sub>
            <m:r>
              <w:rPr>
                <w:rFonts w:ascii="Cambria Math" w:hAnsi="Cambria Math"/>
              </w:rPr>
              <m:t>ijt</m:t>
            </m:r>
          </m:sub>
        </m:sSub>
      </m:oMath>
      <w:r w:rsidR="00407D73" w:rsidRPr="00633995">
        <w:t>)</w:t>
      </w:r>
      <w:r w:rsidRPr="00633995">
        <w:t>.</w:t>
      </w:r>
      <w:r w:rsidR="00AE39E3" w:rsidRPr="00633995">
        <w:t xml:space="preserve"> </w:t>
      </w:r>
      <w:r w:rsidR="001146A8">
        <w:t xml:space="preserve">Columns (1) and (2) </w:t>
      </w:r>
      <w:r w:rsidR="004720DC">
        <w:t xml:space="preserve">first </w:t>
      </w:r>
      <w:r w:rsidR="001146A8">
        <w:t xml:space="preserve">report results for </w:t>
      </w:r>
      <w:r w:rsidR="00F7525F">
        <w:t xml:space="preserve">the narrow definition of digital trade for </w:t>
      </w:r>
      <w:r w:rsidR="001146A8">
        <w:t xml:space="preserve">all adequacy decisions </w:t>
      </w:r>
      <w:r w:rsidR="00F7525F">
        <w:t xml:space="preserve">taken together, i.e., </w:t>
      </w:r>
      <w:r w:rsidR="001146A8">
        <w:t>without distinguishing between regular decisions and those for the US.</w:t>
      </w:r>
      <w:r w:rsidR="00E16CFE">
        <w:t xml:space="preserve"> Results indicate a statistically significant relationship between adequacy and bilateral digital trade between the EU and countries with adequacy, and between countries with adequacy, i.e., a positive club effect. Given the differences between regular adequacy decisions and the frameworks put in place for personal data flows between the EU and the US, in the remainder of this paper we focus on results that differentiate between the two  types of frameworks.</w:t>
      </w:r>
    </w:p>
    <w:p w14:paraId="34EC2A54" w14:textId="6CCA7695" w:rsidR="0087146E" w:rsidRDefault="0087146E" w:rsidP="0011538D">
      <w:pPr>
        <w:jc w:val="both"/>
      </w:pPr>
      <w:r w:rsidRPr="00633995">
        <w:t xml:space="preserve">Using </w:t>
      </w:r>
      <w:r w:rsidR="001902F1" w:rsidRPr="00633995">
        <w:t xml:space="preserve">the </w:t>
      </w:r>
      <w:r w:rsidRPr="00633995">
        <w:t xml:space="preserve">narrow definition of digital trade, we find a significant effect for the transatlantic data agreements, but not for </w:t>
      </w:r>
      <w:r w:rsidR="008D1F88" w:rsidRPr="00633995">
        <w:t xml:space="preserve">regular </w:t>
      </w:r>
      <w:r w:rsidRPr="00633995">
        <w:t xml:space="preserve">adequacy decisions (column </w:t>
      </w:r>
      <w:r w:rsidR="00E16CFE">
        <w:t>3</w:t>
      </w:r>
      <w:r w:rsidRPr="00633995">
        <w:t>).</w:t>
      </w:r>
      <w:r w:rsidRPr="00633995">
        <w:rPr>
          <w:rStyle w:val="FootnoteReference"/>
        </w:rPr>
        <w:footnoteReference w:id="38"/>
      </w:r>
      <w:r w:rsidRPr="00633995">
        <w:t xml:space="preserve"> Columns (</w:t>
      </w:r>
      <w:r w:rsidR="00E16CFE">
        <w:t>4</w:t>
      </w:r>
      <w:r w:rsidRPr="00633995">
        <w:t>) and (</w:t>
      </w:r>
      <w:r w:rsidR="00E16CFE">
        <w:t>5</w:t>
      </w:r>
      <w:r w:rsidRPr="00633995">
        <w:t xml:space="preserve">) </w:t>
      </w:r>
      <w:r w:rsidR="008D1F88" w:rsidRPr="00633995">
        <w:t xml:space="preserve">consider </w:t>
      </w:r>
      <w:r w:rsidRPr="00633995">
        <w:t xml:space="preserve">the potential club effect of adequacy decisions, again distinguishing between </w:t>
      </w:r>
      <w:r w:rsidR="008778F3">
        <w:t xml:space="preserve">the </w:t>
      </w:r>
      <w:r w:rsidRPr="00633995">
        <w:t>S</w:t>
      </w:r>
      <w:r w:rsidR="008778F3">
        <w:t>afe Habor</w:t>
      </w:r>
      <w:r w:rsidR="001902F1" w:rsidRPr="00633995">
        <w:t>/</w:t>
      </w:r>
      <w:r w:rsidR="008778F3">
        <w:t xml:space="preserve">Privacy Shield frameworks for the US </w:t>
      </w:r>
      <w:r w:rsidRPr="00633995">
        <w:t xml:space="preserve">and </w:t>
      </w:r>
      <w:r w:rsidR="008D1F88" w:rsidRPr="00633995">
        <w:t>regular</w:t>
      </w:r>
      <w:r w:rsidRPr="00633995">
        <w:t xml:space="preserve"> adequacy agreements. Column (</w:t>
      </w:r>
      <w:r w:rsidR="00E16CFE">
        <w:t>4</w:t>
      </w:r>
      <w:r w:rsidRPr="00633995">
        <w:t xml:space="preserve">) </w:t>
      </w:r>
      <w:r w:rsidR="00D7042E" w:rsidRPr="00633995">
        <w:t>captures</w:t>
      </w:r>
      <w:r w:rsidRPr="00633995">
        <w:t xml:space="preserve"> the club effect among adequate countries excluding the US, while column (</w:t>
      </w:r>
      <w:r w:rsidR="00E16CFE">
        <w:t>5</w:t>
      </w:r>
      <w:r w:rsidRPr="00633995">
        <w:t xml:space="preserve">) </w:t>
      </w:r>
      <w:r w:rsidR="008D1F88" w:rsidRPr="00633995">
        <w:t xml:space="preserve">considers </w:t>
      </w:r>
      <w:r w:rsidRPr="00633995">
        <w:t xml:space="preserve">the </w:t>
      </w:r>
      <w:r w:rsidR="008D1F88" w:rsidRPr="00633995">
        <w:t xml:space="preserve">potential </w:t>
      </w:r>
      <w:r w:rsidRPr="00633995">
        <w:t>club effect among all countries</w:t>
      </w:r>
      <w:r w:rsidR="00D7042E" w:rsidRPr="00633995">
        <w:t xml:space="preserve"> with adequacy</w:t>
      </w:r>
      <w:r w:rsidRPr="00633995">
        <w:t xml:space="preserve">. </w:t>
      </w:r>
      <w:r w:rsidR="001902F1" w:rsidRPr="00633995">
        <w:t xml:space="preserve">There is no relationship between </w:t>
      </w:r>
      <w:r w:rsidR="001902F1" w:rsidRPr="00633995">
        <w:lastRenderedPageBreak/>
        <w:t>r</w:t>
      </w:r>
      <w:r w:rsidRPr="00633995">
        <w:t xml:space="preserve">egular adequacy decisions </w:t>
      </w:r>
      <w:r w:rsidR="001902F1" w:rsidRPr="00633995">
        <w:t xml:space="preserve">and </w:t>
      </w:r>
      <w:r w:rsidRPr="00633995">
        <w:t xml:space="preserve">digital trade </w:t>
      </w:r>
      <w:r w:rsidR="00D7042E" w:rsidRPr="00633995">
        <w:t>among</w:t>
      </w:r>
      <w:r w:rsidRPr="00633995">
        <w:t xml:space="preserve"> adequate countries</w:t>
      </w:r>
      <w:r w:rsidR="008D1F88" w:rsidRPr="00633995">
        <w:t>. Conversely</w:t>
      </w:r>
      <w:r w:rsidR="001902F1" w:rsidRPr="00633995">
        <w:t xml:space="preserve">, </w:t>
      </w:r>
      <w:r w:rsidR="008D1F88" w:rsidRPr="00633995">
        <w:t xml:space="preserve">there is </w:t>
      </w:r>
      <w:r w:rsidR="001902F1" w:rsidRPr="00633995">
        <w:t xml:space="preserve">a positive association between </w:t>
      </w:r>
      <w:r w:rsidRPr="00633995">
        <w:t xml:space="preserve">EU-US adequacy </w:t>
      </w:r>
      <w:r w:rsidR="008D1F88" w:rsidRPr="00633995">
        <w:t xml:space="preserve">arrangements </w:t>
      </w:r>
      <w:r w:rsidR="001902F1" w:rsidRPr="00633995">
        <w:t>and digital trade among the club of adequate countries</w:t>
      </w:r>
      <w:r w:rsidR="008D1F88" w:rsidRPr="00633995">
        <w:t xml:space="preserve">, with coefficient estimates that are </w:t>
      </w:r>
      <w:r w:rsidRPr="00633995">
        <w:t>significant at the 1 percent level. Column (</w:t>
      </w:r>
      <w:r w:rsidR="00E16CFE">
        <w:t>6</w:t>
      </w:r>
      <w:r w:rsidRPr="00633995">
        <w:t xml:space="preserve">) includes all variables. The EU-US framework agreements remain positive and significant for both the direct and club effect, whereas </w:t>
      </w:r>
      <w:r w:rsidR="00D7042E" w:rsidRPr="00633995">
        <w:t xml:space="preserve">coefficient </w:t>
      </w:r>
      <w:r w:rsidRPr="00633995">
        <w:t xml:space="preserve">estimates for the other adequacy decisions remain insignificant. </w:t>
      </w:r>
      <w:r w:rsidR="008D1F88" w:rsidRPr="00633995">
        <w:t>C</w:t>
      </w:r>
      <w:r w:rsidRPr="00633995">
        <w:t>olumn (</w:t>
      </w:r>
      <w:r w:rsidR="00E16CFE">
        <w:t>7</w:t>
      </w:r>
      <w:r w:rsidRPr="00633995">
        <w:t>) replicates the analysis using the broad</w:t>
      </w:r>
      <w:r w:rsidR="008D1F88" w:rsidRPr="00633995">
        <w:t>er</w:t>
      </w:r>
      <w:r w:rsidRPr="00633995">
        <w:t xml:space="preserve"> definition of digital trade. Results remain similar. </w:t>
      </w:r>
    </w:p>
    <w:p w14:paraId="7697FF39" w14:textId="21F468AE" w:rsidR="00235CB5" w:rsidRPr="00633995" w:rsidRDefault="00CB07F2" w:rsidP="0011538D">
      <w:pPr>
        <w:jc w:val="both"/>
      </w:pPr>
      <w:r w:rsidRPr="00CB07F2">
        <w:t xml:space="preserve">Arguably, the adequacy variables may correlate with </w:t>
      </w:r>
      <w:r w:rsidR="0019222C">
        <w:t xml:space="preserve">our </w:t>
      </w:r>
      <w:r w:rsidRPr="00CB07F2">
        <w:t>PTA variable. Although adequacy decisions are developed independently from trade agreements, in practice, the benefits of a PTA might partly depend on whether adequacy has been granted or on political economy considerations. This is particularly relevant because our regressions include PTAs with data-protection provisions. A</w:t>
      </w:r>
      <w:r w:rsidR="00D53064">
        <w:t xml:space="preserve">s reported in Appendix B, </w:t>
      </w:r>
      <w:r w:rsidRPr="00CB07F2">
        <w:t xml:space="preserve">the PTA </w:t>
      </w:r>
      <w:r w:rsidR="00D53064">
        <w:t xml:space="preserve">control </w:t>
      </w:r>
      <w:r w:rsidRPr="00CB07F2">
        <w:t>variable i</w:t>
      </w:r>
      <w:r w:rsidR="00D53064">
        <w:t xml:space="preserve">s not </w:t>
      </w:r>
      <w:r w:rsidRPr="00CB07F2">
        <w:t>significant</w:t>
      </w:r>
      <w:r w:rsidR="00D53064">
        <w:t>. A</w:t>
      </w:r>
      <w:r w:rsidRPr="00CB07F2">
        <w:t xml:space="preserve">pplying </w:t>
      </w:r>
      <w:r w:rsidR="00D53064">
        <w:t>a</w:t>
      </w:r>
      <w:r w:rsidRPr="00CB07F2">
        <w:t xml:space="preserve"> lead of 2 years and lags of 2 </w:t>
      </w:r>
      <w:r w:rsidR="002203F6">
        <w:t>as well as 1 and</w:t>
      </w:r>
      <w:r w:rsidR="002203F6" w:rsidRPr="00CB07F2">
        <w:t xml:space="preserve"> </w:t>
      </w:r>
      <w:r w:rsidRPr="00CB07F2">
        <w:t xml:space="preserve">3 years </w:t>
      </w:r>
      <w:r w:rsidR="00D53064">
        <w:t xml:space="preserve">for </w:t>
      </w:r>
      <w:r w:rsidRPr="00CB07F2">
        <w:t>the PTA variable</w:t>
      </w:r>
      <w:r w:rsidR="00D53064">
        <w:t xml:space="preserve"> does not affect the </w:t>
      </w:r>
      <w:r w:rsidR="00673238">
        <w:t xml:space="preserve">significance of the </w:t>
      </w:r>
      <w:r w:rsidR="00D53064">
        <w:t xml:space="preserve">coefficient estimates for the </w:t>
      </w:r>
      <w:r w:rsidRPr="00CB07F2">
        <w:t>adequacy variables</w:t>
      </w:r>
      <w:r w:rsidR="00300EE6">
        <w:t>.</w:t>
      </w:r>
      <w:r w:rsidR="00300EE6">
        <w:rPr>
          <w:rStyle w:val="FootnoteReference"/>
        </w:rPr>
        <w:footnoteReference w:id="39"/>
      </w:r>
    </w:p>
    <w:p w14:paraId="19781D05" w14:textId="6990D190" w:rsidR="00B53FBD" w:rsidRPr="00633995" w:rsidRDefault="00B53FBD" w:rsidP="0011538D">
      <w:pPr>
        <w:spacing w:before="240" w:after="120" w:line="240" w:lineRule="auto"/>
        <w:jc w:val="both"/>
        <w:rPr>
          <w:b/>
          <w:bCs/>
        </w:rPr>
      </w:pPr>
      <w:r w:rsidRPr="00633995">
        <w:rPr>
          <w:b/>
          <w:bCs/>
        </w:rPr>
        <w:t>Table 1:</w:t>
      </w:r>
      <w:r w:rsidR="00215265">
        <w:rPr>
          <w:b/>
          <w:bCs/>
        </w:rPr>
        <w:t xml:space="preserve"> Baseline r</w:t>
      </w:r>
      <w:r w:rsidR="00933D2A" w:rsidRPr="00633995">
        <w:rPr>
          <w:b/>
          <w:bCs/>
        </w:rPr>
        <w:t>esults</w:t>
      </w:r>
      <w:r w:rsidR="002275BF">
        <w:rPr>
          <w:b/>
          <w:bCs/>
        </w:rPr>
        <w:t>, exports</w:t>
      </w:r>
    </w:p>
    <w:tbl>
      <w:tblPr>
        <w:tblW w:w="5000" w:type="pct"/>
        <w:tblCellMar>
          <w:left w:w="70" w:type="dxa"/>
          <w:right w:w="70" w:type="dxa"/>
        </w:tblCellMar>
        <w:tblLook w:val="04A0" w:firstRow="1" w:lastRow="0" w:firstColumn="1" w:lastColumn="0" w:noHBand="0" w:noVBand="1"/>
      </w:tblPr>
      <w:tblGrid>
        <w:gridCol w:w="2028"/>
        <w:gridCol w:w="998"/>
        <w:gridCol w:w="1000"/>
        <w:gridCol w:w="1000"/>
        <w:gridCol w:w="1000"/>
        <w:gridCol w:w="1000"/>
        <w:gridCol w:w="1002"/>
        <w:gridCol w:w="998"/>
      </w:tblGrid>
      <w:tr w:rsidR="002275BF" w:rsidRPr="00633995" w14:paraId="5F177F5C" w14:textId="77777777" w:rsidTr="005F66FD">
        <w:trPr>
          <w:trHeight w:val="20"/>
        </w:trPr>
        <w:tc>
          <w:tcPr>
            <w:tcW w:w="1123" w:type="pct"/>
            <w:tcBorders>
              <w:top w:val="single" w:sz="4" w:space="0" w:color="auto"/>
              <w:left w:val="nil"/>
              <w:bottom w:val="single" w:sz="4" w:space="0" w:color="auto"/>
              <w:right w:val="nil"/>
            </w:tcBorders>
            <w:shd w:val="clear" w:color="auto" w:fill="auto"/>
            <w:noWrap/>
            <w:vAlign w:val="center"/>
            <w:hideMark/>
          </w:tcPr>
          <w:p w14:paraId="4084C2F3" w14:textId="77777777" w:rsidR="002275BF" w:rsidRPr="00633995" w:rsidRDefault="002275BF" w:rsidP="0011538D">
            <w:pPr>
              <w:spacing w:after="0" w:line="240" w:lineRule="auto"/>
              <w:jc w:val="both"/>
              <w:rPr>
                <w:rFonts w:ascii="Aptos Narrow" w:eastAsia="Times New Roman" w:hAnsi="Aptos Narrow" w:cs="Times New Roman"/>
                <w:color w:val="000000"/>
                <w:sz w:val="20"/>
                <w:szCs w:val="20"/>
                <w:lang w:eastAsia="de-DE"/>
              </w:rPr>
            </w:pPr>
            <w:r w:rsidRPr="00633995">
              <w:rPr>
                <w:rFonts w:ascii="Aptos Narrow" w:eastAsia="Times New Roman" w:hAnsi="Aptos Narrow" w:cs="Times New Roman"/>
                <w:color w:val="000000"/>
                <w:sz w:val="20"/>
                <w:szCs w:val="20"/>
                <w:lang w:eastAsia="de-DE"/>
              </w:rPr>
              <w:t> </w:t>
            </w:r>
          </w:p>
        </w:tc>
        <w:tc>
          <w:tcPr>
            <w:tcW w:w="553" w:type="pct"/>
            <w:tcBorders>
              <w:top w:val="single" w:sz="4" w:space="0" w:color="auto"/>
              <w:left w:val="nil"/>
              <w:bottom w:val="single" w:sz="4" w:space="0" w:color="auto"/>
              <w:right w:val="nil"/>
            </w:tcBorders>
          </w:tcPr>
          <w:p w14:paraId="71DAC56C" w14:textId="16FE4E9A" w:rsidR="002275BF" w:rsidRPr="00513BF1" w:rsidRDefault="00B91498" w:rsidP="005F66FD">
            <w:pPr>
              <w:spacing w:after="0" w:line="240" w:lineRule="auto"/>
              <w:jc w:val="center"/>
              <w:rPr>
                <w:rFonts w:ascii="Aptos Narrow" w:eastAsia="Times New Roman" w:hAnsi="Aptos Narrow" w:cs="Times New Roman"/>
                <w:color w:val="000000"/>
                <w:sz w:val="20"/>
                <w:szCs w:val="20"/>
                <w:lang w:eastAsia="de-DE"/>
              </w:rPr>
            </w:pPr>
            <w:r>
              <w:rPr>
                <w:rFonts w:ascii="Aptos Narrow" w:eastAsia="Times New Roman" w:hAnsi="Aptos Narrow" w:cs="Times New Roman"/>
                <w:color w:val="000000"/>
                <w:sz w:val="20"/>
                <w:szCs w:val="20"/>
                <w:lang w:eastAsia="de-DE"/>
              </w:rPr>
              <w:t>(1)</w:t>
            </w:r>
          </w:p>
        </w:tc>
        <w:tc>
          <w:tcPr>
            <w:tcW w:w="554" w:type="pct"/>
            <w:tcBorders>
              <w:top w:val="single" w:sz="4" w:space="0" w:color="auto"/>
              <w:left w:val="nil"/>
              <w:bottom w:val="single" w:sz="4" w:space="0" w:color="auto"/>
              <w:right w:val="nil"/>
            </w:tcBorders>
          </w:tcPr>
          <w:p w14:paraId="70D4B831" w14:textId="6333F695" w:rsidR="002275BF" w:rsidRPr="00513BF1" w:rsidRDefault="00B91498" w:rsidP="005F66FD">
            <w:pPr>
              <w:spacing w:after="0" w:line="240" w:lineRule="auto"/>
              <w:jc w:val="center"/>
              <w:rPr>
                <w:rFonts w:ascii="Aptos Narrow" w:eastAsia="Times New Roman" w:hAnsi="Aptos Narrow" w:cs="Times New Roman"/>
                <w:color w:val="000000"/>
                <w:sz w:val="20"/>
                <w:szCs w:val="20"/>
                <w:lang w:eastAsia="de-DE"/>
              </w:rPr>
            </w:pPr>
            <w:r>
              <w:rPr>
                <w:rFonts w:ascii="Aptos Narrow" w:eastAsia="Times New Roman" w:hAnsi="Aptos Narrow" w:cs="Times New Roman"/>
                <w:color w:val="000000"/>
                <w:sz w:val="20"/>
                <w:szCs w:val="20"/>
                <w:lang w:eastAsia="de-DE"/>
              </w:rPr>
              <w:t>(2)</w:t>
            </w:r>
          </w:p>
        </w:tc>
        <w:tc>
          <w:tcPr>
            <w:tcW w:w="554" w:type="pct"/>
            <w:tcBorders>
              <w:top w:val="single" w:sz="4" w:space="0" w:color="auto"/>
              <w:left w:val="nil"/>
              <w:bottom w:val="single" w:sz="4" w:space="0" w:color="auto"/>
              <w:right w:val="nil"/>
            </w:tcBorders>
            <w:shd w:val="clear" w:color="auto" w:fill="auto"/>
            <w:noWrap/>
            <w:vAlign w:val="center"/>
            <w:hideMark/>
          </w:tcPr>
          <w:p w14:paraId="4037ADA2" w14:textId="73C471A1"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w:t>
            </w:r>
            <w:r w:rsidR="00B91498">
              <w:rPr>
                <w:rFonts w:ascii="Aptos Narrow" w:eastAsia="Times New Roman" w:hAnsi="Aptos Narrow" w:cs="Times New Roman"/>
                <w:color w:val="000000"/>
                <w:sz w:val="20"/>
                <w:szCs w:val="20"/>
                <w:lang w:eastAsia="de-DE"/>
              </w:rPr>
              <w:t>3</w:t>
            </w:r>
            <w:r w:rsidRPr="00513BF1">
              <w:rPr>
                <w:rFonts w:ascii="Aptos Narrow" w:eastAsia="Times New Roman" w:hAnsi="Aptos Narrow" w:cs="Times New Roman"/>
                <w:color w:val="000000"/>
                <w:sz w:val="20"/>
                <w:szCs w:val="20"/>
                <w:lang w:eastAsia="de-DE"/>
              </w:rPr>
              <w:t>)</w:t>
            </w:r>
          </w:p>
        </w:tc>
        <w:tc>
          <w:tcPr>
            <w:tcW w:w="554" w:type="pct"/>
            <w:tcBorders>
              <w:top w:val="single" w:sz="4" w:space="0" w:color="auto"/>
              <w:left w:val="nil"/>
              <w:bottom w:val="single" w:sz="4" w:space="0" w:color="auto"/>
              <w:right w:val="nil"/>
            </w:tcBorders>
            <w:shd w:val="clear" w:color="auto" w:fill="auto"/>
            <w:noWrap/>
            <w:vAlign w:val="center"/>
            <w:hideMark/>
          </w:tcPr>
          <w:p w14:paraId="330CF306" w14:textId="5248120B"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w:t>
            </w:r>
            <w:r w:rsidR="00B91498">
              <w:rPr>
                <w:rFonts w:ascii="Aptos Narrow" w:eastAsia="Times New Roman" w:hAnsi="Aptos Narrow" w:cs="Times New Roman"/>
                <w:color w:val="000000"/>
                <w:sz w:val="20"/>
                <w:szCs w:val="20"/>
                <w:lang w:eastAsia="de-DE"/>
              </w:rPr>
              <w:t>4</w:t>
            </w:r>
            <w:r w:rsidRPr="00513BF1">
              <w:rPr>
                <w:rFonts w:ascii="Aptos Narrow" w:eastAsia="Times New Roman" w:hAnsi="Aptos Narrow" w:cs="Times New Roman"/>
                <w:color w:val="000000"/>
                <w:sz w:val="20"/>
                <w:szCs w:val="20"/>
                <w:lang w:eastAsia="de-DE"/>
              </w:rPr>
              <w:t>)</w:t>
            </w:r>
          </w:p>
        </w:tc>
        <w:tc>
          <w:tcPr>
            <w:tcW w:w="554" w:type="pct"/>
            <w:tcBorders>
              <w:top w:val="single" w:sz="4" w:space="0" w:color="auto"/>
              <w:left w:val="nil"/>
              <w:bottom w:val="single" w:sz="4" w:space="0" w:color="auto"/>
              <w:right w:val="nil"/>
            </w:tcBorders>
            <w:shd w:val="clear" w:color="auto" w:fill="auto"/>
            <w:noWrap/>
            <w:vAlign w:val="center"/>
            <w:hideMark/>
          </w:tcPr>
          <w:p w14:paraId="12D3F87C" w14:textId="31E900D8"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w:t>
            </w:r>
            <w:r w:rsidR="00B91498">
              <w:rPr>
                <w:rFonts w:ascii="Aptos Narrow" w:eastAsia="Times New Roman" w:hAnsi="Aptos Narrow" w:cs="Times New Roman"/>
                <w:color w:val="000000"/>
                <w:sz w:val="20"/>
                <w:szCs w:val="20"/>
                <w:lang w:eastAsia="de-DE"/>
              </w:rPr>
              <w:t>5</w:t>
            </w:r>
            <w:r w:rsidRPr="00513BF1">
              <w:rPr>
                <w:rFonts w:ascii="Aptos Narrow" w:eastAsia="Times New Roman" w:hAnsi="Aptos Narrow" w:cs="Times New Roman"/>
                <w:color w:val="000000"/>
                <w:sz w:val="20"/>
                <w:szCs w:val="20"/>
                <w:lang w:eastAsia="de-DE"/>
              </w:rPr>
              <w:t>)</w:t>
            </w:r>
          </w:p>
        </w:tc>
        <w:tc>
          <w:tcPr>
            <w:tcW w:w="555" w:type="pct"/>
            <w:tcBorders>
              <w:top w:val="single" w:sz="4" w:space="0" w:color="auto"/>
              <w:left w:val="nil"/>
              <w:bottom w:val="single" w:sz="4" w:space="0" w:color="auto"/>
              <w:right w:val="nil"/>
            </w:tcBorders>
            <w:shd w:val="clear" w:color="auto" w:fill="auto"/>
            <w:noWrap/>
            <w:vAlign w:val="center"/>
            <w:hideMark/>
          </w:tcPr>
          <w:p w14:paraId="68F07593" w14:textId="52D237EF"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w:t>
            </w:r>
            <w:r w:rsidR="00B91498">
              <w:rPr>
                <w:rFonts w:ascii="Aptos Narrow" w:eastAsia="Times New Roman" w:hAnsi="Aptos Narrow" w:cs="Times New Roman"/>
                <w:color w:val="000000"/>
                <w:sz w:val="20"/>
                <w:szCs w:val="20"/>
                <w:lang w:eastAsia="de-DE"/>
              </w:rPr>
              <w:t>6</w:t>
            </w:r>
            <w:r w:rsidRPr="00513BF1">
              <w:rPr>
                <w:rFonts w:ascii="Aptos Narrow" w:eastAsia="Times New Roman" w:hAnsi="Aptos Narrow" w:cs="Times New Roman"/>
                <w:color w:val="000000"/>
                <w:sz w:val="20"/>
                <w:szCs w:val="20"/>
                <w:lang w:eastAsia="de-DE"/>
              </w:rPr>
              <w:t>)</w:t>
            </w:r>
          </w:p>
        </w:tc>
        <w:tc>
          <w:tcPr>
            <w:tcW w:w="553" w:type="pct"/>
            <w:tcBorders>
              <w:top w:val="single" w:sz="4" w:space="0" w:color="auto"/>
              <w:left w:val="nil"/>
              <w:bottom w:val="single" w:sz="4" w:space="0" w:color="auto"/>
              <w:right w:val="nil"/>
            </w:tcBorders>
            <w:shd w:val="clear" w:color="auto" w:fill="auto"/>
            <w:noWrap/>
            <w:vAlign w:val="center"/>
            <w:hideMark/>
          </w:tcPr>
          <w:p w14:paraId="6BDB8202" w14:textId="65B8A104"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w:t>
            </w:r>
            <w:r w:rsidR="001146A8">
              <w:rPr>
                <w:rFonts w:ascii="Aptos Narrow" w:eastAsia="Times New Roman" w:hAnsi="Aptos Narrow" w:cs="Times New Roman"/>
                <w:color w:val="000000"/>
                <w:sz w:val="20"/>
                <w:szCs w:val="20"/>
                <w:lang w:eastAsia="de-DE"/>
              </w:rPr>
              <w:t>7</w:t>
            </w:r>
            <w:r w:rsidRPr="00513BF1">
              <w:rPr>
                <w:rFonts w:ascii="Aptos Narrow" w:eastAsia="Times New Roman" w:hAnsi="Aptos Narrow" w:cs="Times New Roman"/>
                <w:color w:val="000000"/>
                <w:sz w:val="20"/>
                <w:szCs w:val="20"/>
                <w:lang w:eastAsia="de-DE"/>
              </w:rPr>
              <w:t>)</w:t>
            </w:r>
          </w:p>
        </w:tc>
      </w:tr>
      <w:tr w:rsidR="002275BF" w:rsidRPr="00633995" w14:paraId="46422E02" w14:textId="77777777" w:rsidTr="005F66FD">
        <w:trPr>
          <w:trHeight w:val="20"/>
        </w:trPr>
        <w:tc>
          <w:tcPr>
            <w:tcW w:w="1123" w:type="pct"/>
            <w:tcBorders>
              <w:top w:val="single" w:sz="4" w:space="0" w:color="auto"/>
              <w:left w:val="nil"/>
              <w:bottom w:val="nil"/>
              <w:right w:val="nil"/>
            </w:tcBorders>
            <w:shd w:val="clear" w:color="auto" w:fill="auto"/>
            <w:noWrap/>
            <w:vAlign w:val="center"/>
          </w:tcPr>
          <w:p w14:paraId="460A61B6" w14:textId="663055A5" w:rsidR="002275BF" w:rsidRPr="00604F53" w:rsidRDefault="00E16CFE" w:rsidP="002275BF">
            <w:pPr>
              <w:spacing w:after="0" w:line="240" w:lineRule="auto"/>
              <w:jc w:val="both"/>
              <w:rPr>
                <w:rFonts w:ascii="Cambria Math" w:eastAsia="Aptos" w:hAnsi="Cambria Math" w:cs="Times New Roman"/>
                <w:i/>
                <w:iCs/>
                <w:color w:val="000000"/>
                <w:sz w:val="20"/>
                <w:szCs w:val="20"/>
                <w:lang w:eastAsia="de-DE"/>
              </w:rPr>
            </w:pPr>
            <m:oMathPara>
              <m:oMathParaPr>
                <m:jc m:val="left"/>
              </m:oMathParaPr>
              <m:oMath>
                <m:r>
                  <w:rPr>
                    <w:rFonts w:ascii="Cambria Math" w:eastAsia="Times New Roman" w:hAnsi="Cambria Math" w:cs="Times New Roman"/>
                    <w:color w:val="000000"/>
                    <w:sz w:val="20"/>
                    <w:szCs w:val="20"/>
                    <w:lang w:eastAsia="de-DE"/>
                  </w:rPr>
                  <m:t>AD</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Q</m:t>
                    </m:r>
                  </m:e>
                  <m:sub>
                    <m:r>
                      <w:rPr>
                        <w:rFonts w:ascii="Cambria Math" w:eastAsia="Times New Roman" w:hAnsi="Cambria Math" w:cs="Times New Roman"/>
                        <w:color w:val="000000"/>
                        <w:sz w:val="20"/>
                        <w:szCs w:val="20"/>
                        <w:lang w:eastAsia="de-DE"/>
                      </w:rPr>
                      <m:t>ijt</m:t>
                    </m:r>
                  </m:sub>
                </m:sSub>
              </m:oMath>
            </m:oMathPara>
          </w:p>
        </w:tc>
        <w:tc>
          <w:tcPr>
            <w:tcW w:w="553" w:type="pct"/>
            <w:tcBorders>
              <w:top w:val="single" w:sz="4" w:space="0" w:color="auto"/>
              <w:left w:val="nil"/>
              <w:bottom w:val="nil"/>
              <w:right w:val="nil"/>
            </w:tcBorders>
            <w:vAlign w:val="bottom"/>
          </w:tcPr>
          <w:p w14:paraId="17534F8C" w14:textId="0DB32458" w:rsidR="002275BF" w:rsidRPr="00E16CFE" w:rsidRDefault="002275BF" w:rsidP="005F66FD">
            <w:pPr>
              <w:spacing w:after="0" w:line="240" w:lineRule="auto"/>
              <w:jc w:val="center"/>
              <w:rPr>
                <w:rFonts w:ascii="Aptos Narrow" w:eastAsia="Times New Roman" w:hAnsi="Aptos Narrow" w:cs="Times New Roman"/>
                <w:color w:val="000000"/>
                <w:sz w:val="20"/>
                <w:szCs w:val="20"/>
                <w:lang w:eastAsia="de-DE"/>
              </w:rPr>
            </w:pPr>
            <w:r w:rsidRPr="00604F53">
              <w:rPr>
                <w:rFonts w:ascii="Aptos Narrow" w:eastAsia="Times New Roman" w:hAnsi="Aptos Narrow" w:cs="Times New Roman"/>
                <w:color w:val="000000"/>
                <w:sz w:val="20"/>
                <w:szCs w:val="20"/>
              </w:rPr>
              <w:t>0.048*</w:t>
            </w:r>
          </w:p>
        </w:tc>
        <w:tc>
          <w:tcPr>
            <w:tcW w:w="554" w:type="pct"/>
            <w:tcBorders>
              <w:top w:val="single" w:sz="4" w:space="0" w:color="auto"/>
              <w:left w:val="nil"/>
              <w:bottom w:val="nil"/>
              <w:right w:val="nil"/>
            </w:tcBorders>
            <w:vAlign w:val="bottom"/>
          </w:tcPr>
          <w:p w14:paraId="721F6BD3" w14:textId="2C86035C" w:rsidR="002275BF" w:rsidRPr="00E16CFE" w:rsidRDefault="002275BF" w:rsidP="005F66FD">
            <w:pPr>
              <w:spacing w:after="0" w:line="240" w:lineRule="auto"/>
              <w:jc w:val="center"/>
              <w:rPr>
                <w:rFonts w:ascii="Aptos Narrow" w:eastAsia="Times New Roman" w:hAnsi="Aptos Narrow" w:cs="Times New Roman"/>
                <w:color w:val="000000"/>
                <w:sz w:val="20"/>
                <w:szCs w:val="20"/>
                <w:lang w:eastAsia="de-DE"/>
              </w:rPr>
            </w:pPr>
            <w:r w:rsidRPr="00604F53">
              <w:rPr>
                <w:rFonts w:ascii="Aptos Narrow" w:eastAsia="Times New Roman" w:hAnsi="Aptos Narrow" w:cs="Times New Roman"/>
                <w:color w:val="000000"/>
                <w:sz w:val="20"/>
                <w:szCs w:val="20"/>
              </w:rPr>
              <w:t>0.054**</w:t>
            </w:r>
          </w:p>
        </w:tc>
        <w:tc>
          <w:tcPr>
            <w:tcW w:w="554" w:type="pct"/>
            <w:tcBorders>
              <w:top w:val="single" w:sz="4" w:space="0" w:color="auto"/>
              <w:left w:val="nil"/>
              <w:bottom w:val="nil"/>
              <w:right w:val="nil"/>
            </w:tcBorders>
            <w:shd w:val="clear" w:color="auto" w:fill="auto"/>
            <w:noWrap/>
            <w:vAlign w:val="bottom"/>
          </w:tcPr>
          <w:p w14:paraId="3A785FCF"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single" w:sz="4" w:space="0" w:color="auto"/>
              <w:left w:val="nil"/>
              <w:bottom w:val="nil"/>
              <w:right w:val="nil"/>
            </w:tcBorders>
            <w:shd w:val="clear" w:color="auto" w:fill="auto"/>
            <w:noWrap/>
            <w:vAlign w:val="bottom"/>
          </w:tcPr>
          <w:p w14:paraId="3700603E"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single" w:sz="4" w:space="0" w:color="auto"/>
              <w:left w:val="nil"/>
              <w:bottom w:val="nil"/>
              <w:right w:val="nil"/>
            </w:tcBorders>
            <w:shd w:val="clear" w:color="auto" w:fill="auto"/>
            <w:noWrap/>
            <w:vAlign w:val="bottom"/>
          </w:tcPr>
          <w:p w14:paraId="2478EE69"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5" w:type="pct"/>
            <w:tcBorders>
              <w:top w:val="single" w:sz="4" w:space="0" w:color="auto"/>
              <w:left w:val="nil"/>
              <w:bottom w:val="nil"/>
              <w:right w:val="nil"/>
            </w:tcBorders>
            <w:shd w:val="clear" w:color="auto" w:fill="auto"/>
            <w:noWrap/>
            <w:vAlign w:val="bottom"/>
          </w:tcPr>
          <w:p w14:paraId="4E5EFB59"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3" w:type="pct"/>
            <w:tcBorders>
              <w:top w:val="single" w:sz="4" w:space="0" w:color="auto"/>
              <w:left w:val="nil"/>
              <w:bottom w:val="nil"/>
              <w:right w:val="nil"/>
            </w:tcBorders>
            <w:shd w:val="clear" w:color="auto" w:fill="auto"/>
            <w:noWrap/>
            <w:vAlign w:val="center"/>
          </w:tcPr>
          <w:p w14:paraId="2CDD70EE"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r>
      <w:tr w:rsidR="002275BF" w:rsidRPr="00633995" w14:paraId="20871E71" w14:textId="77777777" w:rsidTr="00604F53">
        <w:trPr>
          <w:trHeight w:val="20"/>
        </w:trPr>
        <w:tc>
          <w:tcPr>
            <w:tcW w:w="1123" w:type="pct"/>
            <w:tcBorders>
              <w:top w:val="nil"/>
              <w:left w:val="nil"/>
              <w:bottom w:val="nil"/>
              <w:right w:val="nil"/>
            </w:tcBorders>
            <w:shd w:val="clear" w:color="auto" w:fill="auto"/>
            <w:noWrap/>
            <w:vAlign w:val="center"/>
          </w:tcPr>
          <w:p w14:paraId="73EBCA81" w14:textId="77777777" w:rsidR="002275BF" w:rsidRPr="00604F53" w:rsidRDefault="002275BF" w:rsidP="002275BF">
            <w:pPr>
              <w:spacing w:after="0" w:line="240" w:lineRule="auto"/>
              <w:jc w:val="both"/>
              <w:rPr>
                <w:rFonts w:ascii="Cambria Math" w:eastAsia="Aptos" w:hAnsi="Cambria Math" w:cs="Times New Roman"/>
                <w:color w:val="000000"/>
                <w:sz w:val="20"/>
                <w:szCs w:val="20"/>
                <w:lang w:eastAsia="de-DE"/>
              </w:rPr>
            </w:pPr>
          </w:p>
        </w:tc>
        <w:tc>
          <w:tcPr>
            <w:tcW w:w="553" w:type="pct"/>
            <w:tcBorders>
              <w:top w:val="nil"/>
              <w:left w:val="nil"/>
              <w:bottom w:val="nil"/>
              <w:right w:val="nil"/>
            </w:tcBorders>
            <w:vAlign w:val="bottom"/>
          </w:tcPr>
          <w:p w14:paraId="37C4B784" w14:textId="2C3BAD86" w:rsidR="002275BF" w:rsidRPr="00E16CFE" w:rsidRDefault="002275BF" w:rsidP="005F66FD">
            <w:pPr>
              <w:spacing w:after="0" w:line="240" w:lineRule="auto"/>
              <w:jc w:val="center"/>
              <w:rPr>
                <w:rFonts w:ascii="Aptos Narrow" w:eastAsia="Times New Roman" w:hAnsi="Aptos Narrow" w:cs="Times New Roman"/>
                <w:color w:val="000000"/>
                <w:sz w:val="20"/>
                <w:szCs w:val="20"/>
                <w:lang w:eastAsia="de-DE"/>
              </w:rPr>
            </w:pPr>
            <w:r w:rsidRPr="00604F53">
              <w:rPr>
                <w:rFonts w:ascii="Aptos Narrow" w:eastAsia="Times New Roman" w:hAnsi="Aptos Narrow" w:cs="Times New Roman"/>
                <w:color w:val="000000"/>
                <w:sz w:val="20"/>
                <w:szCs w:val="20"/>
              </w:rPr>
              <w:t>(0.055)</w:t>
            </w:r>
          </w:p>
        </w:tc>
        <w:tc>
          <w:tcPr>
            <w:tcW w:w="554" w:type="pct"/>
            <w:tcBorders>
              <w:top w:val="nil"/>
              <w:left w:val="nil"/>
              <w:bottom w:val="nil"/>
              <w:right w:val="nil"/>
            </w:tcBorders>
            <w:vAlign w:val="bottom"/>
          </w:tcPr>
          <w:p w14:paraId="10C11826" w14:textId="087CC400" w:rsidR="002275BF" w:rsidRPr="00E16CFE" w:rsidRDefault="002275BF" w:rsidP="005F66FD">
            <w:pPr>
              <w:spacing w:after="0" w:line="240" w:lineRule="auto"/>
              <w:jc w:val="center"/>
              <w:rPr>
                <w:rFonts w:ascii="Aptos Narrow" w:eastAsia="Times New Roman" w:hAnsi="Aptos Narrow" w:cs="Times New Roman"/>
                <w:color w:val="000000"/>
                <w:sz w:val="20"/>
                <w:szCs w:val="20"/>
                <w:lang w:eastAsia="de-DE"/>
              </w:rPr>
            </w:pPr>
            <w:r w:rsidRPr="00604F53">
              <w:rPr>
                <w:rFonts w:ascii="Aptos Narrow" w:eastAsia="Times New Roman" w:hAnsi="Aptos Narrow" w:cs="Times New Roman"/>
                <w:color w:val="000000"/>
                <w:sz w:val="20"/>
                <w:szCs w:val="20"/>
              </w:rPr>
              <w:t>(0.043)</w:t>
            </w:r>
          </w:p>
        </w:tc>
        <w:tc>
          <w:tcPr>
            <w:tcW w:w="554" w:type="pct"/>
            <w:tcBorders>
              <w:top w:val="nil"/>
              <w:left w:val="nil"/>
              <w:bottom w:val="nil"/>
              <w:right w:val="nil"/>
            </w:tcBorders>
            <w:shd w:val="clear" w:color="auto" w:fill="auto"/>
            <w:noWrap/>
            <w:vAlign w:val="bottom"/>
          </w:tcPr>
          <w:p w14:paraId="5AC8316F"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nil"/>
              <w:left w:val="nil"/>
              <w:bottom w:val="nil"/>
              <w:right w:val="nil"/>
            </w:tcBorders>
            <w:shd w:val="clear" w:color="auto" w:fill="auto"/>
            <w:noWrap/>
            <w:vAlign w:val="bottom"/>
          </w:tcPr>
          <w:p w14:paraId="4D1D620A"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nil"/>
              <w:left w:val="nil"/>
              <w:bottom w:val="nil"/>
              <w:right w:val="nil"/>
            </w:tcBorders>
            <w:shd w:val="clear" w:color="auto" w:fill="auto"/>
            <w:noWrap/>
            <w:vAlign w:val="bottom"/>
          </w:tcPr>
          <w:p w14:paraId="7B46F6FD"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5" w:type="pct"/>
            <w:tcBorders>
              <w:top w:val="nil"/>
              <w:left w:val="nil"/>
              <w:bottom w:val="nil"/>
              <w:right w:val="nil"/>
            </w:tcBorders>
            <w:shd w:val="clear" w:color="auto" w:fill="auto"/>
            <w:noWrap/>
            <w:vAlign w:val="bottom"/>
          </w:tcPr>
          <w:p w14:paraId="6C7E548C"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3" w:type="pct"/>
            <w:tcBorders>
              <w:top w:val="nil"/>
              <w:left w:val="nil"/>
              <w:bottom w:val="nil"/>
              <w:right w:val="nil"/>
            </w:tcBorders>
            <w:shd w:val="clear" w:color="auto" w:fill="auto"/>
            <w:noWrap/>
            <w:vAlign w:val="center"/>
          </w:tcPr>
          <w:p w14:paraId="457E7CD0"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r>
      <w:tr w:rsidR="002275BF" w:rsidRPr="00633995" w14:paraId="588DB6FE" w14:textId="77777777" w:rsidTr="00604F53">
        <w:trPr>
          <w:trHeight w:val="20"/>
        </w:trPr>
        <w:tc>
          <w:tcPr>
            <w:tcW w:w="1123" w:type="pct"/>
            <w:tcBorders>
              <w:top w:val="nil"/>
              <w:left w:val="nil"/>
              <w:bottom w:val="nil"/>
              <w:right w:val="nil"/>
            </w:tcBorders>
            <w:shd w:val="clear" w:color="auto" w:fill="auto"/>
            <w:noWrap/>
            <w:vAlign w:val="center"/>
          </w:tcPr>
          <w:p w14:paraId="7AA79795" w14:textId="45E3EB81" w:rsidR="002275BF" w:rsidRPr="00604F53" w:rsidRDefault="00E16CFE" w:rsidP="002275BF">
            <w:pPr>
              <w:spacing w:after="0" w:line="240" w:lineRule="auto"/>
              <w:jc w:val="both"/>
              <w:rPr>
                <w:rFonts w:ascii="Cambria Math" w:eastAsia="Aptos" w:hAnsi="Cambria Math" w:cs="Times New Roman"/>
                <w:i/>
                <w:iCs/>
                <w:color w:val="000000"/>
                <w:sz w:val="20"/>
                <w:szCs w:val="20"/>
                <w:lang w:eastAsia="de-DE"/>
              </w:rPr>
            </w:pPr>
            <m:oMathPara>
              <m:oMathParaPr>
                <m:jc m:val="left"/>
              </m:oMathParaPr>
              <m:oMath>
                <m:r>
                  <w:rPr>
                    <w:rFonts w:ascii="Cambria Math" w:eastAsia="Times New Roman" w:hAnsi="Cambria Math" w:cs="Times New Roman"/>
                    <w:color w:val="000000"/>
                    <w:sz w:val="20"/>
                    <w:szCs w:val="20"/>
                    <w:lang w:eastAsia="de-DE"/>
                  </w:rPr>
                  <m:t>AD</m:t>
                </m:r>
                <m:sSubSup>
                  <m:sSubSupPr>
                    <m:ctrlPr>
                      <w:rPr>
                        <w:rFonts w:ascii="Cambria Math" w:eastAsia="Times New Roman" w:hAnsi="Cambria Math" w:cs="Times New Roman"/>
                        <w:i/>
                        <w:iCs/>
                        <w:color w:val="000000"/>
                        <w:sz w:val="20"/>
                        <w:szCs w:val="20"/>
                        <w:lang w:eastAsia="de-DE"/>
                      </w:rPr>
                    </m:ctrlPr>
                  </m:sSubSupPr>
                  <m:e>
                    <m:r>
                      <w:rPr>
                        <w:rFonts w:ascii="Cambria Math" w:eastAsia="Times New Roman" w:hAnsi="Cambria Math" w:cs="Times New Roman"/>
                        <w:color w:val="000000"/>
                        <w:sz w:val="20"/>
                        <w:szCs w:val="20"/>
                        <w:lang w:eastAsia="de-DE"/>
                      </w:rPr>
                      <m:t>Q</m:t>
                    </m:r>
                  </m:e>
                  <m:sub>
                    <m:r>
                      <w:rPr>
                        <w:rFonts w:ascii="Cambria Math" w:eastAsia="Times New Roman" w:hAnsi="Cambria Math" w:cs="Times New Roman"/>
                        <w:color w:val="000000"/>
                        <w:sz w:val="20"/>
                        <w:szCs w:val="20"/>
                        <w:lang w:eastAsia="de-DE"/>
                      </w:rPr>
                      <m:t>ijt</m:t>
                    </m:r>
                  </m:sub>
                  <m:sup>
                    <m:r>
                      <w:rPr>
                        <w:rFonts w:ascii="Cambria Math" w:eastAsia="Times New Roman" w:hAnsi="Cambria Math" w:cs="Times New Roman"/>
                        <w:color w:val="000000"/>
                        <w:sz w:val="20"/>
                        <w:szCs w:val="20"/>
                        <w:lang w:eastAsia="de-DE"/>
                      </w:rPr>
                      <m:t>Club</m:t>
                    </m:r>
                  </m:sup>
                </m:sSubSup>
              </m:oMath>
            </m:oMathPara>
          </w:p>
        </w:tc>
        <w:tc>
          <w:tcPr>
            <w:tcW w:w="553" w:type="pct"/>
            <w:tcBorders>
              <w:top w:val="nil"/>
              <w:left w:val="nil"/>
              <w:bottom w:val="nil"/>
              <w:right w:val="nil"/>
            </w:tcBorders>
            <w:vAlign w:val="bottom"/>
          </w:tcPr>
          <w:p w14:paraId="0A6F3AB9" w14:textId="77777777" w:rsidR="002275BF" w:rsidRPr="00E16CFE"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nil"/>
              <w:left w:val="nil"/>
              <w:bottom w:val="nil"/>
              <w:right w:val="nil"/>
            </w:tcBorders>
            <w:vAlign w:val="bottom"/>
          </w:tcPr>
          <w:p w14:paraId="682C8DF7" w14:textId="3577F111" w:rsidR="002275BF" w:rsidRPr="00E16CFE" w:rsidRDefault="002275BF" w:rsidP="005F66FD">
            <w:pPr>
              <w:spacing w:after="0" w:line="240" w:lineRule="auto"/>
              <w:jc w:val="center"/>
              <w:rPr>
                <w:rFonts w:ascii="Aptos Narrow" w:eastAsia="Times New Roman" w:hAnsi="Aptos Narrow" w:cs="Times New Roman"/>
                <w:color w:val="000000"/>
                <w:sz w:val="20"/>
                <w:szCs w:val="20"/>
                <w:lang w:eastAsia="de-DE"/>
              </w:rPr>
            </w:pPr>
            <w:r w:rsidRPr="00604F53">
              <w:rPr>
                <w:rFonts w:ascii="Aptos Narrow" w:eastAsia="Times New Roman" w:hAnsi="Aptos Narrow" w:cs="Times New Roman"/>
                <w:color w:val="000000"/>
                <w:sz w:val="20"/>
                <w:szCs w:val="20"/>
              </w:rPr>
              <w:t>0.062**</w:t>
            </w:r>
          </w:p>
        </w:tc>
        <w:tc>
          <w:tcPr>
            <w:tcW w:w="554" w:type="pct"/>
            <w:tcBorders>
              <w:top w:val="nil"/>
              <w:left w:val="nil"/>
              <w:bottom w:val="nil"/>
              <w:right w:val="nil"/>
            </w:tcBorders>
            <w:shd w:val="clear" w:color="auto" w:fill="auto"/>
            <w:noWrap/>
            <w:vAlign w:val="bottom"/>
          </w:tcPr>
          <w:p w14:paraId="104F36DE"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nil"/>
              <w:left w:val="nil"/>
              <w:bottom w:val="nil"/>
              <w:right w:val="nil"/>
            </w:tcBorders>
            <w:shd w:val="clear" w:color="auto" w:fill="auto"/>
            <w:noWrap/>
            <w:vAlign w:val="bottom"/>
          </w:tcPr>
          <w:p w14:paraId="49F898F9"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nil"/>
              <w:left w:val="nil"/>
              <w:bottom w:val="nil"/>
              <w:right w:val="nil"/>
            </w:tcBorders>
            <w:shd w:val="clear" w:color="auto" w:fill="auto"/>
            <w:noWrap/>
            <w:vAlign w:val="bottom"/>
          </w:tcPr>
          <w:p w14:paraId="61115661"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5" w:type="pct"/>
            <w:tcBorders>
              <w:top w:val="nil"/>
              <w:left w:val="nil"/>
              <w:bottom w:val="nil"/>
              <w:right w:val="nil"/>
            </w:tcBorders>
            <w:shd w:val="clear" w:color="auto" w:fill="auto"/>
            <w:noWrap/>
            <w:vAlign w:val="bottom"/>
          </w:tcPr>
          <w:p w14:paraId="712BC3D7"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3" w:type="pct"/>
            <w:tcBorders>
              <w:top w:val="nil"/>
              <w:left w:val="nil"/>
              <w:bottom w:val="nil"/>
              <w:right w:val="nil"/>
            </w:tcBorders>
            <w:shd w:val="clear" w:color="auto" w:fill="auto"/>
            <w:noWrap/>
            <w:vAlign w:val="center"/>
          </w:tcPr>
          <w:p w14:paraId="370511EE"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r>
      <w:tr w:rsidR="002275BF" w:rsidRPr="00633995" w14:paraId="6719C4BC" w14:textId="77777777" w:rsidTr="00604F53">
        <w:trPr>
          <w:trHeight w:val="20"/>
        </w:trPr>
        <w:tc>
          <w:tcPr>
            <w:tcW w:w="1123" w:type="pct"/>
            <w:tcBorders>
              <w:top w:val="nil"/>
              <w:left w:val="nil"/>
              <w:bottom w:val="nil"/>
              <w:right w:val="nil"/>
            </w:tcBorders>
            <w:shd w:val="clear" w:color="auto" w:fill="auto"/>
            <w:noWrap/>
            <w:vAlign w:val="center"/>
          </w:tcPr>
          <w:p w14:paraId="4FB21ED1" w14:textId="77777777" w:rsidR="002275BF" w:rsidRPr="00604F53" w:rsidRDefault="002275BF" w:rsidP="002275BF">
            <w:pPr>
              <w:spacing w:after="0" w:line="240" w:lineRule="auto"/>
              <w:jc w:val="both"/>
              <w:rPr>
                <w:rFonts w:ascii="Cambria Math" w:eastAsia="Aptos" w:hAnsi="Cambria Math" w:cs="Times New Roman"/>
                <w:color w:val="000000"/>
                <w:sz w:val="20"/>
                <w:szCs w:val="20"/>
                <w:lang w:eastAsia="de-DE"/>
              </w:rPr>
            </w:pPr>
          </w:p>
        </w:tc>
        <w:tc>
          <w:tcPr>
            <w:tcW w:w="553" w:type="pct"/>
            <w:tcBorders>
              <w:top w:val="nil"/>
              <w:left w:val="nil"/>
              <w:bottom w:val="nil"/>
              <w:right w:val="nil"/>
            </w:tcBorders>
            <w:vAlign w:val="bottom"/>
          </w:tcPr>
          <w:p w14:paraId="7F550B05" w14:textId="77777777" w:rsidR="002275BF" w:rsidRPr="00E16CFE"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nil"/>
              <w:left w:val="nil"/>
              <w:bottom w:val="nil"/>
              <w:right w:val="nil"/>
            </w:tcBorders>
            <w:vAlign w:val="bottom"/>
          </w:tcPr>
          <w:p w14:paraId="7C94A983" w14:textId="5567F470" w:rsidR="002275BF" w:rsidRPr="00E16CFE" w:rsidRDefault="002275BF" w:rsidP="005F66FD">
            <w:pPr>
              <w:spacing w:after="0" w:line="240" w:lineRule="auto"/>
              <w:jc w:val="center"/>
              <w:rPr>
                <w:rFonts w:ascii="Aptos Narrow" w:eastAsia="Times New Roman" w:hAnsi="Aptos Narrow" w:cs="Times New Roman"/>
                <w:color w:val="000000"/>
                <w:sz w:val="20"/>
                <w:szCs w:val="20"/>
                <w:lang w:eastAsia="de-DE"/>
              </w:rPr>
            </w:pPr>
            <w:r w:rsidRPr="00604F53">
              <w:rPr>
                <w:rFonts w:ascii="Aptos Narrow" w:eastAsia="Times New Roman" w:hAnsi="Aptos Narrow" w:cs="Times New Roman"/>
                <w:color w:val="000000"/>
                <w:sz w:val="20"/>
                <w:szCs w:val="20"/>
              </w:rPr>
              <w:t>(0.018)</w:t>
            </w:r>
          </w:p>
        </w:tc>
        <w:tc>
          <w:tcPr>
            <w:tcW w:w="554" w:type="pct"/>
            <w:tcBorders>
              <w:top w:val="nil"/>
              <w:left w:val="nil"/>
              <w:bottom w:val="nil"/>
              <w:right w:val="nil"/>
            </w:tcBorders>
            <w:shd w:val="clear" w:color="auto" w:fill="auto"/>
            <w:noWrap/>
            <w:vAlign w:val="bottom"/>
          </w:tcPr>
          <w:p w14:paraId="6E37F99A"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nil"/>
              <w:left w:val="nil"/>
              <w:bottom w:val="nil"/>
              <w:right w:val="nil"/>
            </w:tcBorders>
            <w:shd w:val="clear" w:color="auto" w:fill="auto"/>
            <w:noWrap/>
            <w:vAlign w:val="bottom"/>
          </w:tcPr>
          <w:p w14:paraId="746F8240"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nil"/>
              <w:left w:val="nil"/>
              <w:bottom w:val="nil"/>
              <w:right w:val="nil"/>
            </w:tcBorders>
            <w:shd w:val="clear" w:color="auto" w:fill="auto"/>
            <w:noWrap/>
            <w:vAlign w:val="bottom"/>
          </w:tcPr>
          <w:p w14:paraId="74E4D472"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5" w:type="pct"/>
            <w:tcBorders>
              <w:top w:val="nil"/>
              <w:left w:val="nil"/>
              <w:bottom w:val="nil"/>
              <w:right w:val="nil"/>
            </w:tcBorders>
            <w:shd w:val="clear" w:color="auto" w:fill="auto"/>
            <w:noWrap/>
            <w:vAlign w:val="bottom"/>
          </w:tcPr>
          <w:p w14:paraId="09B71BB8"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3" w:type="pct"/>
            <w:tcBorders>
              <w:top w:val="nil"/>
              <w:left w:val="nil"/>
              <w:bottom w:val="nil"/>
              <w:right w:val="nil"/>
            </w:tcBorders>
            <w:shd w:val="clear" w:color="auto" w:fill="auto"/>
            <w:noWrap/>
            <w:vAlign w:val="center"/>
          </w:tcPr>
          <w:p w14:paraId="50AF1086"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r>
      <w:tr w:rsidR="002275BF" w:rsidRPr="00633995" w14:paraId="1B0C5283" w14:textId="77777777" w:rsidTr="00604F53">
        <w:trPr>
          <w:trHeight w:val="20"/>
        </w:trPr>
        <w:tc>
          <w:tcPr>
            <w:tcW w:w="1123" w:type="pct"/>
            <w:tcBorders>
              <w:top w:val="nil"/>
              <w:left w:val="nil"/>
              <w:bottom w:val="nil"/>
              <w:right w:val="nil"/>
            </w:tcBorders>
            <w:shd w:val="clear" w:color="auto" w:fill="auto"/>
            <w:noWrap/>
            <w:vAlign w:val="center"/>
            <w:hideMark/>
          </w:tcPr>
          <w:p w14:paraId="3D520B07" w14:textId="77060472" w:rsidR="002275BF" w:rsidRPr="00056CD8" w:rsidRDefault="002275BF" w:rsidP="002275BF">
            <w:pPr>
              <w:spacing w:after="0" w:line="240" w:lineRule="auto"/>
              <w:jc w:val="both"/>
              <w:rPr>
                <w:rFonts w:ascii="Aptos Narrow" w:eastAsia="Times New Roman" w:hAnsi="Aptos Narrow" w:cs="Times New Roman"/>
                <w:i/>
                <w:iCs/>
                <w:color w:val="000000"/>
                <w:sz w:val="20"/>
                <w:szCs w:val="20"/>
                <w:lang w:eastAsia="de-DE"/>
              </w:rPr>
            </w:pPr>
            <m:oMathPara>
              <m:oMathParaPr>
                <m:jc m:val="left"/>
              </m:oMathParaPr>
              <m:oMath>
                <m:r>
                  <w:rPr>
                    <w:rFonts w:ascii="Cambria Math" w:eastAsia="Times New Roman" w:hAnsi="Cambria Math" w:cs="Times New Roman"/>
                    <w:color w:val="000000"/>
                    <w:sz w:val="20"/>
                    <w:szCs w:val="20"/>
                    <w:lang w:eastAsia="de-DE"/>
                  </w:rPr>
                  <m:t>RAD</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Q</m:t>
                    </m:r>
                  </m:e>
                  <m:sub>
                    <m:r>
                      <w:rPr>
                        <w:rFonts w:ascii="Cambria Math" w:eastAsia="Times New Roman" w:hAnsi="Cambria Math" w:cs="Times New Roman"/>
                        <w:color w:val="000000"/>
                        <w:sz w:val="20"/>
                        <w:szCs w:val="20"/>
                        <w:lang w:eastAsia="de-DE"/>
                      </w:rPr>
                      <m:t>ijt</m:t>
                    </m:r>
                  </m:sub>
                </m:sSub>
              </m:oMath>
            </m:oMathPara>
          </w:p>
        </w:tc>
        <w:tc>
          <w:tcPr>
            <w:tcW w:w="553" w:type="pct"/>
            <w:tcBorders>
              <w:top w:val="nil"/>
              <w:left w:val="nil"/>
              <w:bottom w:val="nil"/>
              <w:right w:val="nil"/>
            </w:tcBorders>
          </w:tcPr>
          <w:p w14:paraId="2B5FFA2E"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nil"/>
              <w:left w:val="nil"/>
              <w:bottom w:val="nil"/>
              <w:right w:val="nil"/>
            </w:tcBorders>
          </w:tcPr>
          <w:p w14:paraId="1C0D81DE"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nil"/>
              <w:left w:val="nil"/>
              <w:bottom w:val="nil"/>
              <w:right w:val="nil"/>
            </w:tcBorders>
            <w:shd w:val="clear" w:color="auto" w:fill="auto"/>
            <w:noWrap/>
            <w:vAlign w:val="bottom"/>
            <w:hideMark/>
          </w:tcPr>
          <w:p w14:paraId="0F7DE709" w14:textId="6D853C1C"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0.002</w:t>
            </w:r>
          </w:p>
        </w:tc>
        <w:tc>
          <w:tcPr>
            <w:tcW w:w="554" w:type="pct"/>
            <w:tcBorders>
              <w:top w:val="nil"/>
              <w:left w:val="nil"/>
              <w:bottom w:val="nil"/>
              <w:right w:val="nil"/>
            </w:tcBorders>
            <w:shd w:val="clear" w:color="auto" w:fill="auto"/>
            <w:noWrap/>
            <w:vAlign w:val="bottom"/>
            <w:hideMark/>
          </w:tcPr>
          <w:p w14:paraId="6C14EF6D"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0.001</w:t>
            </w:r>
          </w:p>
        </w:tc>
        <w:tc>
          <w:tcPr>
            <w:tcW w:w="554" w:type="pct"/>
            <w:tcBorders>
              <w:top w:val="nil"/>
              <w:left w:val="nil"/>
              <w:bottom w:val="nil"/>
              <w:right w:val="nil"/>
            </w:tcBorders>
            <w:shd w:val="clear" w:color="auto" w:fill="auto"/>
            <w:noWrap/>
            <w:vAlign w:val="bottom"/>
            <w:hideMark/>
          </w:tcPr>
          <w:p w14:paraId="7A321A69"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0.024</w:t>
            </w:r>
          </w:p>
        </w:tc>
        <w:tc>
          <w:tcPr>
            <w:tcW w:w="555" w:type="pct"/>
            <w:tcBorders>
              <w:top w:val="nil"/>
              <w:left w:val="nil"/>
              <w:bottom w:val="nil"/>
              <w:right w:val="nil"/>
            </w:tcBorders>
            <w:shd w:val="clear" w:color="auto" w:fill="auto"/>
            <w:noWrap/>
            <w:vAlign w:val="bottom"/>
            <w:hideMark/>
          </w:tcPr>
          <w:p w14:paraId="6F2C2B0C"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0.023</w:t>
            </w:r>
          </w:p>
        </w:tc>
        <w:tc>
          <w:tcPr>
            <w:tcW w:w="553" w:type="pct"/>
            <w:tcBorders>
              <w:top w:val="nil"/>
              <w:left w:val="nil"/>
              <w:bottom w:val="nil"/>
              <w:right w:val="nil"/>
            </w:tcBorders>
            <w:shd w:val="clear" w:color="auto" w:fill="auto"/>
            <w:noWrap/>
            <w:vAlign w:val="center"/>
            <w:hideMark/>
          </w:tcPr>
          <w:p w14:paraId="0C7C63C6"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0.002</w:t>
            </w:r>
          </w:p>
        </w:tc>
      </w:tr>
      <w:tr w:rsidR="002275BF" w:rsidRPr="00633995" w14:paraId="6BB4A5D3" w14:textId="77777777" w:rsidTr="00604F53">
        <w:trPr>
          <w:trHeight w:val="20"/>
        </w:trPr>
        <w:tc>
          <w:tcPr>
            <w:tcW w:w="1123" w:type="pct"/>
            <w:tcBorders>
              <w:top w:val="nil"/>
              <w:left w:val="nil"/>
              <w:bottom w:val="nil"/>
              <w:right w:val="nil"/>
            </w:tcBorders>
            <w:shd w:val="clear" w:color="auto" w:fill="auto"/>
            <w:noWrap/>
            <w:vAlign w:val="center"/>
            <w:hideMark/>
          </w:tcPr>
          <w:p w14:paraId="42C62C2E" w14:textId="77777777" w:rsidR="002275BF" w:rsidRPr="00513BF1" w:rsidRDefault="002275BF" w:rsidP="002275BF">
            <w:pPr>
              <w:spacing w:after="0" w:line="240" w:lineRule="auto"/>
              <w:jc w:val="both"/>
              <w:rPr>
                <w:rFonts w:ascii="Aptos Narrow" w:eastAsia="Times New Roman" w:hAnsi="Aptos Narrow" w:cs="Times New Roman"/>
                <w:i/>
                <w:iCs/>
                <w:color w:val="000000"/>
                <w:sz w:val="18"/>
                <w:szCs w:val="18"/>
                <w:lang w:eastAsia="de-DE"/>
              </w:rPr>
            </w:pPr>
          </w:p>
        </w:tc>
        <w:tc>
          <w:tcPr>
            <w:tcW w:w="553" w:type="pct"/>
            <w:tcBorders>
              <w:top w:val="nil"/>
              <w:left w:val="nil"/>
              <w:bottom w:val="nil"/>
              <w:right w:val="nil"/>
            </w:tcBorders>
          </w:tcPr>
          <w:p w14:paraId="0C7D1204" w14:textId="77777777"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p>
        </w:tc>
        <w:tc>
          <w:tcPr>
            <w:tcW w:w="554" w:type="pct"/>
            <w:tcBorders>
              <w:top w:val="nil"/>
              <w:left w:val="nil"/>
              <w:bottom w:val="nil"/>
              <w:right w:val="nil"/>
            </w:tcBorders>
          </w:tcPr>
          <w:p w14:paraId="3528CE9D" w14:textId="77777777"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p>
        </w:tc>
        <w:tc>
          <w:tcPr>
            <w:tcW w:w="554" w:type="pct"/>
            <w:tcBorders>
              <w:top w:val="nil"/>
              <w:left w:val="nil"/>
              <w:bottom w:val="nil"/>
              <w:right w:val="nil"/>
            </w:tcBorders>
            <w:shd w:val="clear" w:color="auto" w:fill="auto"/>
            <w:noWrap/>
            <w:vAlign w:val="bottom"/>
            <w:hideMark/>
          </w:tcPr>
          <w:p w14:paraId="4799AA37" w14:textId="4D3BDC3E"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r w:rsidRPr="00513BF1">
              <w:rPr>
                <w:rFonts w:ascii="Aptos Narrow" w:eastAsia="Times New Roman" w:hAnsi="Aptos Narrow" w:cs="Times New Roman"/>
                <w:color w:val="000000"/>
                <w:sz w:val="18"/>
                <w:szCs w:val="18"/>
                <w:lang w:eastAsia="de-DE"/>
              </w:rPr>
              <w:t>(0.959)</w:t>
            </w:r>
          </w:p>
        </w:tc>
        <w:tc>
          <w:tcPr>
            <w:tcW w:w="554" w:type="pct"/>
            <w:tcBorders>
              <w:top w:val="nil"/>
              <w:left w:val="nil"/>
              <w:bottom w:val="nil"/>
              <w:right w:val="nil"/>
            </w:tcBorders>
            <w:shd w:val="clear" w:color="auto" w:fill="auto"/>
            <w:noWrap/>
            <w:vAlign w:val="bottom"/>
            <w:hideMark/>
          </w:tcPr>
          <w:p w14:paraId="6D23E116" w14:textId="77777777"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r w:rsidRPr="00513BF1">
              <w:rPr>
                <w:rFonts w:ascii="Aptos Narrow" w:eastAsia="Times New Roman" w:hAnsi="Aptos Narrow" w:cs="Times New Roman"/>
                <w:color w:val="000000"/>
                <w:sz w:val="18"/>
                <w:szCs w:val="18"/>
                <w:lang w:eastAsia="de-DE"/>
              </w:rPr>
              <w:t>(0.985)</w:t>
            </w:r>
          </w:p>
        </w:tc>
        <w:tc>
          <w:tcPr>
            <w:tcW w:w="554" w:type="pct"/>
            <w:tcBorders>
              <w:top w:val="nil"/>
              <w:left w:val="nil"/>
              <w:bottom w:val="nil"/>
              <w:right w:val="nil"/>
            </w:tcBorders>
            <w:shd w:val="clear" w:color="auto" w:fill="auto"/>
            <w:noWrap/>
            <w:vAlign w:val="bottom"/>
            <w:hideMark/>
          </w:tcPr>
          <w:p w14:paraId="147EF26B" w14:textId="77777777"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r w:rsidRPr="00513BF1">
              <w:rPr>
                <w:rFonts w:ascii="Aptos Narrow" w:eastAsia="Times New Roman" w:hAnsi="Aptos Narrow" w:cs="Times New Roman"/>
                <w:color w:val="000000"/>
                <w:sz w:val="18"/>
                <w:szCs w:val="18"/>
                <w:lang w:eastAsia="de-DE"/>
              </w:rPr>
              <w:t>(0.471)</w:t>
            </w:r>
          </w:p>
        </w:tc>
        <w:tc>
          <w:tcPr>
            <w:tcW w:w="555" w:type="pct"/>
            <w:tcBorders>
              <w:top w:val="nil"/>
              <w:left w:val="nil"/>
              <w:bottom w:val="nil"/>
              <w:right w:val="nil"/>
            </w:tcBorders>
            <w:shd w:val="clear" w:color="auto" w:fill="auto"/>
            <w:noWrap/>
            <w:vAlign w:val="bottom"/>
            <w:hideMark/>
          </w:tcPr>
          <w:p w14:paraId="6526BC39" w14:textId="77777777"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r w:rsidRPr="00513BF1">
              <w:rPr>
                <w:rFonts w:ascii="Aptos Narrow" w:eastAsia="Times New Roman" w:hAnsi="Aptos Narrow" w:cs="Times New Roman"/>
                <w:color w:val="000000"/>
                <w:sz w:val="18"/>
                <w:szCs w:val="18"/>
                <w:lang w:eastAsia="de-DE"/>
              </w:rPr>
              <w:t>(0.501)</w:t>
            </w:r>
          </w:p>
        </w:tc>
        <w:tc>
          <w:tcPr>
            <w:tcW w:w="553" w:type="pct"/>
            <w:tcBorders>
              <w:top w:val="nil"/>
              <w:left w:val="nil"/>
              <w:bottom w:val="nil"/>
              <w:right w:val="nil"/>
            </w:tcBorders>
            <w:shd w:val="clear" w:color="auto" w:fill="auto"/>
            <w:noWrap/>
            <w:vAlign w:val="center"/>
            <w:hideMark/>
          </w:tcPr>
          <w:p w14:paraId="1A0FD03E" w14:textId="77777777"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r w:rsidRPr="00513BF1">
              <w:rPr>
                <w:rFonts w:ascii="Aptos Narrow" w:eastAsia="Times New Roman" w:hAnsi="Aptos Narrow" w:cs="Times New Roman"/>
                <w:color w:val="000000"/>
                <w:sz w:val="18"/>
                <w:szCs w:val="18"/>
                <w:lang w:eastAsia="de-DE"/>
              </w:rPr>
              <w:t>(0.973)</w:t>
            </w:r>
          </w:p>
        </w:tc>
      </w:tr>
      <w:tr w:rsidR="002275BF" w:rsidRPr="00633995" w14:paraId="250AA0F4" w14:textId="77777777" w:rsidTr="00604F53">
        <w:trPr>
          <w:trHeight w:val="20"/>
        </w:trPr>
        <w:tc>
          <w:tcPr>
            <w:tcW w:w="1123" w:type="pct"/>
            <w:tcBorders>
              <w:top w:val="nil"/>
              <w:left w:val="nil"/>
              <w:bottom w:val="nil"/>
              <w:right w:val="nil"/>
            </w:tcBorders>
            <w:shd w:val="clear" w:color="auto" w:fill="auto"/>
            <w:noWrap/>
            <w:vAlign w:val="center"/>
            <w:hideMark/>
          </w:tcPr>
          <w:p w14:paraId="0C4A7E8D" w14:textId="3CE57C21" w:rsidR="002275BF" w:rsidRPr="00513BF1" w:rsidRDefault="002275BF" w:rsidP="002275BF">
            <w:pPr>
              <w:spacing w:after="0" w:line="240" w:lineRule="auto"/>
              <w:jc w:val="both"/>
              <w:rPr>
                <w:rFonts w:ascii="Aptos Narrow" w:eastAsia="Times New Roman" w:hAnsi="Aptos Narrow" w:cs="Times New Roman"/>
                <w:i/>
                <w:iCs/>
                <w:color w:val="000000"/>
                <w:sz w:val="20"/>
                <w:szCs w:val="20"/>
                <w:lang w:eastAsia="de-DE"/>
              </w:rPr>
            </w:pPr>
            <m:oMath>
              <m:r>
                <w:rPr>
                  <w:rFonts w:ascii="Cambria Math" w:eastAsia="Times New Roman" w:hAnsi="Cambria Math" w:cs="Times New Roman"/>
                  <w:color w:val="000000"/>
                  <w:sz w:val="20"/>
                  <w:szCs w:val="20"/>
                  <w:lang w:eastAsia="de-DE"/>
                </w:rPr>
                <m:t>SH/P</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S</m:t>
                  </m:r>
                </m:e>
                <m:sub>
                  <m:r>
                    <w:rPr>
                      <w:rFonts w:ascii="Cambria Math" w:eastAsia="Times New Roman" w:hAnsi="Cambria Math" w:cs="Times New Roman"/>
                      <w:color w:val="000000"/>
                      <w:sz w:val="20"/>
                      <w:szCs w:val="20"/>
                      <w:lang w:eastAsia="de-DE"/>
                    </w:rPr>
                    <m:t>ijt</m:t>
                  </m:r>
                </m:sub>
              </m:sSub>
            </m:oMath>
            <w:r>
              <w:rPr>
                <w:rFonts w:ascii="Aptos Narrow" w:eastAsia="Times New Roman" w:hAnsi="Aptos Narrow" w:cs="Times New Roman"/>
                <w:i/>
                <w:iCs/>
                <w:color w:val="000000"/>
                <w:sz w:val="20"/>
                <w:szCs w:val="20"/>
                <w:lang w:eastAsia="de-DE"/>
              </w:rPr>
              <w:t xml:space="preserve"> </w:t>
            </w:r>
          </w:p>
        </w:tc>
        <w:tc>
          <w:tcPr>
            <w:tcW w:w="553" w:type="pct"/>
            <w:tcBorders>
              <w:top w:val="nil"/>
              <w:left w:val="nil"/>
              <w:bottom w:val="nil"/>
              <w:right w:val="nil"/>
            </w:tcBorders>
          </w:tcPr>
          <w:p w14:paraId="6A9D19E0"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nil"/>
              <w:left w:val="nil"/>
              <w:bottom w:val="nil"/>
              <w:right w:val="nil"/>
            </w:tcBorders>
          </w:tcPr>
          <w:p w14:paraId="27F697E5"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nil"/>
              <w:left w:val="nil"/>
              <w:bottom w:val="nil"/>
              <w:right w:val="nil"/>
            </w:tcBorders>
            <w:shd w:val="clear" w:color="auto" w:fill="auto"/>
            <w:noWrap/>
            <w:vAlign w:val="bottom"/>
            <w:hideMark/>
          </w:tcPr>
          <w:p w14:paraId="20E5941B" w14:textId="798B287C"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0.070**</w:t>
            </w:r>
          </w:p>
        </w:tc>
        <w:tc>
          <w:tcPr>
            <w:tcW w:w="554" w:type="pct"/>
            <w:tcBorders>
              <w:top w:val="nil"/>
              <w:left w:val="nil"/>
              <w:bottom w:val="nil"/>
              <w:right w:val="nil"/>
            </w:tcBorders>
            <w:shd w:val="clear" w:color="auto" w:fill="auto"/>
            <w:noWrap/>
            <w:vAlign w:val="bottom"/>
            <w:hideMark/>
          </w:tcPr>
          <w:p w14:paraId="226FA215"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0.070**</w:t>
            </w:r>
          </w:p>
        </w:tc>
        <w:tc>
          <w:tcPr>
            <w:tcW w:w="554" w:type="pct"/>
            <w:tcBorders>
              <w:top w:val="nil"/>
              <w:left w:val="nil"/>
              <w:bottom w:val="nil"/>
              <w:right w:val="nil"/>
            </w:tcBorders>
            <w:shd w:val="clear" w:color="auto" w:fill="auto"/>
            <w:noWrap/>
            <w:vAlign w:val="bottom"/>
            <w:hideMark/>
          </w:tcPr>
          <w:p w14:paraId="2FA9C40A"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0.078**</w:t>
            </w:r>
          </w:p>
        </w:tc>
        <w:tc>
          <w:tcPr>
            <w:tcW w:w="555" w:type="pct"/>
            <w:tcBorders>
              <w:top w:val="nil"/>
              <w:left w:val="nil"/>
              <w:bottom w:val="nil"/>
              <w:right w:val="nil"/>
            </w:tcBorders>
            <w:shd w:val="clear" w:color="auto" w:fill="auto"/>
            <w:noWrap/>
            <w:vAlign w:val="bottom"/>
            <w:hideMark/>
          </w:tcPr>
          <w:p w14:paraId="1ED28741"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0.078**</w:t>
            </w:r>
          </w:p>
        </w:tc>
        <w:tc>
          <w:tcPr>
            <w:tcW w:w="553" w:type="pct"/>
            <w:tcBorders>
              <w:top w:val="nil"/>
              <w:left w:val="nil"/>
              <w:bottom w:val="nil"/>
              <w:right w:val="nil"/>
            </w:tcBorders>
            <w:shd w:val="clear" w:color="auto" w:fill="auto"/>
            <w:noWrap/>
            <w:vAlign w:val="center"/>
            <w:hideMark/>
          </w:tcPr>
          <w:p w14:paraId="0D9B975E"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0.096**</w:t>
            </w:r>
          </w:p>
        </w:tc>
      </w:tr>
      <w:tr w:rsidR="002275BF" w:rsidRPr="00633995" w14:paraId="1B29C915" w14:textId="77777777" w:rsidTr="00604F53">
        <w:trPr>
          <w:trHeight w:val="20"/>
        </w:trPr>
        <w:tc>
          <w:tcPr>
            <w:tcW w:w="1123" w:type="pct"/>
            <w:tcBorders>
              <w:top w:val="nil"/>
              <w:left w:val="nil"/>
              <w:bottom w:val="nil"/>
              <w:right w:val="nil"/>
            </w:tcBorders>
            <w:shd w:val="clear" w:color="auto" w:fill="auto"/>
            <w:noWrap/>
            <w:vAlign w:val="center"/>
            <w:hideMark/>
          </w:tcPr>
          <w:p w14:paraId="23CD8623" w14:textId="77777777" w:rsidR="002275BF" w:rsidRPr="00513BF1" w:rsidRDefault="002275BF" w:rsidP="002275BF">
            <w:pPr>
              <w:spacing w:after="0" w:line="240" w:lineRule="auto"/>
              <w:jc w:val="both"/>
              <w:rPr>
                <w:rFonts w:ascii="Aptos Narrow" w:eastAsia="Times New Roman" w:hAnsi="Aptos Narrow" w:cs="Times New Roman"/>
                <w:i/>
                <w:iCs/>
                <w:color w:val="000000"/>
                <w:sz w:val="18"/>
                <w:szCs w:val="18"/>
                <w:lang w:eastAsia="de-DE"/>
              </w:rPr>
            </w:pPr>
          </w:p>
        </w:tc>
        <w:tc>
          <w:tcPr>
            <w:tcW w:w="553" w:type="pct"/>
            <w:tcBorders>
              <w:top w:val="nil"/>
              <w:left w:val="nil"/>
              <w:bottom w:val="nil"/>
              <w:right w:val="nil"/>
            </w:tcBorders>
          </w:tcPr>
          <w:p w14:paraId="0DFB8883" w14:textId="77777777"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p>
        </w:tc>
        <w:tc>
          <w:tcPr>
            <w:tcW w:w="554" w:type="pct"/>
            <w:tcBorders>
              <w:top w:val="nil"/>
              <w:left w:val="nil"/>
              <w:bottom w:val="nil"/>
              <w:right w:val="nil"/>
            </w:tcBorders>
          </w:tcPr>
          <w:p w14:paraId="05B0B4C1" w14:textId="77777777"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p>
        </w:tc>
        <w:tc>
          <w:tcPr>
            <w:tcW w:w="554" w:type="pct"/>
            <w:tcBorders>
              <w:top w:val="nil"/>
              <w:left w:val="nil"/>
              <w:bottom w:val="nil"/>
              <w:right w:val="nil"/>
            </w:tcBorders>
            <w:shd w:val="clear" w:color="auto" w:fill="auto"/>
            <w:noWrap/>
            <w:vAlign w:val="bottom"/>
            <w:hideMark/>
          </w:tcPr>
          <w:p w14:paraId="1E9FA9DC" w14:textId="3A2DE6C9"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r w:rsidRPr="00513BF1">
              <w:rPr>
                <w:rFonts w:ascii="Aptos Narrow" w:eastAsia="Times New Roman" w:hAnsi="Aptos Narrow" w:cs="Times New Roman"/>
                <w:color w:val="000000"/>
                <w:sz w:val="18"/>
                <w:szCs w:val="18"/>
                <w:lang w:eastAsia="de-DE"/>
              </w:rPr>
              <w:t>(0.036)</w:t>
            </w:r>
          </w:p>
        </w:tc>
        <w:tc>
          <w:tcPr>
            <w:tcW w:w="554" w:type="pct"/>
            <w:tcBorders>
              <w:top w:val="nil"/>
              <w:left w:val="nil"/>
              <w:bottom w:val="nil"/>
              <w:right w:val="nil"/>
            </w:tcBorders>
            <w:shd w:val="clear" w:color="auto" w:fill="auto"/>
            <w:noWrap/>
            <w:vAlign w:val="bottom"/>
            <w:hideMark/>
          </w:tcPr>
          <w:p w14:paraId="6E4418C9" w14:textId="77777777"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r w:rsidRPr="00513BF1">
              <w:rPr>
                <w:rFonts w:ascii="Aptos Narrow" w:eastAsia="Times New Roman" w:hAnsi="Aptos Narrow" w:cs="Times New Roman"/>
                <w:color w:val="000000"/>
                <w:sz w:val="18"/>
                <w:szCs w:val="18"/>
                <w:lang w:eastAsia="de-DE"/>
              </w:rPr>
              <w:t>(0.037)</w:t>
            </w:r>
          </w:p>
        </w:tc>
        <w:tc>
          <w:tcPr>
            <w:tcW w:w="554" w:type="pct"/>
            <w:tcBorders>
              <w:top w:val="nil"/>
              <w:left w:val="nil"/>
              <w:bottom w:val="nil"/>
              <w:right w:val="nil"/>
            </w:tcBorders>
            <w:shd w:val="clear" w:color="auto" w:fill="auto"/>
            <w:noWrap/>
            <w:vAlign w:val="bottom"/>
            <w:hideMark/>
          </w:tcPr>
          <w:p w14:paraId="4577DC3E" w14:textId="77777777"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r w:rsidRPr="00513BF1">
              <w:rPr>
                <w:rFonts w:ascii="Aptos Narrow" w:eastAsia="Times New Roman" w:hAnsi="Aptos Narrow" w:cs="Times New Roman"/>
                <w:color w:val="000000"/>
                <w:sz w:val="18"/>
                <w:szCs w:val="18"/>
                <w:lang w:eastAsia="de-DE"/>
              </w:rPr>
              <w:t>(0.023)</w:t>
            </w:r>
          </w:p>
        </w:tc>
        <w:tc>
          <w:tcPr>
            <w:tcW w:w="555" w:type="pct"/>
            <w:tcBorders>
              <w:top w:val="nil"/>
              <w:left w:val="nil"/>
              <w:bottom w:val="nil"/>
              <w:right w:val="nil"/>
            </w:tcBorders>
            <w:shd w:val="clear" w:color="auto" w:fill="auto"/>
            <w:noWrap/>
            <w:vAlign w:val="bottom"/>
            <w:hideMark/>
          </w:tcPr>
          <w:p w14:paraId="22490EDE" w14:textId="77777777"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r w:rsidRPr="00513BF1">
              <w:rPr>
                <w:rFonts w:ascii="Aptos Narrow" w:eastAsia="Times New Roman" w:hAnsi="Aptos Narrow" w:cs="Times New Roman"/>
                <w:color w:val="000000"/>
                <w:sz w:val="18"/>
                <w:szCs w:val="18"/>
                <w:lang w:eastAsia="de-DE"/>
              </w:rPr>
              <w:t>(0.024)</w:t>
            </w:r>
          </w:p>
        </w:tc>
        <w:tc>
          <w:tcPr>
            <w:tcW w:w="553" w:type="pct"/>
            <w:tcBorders>
              <w:top w:val="nil"/>
              <w:left w:val="nil"/>
              <w:bottom w:val="nil"/>
              <w:right w:val="nil"/>
            </w:tcBorders>
            <w:shd w:val="clear" w:color="auto" w:fill="auto"/>
            <w:noWrap/>
            <w:vAlign w:val="center"/>
            <w:hideMark/>
          </w:tcPr>
          <w:p w14:paraId="67CC140B" w14:textId="77777777"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r w:rsidRPr="00513BF1">
              <w:rPr>
                <w:rFonts w:ascii="Aptos Narrow" w:eastAsia="Times New Roman" w:hAnsi="Aptos Narrow" w:cs="Times New Roman"/>
                <w:color w:val="000000"/>
                <w:sz w:val="18"/>
                <w:szCs w:val="18"/>
                <w:lang w:eastAsia="de-DE"/>
              </w:rPr>
              <w:t>(0.010)</w:t>
            </w:r>
          </w:p>
        </w:tc>
      </w:tr>
      <w:tr w:rsidR="002275BF" w:rsidRPr="00633995" w14:paraId="35AE310F" w14:textId="77777777" w:rsidTr="00604F53">
        <w:trPr>
          <w:trHeight w:val="20"/>
        </w:trPr>
        <w:tc>
          <w:tcPr>
            <w:tcW w:w="1123" w:type="pct"/>
            <w:tcBorders>
              <w:top w:val="nil"/>
              <w:left w:val="nil"/>
              <w:bottom w:val="nil"/>
              <w:right w:val="nil"/>
            </w:tcBorders>
            <w:shd w:val="clear" w:color="auto" w:fill="auto"/>
            <w:noWrap/>
            <w:vAlign w:val="center"/>
            <w:hideMark/>
          </w:tcPr>
          <w:p w14:paraId="2D13F15D" w14:textId="4AD7DB6C" w:rsidR="002275BF" w:rsidRPr="00056CD8" w:rsidRDefault="002275BF" w:rsidP="002275BF">
            <w:pPr>
              <w:spacing w:after="0" w:line="240" w:lineRule="auto"/>
              <w:jc w:val="both"/>
              <w:rPr>
                <w:rFonts w:ascii="Aptos Narrow" w:eastAsia="Times New Roman" w:hAnsi="Aptos Narrow" w:cs="Times New Roman"/>
                <w:i/>
                <w:iCs/>
                <w:color w:val="000000"/>
                <w:sz w:val="20"/>
                <w:szCs w:val="20"/>
                <w:lang w:eastAsia="de-DE"/>
              </w:rPr>
            </w:pPr>
            <m:oMathPara>
              <m:oMathParaPr>
                <m:jc m:val="left"/>
              </m:oMathParaPr>
              <m:oMath>
                <m:r>
                  <w:rPr>
                    <w:rFonts w:ascii="Cambria Math" w:eastAsia="Times New Roman" w:hAnsi="Cambria Math" w:cs="Times New Roman"/>
                    <w:color w:val="000000"/>
                    <w:sz w:val="20"/>
                    <w:szCs w:val="20"/>
                    <w:lang w:eastAsia="de-DE"/>
                  </w:rPr>
                  <m:t>RAD</m:t>
                </m:r>
                <m:sSubSup>
                  <m:sSubSupPr>
                    <m:ctrlPr>
                      <w:rPr>
                        <w:rFonts w:ascii="Cambria Math" w:eastAsia="Times New Roman" w:hAnsi="Cambria Math" w:cs="Times New Roman"/>
                        <w:i/>
                        <w:iCs/>
                        <w:color w:val="000000"/>
                        <w:sz w:val="20"/>
                        <w:szCs w:val="20"/>
                        <w:lang w:eastAsia="de-DE"/>
                      </w:rPr>
                    </m:ctrlPr>
                  </m:sSubSupPr>
                  <m:e>
                    <m:r>
                      <w:rPr>
                        <w:rFonts w:ascii="Cambria Math" w:eastAsia="Times New Roman" w:hAnsi="Cambria Math" w:cs="Times New Roman"/>
                        <w:color w:val="000000"/>
                        <w:sz w:val="20"/>
                        <w:szCs w:val="20"/>
                        <w:lang w:eastAsia="de-DE"/>
                      </w:rPr>
                      <m:t>Q</m:t>
                    </m:r>
                  </m:e>
                  <m:sub>
                    <m:r>
                      <w:rPr>
                        <w:rFonts w:ascii="Cambria Math" w:eastAsia="Times New Roman" w:hAnsi="Cambria Math" w:cs="Times New Roman"/>
                        <w:color w:val="000000"/>
                        <w:sz w:val="20"/>
                        <w:szCs w:val="20"/>
                        <w:lang w:eastAsia="de-DE"/>
                      </w:rPr>
                      <m:t>ijt</m:t>
                    </m:r>
                  </m:sub>
                  <m:sup>
                    <m:r>
                      <w:rPr>
                        <w:rFonts w:ascii="Cambria Math" w:eastAsia="Times New Roman" w:hAnsi="Cambria Math" w:cs="Times New Roman"/>
                        <w:color w:val="000000"/>
                        <w:sz w:val="20"/>
                        <w:szCs w:val="20"/>
                        <w:lang w:eastAsia="de-DE"/>
                      </w:rPr>
                      <m:t>Club</m:t>
                    </m:r>
                  </m:sup>
                </m:sSubSup>
              </m:oMath>
            </m:oMathPara>
          </w:p>
        </w:tc>
        <w:tc>
          <w:tcPr>
            <w:tcW w:w="553" w:type="pct"/>
            <w:tcBorders>
              <w:top w:val="nil"/>
              <w:left w:val="nil"/>
              <w:bottom w:val="nil"/>
              <w:right w:val="nil"/>
            </w:tcBorders>
          </w:tcPr>
          <w:p w14:paraId="5D55A25B"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nil"/>
              <w:left w:val="nil"/>
              <w:bottom w:val="nil"/>
              <w:right w:val="nil"/>
            </w:tcBorders>
          </w:tcPr>
          <w:p w14:paraId="39426E6D"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nil"/>
              <w:left w:val="nil"/>
              <w:bottom w:val="nil"/>
              <w:right w:val="nil"/>
            </w:tcBorders>
            <w:shd w:val="clear" w:color="auto" w:fill="auto"/>
            <w:noWrap/>
            <w:vAlign w:val="bottom"/>
            <w:hideMark/>
          </w:tcPr>
          <w:p w14:paraId="711F423E" w14:textId="6712F533"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nil"/>
              <w:left w:val="nil"/>
              <w:bottom w:val="nil"/>
              <w:right w:val="nil"/>
            </w:tcBorders>
            <w:shd w:val="clear" w:color="auto" w:fill="auto"/>
            <w:noWrap/>
            <w:vAlign w:val="bottom"/>
            <w:hideMark/>
          </w:tcPr>
          <w:p w14:paraId="573D2CF9"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-0.044</w:t>
            </w:r>
          </w:p>
        </w:tc>
        <w:tc>
          <w:tcPr>
            <w:tcW w:w="554" w:type="pct"/>
            <w:tcBorders>
              <w:top w:val="nil"/>
              <w:left w:val="nil"/>
              <w:bottom w:val="nil"/>
              <w:right w:val="nil"/>
            </w:tcBorders>
            <w:shd w:val="clear" w:color="auto" w:fill="auto"/>
            <w:noWrap/>
            <w:vAlign w:val="bottom"/>
            <w:hideMark/>
          </w:tcPr>
          <w:p w14:paraId="60F32E63"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5" w:type="pct"/>
            <w:tcBorders>
              <w:top w:val="nil"/>
              <w:left w:val="nil"/>
              <w:bottom w:val="nil"/>
              <w:right w:val="nil"/>
            </w:tcBorders>
            <w:shd w:val="clear" w:color="auto" w:fill="auto"/>
            <w:noWrap/>
            <w:vAlign w:val="bottom"/>
            <w:hideMark/>
          </w:tcPr>
          <w:p w14:paraId="6C477550"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-0.039</w:t>
            </w:r>
          </w:p>
        </w:tc>
        <w:tc>
          <w:tcPr>
            <w:tcW w:w="553" w:type="pct"/>
            <w:tcBorders>
              <w:top w:val="nil"/>
              <w:left w:val="nil"/>
              <w:bottom w:val="nil"/>
              <w:right w:val="nil"/>
            </w:tcBorders>
            <w:shd w:val="clear" w:color="auto" w:fill="auto"/>
            <w:noWrap/>
            <w:vAlign w:val="center"/>
            <w:hideMark/>
          </w:tcPr>
          <w:p w14:paraId="0C6C66BE"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0.026</w:t>
            </w:r>
          </w:p>
        </w:tc>
      </w:tr>
      <w:tr w:rsidR="002275BF" w:rsidRPr="00633995" w14:paraId="5D7E852A" w14:textId="77777777" w:rsidTr="00604F53">
        <w:trPr>
          <w:trHeight w:val="20"/>
        </w:trPr>
        <w:tc>
          <w:tcPr>
            <w:tcW w:w="1123" w:type="pct"/>
            <w:tcBorders>
              <w:top w:val="nil"/>
              <w:left w:val="nil"/>
              <w:bottom w:val="nil"/>
              <w:right w:val="nil"/>
            </w:tcBorders>
            <w:shd w:val="clear" w:color="auto" w:fill="auto"/>
            <w:noWrap/>
            <w:vAlign w:val="center"/>
            <w:hideMark/>
          </w:tcPr>
          <w:p w14:paraId="769CE277" w14:textId="77777777" w:rsidR="002275BF" w:rsidRPr="00513BF1" w:rsidRDefault="002275BF" w:rsidP="002275BF">
            <w:pPr>
              <w:spacing w:after="0" w:line="240" w:lineRule="auto"/>
              <w:jc w:val="both"/>
              <w:rPr>
                <w:rFonts w:ascii="Aptos Narrow" w:eastAsia="Times New Roman" w:hAnsi="Aptos Narrow" w:cs="Times New Roman"/>
                <w:i/>
                <w:iCs/>
                <w:color w:val="000000"/>
                <w:sz w:val="18"/>
                <w:szCs w:val="18"/>
                <w:lang w:eastAsia="de-DE"/>
              </w:rPr>
            </w:pPr>
          </w:p>
        </w:tc>
        <w:tc>
          <w:tcPr>
            <w:tcW w:w="553" w:type="pct"/>
            <w:tcBorders>
              <w:top w:val="nil"/>
              <w:left w:val="nil"/>
              <w:bottom w:val="nil"/>
              <w:right w:val="nil"/>
            </w:tcBorders>
          </w:tcPr>
          <w:p w14:paraId="5B0A7720" w14:textId="77777777" w:rsidR="002275BF" w:rsidRPr="00513BF1" w:rsidRDefault="002275BF" w:rsidP="005F66FD">
            <w:pPr>
              <w:spacing w:after="0" w:line="240" w:lineRule="auto"/>
              <w:jc w:val="center"/>
              <w:rPr>
                <w:rFonts w:ascii="Times New Roman" w:eastAsia="Times New Roman" w:hAnsi="Times New Roman" w:cs="Times New Roman"/>
                <w:sz w:val="18"/>
                <w:szCs w:val="18"/>
                <w:lang w:eastAsia="de-DE"/>
              </w:rPr>
            </w:pPr>
          </w:p>
        </w:tc>
        <w:tc>
          <w:tcPr>
            <w:tcW w:w="554" w:type="pct"/>
            <w:tcBorders>
              <w:top w:val="nil"/>
              <w:left w:val="nil"/>
              <w:bottom w:val="nil"/>
              <w:right w:val="nil"/>
            </w:tcBorders>
          </w:tcPr>
          <w:p w14:paraId="3B88FDC3" w14:textId="77777777" w:rsidR="002275BF" w:rsidRPr="00513BF1" w:rsidRDefault="002275BF" w:rsidP="005F66FD">
            <w:pPr>
              <w:spacing w:after="0" w:line="240" w:lineRule="auto"/>
              <w:jc w:val="center"/>
              <w:rPr>
                <w:rFonts w:ascii="Times New Roman" w:eastAsia="Times New Roman" w:hAnsi="Times New Roman" w:cs="Times New Roman"/>
                <w:sz w:val="18"/>
                <w:szCs w:val="18"/>
                <w:lang w:eastAsia="de-DE"/>
              </w:rPr>
            </w:pPr>
          </w:p>
        </w:tc>
        <w:tc>
          <w:tcPr>
            <w:tcW w:w="554" w:type="pct"/>
            <w:tcBorders>
              <w:top w:val="nil"/>
              <w:left w:val="nil"/>
              <w:bottom w:val="nil"/>
              <w:right w:val="nil"/>
            </w:tcBorders>
            <w:shd w:val="clear" w:color="auto" w:fill="auto"/>
            <w:noWrap/>
            <w:vAlign w:val="bottom"/>
            <w:hideMark/>
          </w:tcPr>
          <w:p w14:paraId="7BA8DD26" w14:textId="44931E9E" w:rsidR="002275BF" w:rsidRPr="00513BF1" w:rsidRDefault="002275BF" w:rsidP="005F66FD">
            <w:pPr>
              <w:spacing w:after="0" w:line="240" w:lineRule="auto"/>
              <w:jc w:val="center"/>
              <w:rPr>
                <w:rFonts w:ascii="Times New Roman" w:eastAsia="Times New Roman" w:hAnsi="Times New Roman" w:cs="Times New Roman"/>
                <w:sz w:val="18"/>
                <w:szCs w:val="18"/>
                <w:lang w:eastAsia="de-DE"/>
              </w:rPr>
            </w:pPr>
          </w:p>
        </w:tc>
        <w:tc>
          <w:tcPr>
            <w:tcW w:w="554" w:type="pct"/>
            <w:tcBorders>
              <w:top w:val="nil"/>
              <w:left w:val="nil"/>
              <w:bottom w:val="nil"/>
              <w:right w:val="nil"/>
            </w:tcBorders>
            <w:shd w:val="clear" w:color="auto" w:fill="auto"/>
            <w:noWrap/>
            <w:vAlign w:val="bottom"/>
            <w:hideMark/>
          </w:tcPr>
          <w:p w14:paraId="1838E6A1" w14:textId="77777777"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r w:rsidRPr="00513BF1">
              <w:rPr>
                <w:rFonts w:ascii="Aptos Narrow" w:eastAsia="Times New Roman" w:hAnsi="Aptos Narrow" w:cs="Times New Roman"/>
                <w:color w:val="000000"/>
                <w:sz w:val="18"/>
                <w:szCs w:val="18"/>
                <w:lang w:eastAsia="de-DE"/>
              </w:rPr>
              <w:t>(0.473)</w:t>
            </w:r>
          </w:p>
        </w:tc>
        <w:tc>
          <w:tcPr>
            <w:tcW w:w="554" w:type="pct"/>
            <w:tcBorders>
              <w:top w:val="nil"/>
              <w:left w:val="nil"/>
              <w:bottom w:val="nil"/>
              <w:right w:val="nil"/>
            </w:tcBorders>
            <w:shd w:val="clear" w:color="auto" w:fill="auto"/>
            <w:noWrap/>
            <w:vAlign w:val="bottom"/>
            <w:hideMark/>
          </w:tcPr>
          <w:p w14:paraId="59F470A6" w14:textId="77777777"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p>
        </w:tc>
        <w:tc>
          <w:tcPr>
            <w:tcW w:w="555" w:type="pct"/>
            <w:tcBorders>
              <w:top w:val="nil"/>
              <w:left w:val="nil"/>
              <w:bottom w:val="nil"/>
              <w:right w:val="nil"/>
            </w:tcBorders>
            <w:shd w:val="clear" w:color="auto" w:fill="auto"/>
            <w:noWrap/>
            <w:vAlign w:val="bottom"/>
            <w:hideMark/>
          </w:tcPr>
          <w:p w14:paraId="1192790F" w14:textId="77777777"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r w:rsidRPr="00513BF1">
              <w:rPr>
                <w:rFonts w:ascii="Aptos Narrow" w:eastAsia="Times New Roman" w:hAnsi="Aptos Narrow" w:cs="Times New Roman"/>
                <w:color w:val="000000"/>
                <w:sz w:val="18"/>
                <w:szCs w:val="18"/>
                <w:lang w:eastAsia="de-DE"/>
              </w:rPr>
              <w:t>(0.546)</w:t>
            </w:r>
          </w:p>
        </w:tc>
        <w:tc>
          <w:tcPr>
            <w:tcW w:w="553" w:type="pct"/>
            <w:tcBorders>
              <w:top w:val="nil"/>
              <w:left w:val="nil"/>
              <w:bottom w:val="nil"/>
              <w:right w:val="nil"/>
            </w:tcBorders>
            <w:shd w:val="clear" w:color="auto" w:fill="auto"/>
            <w:noWrap/>
            <w:vAlign w:val="center"/>
            <w:hideMark/>
          </w:tcPr>
          <w:p w14:paraId="3B3AE561" w14:textId="77777777"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r w:rsidRPr="00513BF1">
              <w:rPr>
                <w:rFonts w:ascii="Aptos Narrow" w:eastAsia="Times New Roman" w:hAnsi="Aptos Narrow" w:cs="Times New Roman"/>
                <w:color w:val="000000"/>
                <w:sz w:val="18"/>
                <w:szCs w:val="18"/>
                <w:lang w:eastAsia="de-DE"/>
              </w:rPr>
              <w:t>(0.605)</w:t>
            </w:r>
          </w:p>
        </w:tc>
      </w:tr>
      <w:tr w:rsidR="002275BF" w:rsidRPr="00633995" w14:paraId="79D51358" w14:textId="77777777" w:rsidTr="00604F53">
        <w:trPr>
          <w:trHeight w:val="20"/>
        </w:trPr>
        <w:tc>
          <w:tcPr>
            <w:tcW w:w="1123" w:type="pct"/>
            <w:tcBorders>
              <w:top w:val="nil"/>
              <w:left w:val="nil"/>
              <w:bottom w:val="nil"/>
              <w:right w:val="nil"/>
            </w:tcBorders>
            <w:shd w:val="clear" w:color="auto" w:fill="auto"/>
            <w:noWrap/>
            <w:vAlign w:val="center"/>
            <w:hideMark/>
          </w:tcPr>
          <w:p w14:paraId="59C78EAC" w14:textId="5609AB7B" w:rsidR="002275BF" w:rsidRPr="00056CD8" w:rsidRDefault="002275BF" w:rsidP="002275BF">
            <w:pPr>
              <w:spacing w:after="0" w:line="240" w:lineRule="auto"/>
              <w:jc w:val="both"/>
              <w:rPr>
                <w:rFonts w:ascii="Aptos Narrow" w:eastAsia="Times New Roman" w:hAnsi="Aptos Narrow" w:cs="Times New Roman"/>
                <w:i/>
                <w:iCs/>
                <w:color w:val="000000"/>
                <w:sz w:val="20"/>
                <w:szCs w:val="20"/>
                <w:lang w:eastAsia="de-DE"/>
              </w:rPr>
            </w:pPr>
            <m:oMathPara>
              <m:oMathParaPr>
                <m:jc m:val="left"/>
              </m:oMathParaPr>
              <m:oMath>
                <m:r>
                  <w:rPr>
                    <w:rFonts w:ascii="Cambria Math" w:eastAsia="Times New Roman" w:hAnsi="Cambria Math" w:cs="Times New Roman"/>
                    <w:color w:val="000000"/>
                    <w:sz w:val="20"/>
                    <w:szCs w:val="20"/>
                    <w:lang w:eastAsia="de-DE"/>
                  </w:rPr>
                  <m:t>SH/P</m:t>
                </m:r>
                <m:sSubSup>
                  <m:sSubSupPr>
                    <m:ctrlPr>
                      <w:rPr>
                        <w:rFonts w:ascii="Cambria Math" w:eastAsia="Times New Roman" w:hAnsi="Cambria Math" w:cs="Times New Roman"/>
                        <w:i/>
                        <w:iCs/>
                        <w:color w:val="000000"/>
                        <w:sz w:val="20"/>
                        <w:szCs w:val="20"/>
                        <w:lang w:eastAsia="de-DE"/>
                      </w:rPr>
                    </m:ctrlPr>
                  </m:sSubSupPr>
                  <m:e>
                    <m:r>
                      <w:rPr>
                        <w:rFonts w:ascii="Cambria Math" w:eastAsia="Times New Roman" w:hAnsi="Cambria Math" w:cs="Times New Roman"/>
                        <w:color w:val="000000"/>
                        <w:sz w:val="20"/>
                        <w:szCs w:val="20"/>
                        <w:lang w:eastAsia="de-DE"/>
                      </w:rPr>
                      <m:t>S</m:t>
                    </m:r>
                  </m:e>
                  <m:sub>
                    <m:r>
                      <w:rPr>
                        <w:rFonts w:ascii="Cambria Math" w:eastAsia="Times New Roman" w:hAnsi="Cambria Math" w:cs="Times New Roman"/>
                        <w:color w:val="000000"/>
                        <w:sz w:val="20"/>
                        <w:szCs w:val="20"/>
                        <w:lang w:eastAsia="de-DE"/>
                      </w:rPr>
                      <m:t>ijt</m:t>
                    </m:r>
                  </m:sub>
                  <m:sup>
                    <m:r>
                      <w:rPr>
                        <w:rFonts w:ascii="Cambria Math" w:eastAsia="Times New Roman" w:hAnsi="Cambria Math" w:cs="Times New Roman"/>
                        <w:color w:val="000000"/>
                        <w:sz w:val="20"/>
                        <w:szCs w:val="20"/>
                        <w:lang w:eastAsia="de-DE"/>
                      </w:rPr>
                      <m:t>Club</m:t>
                    </m:r>
                  </m:sup>
                </m:sSubSup>
                <m:r>
                  <w:rPr>
                    <w:rFonts w:ascii="Cambria Math" w:eastAsia="Times New Roman" w:hAnsi="Cambria Math" w:cs="Times New Roman"/>
                    <w:color w:val="000000"/>
                    <w:sz w:val="20"/>
                    <w:szCs w:val="20"/>
                    <w:lang w:eastAsia="de-DE"/>
                  </w:rPr>
                  <m:t xml:space="preserve"> </m:t>
                </m:r>
              </m:oMath>
            </m:oMathPara>
          </w:p>
        </w:tc>
        <w:tc>
          <w:tcPr>
            <w:tcW w:w="553" w:type="pct"/>
            <w:tcBorders>
              <w:top w:val="nil"/>
              <w:left w:val="nil"/>
              <w:bottom w:val="nil"/>
              <w:right w:val="nil"/>
            </w:tcBorders>
          </w:tcPr>
          <w:p w14:paraId="5B59608E"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nil"/>
              <w:left w:val="nil"/>
              <w:bottom w:val="nil"/>
              <w:right w:val="nil"/>
            </w:tcBorders>
          </w:tcPr>
          <w:p w14:paraId="0EDA1536"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nil"/>
              <w:left w:val="nil"/>
              <w:bottom w:val="nil"/>
              <w:right w:val="nil"/>
            </w:tcBorders>
            <w:shd w:val="clear" w:color="auto" w:fill="auto"/>
            <w:noWrap/>
            <w:vAlign w:val="bottom"/>
            <w:hideMark/>
          </w:tcPr>
          <w:p w14:paraId="57B94455" w14:textId="117BF45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p>
        </w:tc>
        <w:tc>
          <w:tcPr>
            <w:tcW w:w="554" w:type="pct"/>
            <w:tcBorders>
              <w:top w:val="nil"/>
              <w:left w:val="nil"/>
              <w:bottom w:val="nil"/>
              <w:right w:val="nil"/>
            </w:tcBorders>
            <w:shd w:val="clear" w:color="auto" w:fill="auto"/>
            <w:noWrap/>
            <w:vAlign w:val="bottom"/>
            <w:hideMark/>
          </w:tcPr>
          <w:p w14:paraId="797F67A3" w14:textId="77777777" w:rsidR="002275BF" w:rsidRPr="00513BF1" w:rsidRDefault="002275BF" w:rsidP="005F66FD">
            <w:pPr>
              <w:spacing w:after="0" w:line="240" w:lineRule="auto"/>
              <w:jc w:val="center"/>
              <w:rPr>
                <w:rFonts w:ascii="Times New Roman" w:eastAsia="Times New Roman" w:hAnsi="Times New Roman" w:cs="Times New Roman"/>
                <w:sz w:val="20"/>
                <w:szCs w:val="20"/>
                <w:lang w:eastAsia="de-DE"/>
              </w:rPr>
            </w:pPr>
          </w:p>
        </w:tc>
        <w:tc>
          <w:tcPr>
            <w:tcW w:w="554" w:type="pct"/>
            <w:tcBorders>
              <w:top w:val="nil"/>
              <w:left w:val="nil"/>
              <w:bottom w:val="nil"/>
              <w:right w:val="nil"/>
            </w:tcBorders>
            <w:shd w:val="clear" w:color="auto" w:fill="auto"/>
            <w:noWrap/>
            <w:vAlign w:val="bottom"/>
            <w:hideMark/>
          </w:tcPr>
          <w:p w14:paraId="27B7D499"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0.081***</w:t>
            </w:r>
          </w:p>
        </w:tc>
        <w:tc>
          <w:tcPr>
            <w:tcW w:w="555" w:type="pct"/>
            <w:tcBorders>
              <w:top w:val="nil"/>
              <w:left w:val="nil"/>
              <w:bottom w:val="nil"/>
              <w:right w:val="nil"/>
            </w:tcBorders>
            <w:shd w:val="clear" w:color="auto" w:fill="auto"/>
            <w:noWrap/>
            <w:vAlign w:val="bottom"/>
            <w:hideMark/>
          </w:tcPr>
          <w:p w14:paraId="5263B923"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0.080***</w:t>
            </w:r>
          </w:p>
        </w:tc>
        <w:tc>
          <w:tcPr>
            <w:tcW w:w="553" w:type="pct"/>
            <w:tcBorders>
              <w:top w:val="nil"/>
              <w:left w:val="nil"/>
              <w:bottom w:val="nil"/>
              <w:right w:val="nil"/>
            </w:tcBorders>
            <w:shd w:val="clear" w:color="auto" w:fill="auto"/>
            <w:noWrap/>
            <w:vAlign w:val="center"/>
            <w:hideMark/>
          </w:tcPr>
          <w:p w14:paraId="56C25F76" w14:textId="77777777" w:rsidR="002275BF" w:rsidRPr="00513BF1" w:rsidRDefault="002275BF"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0.071**</w:t>
            </w:r>
          </w:p>
        </w:tc>
      </w:tr>
      <w:tr w:rsidR="002275BF" w:rsidRPr="00633995" w14:paraId="60B30BFB" w14:textId="77777777" w:rsidTr="00604F53">
        <w:trPr>
          <w:trHeight w:val="20"/>
        </w:trPr>
        <w:tc>
          <w:tcPr>
            <w:tcW w:w="1123" w:type="pct"/>
            <w:tcBorders>
              <w:top w:val="nil"/>
              <w:left w:val="nil"/>
              <w:bottom w:val="nil"/>
              <w:right w:val="nil"/>
            </w:tcBorders>
            <w:shd w:val="clear" w:color="auto" w:fill="auto"/>
            <w:noWrap/>
            <w:vAlign w:val="center"/>
            <w:hideMark/>
          </w:tcPr>
          <w:p w14:paraId="7E54233B" w14:textId="77777777" w:rsidR="002275BF" w:rsidRPr="00513BF1" w:rsidRDefault="002275BF" w:rsidP="002275BF">
            <w:pPr>
              <w:spacing w:after="0" w:line="240" w:lineRule="auto"/>
              <w:jc w:val="both"/>
              <w:rPr>
                <w:rFonts w:ascii="Aptos Narrow" w:eastAsia="Times New Roman" w:hAnsi="Aptos Narrow" w:cs="Times New Roman"/>
                <w:color w:val="000000"/>
                <w:sz w:val="18"/>
                <w:szCs w:val="18"/>
                <w:lang w:eastAsia="de-DE"/>
              </w:rPr>
            </w:pPr>
          </w:p>
        </w:tc>
        <w:tc>
          <w:tcPr>
            <w:tcW w:w="553" w:type="pct"/>
            <w:tcBorders>
              <w:top w:val="nil"/>
              <w:left w:val="nil"/>
              <w:bottom w:val="nil"/>
              <w:right w:val="nil"/>
            </w:tcBorders>
          </w:tcPr>
          <w:p w14:paraId="5BFD5797" w14:textId="77777777" w:rsidR="002275BF" w:rsidRPr="00513BF1" w:rsidRDefault="002275BF" w:rsidP="005F66FD">
            <w:pPr>
              <w:spacing w:after="0" w:line="240" w:lineRule="auto"/>
              <w:jc w:val="center"/>
              <w:rPr>
                <w:rFonts w:ascii="Times New Roman" w:eastAsia="Times New Roman" w:hAnsi="Times New Roman" w:cs="Times New Roman"/>
                <w:sz w:val="18"/>
                <w:szCs w:val="18"/>
                <w:lang w:eastAsia="de-DE"/>
              </w:rPr>
            </w:pPr>
          </w:p>
        </w:tc>
        <w:tc>
          <w:tcPr>
            <w:tcW w:w="554" w:type="pct"/>
            <w:tcBorders>
              <w:top w:val="nil"/>
              <w:left w:val="nil"/>
              <w:bottom w:val="nil"/>
              <w:right w:val="nil"/>
            </w:tcBorders>
          </w:tcPr>
          <w:p w14:paraId="21162043" w14:textId="77777777" w:rsidR="002275BF" w:rsidRPr="00513BF1" w:rsidRDefault="002275BF" w:rsidP="005F66FD">
            <w:pPr>
              <w:spacing w:after="0" w:line="240" w:lineRule="auto"/>
              <w:jc w:val="center"/>
              <w:rPr>
                <w:rFonts w:ascii="Times New Roman" w:eastAsia="Times New Roman" w:hAnsi="Times New Roman" w:cs="Times New Roman"/>
                <w:sz w:val="18"/>
                <w:szCs w:val="18"/>
                <w:lang w:eastAsia="de-DE"/>
              </w:rPr>
            </w:pPr>
          </w:p>
        </w:tc>
        <w:tc>
          <w:tcPr>
            <w:tcW w:w="554" w:type="pct"/>
            <w:tcBorders>
              <w:top w:val="nil"/>
              <w:left w:val="nil"/>
              <w:bottom w:val="nil"/>
              <w:right w:val="nil"/>
            </w:tcBorders>
            <w:shd w:val="clear" w:color="auto" w:fill="auto"/>
            <w:noWrap/>
            <w:vAlign w:val="bottom"/>
            <w:hideMark/>
          </w:tcPr>
          <w:p w14:paraId="7CD88FD5" w14:textId="5F6C6220" w:rsidR="002275BF" w:rsidRPr="00513BF1" w:rsidRDefault="002275BF" w:rsidP="005F66FD">
            <w:pPr>
              <w:spacing w:after="0" w:line="240" w:lineRule="auto"/>
              <w:jc w:val="center"/>
              <w:rPr>
                <w:rFonts w:ascii="Times New Roman" w:eastAsia="Times New Roman" w:hAnsi="Times New Roman" w:cs="Times New Roman"/>
                <w:sz w:val="18"/>
                <w:szCs w:val="18"/>
                <w:lang w:eastAsia="de-DE"/>
              </w:rPr>
            </w:pPr>
          </w:p>
        </w:tc>
        <w:tc>
          <w:tcPr>
            <w:tcW w:w="554" w:type="pct"/>
            <w:tcBorders>
              <w:top w:val="nil"/>
              <w:left w:val="nil"/>
              <w:bottom w:val="nil"/>
              <w:right w:val="nil"/>
            </w:tcBorders>
            <w:shd w:val="clear" w:color="auto" w:fill="auto"/>
            <w:noWrap/>
            <w:vAlign w:val="bottom"/>
            <w:hideMark/>
          </w:tcPr>
          <w:p w14:paraId="1B12D2E5" w14:textId="77777777" w:rsidR="002275BF" w:rsidRPr="00513BF1" w:rsidRDefault="002275BF" w:rsidP="005F66FD">
            <w:pPr>
              <w:spacing w:after="0" w:line="240" w:lineRule="auto"/>
              <w:jc w:val="center"/>
              <w:rPr>
                <w:rFonts w:ascii="Times New Roman" w:eastAsia="Times New Roman" w:hAnsi="Times New Roman" w:cs="Times New Roman"/>
                <w:sz w:val="18"/>
                <w:szCs w:val="18"/>
                <w:lang w:eastAsia="de-DE"/>
              </w:rPr>
            </w:pPr>
          </w:p>
        </w:tc>
        <w:tc>
          <w:tcPr>
            <w:tcW w:w="554" w:type="pct"/>
            <w:tcBorders>
              <w:top w:val="nil"/>
              <w:left w:val="nil"/>
              <w:bottom w:val="nil"/>
              <w:right w:val="nil"/>
            </w:tcBorders>
            <w:shd w:val="clear" w:color="auto" w:fill="auto"/>
            <w:noWrap/>
            <w:vAlign w:val="bottom"/>
            <w:hideMark/>
          </w:tcPr>
          <w:p w14:paraId="3C31600D" w14:textId="77777777"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r w:rsidRPr="00513BF1">
              <w:rPr>
                <w:rFonts w:ascii="Aptos Narrow" w:eastAsia="Times New Roman" w:hAnsi="Aptos Narrow" w:cs="Times New Roman"/>
                <w:color w:val="000000"/>
                <w:sz w:val="18"/>
                <w:szCs w:val="18"/>
                <w:lang w:eastAsia="de-DE"/>
              </w:rPr>
              <w:t>(0.001)</w:t>
            </w:r>
          </w:p>
        </w:tc>
        <w:tc>
          <w:tcPr>
            <w:tcW w:w="555" w:type="pct"/>
            <w:tcBorders>
              <w:top w:val="nil"/>
              <w:left w:val="nil"/>
              <w:bottom w:val="nil"/>
              <w:right w:val="nil"/>
            </w:tcBorders>
            <w:shd w:val="clear" w:color="auto" w:fill="auto"/>
            <w:noWrap/>
            <w:vAlign w:val="bottom"/>
            <w:hideMark/>
          </w:tcPr>
          <w:p w14:paraId="4D3EA9CA" w14:textId="77777777"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r w:rsidRPr="00513BF1">
              <w:rPr>
                <w:rFonts w:ascii="Aptos Narrow" w:eastAsia="Times New Roman" w:hAnsi="Aptos Narrow" w:cs="Times New Roman"/>
                <w:color w:val="000000"/>
                <w:sz w:val="18"/>
                <w:szCs w:val="18"/>
                <w:lang w:eastAsia="de-DE"/>
              </w:rPr>
              <w:t>(0.001)</w:t>
            </w:r>
          </w:p>
        </w:tc>
        <w:tc>
          <w:tcPr>
            <w:tcW w:w="553" w:type="pct"/>
            <w:tcBorders>
              <w:top w:val="nil"/>
              <w:left w:val="nil"/>
              <w:bottom w:val="nil"/>
              <w:right w:val="nil"/>
            </w:tcBorders>
            <w:shd w:val="clear" w:color="auto" w:fill="auto"/>
            <w:noWrap/>
            <w:vAlign w:val="center"/>
            <w:hideMark/>
          </w:tcPr>
          <w:p w14:paraId="780486C4" w14:textId="77777777" w:rsidR="002275BF" w:rsidRPr="00513BF1" w:rsidRDefault="002275BF" w:rsidP="005F66FD">
            <w:pPr>
              <w:spacing w:after="0" w:line="240" w:lineRule="auto"/>
              <w:jc w:val="center"/>
              <w:rPr>
                <w:rFonts w:ascii="Aptos Narrow" w:eastAsia="Times New Roman" w:hAnsi="Aptos Narrow" w:cs="Times New Roman"/>
                <w:color w:val="000000"/>
                <w:sz w:val="18"/>
                <w:szCs w:val="18"/>
                <w:lang w:eastAsia="de-DE"/>
              </w:rPr>
            </w:pPr>
            <w:r w:rsidRPr="00513BF1">
              <w:rPr>
                <w:rFonts w:ascii="Aptos Narrow" w:eastAsia="Times New Roman" w:hAnsi="Aptos Narrow" w:cs="Times New Roman"/>
                <w:color w:val="000000"/>
                <w:sz w:val="18"/>
                <w:szCs w:val="18"/>
                <w:lang w:eastAsia="de-DE"/>
              </w:rPr>
              <w:t>(0.014)</w:t>
            </w:r>
          </w:p>
        </w:tc>
      </w:tr>
      <w:tr w:rsidR="00B91498" w:rsidRPr="00633995" w14:paraId="5B4876F8" w14:textId="77777777" w:rsidTr="00604F53">
        <w:trPr>
          <w:trHeight w:val="20"/>
        </w:trPr>
        <w:tc>
          <w:tcPr>
            <w:tcW w:w="1123" w:type="pct"/>
            <w:tcBorders>
              <w:top w:val="nil"/>
              <w:left w:val="nil"/>
              <w:right w:val="nil"/>
            </w:tcBorders>
            <w:shd w:val="clear" w:color="auto" w:fill="auto"/>
            <w:noWrap/>
            <w:vAlign w:val="center"/>
            <w:hideMark/>
          </w:tcPr>
          <w:p w14:paraId="4438E4AC" w14:textId="3976BCC2" w:rsidR="00B91498" w:rsidRPr="00513BF1" w:rsidRDefault="00B91498" w:rsidP="00B9149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Digital trade definition</w:t>
            </w:r>
          </w:p>
        </w:tc>
        <w:tc>
          <w:tcPr>
            <w:tcW w:w="553" w:type="pct"/>
            <w:tcBorders>
              <w:top w:val="nil"/>
              <w:left w:val="nil"/>
              <w:right w:val="nil"/>
            </w:tcBorders>
            <w:vAlign w:val="center"/>
          </w:tcPr>
          <w:p w14:paraId="080B9C9B" w14:textId="5C2B8EEE" w:rsidR="00B91498" w:rsidRPr="00513BF1" w:rsidRDefault="00B91498"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Narrow</w:t>
            </w:r>
          </w:p>
        </w:tc>
        <w:tc>
          <w:tcPr>
            <w:tcW w:w="554" w:type="pct"/>
            <w:tcBorders>
              <w:top w:val="nil"/>
              <w:left w:val="nil"/>
              <w:right w:val="nil"/>
            </w:tcBorders>
            <w:vAlign w:val="center"/>
          </w:tcPr>
          <w:p w14:paraId="40839C7B" w14:textId="0E1722EC" w:rsidR="00B91498" w:rsidRPr="00513BF1" w:rsidRDefault="00B91498"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Narrow</w:t>
            </w:r>
          </w:p>
        </w:tc>
        <w:tc>
          <w:tcPr>
            <w:tcW w:w="554" w:type="pct"/>
            <w:tcBorders>
              <w:top w:val="nil"/>
              <w:left w:val="nil"/>
              <w:right w:val="nil"/>
            </w:tcBorders>
            <w:shd w:val="clear" w:color="auto" w:fill="auto"/>
            <w:noWrap/>
            <w:vAlign w:val="center"/>
            <w:hideMark/>
          </w:tcPr>
          <w:p w14:paraId="55A9736C" w14:textId="6BED420B" w:rsidR="00B91498" w:rsidRPr="00513BF1" w:rsidRDefault="00B91498"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Narrow</w:t>
            </w:r>
          </w:p>
        </w:tc>
        <w:tc>
          <w:tcPr>
            <w:tcW w:w="554" w:type="pct"/>
            <w:tcBorders>
              <w:top w:val="nil"/>
              <w:left w:val="nil"/>
              <w:right w:val="nil"/>
            </w:tcBorders>
            <w:shd w:val="clear" w:color="auto" w:fill="auto"/>
            <w:noWrap/>
            <w:vAlign w:val="center"/>
            <w:hideMark/>
          </w:tcPr>
          <w:p w14:paraId="60BDE760" w14:textId="77777777" w:rsidR="00B91498" w:rsidRPr="00513BF1" w:rsidRDefault="00B91498"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Narrow</w:t>
            </w:r>
          </w:p>
        </w:tc>
        <w:tc>
          <w:tcPr>
            <w:tcW w:w="554" w:type="pct"/>
            <w:tcBorders>
              <w:top w:val="nil"/>
              <w:left w:val="nil"/>
              <w:right w:val="nil"/>
            </w:tcBorders>
            <w:shd w:val="clear" w:color="auto" w:fill="auto"/>
            <w:noWrap/>
            <w:vAlign w:val="center"/>
            <w:hideMark/>
          </w:tcPr>
          <w:p w14:paraId="7062325A" w14:textId="77777777" w:rsidR="00B91498" w:rsidRPr="00513BF1" w:rsidRDefault="00B91498"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Narrow</w:t>
            </w:r>
          </w:p>
        </w:tc>
        <w:tc>
          <w:tcPr>
            <w:tcW w:w="555" w:type="pct"/>
            <w:tcBorders>
              <w:top w:val="nil"/>
              <w:left w:val="nil"/>
              <w:right w:val="nil"/>
            </w:tcBorders>
            <w:shd w:val="clear" w:color="auto" w:fill="auto"/>
            <w:noWrap/>
            <w:vAlign w:val="center"/>
            <w:hideMark/>
          </w:tcPr>
          <w:p w14:paraId="023296CB" w14:textId="77777777" w:rsidR="00B91498" w:rsidRPr="00513BF1" w:rsidRDefault="00B91498"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Narrow</w:t>
            </w:r>
          </w:p>
        </w:tc>
        <w:tc>
          <w:tcPr>
            <w:tcW w:w="553" w:type="pct"/>
            <w:tcBorders>
              <w:top w:val="nil"/>
              <w:left w:val="nil"/>
              <w:right w:val="nil"/>
            </w:tcBorders>
            <w:shd w:val="clear" w:color="auto" w:fill="auto"/>
            <w:noWrap/>
            <w:vAlign w:val="center"/>
            <w:hideMark/>
          </w:tcPr>
          <w:p w14:paraId="69CF9308" w14:textId="77777777" w:rsidR="00B91498" w:rsidRPr="00513BF1" w:rsidRDefault="00B91498"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Broad</w:t>
            </w:r>
          </w:p>
        </w:tc>
      </w:tr>
      <w:tr w:rsidR="00B91498" w:rsidRPr="00633995" w14:paraId="5E9E182F" w14:textId="77777777" w:rsidTr="00604F53">
        <w:trPr>
          <w:trHeight w:val="20"/>
        </w:trPr>
        <w:tc>
          <w:tcPr>
            <w:tcW w:w="1123" w:type="pct"/>
            <w:tcBorders>
              <w:top w:val="nil"/>
              <w:left w:val="nil"/>
              <w:bottom w:val="nil"/>
              <w:right w:val="nil"/>
            </w:tcBorders>
            <w:shd w:val="clear" w:color="auto" w:fill="auto"/>
            <w:noWrap/>
            <w:vAlign w:val="center"/>
            <w:hideMark/>
          </w:tcPr>
          <w:p w14:paraId="0608E981" w14:textId="61DD37F5" w:rsidR="00B91498" w:rsidRPr="00513BF1" w:rsidRDefault="00B91498" w:rsidP="00B9149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All controls</w:t>
            </w:r>
          </w:p>
        </w:tc>
        <w:tc>
          <w:tcPr>
            <w:tcW w:w="553" w:type="pct"/>
            <w:tcBorders>
              <w:top w:val="nil"/>
              <w:left w:val="nil"/>
              <w:bottom w:val="nil"/>
              <w:right w:val="nil"/>
            </w:tcBorders>
            <w:vAlign w:val="center"/>
          </w:tcPr>
          <w:p w14:paraId="518F94C1" w14:textId="28A35EC6" w:rsidR="00B91498" w:rsidRPr="00513BF1" w:rsidRDefault="00B91498"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4" w:type="pct"/>
            <w:tcBorders>
              <w:top w:val="nil"/>
              <w:left w:val="nil"/>
              <w:bottom w:val="nil"/>
              <w:right w:val="nil"/>
            </w:tcBorders>
            <w:vAlign w:val="center"/>
          </w:tcPr>
          <w:p w14:paraId="0C4A8BD4" w14:textId="1E779DC2" w:rsidR="00B91498" w:rsidRPr="00513BF1" w:rsidRDefault="00B91498"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4" w:type="pct"/>
            <w:tcBorders>
              <w:top w:val="nil"/>
              <w:left w:val="nil"/>
              <w:bottom w:val="nil"/>
              <w:right w:val="nil"/>
            </w:tcBorders>
            <w:shd w:val="clear" w:color="auto" w:fill="auto"/>
            <w:noWrap/>
            <w:vAlign w:val="center"/>
            <w:hideMark/>
          </w:tcPr>
          <w:p w14:paraId="1EF2B270" w14:textId="1417010A" w:rsidR="00B91498" w:rsidRPr="00513BF1" w:rsidRDefault="00B91498"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4" w:type="pct"/>
            <w:tcBorders>
              <w:top w:val="nil"/>
              <w:left w:val="nil"/>
              <w:bottom w:val="nil"/>
              <w:right w:val="nil"/>
            </w:tcBorders>
            <w:shd w:val="clear" w:color="auto" w:fill="auto"/>
            <w:noWrap/>
            <w:vAlign w:val="center"/>
            <w:hideMark/>
          </w:tcPr>
          <w:p w14:paraId="5FB42B7B" w14:textId="77777777" w:rsidR="00B91498" w:rsidRPr="00513BF1" w:rsidRDefault="00B91498"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4" w:type="pct"/>
            <w:tcBorders>
              <w:top w:val="nil"/>
              <w:left w:val="nil"/>
              <w:bottom w:val="nil"/>
              <w:right w:val="nil"/>
            </w:tcBorders>
            <w:shd w:val="clear" w:color="auto" w:fill="auto"/>
            <w:noWrap/>
            <w:vAlign w:val="center"/>
            <w:hideMark/>
          </w:tcPr>
          <w:p w14:paraId="1DF501C0" w14:textId="77777777" w:rsidR="00B91498" w:rsidRPr="00513BF1" w:rsidRDefault="00B91498"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5" w:type="pct"/>
            <w:tcBorders>
              <w:top w:val="nil"/>
              <w:left w:val="nil"/>
              <w:bottom w:val="nil"/>
              <w:right w:val="nil"/>
            </w:tcBorders>
            <w:shd w:val="clear" w:color="auto" w:fill="auto"/>
            <w:noWrap/>
            <w:vAlign w:val="center"/>
            <w:hideMark/>
          </w:tcPr>
          <w:p w14:paraId="5B50E416" w14:textId="77777777" w:rsidR="00B91498" w:rsidRPr="00513BF1" w:rsidRDefault="00B91498"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3" w:type="pct"/>
            <w:tcBorders>
              <w:top w:val="nil"/>
              <w:left w:val="nil"/>
              <w:bottom w:val="nil"/>
              <w:right w:val="nil"/>
            </w:tcBorders>
            <w:shd w:val="clear" w:color="auto" w:fill="auto"/>
            <w:noWrap/>
            <w:vAlign w:val="center"/>
            <w:hideMark/>
          </w:tcPr>
          <w:p w14:paraId="494B08D1" w14:textId="77777777" w:rsidR="00B91498" w:rsidRPr="00513BF1" w:rsidRDefault="00B91498" w:rsidP="005F66FD">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r>
      <w:tr w:rsidR="00CE4CB9" w:rsidRPr="00633995" w14:paraId="1AC4DFF4" w14:textId="77777777" w:rsidTr="00607058">
        <w:trPr>
          <w:trHeight w:val="20"/>
        </w:trPr>
        <w:tc>
          <w:tcPr>
            <w:tcW w:w="1123" w:type="pct"/>
            <w:tcBorders>
              <w:top w:val="single" w:sz="4" w:space="0" w:color="auto"/>
              <w:left w:val="nil"/>
              <w:bottom w:val="nil"/>
              <w:right w:val="nil"/>
            </w:tcBorders>
            <w:shd w:val="clear" w:color="auto" w:fill="auto"/>
            <w:noWrap/>
            <w:vAlign w:val="center"/>
            <w:hideMark/>
          </w:tcPr>
          <w:p w14:paraId="0F4DE8E9" w14:textId="77777777" w:rsidR="00CE4CB9" w:rsidRPr="00513BF1" w:rsidRDefault="00CE4CB9" w:rsidP="00CE4CB9">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Obs.</w:t>
            </w:r>
          </w:p>
        </w:tc>
        <w:tc>
          <w:tcPr>
            <w:tcW w:w="553" w:type="pct"/>
            <w:tcBorders>
              <w:top w:val="single" w:sz="4" w:space="0" w:color="auto"/>
              <w:left w:val="nil"/>
              <w:bottom w:val="nil"/>
              <w:right w:val="nil"/>
            </w:tcBorders>
            <w:vAlign w:val="center"/>
          </w:tcPr>
          <w:p w14:paraId="4584446D" w14:textId="70133BBA" w:rsidR="00CE4CB9" w:rsidRPr="00CE4CB9" w:rsidRDefault="00CE4CB9" w:rsidP="00607058">
            <w:pPr>
              <w:spacing w:after="0" w:line="240" w:lineRule="auto"/>
              <w:jc w:val="center"/>
              <w:rPr>
                <w:rFonts w:ascii="Aptos Narrow" w:eastAsia="Times New Roman" w:hAnsi="Aptos Narrow" w:cs="Times New Roman"/>
                <w:color w:val="000000"/>
                <w:sz w:val="20"/>
                <w:szCs w:val="20"/>
                <w:lang w:eastAsia="de-DE"/>
              </w:rPr>
            </w:pPr>
            <w:r w:rsidRPr="00607058">
              <w:rPr>
                <w:rFonts w:ascii="Aptos Narrow" w:hAnsi="Aptos Narrow"/>
                <w:color w:val="000000"/>
                <w:sz w:val="20"/>
                <w:szCs w:val="20"/>
              </w:rPr>
              <w:t>143901</w:t>
            </w:r>
          </w:p>
        </w:tc>
        <w:tc>
          <w:tcPr>
            <w:tcW w:w="554" w:type="pct"/>
            <w:tcBorders>
              <w:top w:val="single" w:sz="4" w:space="0" w:color="auto"/>
              <w:left w:val="nil"/>
              <w:bottom w:val="nil"/>
              <w:right w:val="nil"/>
            </w:tcBorders>
            <w:vAlign w:val="center"/>
          </w:tcPr>
          <w:p w14:paraId="7E41EED3" w14:textId="2CE73E5D" w:rsidR="00CE4CB9" w:rsidRPr="00CE4CB9" w:rsidRDefault="00CE4CB9" w:rsidP="00607058">
            <w:pPr>
              <w:spacing w:after="0" w:line="240" w:lineRule="auto"/>
              <w:jc w:val="center"/>
              <w:rPr>
                <w:rFonts w:ascii="Aptos Narrow" w:eastAsia="Times New Roman" w:hAnsi="Aptos Narrow" w:cs="Times New Roman"/>
                <w:color w:val="000000"/>
                <w:sz w:val="20"/>
                <w:szCs w:val="20"/>
                <w:lang w:eastAsia="de-DE"/>
              </w:rPr>
            </w:pPr>
            <w:r w:rsidRPr="00607058">
              <w:rPr>
                <w:rFonts w:ascii="Aptos Narrow" w:hAnsi="Aptos Narrow"/>
                <w:color w:val="000000"/>
                <w:sz w:val="20"/>
                <w:szCs w:val="20"/>
              </w:rPr>
              <w:t>143901</w:t>
            </w:r>
          </w:p>
        </w:tc>
        <w:tc>
          <w:tcPr>
            <w:tcW w:w="554" w:type="pct"/>
            <w:tcBorders>
              <w:top w:val="single" w:sz="4" w:space="0" w:color="auto"/>
              <w:left w:val="nil"/>
              <w:bottom w:val="nil"/>
              <w:right w:val="nil"/>
            </w:tcBorders>
            <w:shd w:val="clear" w:color="auto" w:fill="auto"/>
            <w:noWrap/>
            <w:vAlign w:val="center"/>
            <w:hideMark/>
          </w:tcPr>
          <w:p w14:paraId="3AECFDF3" w14:textId="64E52333"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143901</w:t>
            </w:r>
          </w:p>
        </w:tc>
        <w:tc>
          <w:tcPr>
            <w:tcW w:w="554" w:type="pct"/>
            <w:tcBorders>
              <w:top w:val="single" w:sz="4" w:space="0" w:color="auto"/>
              <w:left w:val="nil"/>
              <w:bottom w:val="nil"/>
              <w:right w:val="nil"/>
            </w:tcBorders>
            <w:shd w:val="clear" w:color="auto" w:fill="auto"/>
            <w:noWrap/>
            <w:vAlign w:val="center"/>
            <w:hideMark/>
          </w:tcPr>
          <w:p w14:paraId="30D71BCF"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143901</w:t>
            </w:r>
          </w:p>
        </w:tc>
        <w:tc>
          <w:tcPr>
            <w:tcW w:w="554" w:type="pct"/>
            <w:tcBorders>
              <w:top w:val="single" w:sz="4" w:space="0" w:color="auto"/>
              <w:left w:val="nil"/>
              <w:bottom w:val="nil"/>
              <w:right w:val="nil"/>
            </w:tcBorders>
            <w:shd w:val="clear" w:color="auto" w:fill="auto"/>
            <w:noWrap/>
            <w:vAlign w:val="center"/>
            <w:hideMark/>
          </w:tcPr>
          <w:p w14:paraId="4752A772"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143901</w:t>
            </w:r>
          </w:p>
        </w:tc>
        <w:tc>
          <w:tcPr>
            <w:tcW w:w="555" w:type="pct"/>
            <w:tcBorders>
              <w:top w:val="single" w:sz="4" w:space="0" w:color="auto"/>
              <w:left w:val="nil"/>
              <w:bottom w:val="nil"/>
              <w:right w:val="nil"/>
            </w:tcBorders>
            <w:shd w:val="clear" w:color="auto" w:fill="auto"/>
            <w:noWrap/>
            <w:vAlign w:val="center"/>
            <w:hideMark/>
          </w:tcPr>
          <w:p w14:paraId="48EE92AF"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143901</w:t>
            </w:r>
          </w:p>
        </w:tc>
        <w:tc>
          <w:tcPr>
            <w:tcW w:w="553" w:type="pct"/>
            <w:tcBorders>
              <w:top w:val="single" w:sz="4" w:space="0" w:color="auto"/>
              <w:left w:val="nil"/>
              <w:bottom w:val="nil"/>
              <w:right w:val="nil"/>
            </w:tcBorders>
            <w:shd w:val="clear" w:color="auto" w:fill="auto"/>
            <w:noWrap/>
            <w:vAlign w:val="center"/>
            <w:hideMark/>
          </w:tcPr>
          <w:p w14:paraId="037E2E5A"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146751</w:t>
            </w:r>
          </w:p>
        </w:tc>
      </w:tr>
      <w:tr w:rsidR="00CE4CB9" w:rsidRPr="00633995" w14:paraId="1B099266" w14:textId="77777777" w:rsidTr="00607058">
        <w:trPr>
          <w:trHeight w:val="20"/>
        </w:trPr>
        <w:tc>
          <w:tcPr>
            <w:tcW w:w="1123" w:type="pct"/>
            <w:tcBorders>
              <w:top w:val="nil"/>
              <w:left w:val="nil"/>
              <w:bottom w:val="nil"/>
              <w:right w:val="nil"/>
            </w:tcBorders>
            <w:shd w:val="clear" w:color="auto" w:fill="auto"/>
            <w:noWrap/>
            <w:vAlign w:val="center"/>
            <w:hideMark/>
          </w:tcPr>
          <w:p w14:paraId="0DD06265" w14:textId="77777777" w:rsidR="00CE4CB9" w:rsidRPr="00513BF1" w:rsidRDefault="00CE4CB9" w:rsidP="00CE4CB9">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R2</w:t>
            </w:r>
          </w:p>
        </w:tc>
        <w:tc>
          <w:tcPr>
            <w:tcW w:w="553" w:type="pct"/>
            <w:tcBorders>
              <w:top w:val="nil"/>
              <w:left w:val="nil"/>
              <w:bottom w:val="nil"/>
              <w:right w:val="nil"/>
            </w:tcBorders>
            <w:vAlign w:val="center"/>
          </w:tcPr>
          <w:p w14:paraId="76D8AF57" w14:textId="3E504FED" w:rsidR="00CE4CB9" w:rsidRPr="00CE4CB9" w:rsidRDefault="00CE4CB9" w:rsidP="00607058">
            <w:pPr>
              <w:spacing w:after="0" w:line="240" w:lineRule="auto"/>
              <w:jc w:val="center"/>
              <w:rPr>
                <w:rFonts w:ascii="Aptos Narrow" w:eastAsia="Times New Roman" w:hAnsi="Aptos Narrow" w:cs="Times New Roman"/>
                <w:color w:val="000000"/>
                <w:sz w:val="20"/>
                <w:szCs w:val="20"/>
                <w:lang w:eastAsia="de-DE"/>
              </w:rPr>
            </w:pPr>
            <w:r w:rsidRPr="00607058">
              <w:rPr>
                <w:rFonts w:ascii="Aptos Narrow" w:hAnsi="Aptos Narrow"/>
                <w:color w:val="000000"/>
                <w:sz w:val="20"/>
                <w:szCs w:val="20"/>
              </w:rPr>
              <w:t>0.80</w:t>
            </w:r>
          </w:p>
        </w:tc>
        <w:tc>
          <w:tcPr>
            <w:tcW w:w="554" w:type="pct"/>
            <w:tcBorders>
              <w:top w:val="nil"/>
              <w:left w:val="nil"/>
              <w:bottom w:val="nil"/>
              <w:right w:val="nil"/>
            </w:tcBorders>
            <w:vAlign w:val="center"/>
          </w:tcPr>
          <w:p w14:paraId="71CB8B59" w14:textId="2A16FE48" w:rsidR="00CE4CB9" w:rsidRPr="00CE4CB9" w:rsidRDefault="00CE4CB9" w:rsidP="00607058">
            <w:pPr>
              <w:spacing w:after="0" w:line="240" w:lineRule="auto"/>
              <w:jc w:val="center"/>
              <w:rPr>
                <w:rFonts w:ascii="Aptos Narrow" w:eastAsia="Times New Roman" w:hAnsi="Aptos Narrow" w:cs="Times New Roman"/>
                <w:color w:val="000000"/>
                <w:sz w:val="20"/>
                <w:szCs w:val="20"/>
                <w:lang w:eastAsia="de-DE"/>
              </w:rPr>
            </w:pPr>
            <w:r w:rsidRPr="00607058">
              <w:rPr>
                <w:rFonts w:ascii="Aptos Narrow" w:hAnsi="Aptos Narrow"/>
                <w:color w:val="000000"/>
                <w:sz w:val="20"/>
                <w:szCs w:val="20"/>
              </w:rPr>
              <w:t>0.80</w:t>
            </w:r>
          </w:p>
        </w:tc>
        <w:tc>
          <w:tcPr>
            <w:tcW w:w="554" w:type="pct"/>
            <w:tcBorders>
              <w:top w:val="nil"/>
              <w:left w:val="nil"/>
              <w:bottom w:val="nil"/>
              <w:right w:val="nil"/>
            </w:tcBorders>
            <w:shd w:val="clear" w:color="auto" w:fill="auto"/>
            <w:noWrap/>
            <w:vAlign w:val="center"/>
            <w:hideMark/>
          </w:tcPr>
          <w:p w14:paraId="0E5B6C80" w14:textId="4273FDB4"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0.80</w:t>
            </w:r>
          </w:p>
        </w:tc>
        <w:tc>
          <w:tcPr>
            <w:tcW w:w="554" w:type="pct"/>
            <w:tcBorders>
              <w:top w:val="nil"/>
              <w:left w:val="nil"/>
              <w:bottom w:val="nil"/>
              <w:right w:val="nil"/>
            </w:tcBorders>
            <w:shd w:val="clear" w:color="auto" w:fill="auto"/>
            <w:noWrap/>
            <w:vAlign w:val="center"/>
            <w:hideMark/>
          </w:tcPr>
          <w:p w14:paraId="645E19A1"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0.80</w:t>
            </w:r>
          </w:p>
        </w:tc>
        <w:tc>
          <w:tcPr>
            <w:tcW w:w="554" w:type="pct"/>
            <w:tcBorders>
              <w:top w:val="nil"/>
              <w:left w:val="nil"/>
              <w:bottom w:val="nil"/>
              <w:right w:val="nil"/>
            </w:tcBorders>
            <w:shd w:val="clear" w:color="auto" w:fill="auto"/>
            <w:noWrap/>
            <w:vAlign w:val="center"/>
            <w:hideMark/>
          </w:tcPr>
          <w:p w14:paraId="090A18FF"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0.80</w:t>
            </w:r>
          </w:p>
        </w:tc>
        <w:tc>
          <w:tcPr>
            <w:tcW w:w="555" w:type="pct"/>
            <w:tcBorders>
              <w:top w:val="nil"/>
              <w:left w:val="nil"/>
              <w:bottom w:val="nil"/>
              <w:right w:val="nil"/>
            </w:tcBorders>
            <w:shd w:val="clear" w:color="auto" w:fill="auto"/>
            <w:noWrap/>
            <w:vAlign w:val="center"/>
            <w:hideMark/>
          </w:tcPr>
          <w:p w14:paraId="636DAA81"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0.80</w:t>
            </w:r>
          </w:p>
        </w:tc>
        <w:tc>
          <w:tcPr>
            <w:tcW w:w="553" w:type="pct"/>
            <w:tcBorders>
              <w:top w:val="nil"/>
              <w:left w:val="nil"/>
              <w:bottom w:val="nil"/>
              <w:right w:val="nil"/>
            </w:tcBorders>
            <w:shd w:val="clear" w:color="auto" w:fill="auto"/>
            <w:noWrap/>
            <w:vAlign w:val="center"/>
            <w:hideMark/>
          </w:tcPr>
          <w:p w14:paraId="0132F5BA"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0.82</w:t>
            </w:r>
          </w:p>
        </w:tc>
      </w:tr>
      <w:tr w:rsidR="00CE4CB9" w:rsidRPr="00633995" w14:paraId="71B1B3E7" w14:textId="77777777" w:rsidTr="00607058">
        <w:trPr>
          <w:trHeight w:val="20"/>
        </w:trPr>
        <w:tc>
          <w:tcPr>
            <w:tcW w:w="1123" w:type="pct"/>
            <w:tcBorders>
              <w:top w:val="nil"/>
              <w:left w:val="nil"/>
              <w:bottom w:val="nil"/>
              <w:right w:val="nil"/>
            </w:tcBorders>
            <w:shd w:val="clear" w:color="auto" w:fill="auto"/>
            <w:noWrap/>
            <w:vAlign w:val="center"/>
            <w:hideMark/>
          </w:tcPr>
          <w:p w14:paraId="594224E0" w14:textId="77777777" w:rsidR="00CE4CB9" w:rsidRPr="00513BF1" w:rsidRDefault="00CE4CB9" w:rsidP="00CE4CB9">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FE Pair</w:t>
            </w:r>
          </w:p>
        </w:tc>
        <w:tc>
          <w:tcPr>
            <w:tcW w:w="553" w:type="pct"/>
            <w:tcBorders>
              <w:top w:val="nil"/>
              <w:left w:val="nil"/>
              <w:bottom w:val="nil"/>
              <w:right w:val="nil"/>
            </w:tcBorders>
            <w:vAlign w:val="center"/>
          </w:tcPr>
          <w:p w14:paraId="2CD7DDB2" w14:textId="4F25D910" w:rsidR="00CE4CB9" w:rsidRPr="00CE4CB9" w:rsidRDefault="00CE4CB9" w:rsidP="00607058">
            <w:pPr>
              <w:spacing w:after="0" w:line="240" w:lineRule="auto"/>
              <w:jc w:val="center"/>
              <w:rPr>
                <w:rFonts w:ascii="Aptos Narrow" w:eastAsia="Times New Roman" w:hAnsi="Aptos Narrow" w:cs="Times New Roman"/>
                <w:color w:val="000000"/>
                <w:sz w:val="20"/>
                <w:szCs w:val="20"/>
                <w:lang w:eastAsia="de-DE"/>
              </w:rPr>
            </w:pPr>
            <w:r w:rsidRPr="00607058">
              <w:rPr>
                <w:rFonts w:ascii="Aptos Narrow" w:hAnsi="Aptos Narrow"/>
                <w:color w:val="000000"/>
                <w:sz w:val="20"/>
                <w:szCs w:val="20"/>
              </w:rPr>
              <w:t>Yes</w:t>
            </w:r>
          </w:p>
        </w:tc>
        <w:tc>
          <w:tcPr>
            <w:tcW w:w="554" w:type="pct"/>
            <w:tcBorders>
              <w:top w:val="nil"/>
              <w:left w:val="nil"/>
              <w:bottom w:val="nil"/>
              <w:right w:val="nil"/>
            </w:tcBorders>
            <w:vAlign w:val="center"/>
          </w:tcPr>
          <w:p w14:paraId="7060B80C" w14:textId="7A050A88" w:rsidR="00CE4CB9" w:rsidRPr="00CE4CB9" w:rsidRDefault="00CE4CB9" w:rsidP="00607058">
            <w:pPr>
              <w:spacing w:after="0" w:line="240" w:lineRule="auto"/>
              <w:jc w:val="center"/>
              <w:rPr>
                <w:rFonts w:ascii="Aptos Narrow" w:eastAsia="Times New Roman" w:hAnsi="Aptos Narrow" w:cs="Times New Roman"/>
                <w:color w:val="000000"/>
                <w:sz w:val="20"/>
                <w:szCs w:val="20"/>
                <w:lang w:eastAsia="de-DE"/>
              </w:rPr>
            </w:pPr>
            <w:r w:rsidRPr="00607058">
              <w:rPr>
                <w:rFonts w:ascii="Aptos Narrow" w:hAnsi="Aptos Narrow"/>
                <w:color w:val="000000"/>
                <w:sz w:val="20"/>
                <w:szCs w:val="20"/>
              </w:rPr>
              <w:t>Yes</w:t>
            </w:r>
          </w:p>
        </w:tc>
        <w:tc>
          <w:tcPr>
            <w:tcW w:w="554" w:type="pct"/>
            <w:tcBorders>
              <w:top w:val="nil"/>
              <w:left w:val="nil"/>
              <w:bottom w:val="nil"/>
              <w:right w:val="nil"/>
            </w:tcBorders>
            <w:shd w:val="clear" w:color="auto" w:fill="auto"/>
            <w:noWrap/>
            <w:vAlign w:val="center"/>
            <w:hideMark/>
          </w:tcPr>
          <w:p w14:paraId="598D9834" w14:textId="28ADC128"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4" w:type="pct"/>
            <w:tcBorders>
              <w:top w:val="nil"/>
              <w:left w:val="nil"/>
              <w:bottom w:val="nil"/>
              <w:right w:val="nil"/>
            </w:tcBorders>
            <w:shd w:val="clear" w:color="auto" w:fill="auto"/>
            <w:noWrap/>
            <w:vAlign w:val="center"/>
            <w:hideMark/>
          </w:tcPr>
          <w:p w14:paraId="2814D790"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4" w:type="pct"/>
            <w:tcBorders>
              <w:top w:val="nil"/>
              <w:left w:val="nil"/>
              <w:bottom w:val="nil"/>
              <w:right w:val="nil"/>
            </w:tcBorders>
            <w:shd w:val="clear" w:color="auto" w:fill="auto"/>
            <w:noWrap/>
            <w:vAlign w:val="center"/>
            <w:hideMark/>
          </w:tcPr>
          <w:p w14:paraId="429E6C87"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5" w:type="pct"/>
            <w:tcBorders>
              <w:top w:val="nil"/>
              <w:left w:val="nil"/>
              <w:bottom w:val="nil"/>
              <w:right w:val="nil"/>
            </w:tcBorders>
            <w:shd w:val="clear" w:color="auto" w:fill="auto"/>
            <w:noWrap/>
            <w:vAlign w:val="center"/>
            <w:hideMark/>
          </w:tcPr>
          <w:p w14:paraId="52B6603E"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3" w:type="pct"/>
            <w:tcBorders>
              <w:top w:val="nil"/>
              <w:left w:val="nil"/>
              <w:bottom w:val="nil"/>
              <w:right w:val="nil"/>
            </w:tcBorders>
            <w:shd w:val="clear" w:color="auto" w:fill="auto"/>
            <w:noWrap/>
            <w:vAlign w:val="center"/>
            <w:hideMark/>
          </w:tcPr>
          <w:p w14:paraId="39970543"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r>
      <w:tr w:rsidR="00CE4CB9" w:rsidRPr="00633995" w14:paraId="45CEC322" w14:textId="77777777" w:rsidTr="00607058">
        <w:trPr>
          <w:trHeight w:val="20"/>
        </w:trPr>
        <w:tc>
          <w:tcPr>
            <w:tcW w:w="1123" w:type="pct"/>
            <w:tcBorders>
              <w:top w:val="nil"/>
              <w:left w:val="nil"/>
              <w:bottom w:val="nil"/>
              <w:right w:val="nil"/>
            </w:tcBorders>
            <w:shd w:val="clear" w:color="auto" w:fill="auto"/>
            <w:noWrap/>
            <w:vAlign w:val="center"/>
            <w:hideMark/>
          </w:tcPr>
          <w:p w14:paraId="494F9995" w14:textId="77777777" w:rsidR="00CE4CB9" w:rsidRPr="00513BF1" w:rsidRDefault="00CE4CB9" w:rsidP="00CE4CB9">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FE Exp-Year</w:t>
            </w:r>
          </w:p>
        </w:tc>
        <w:tc>
          <w:tcPr>
            <w:tcW w:w="553" w:type="pct"/>
            <w:tcBorders>
              <w:top w:val="nil"/>
              <w:left w:val="nil"/>
              <w:bottom w:val="nil"/>
              <w:right w:val="nil"/>
            </w:tcBorders>
            <w:vAlign w:val="center"/>
          </w:tcPr>
          <w:p w14:paraId="0D313E76" w14:textId="2E720DCD" w:rsidR="00CE4CB9" w:rsidRPr="00CE4CB9" w:rsidRDefault="00CE4CB9" w:rsidP="00607058">
            <w:pPr>
              <w:spacing w:after="0" w:line="240" w:lineRule="auto"/>
              <w:jc w:val="center"/>
              <w:rPr>
                <w:rFonts w:ascii="Aptos Narrow" w:eastAsia="Times New Roman" w:hAnsi="Aptos Narrow" w:cs="Times New Roman"/>
                <w:color w:val="000000"/>
                <w:sz w:val="20"/>
                <w:szCs w:val="20"/>
                <w:lang w:eastAsia="de-DE"/>
              </w:rPr>
            </w:pPr>
            <w:r w:rsidRPr="00607058">
              <w:rPr>
                <w:rFonts w:ascii="Aptos Narrow" w:hAnsi="Aptos Narrow"/>
                <w:color w:val="000000"/>
                <w:sz w:val="20"/>
                <w:szCs w:val="20"/>
              </w:rPr>
              <w:t>Yes</w:t>
            </w:r>
          </w:p>
        </w:tc>
        <w:tc>
          <w:tcPr>
            <w:tcW w:w="554" w:type="pct"/>
            <w:tcBorders>
              <w:top w:val="nil"/>
              <w:left w:val="nil"/>
              <w:bottom w:val="nil"/>
              <w:right w:val="nil"/>
            </w:tcBorders>
            <w:vAlign w:val="center"/>
          </w:tcPr>
          <w:p w14:paraId="3535E187" w14:textId="688837D4" w:rsidR="00CE4CB9" w:rsidRPr="00CE4CB9" w:rsidRDefault="00CE4CB9" w:rsidP="00607058">
            <w:pPr>
              <w:spacing w:after="0" w:line="240" w:lineRule="auto"/>
              <w:jc w:val="center"/>
              <w:rPr>
                <w:rFonts w:ascii="Aptos Narrow" w:eastAsia="Times New Roman" w:hAnsi="Aptos Narrow" w:cs="Times New Roman"/>
                <w:color w:val="000000"/>
                <w:sz w:val="20"/>
                <w:szCs w:val="20"/>
                <w:lang w:eastAsia="de-DE"/>
              </w:rPr>
            </w:pPr>
            <w:r w:rsidRPr="00607058">
              <w:rPr>
                <w:rFonts w:ascii="Aptos Narrow" w:hAnsi="Aptos Narrow"/>
                <w:color w:val="000000"/>
                <w:sz w:val="20"/>
                <w:szCs w:val="20"/>
              </w:rPr>
              <w:t>Yes</w:t>
            </w:r>
          </w:p>
        </w:tc>
        <w:tc>
          <w:tcPr>
            <w:tcW w:w="554" w:type="pct"/>
            <w:tcBorders>
              <w:top w:val="nil"/>
              <w:left w:val="nil"/>
              <w:bottom w:val="nil"/>
              <w:right w:val="nil"/>
            </w:tcBorders>
            <w:shd w:val="clear" w:color="auto" w:fill="auto"/>
            <w:noWrap/>
            <w:vAlign w:val="center"/>
            <w:hideMark/>
          </w:tcPr>
          <w:p w14:paraId="0DC3BBEE" w14:textId="4981A204"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4" w:type="pct"/>
            <w:tcBorders>
              <w:top w:val="nil"/>
              <w:left w:val="nil"/>
              <w:bottom w:val="nil"/>
              <w:right w:val="nil"/>
            </w:tcBorders>
            <w:shd w:val="clear" w:color="auto" w:fill="auto"/>
            <w:noWrap/>
            <w:vAlign w:val="center"/>
            <w:hideMark/>
          </w:tcPr>
          <w:p w14:paraId="290D41ED"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4" w:type="pct"/>
            <w:tcBorders>
              <w:top w:val="nil"/>
              <w:left w:val="nil"/>
              <w:bottom w:val="nil"/>
              <w:right w:val="nil"/>
            </w:tcBorders>
            <w:shd w:val="clear" w:color="auto" w:fill="auto"/>
            <w:noWrap/>
            <w:vAlign w:val="center"/>
            <w:hideMark/>
          </w:tcPr>
          <w:p w14:paraId="7CA6D7DE"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5" w:type="pct"/>
            <w:tcBorders>
              <w:top w:val="nil"/>
              <w:left w:val="nil"/>
              <w:bottom w:val="nil"/>
              <w:right w:val="nil"/>
            </w:tcBorders>
            <w:shd w:val="clear" w:color="auto" w:fill="auto"/>
            <w:noWrap/>
            <w:vAlign w:val="center"/>
            <w:hideMark/>
          </w:tcPr>
          <w:p w14:paraId="27B45763"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3" w:type="pct"/>
            <w:tcBorders>
              <w:top w:val="nil"/>
              <w:left w:val="nil"/>
              <w:bottom w:val="nil"/>
              <w:right w:val="nil"/>
            </w:tcBorders>
            <w:shd w:val="clear" w:color="auto" w:fill="auto"/>
            <w:noWrap/>
            <w:vAlign w:val="center"/>
            <w:hideMark/>
          </w:tcPr>
          <w:p w14:paraId="4C892EA1"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r>
      <w:tr w:rsidR="00CE4CB9" w:rsidRPr="00633995" w14:paraId="12AD1C00" w14:textId="77777777" w:rsidTr="00607058">
        <w:trPr>
          <w:trHeight w:val="20"/>
        </w:trPr>
        <w:tc>
          <w:tcPr>
            <w:tcW w:w="1123" w:type="pct"/>
            <w:tcBorders>
              <w:top w:val="nil"/>
              <w:left w:val="nil"/>
              <w:bottom w:val="nil"/>
              <w:right w:val="nil"/>
            </w:tcBorders>
            <w:shd w:val="clear" w:color="auto" w:fill="auto"/>
            <w:noWrap/>
            <w:vAlign w:val="center"/>
            <w:hideMark/>
          </w:tcPr>
          <w:p w14:paraId="2820D7BA" w14:textId="77777777" w:rsidR="00CE4CB9" w:rsidRPr="00513BF1" w:rsidRDefault="00CE4CB9" w:rsidP="00CE4CB9">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FE Imp-Year</w:t>
            </w:r>
          </w:p>
        </w:tc>
        <w:tc>
          <w:tcPr>
            <w:tcW w:w="553" w:type="pct"/>
            <w:tcBorders>
              <w:top w:val="nil"/>
              <w:left w:val="nil"/>
              <w:bottom w:val="nil"/>
              <w:right w:val="nil"/>
            </w:tcBorders>
            <w:vAlign w:val="center"/>
          </w:tcPr>
          <w:p w14:paraId="48514DEB" w14:textId="4CD2AF5C" w:rsidR="00CE4CB9" w:rsidRPr="00CE4CB9" w:rsidRDefault="00CE4CB9" w:rsidP="00607058">
            <w:pPr>
              <w:spacing w:after="0" w:line="240" w:lineRule="auto"/>
              <w:jc w:val="center"/>
              <w:rPr>
                <w:rFonts w:ascii="Aptos Narrow" w:eastAsia="Times New Roman" w:hAnsi="Aptos Narrow" w:cs="Times New Roman"/>
                <w:color w:val="000000"/>
                <w:sz w:val="20"/>
                <w:szCs w:val="20"/>
                <w:lang w:eastAsia="de-DE"/>
              </w:rPr>
            </w:pPr>
            <w:r w:rsidRPr="00607058">
              <w:rPr>
                <w:rFonts w:ascii="Aptos Narrow" w:hAnsi="Aptos Narrow"/>
                <w:color w:val="000000"/>
                <w:sz w:val="20"/>
                <w:szCs w:val="20"/>
              </w:rPr>
              <w:t>Yes</w:t>
            </w:r>
          </w:p>
        </w:tc>
        <w:tc>
          <w:tcPr>
            <w:tcW w:w="554" w:type="pct"/>
            <w:tcBorders>
              <w:top w:val="nil"/>
              <w:left w:val="nil"/>
              <w:bottom w:val="nil"/>
              <w:right w:val="nil"/>
            </w:tcBorders>
            <w:vAlign w:val="center"/>
          </w:tcPr>
          <w:p w14:paraId="72270304" w14:textId="499E331D" w:rsidR="00CE4CB9" w:rsidRPr="00CE4CB9" w:rsidRDefault="00CE4CB9" w:rsidP="00607058">
            <w:pPr>
              <w:spacing w:after="0" w:line="240" w:lineRule="auto"/>
              <w:jc w:val="center"/>
              <w:rPr>
                <w:rFonts w:ascii="Aptos Narrow" w:eastAsia="Times New Roman" w:hAnsi="Aptos Narrow" w:cs="Times New Roman"/>
                <w:color w:val="000000"/>
                <w:sz w:val="20"/>
                <w:szCs w:val="20"/>
                <w:lang w:eastAsia="de-DE"/>
              </w:rPr>
            </w:pPr>
            <w:r w:rsidRPr="00607058">
              <w:rPr>
                <w:rFonts w:ascii="Aptos Narrow" w:hAnsi="Aptos Narrow"/>
                <w:color w:val="000000"/>
                <w:sz w:val="20"/>
                <w:szCs w:val="20"/>
              </w:rPr>
              <w:t>Yes</w:t>
            </w:r>
          </w:p>
        </w:tc>
        <w:tc>
          <w:tcPr>
            <w:tcW w:w="554" w:type="pct"/>
            <w:tcBorders>
              <w:top w:val="nil"/>
              <w:left w:val="nil"/>
              <w:bottom w:val="nil"/>
              <w:right w:val="nil"/>
            </w:tcBorders>
            <w:shd w:val="clear" w:color="auto" w:fill="auto"/>
            <w:noWrap/>
            <w:vAlign w:val="center"/>
            <w:hideMark/>
          </w:tcPr>
          <w:p w14:paraId="0F00D563" w14:textId="6F19B568"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4" w:type="pct"/>
            <w:tcBorders>
              <w:top w:val="nil"/>
              <w:left w:val="nil"/>
              <w:bottom w:val="nil"/>
              <w:right w:val="nil"/>
            </w:tcBorders>
            <w:shd w:val="clear" w:color="auto" w:fill="auto"/>
            <w:noWrap/>
            <w:vAlign w:val="center"/>
            <w:hideMark/>
          </w:tcPr>
          <w:p w14:paraId="2E06F023"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4" w:type="pct"/>
            <w:tcBorders>
              <w:top w:val="nil"/>
              <w:left w:val="nil"/>
              <w:bottom w:val="nil"/>
              <w:right w:val="nil"/>
            </w:tcBorders>
            <w:shd w:val="clear" w:color="auto" w:fill="auto"/>
            <w:noWrap/>
            <w:vAlign w:val="center"/>
            <w:hideMark/>
          </w:tcPr>
          <w:p w14:paraId="5B3738E4"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5" w:type="pct"/>
            <w:tcBorders>
              <w:top w:val="nil"/>
              <w:left w:val="nil"/>
              <w:bottom w:val="nil"/>
              <w:right w:val="nil"/>
            </w:tcBorders>
            <w:shd w:val="clear" w:color="auto" w:fill="auto"/>
            <w:noWrap/>
            <w:vAlign w:val="center"/>
            <w:hideMark/>
          </w:tcPr>
          <w:p w14:paraId="708E7C49"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3" w:type="pct"/>
            <w:tcBorders>
              <w:top w:val="nil"/>
              <w:left w:val="nil"/>
              <w:bottom w:val="nil"/>
              <w:right w:val="nil"/>
            </w:tcBorders>
            <w:shd w:val="clear" w:color="auto" w:fill="auto"/>
            <w:noWrap/>
            <w:vAlign w:val="center"/>
            <w:hideMark/>
          </w:tcPr>
          <w:p w14:paraId="2542E738"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r>
      <w:tr w:rsidR="00CE4CB9" w:rsidRPr="00633995" w14:paraId="55932CDE" w14:textId="77777777" w:rsidTr="00607058">
        <w:trPr>
          <w:trHeight w:val="20"/>
        </w:trPr>
        <w:tc>
          <w:tcPr>
            <w:tcW w:w="1123" w:type="pct"/>
            <w:tcBorders>
              <w:top w:val="nil"/>
              <w:left w:val="nil"/>
              <w:bottom w:val="nil"/>
              <w:right w:val="nil"/>
            </w:tcBorders>
            <w:shd w:val="clear" w:color="auto" w:fill="auto"/>
            <w:noWrap/>
            <w:vAlign w:val="center"/>
            <w:hideMark/>
          </w:tcPr>
          <w:p w14:paraId="1617D883" w14:textId="77777777" w:rsidR="00CE4CB9" w:rsidRPr="00513BF1" w:rsidRDefault="00CE4CB9" w:rsidP="00CE4CB9">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Trend effects</w:t>
            </w:r>
          </w:p>
        </w:tc>
        <w:tc>
          <w:tcPr>
            <w:tcW w:w="553" w:type="pct"/>
            <w:tcBorders>
              <w:top w:val="nil"/>
              <w:left w:val="nil"/>
              <w:bottom w:val="nil"/>
              <w:right w:val="nil"/>
            </w:tcBorders>
            <w:vAlign w:val="center"/>
          </w:tcPr>
          <w:p w14:paraId="1AE7B9EC" w14:textId="551BBF71" w:rsidR="00CE4CB9" w:rsidRPr="00CE4CB9" w:rsidRDefault="00CE4CB9" w:rsidP="00607058">
            <w:pPr>
              <w:spacing w:after="0" w:line="240" w:lineRule="auto"/>
              <w:jc w:val="center"/>
              <w:rPr>
                <w:rFonts w:ascii="Aptos Narrow" w:eastAsia="Times New Roman" w:hAnsi="Aptos Narrow" w:cs="Times New Roman"/>
                <w:color w:val="000000"/>
                <w:sz w:val="20"/>
                <w:szCs w:val="20"/>
                <w:lang w:eastAsia="de-DE"/>
              </w:rPr>
            </w:pPr>
            <w:r w:rsidRPr="00607058">
              <w:rPr>
                <w:rFonts w:ascii="Aptos Narrow" w:hAnsi="Aptos Narrow"/>
                <w:color w:val="000000"/>
                <w:sz w:val="20"/>
                <w:szCs w:val="20"/>
              </w:rPr>
              <w:t>Yes</w:t>
            </w:r>
          </w:p>
        </w:tc>
        <w:tc>
          <w:tcPr>
            <w:tcW w:w="554" w:type="pct"/>
            <w:tcBorders>
              <w:top w:val="nil"/>
              <w:left w:val="nil"/>
              <w:bottom w:val="nil"/>
              <w:right w:val="nil"/>
            </w:tcBorders>
            <w:vAlign w:val="center"/>
          </w:tcPr>
          <w:p w14:paraId="46D44AEE" w14:textId="248C3F13" w:rsidR="00CE4CB9" w:rsidRPr="00CE4CB9" w:rsidRDefault="00CE4CB9" w:rsidP="00607058">
            <w:pPr>
              <w:spacing w:after="0" w:line="240" w:lineRule="auto"/>
              <w:jc w:val="center"/>
              <w:rPr>
                <w:rFonts w:ascii="Aptos Narrow" w:eastAsia="Times New Roman" w:hAnsi="Aptos Narrow" w:cs="Times New Roman"/>
                <w:color w:val="000000"/>
                <w:sz w:val="20"/>
                <w:szCs w:val="20"/>
                <w:lang w:eastAsia="de-DE"/>
              </w:rPr>
            </w:pPr>
            <w:r w:rsidRPr="00607058">
              <w:rPr>
                <w:rFonts w:ascii="Aptos Narrow" w:hAnsi="Aptos Narrow"/>
                <w:color w:val="000000"/>
                <w:sz w:val="20"/>
                <w:szCs w:val="20"/>
              </w:rPr>
              <w:t>Yes</w:t>
            </w:r>
          </w:p>
        </w:tc>
        <w:tc>
          <w:tcPr>
            <w:tcW w:w="554" w:type="pct"/>
            <w:tcBorders>
              <w:top w:val="nil"/>
              <w:left w:val="nil"/>
              <w:bottom w:val="nil"/>
              <w:right w:val="nil"/>
            </w:tcBorders>
            <w:shd w:val="clear" w:color="auto" w:fill="auto"/>
            <w:noWrap/>
            <w:vAlign w:val="center"/>
            <w:hideMark/>
          </w:tcPr>
          <w:p w14:paraId="2BD9C905" w14:textId="5DAB97B4"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4" w:type="pct"/>
            <w:tcBorders>
              <w:top w:val="nil"/>
              <w:left w:val="nil"/>
              <w:bottom w:val="nil"/>
              <w:right w:val="nil"/>
            </w:tcBorders>
            <w:shd w:val="clear" w:color="auto" w:fill="auto"/>
            <w:noWrap/>
            <w:vAlign w:val="center"/>
            <w:hideMark/>
          </w:tcPr>
          <w:p w14:paraId="5D019DD4"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4" w:type="pct"/>
            <w:tcBorders>
              <w:top w:val="nil"/>
              <w:left w:val="nil"/>
              <w:bottom w:val="nil"/>
              <w:right w:val="nil"/>
            </w:tcBorders>
            <w:shd w:val="clear" w:color="auto" w:fill="auto"/>
            <w:noWrap/>
            <w:vAlign w:val="center"/>
            <w:hideMark/>
          </w:tcPr>
          <w:p w14:paraId="2210C621"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5" w:type="pct"/>
            <w:tcBorders>
              <w:top w:val="nil"/>
              <w:left w:val="nil"/>
              <w:bottom w:val="nil"/>
              <w:right w:val="nil"/>
            </w:tcBorders>
            <w:shd w:val="clear" w:color="auto" w:fill="auto"/>
            <w:noWrap/>
            <w:vAlign w:val="center"/>
            <w:hideMark/>
          </w:tcPr>
          <w:p w14:paraId="788D99FB"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553" w:type="pct"/>
            <w:tcBorders>
              <w:top w:val="nil"/>
              <w:left w:val="nil"/>
              <w:bottom w:val="nil"/>
              <w:right w:val="nil"/>
            </w:tcBorders>
            <w:shd w:val="clear" w:color="auto" w:fill="auto"/>
            <w:noWrap/>
            <w:vAlign w:val="center"/>
            <w:hideMark/>
          </w:tcPr>
          <w:p w14:paraId="6B5922A6"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r>
      <w:tr w:rsidR="00CE4CB9" w:rsidRPr="00633995" w14:paraId="5B8EBC00" w14:textId="77777777" w:rsidTr="00607058">
        <w:trPr>
          <w:trHeight w:val="20"/>
        </w:trPr>
        <w:tc>
          <w:tcPr>
            <w:tcW w:w="1123" w:type="pct"/>
            <w:tcBorders>
              <w:top w:val="nil"/>
              <w:left w:val="nil"/>
              <w:bottom w:val="single" w:sz="4" w:space="0" w:color="auto"/>
              <w:right w:val="nil"/>
            </w:tcBorders>
            <w:shd w:val="clear" w:color="auto" w:fill="auto"/>
            <w:noWrap/>
            <w:vAlign w:val="center"/>
            <w:hideMark/>
          </w:tcPr>
          <w:p w14:paraId="0A2D3684" w14:textId="77777777" w:rsidR="00CE4CB9" w:rsidRPr="00513BF1" w:rsidRDefault="00CE4CB9" w:rsidP="00CE4CB9">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Two-way cluster</w:t>
            </w:r>
          </w:p>
        </w:tc>
        <w:tc>
          <w:tcPr>
            <w:tcW w:w="553" w:type="pct"/>
            <w:tcBorders>
              <w:top w:val="nil"/>
              <w:left w:val="nil"/>
              <w:bottom w:val="single" w:sz="4" w:space="0" w:color="auto"/>
              <w:right w:val="nil"/>
            </w:tcBorders>
            <w:vAlign w:val="center"/>
          </w:tcPr>
          <w:p w14:paraId="3DF39A62" w14:textId="335C7A65" w:rsidR="00CE4CB9" w:rsidRPr="00CE4CB9" w:rsidRDefault="00CE4CB9" w:rsidP="00607058">
            <w:pPr>
              <w:spacing w:after="0" w:line="240" w:lineRule="auto"/>
              <w:jc w:val="center"/>
              <w:rPr>
                <w:rFonts w:ascii="Aptos Narrow" w:eastAsia="Times New Roman" w:hAnsi="Aptos Narrow" w:cs="Times New Roman"/>
                <w:color w:val="000000"/>
                <w:sz w:val="20"/>
                <w:szCs w:val="20"/>
                <w:lang w:eastAsia="de-DE"/>
              </w:rPr>
            </w:pPr>
            <w:r w:rsidRPr="00607058">
              <w:rPr>
                <w:rFonts w:ascii="Aptos Narrow" w:hAnsi="Aptos Narrow"/>
                <w:color w:val="000000"/>
                <w:sz w:val="20"/>
                <w:szCs w:val="20"/>
              </w:rPr>
              <w:t>Pair &amp; Year</w:t>
            </w:r>
          </w:p>
        </w:tc>
        <w:tc>
          <w:tcPr>
            <w:tcW w:w="554" w:type="pct"/>
            <w:tcBorders>
              <w:top w:val="nil"/>
              <w:left w:val="nil"/>
              <w:bottom w:val="single" w:sz="4" w:space="0" w:color="auto"/>
              <w:right w:val="nil"/>
            </w:tcBorders>
            <w:vAlign w:val="center"/>
          </w:tcPr>
          <w:p w14:paraId="4576876E" w14:textId="7DD03AE5" w:rsidR="00CE4CB9" w:rsidRPr="00CE4CB9" w:rsidRDefault="00CE4CB9" w:rsidP="00607058">
            <w:pPr>
              <w:spacing w:after="0" w:line="240" w:lineRule="auto"/>
              <w:jc w:val="center"/>
              <w:rPr>
                <w:rFonts w:ascii="Aptos Narrow" w:eastAsia="Times New Roman" w:hAnsi="Aptos Narrow" w:cs="Times New Roman"/>
                <w:color w:val="000000"/>
                <w:sz w:val="20"/>
                <w:szCs w:val="20"/>
                <w:lang w:eastAsia="de-DE"/>
              </w:rPr>
            </w:pPr>
            <w:r w:rsidRPr="00607058">
              <w:rPr>
                <w:rFonts w:ascii="Aptos Narrow" w:hAnsi="Aptos Narrow"/>
                <w:color w:val="000000"/>
                <w:sz w:val="20"/>
                <w:szCs w:val="20"/>
              </w:rPr>
              <w:t>Pair &amp; Year</w:t>
            </w:r>
          </w:p>
        </w:tc>
        <w:tc>
          <w:tcPr>
            <w:tcW w:w="554" w:type="pct"/>
            <w:tcBorders>
              <w:top w:val="nil"/>
              <w:left w:val="nil"/>
              <w:bottom w:val="single" w:sz="4" w:space="0" w:color="auto"/>
              <w:right w:val="nil"/>
            </w:tcBorders>
            <w:shd w:val="clear" w:color="auto" w:fill="auto"/>
            <w:noWrap/>
            <w:vAlign w:val="center"/>
            <w:hideMark/>
          </w:tcPr>
          <w:p w14:paraId="03910EB8" w14:textId="594B6F24"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Pair &amp; Year</w:t>
            </w:r>
          </w:p>
        </w:tc>
        <w:tc>
          <w:tcPr>
            <w:tcW w:w="554" w:type="pct"/>
            <w:tcBorders>
              <w:top w:val="nil"/>
              <w:left w:val="nil"/>
              <w:bottom w:val="single" w:sz="4" w:space="0" w:color="auto"/>
              <w:right w:val="nil"/>
            </w:tcBorders>
            <w:shd w:val="clear" w:color="auto" w:fill="auto"/>
            <w:noWrap/>
            <w:vAlign w:val="center"/>
            <w:hideMark/>
          </w:tcPr>
          <w:p w14:paraId="6EEE5520"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Pair &amp; Year</w:t>
            </w:r>
          </w:p>
        </w:tc>
        <w:tc>
          <w:tcPr>
            <w:tcW w:w="554" w:type="pct"/>
            <w:tcBorders>
              <w:top w:val="nil"/>
              <w:left w:val="nil"/>
              <w:bottom w:val="single" w:sz="4" w:space="0" w:color="auto"/>
              <w:right w:val="nil"/>
            </w:tcBorders>
            <w:shd w:val="clear" w:color="auto" w:fill="auto"/>
            <w:noWrap/>
            <w:vAlign w:val="center"/>
            <w:hideMark/>
          </w:tcPr>
          <w:p w14:paraId="484493E0"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Pair &amp; Year</w:t>
            </w:r>
          </w:p>
        </w:tc>
        <w:tc>
          <w:tcPr>
            <w:tcW w:w="555" w:type="pct"/>
            <w:tcBorders>
              <w:top w:val="nil"/>
              <w:left w:val="nil"/>
              <w:bottom w:val="single" w:sz="4" w:space="0" w:color="auto"/>
              <w:right w:val="nil"/>
            </w:tcBorders>
            <w:shd w:val="clear" w:color="auto" w:fill="auto"/>
            <w:noWrap/>
            <w:vAlign w:val="center"/>
            <w:hideMark/>
          </w:tcPr>
          <w:p w14:paraId="09E9DDE8"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Pair &amp; Year</w:t>
            </w:r>
          </w:p>
        </w:tc>
        <w:tc>
          <w:tcPr>
            <w:tcW w:w="553" w:type="pct"/>
            <w:tcBorders>
              <w:top w:val="nil"/>
              <w:left w:val="nil"/>
              <w:bottom w:val="single" w:sz="4" w:space="0" w:color="auto"/>
              <w:right w:val="nil"/>
            </w:tcBorders>
            <w:shd w:val="clear" w:color="auto" w:fill="auto"/>
            <w:noWrap/>
            <w:vAlign w:val="center"/>
            <w:hideMark/>
          </w:tcPr>
          <w:p w14:paraId="6BF2C57A" w14:textId="77777777" w:rsidR="00CE4CB9" w:rsidRPr="00513BF1" w:rsidRDefault="00CE4CB9" w:rsidP="00607058">
            <w:pPr>
              <w:spacing w:after="0" w:line="240" w:lineRule="auto"/>
              <w:jc w:val="center"/>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Pair &amp; Year</w:t>
            </w:r>
          </w:p>
        </w:tc>
      </w:tr>
    </w:tbl>
    <w:p w14:paraId="10809C0F" w14:textId="119906F9" w:rsidR="00DC5101" w:rsidRDefault="00457695" w:rsidP="0011538D">
      <w:pPr>
        <w:spacing w:after="240"/>
        <w:jc w:val="both"/>
        <w:rPr>
          <w:sz w:val="18"/>
          <w:szCs w:val="18"/>
        </w:rPr>
      </w:pPr>
      <w:r w:rsidRPr="00633995">
        <w:rPr>
          <w:sz w:val="18"/>
          <w:szCs w:val="18"/>
        </w:rPr>
        <w:t>Notes:</w:t>
      </w:r>
      <w:r w:rsidR="00543250">
        <w:rPr>
          <w:sz w:val="18"/>
          <w:szCs w:val="18"/>
        </w:rPr>
        <w:t xml:space="preserve"> Dependent variable: </w:t>
      </w:r>
      <w:r w:rsidR="00687EF0">
        <w:rPr>
          <w:sz w:val="18"/>
          <w:szCs w:val="18"/>
        </w:rPr>
        <w:t xml:space="preserve">digital exports (EXP). </w:t>
      </w:r>
      <w:r w:rsidRPr="00633995">
        <w:rPr>
          <w:sz w:val="18"/>
          <w:szCs w:val="18"/>
        </w:rPr>
        <w:t xml:space="preserve"> *, **, and *** denote 10%, 5% and 1% significance levels with p-values in parenthesis. FE</w:t>
      </w:r>
      <w:r w:rsidR="00687EF0">
        <w:rPr>
          <w:sz w:val="18"/>
          <w:szCs w:val="18"/>
        </w:rPr>
        <w:t>:</w:t>
      </w:r>
      <w:r w:rsidRPr="00633995">
        <w:rPr>
          <w:sz w:val="18"/>
          <w:szCs w:val="18"/>
        </w:rPr>
        <w:t xml:space="preserve"> fixed effects. </w:t>
      </w:r>
      <w:r w:rsidRPr="00CA3B05">
        <w:rPr>
          <w:i/>
          <w:iCs/>
          <w:sz w:val="18"/>
          <w:szCs w:val="18"/>
        </w:rPr>
        <w:t>SH</w:t>
      </w:r>
      <w:r w:rsidR="005D1FF6" w:rsidRPr="00633995">
        <w:rPr>
          <w:sz w:val="18"/>
          <w:szCs w:val="18"/>
        </w:rPr>
        <w:t>:</w:t>
      </w:r>
      <w:r w:rsidRPr="00633995">
        <w:rPr>
          <w:sz w:val="18"/>
          <w:szCs w:val="18"/>
        </w:rPr>
        <w:t xml:space="preserve"> Safe Harbor</w:t>
      </w:r>
      <w:r w:rsidR="005D1FF6" w:rsidRPr="00633995">
        <w:rPr>
          <w:sz w:val="18"/>
          <w:szCs w:val="18"/>
        </w:rPr>
        <w:t xml:space="preserve">; </w:t>
      </w:r>
      <w:r w:rsidR="005D1FF6" w:rsidRPr="00CA3B05">
        <w:rPr>
          <w:i/>
          <w:iCs/>
          <w:sz w:val="18"/>
          <w:szCs w:val="18"/>
        </w:rPr>
        <w:t>PS</w:t>
      </w:r>
      <w:r w:rsidR="005D1FF6" w:rsidRPr="00633995">
        <w:rPr>
          <w:sz w:val="18"/>
          <w:szCs w:val="18"/>
        </w:rPr>
        <w:t xml:space="preserve">: </w:t>
      </w:r>
      <w:r w:rsidRPr="00633995">
        <w:rPr>
          <w:sz w:val="18"/>
          <w:szCs w:val="18"/>
        </w:rPr>
        <w:t>Privacy Shield</w:t>
      </w:r>
      <w:r w:rsidR="005D1FF6" w:rsidRPr="00633995">
        <w:rPr>
          <w:sz w:val="18"/>
          <w:szCs w:val="18"/>
        </w:rPr>
        <w:t xml:space="preserve">; </w:t>
      </w:r>
      <w:r w:rsidR="006A2677" w:rsidRPr="00CA3B05">
        <w:rPr>
          <w:i/>
          <w:iCs/>
          <w:sz w:val="18"/>
          <w:szCs w:val="18"/>
        </w:rPr>
        <w:t>R</w:t>
      </w:r>
      <w:r w:rsidRPr="00CA3B05">
        <w:rPr>
          <w:i/>
          <w:iCs/>
          <w:sz w:val="18"/>
          <w:szCs w:val="18"/>
        </w:rPr>
        <w:t>ADQ</w:t>
      </w:r>
      <w:r w:rsidR="005D1FF6" w:rsidRPr="00633995">
        <w:rPr>
          <w:sz w:val="18"/>
          <w:szCs w:val="18"/>
        </w:rPr>
        <w:t xml:space="preserve">: </w:t>
      </w:r>
      <w:r w:rsidR="00361B4C" w:rsidRPr="00633995">
        <w:rPr>
          <w:sz w:val="18"/>
          <w:szCs w:val="18"/>
        </w:rPr>
        <w:t>regular</w:t>
      </w:r>
      <w:r w:rsidRPr="00633995">
        <w:rPr>
          <w:sz w:val="18"/>
          <w:szCs w:val="18"/>
        </w:rPr>
        <w:t xml:space="preserve"> adequacy</w:t>
      </w:r>
      <w:r w:rsidR="005D1FF6" w:rsidRPr="00633995">
        <w:rPr>
          <w:sz w:val="18"/>
          <w:szCs w:val="18"/>
        </w:rPr>
        <w:t xml:space="preserve"> agreement; </w:t>
      </w:r>
      <w:r w:rsidR="006A2677" w:rsidRPr="00CA3B05">
        <w:rPr>
          <w:i/>
          <w:iCs/>
          <w:sz w:val="18"/>
          <w:szCs w:val="18"/>
        </w:rPr>
        <w:t>R</w:t>
      </w:r>
      <w:r w:rsidR="003C418D" w:rsidRPr="00CA3B05">
        <w:rPr>
          <w:i/>
          <w:iCs/>
          <w:sz w:val="18"/>
          <w:szCs w:val="18"/>
        </w:rPr>
        <w:t>ADQ</w:t>
      </w:r>
      <w:r w:rsidR="0052456A" w:rsidRPr="00CA3B05">
        <w:rPr>
          <w:i/>
          <w:iCs/>
          <w:sz w:val="18"/>
          <w:szCs w:val="18"/>
          <w:vertAlign w:val="superscript"/>
        </w:rPr>
        <w:t>Club</w:t>
      </w:r>
      <w:r w:rsidR="005D1FF6" w:rsidRPr="00633995">
        <w:rPr>
          <w:sz w:val="18"/>
          <w:szCs w:val="18"/>
        </w:rPr>
        <w:t xml:space="preserve">: </w:t>
      </w:r>
      <w:r w:rsidR="0052456A" w:rsidRPr="00633995">
        <w:rPr>
          <w:sz w:val="18"/>
          <w:szCs w:val="18"/>
        </w:rPr>
        <w:t>club</w:t>
      </w:r>
      <w:r w:rsidRPr="00633995">
        <w:rPr>
          <w:sz w:val="18"/>
          <w:szCs w:val="18"/>
        </w:rPr>
        <w:t xml:space="preserve"> effect</w:t>
      </w:r>
      <w:r w:rsidR="003C418D" w:rsidRPr="00633995">
        <w:rPr>
          <w:sz w:val="18"/>
          <w:szCs w:val="18"/>
        </w:rPr>
        <w:t xml:space="preserve"> between </w:t>
      </w:r>
      <w:r w:rsidR="00361B4C" w:rsidRPr="00633995">
        <w:rPr>
          <w:sz w:val="18"/>
          <w:szCs w:val="18"/>
        </w:rPr>
        <w:t>regular</w:t>
      </w:r>
      <w:r w:rsidR="003C418D" w:rsidRPr="00633995">
        <w:rPr>
          <w:sz w:val="18"/>
          <w:szCs w:val="18"/>
        </w:rPr>
        <w:t xml:space="preserve"> adequate countries; </w:t>
      </w:r>
      <w:r w:rsidR="003C418D" w:rsidRPr="00CA3B05">
        <w:rPr>
          <w:i/>
          <w:iCs/>
          <w:sz w:val="18"/>
          <w:szCs w:val="18"/>
        </w:rPr>
        <w:t>SH/PS</w:t>
      </w:r>
      <w:r w:rsidR="006A2677" w:rsidRPr="00CA3B05">
        <w:rPr>
          <w:i/>
          <w:iCs/>
          <w:sz w:val="18"/>
          <w:szCs w:val="18"/>
          <w:vertAlign w:val="superscript"/>
        </w:rPr>
        <w:t>Club</w:t>
      </w:r>
      <w:r w:rsidR="003C418D" w:rsidRPr="00633995">
        <w:rPr>
          <w:sz w:val="18"/>
          <w:szCs w:val="18"/>
        </w:rPr>
        <w:t xml:space="preserve">: </w:t>
      </w:r>
      <w:r w:rsidR="006A2677" w:rsidRPr="00633995">
        <w:rPr>
          <w:sz w:val="18"/>
          <w:szCs w:val="18"/>
        </w:rPr>
        <w:t>club</w:t>
      </w:r>
      <w:r w:rsidR="003C418D" w:rsidRPr="00633995">
        <w:rPr>
          <w:sz w:val="18"/>
          <w:szCs w:val="18"/>
        </w:rPr>
        <w:t xml:space="preserve"> effect including the US</w:t>
      </w:r>
      <w:r w:rsidR="001F25A2">
        <w:rPr>
          <w:sz w:val="18"/>
          <w:szCs w:val="18"/>
        </w:rPr>
        <w:t>.</w:t>
      </w:r>
      <w:r w:rsidRPr="00633995">
        <w:rPr>
          <w:sz w:val="18"/>
          <w:szCs w:val="18"/>
        </w:rPr>
        <w:t xml:space="preserve"> </w:t>
      </w:r>
    </w:p>
    <w:p w14:paraId="27B68011" w14:textId="4C9CABB5" w:rsidR="00342952" w:rsidRPr="00633995" w:rsidRDefault="006D62D6" w:rsidP="007A2712">
      <w:pPr>
        <w:spacing w:before="360" w:after="120" w:line="240" w:lineRule="auto"/>
        <w:jc w:val="both"/>
        <w:rPr>
          <w:b/>
          <w:bCs/>
        </w:rPr>
      </w:pPr>
      <w:r w:rsidRPr="00633995">
        <w:rPr>
          <w:b/>
          <w:bCs/>
        </w:rPr>
        <w:t xml:space="preserve">4 </w:t>
      </w:r>
      <w:r w:rsidR="005D34BF" w:rsidRPr="00633995">
        <w:rPr>
          <w:b/>
          <w:bCs/>
        </w:rPr>
        <w:t>Pool</w:t>
      </w:r>
      <w:r w:rsidR="002F3DB2" w:rsidRPr="00633995">
        <w:rPr>
          <w:b/>
          <w:bCs/>
        </w:rPr>
        <w:t>ing across all industries</w:t>
      </w:r>
      <w:r w:rsidR="00AE22E4" w:rsidRPr="00633995">
        <w:rPr>
          <w:b/>
          <w:bCs/>
        </w:rPr>
        <w:t xml:space="preserve"> </w:t>
      </w:r>
    </w:p>
    <w:p w14:paraId="1E922FC6" w14:textId="38CBCCC2" w:rsidR="0043735C" w:rsidRPr="00633995" w:rsidRDefault="006E0AF4" w:rsidP="0011538D">
      <w:pPr>
        <w:jc w:val="both"/>
      </w:pPr>
      <w:r w:rsidRPr="00633995">
        <w:t>The r</w:t>
      </w:r>
      <w:r w:rsidR="00342952" w:rsidRPr="00633995">
        <w:t xml:space="preserve">esults </w:t>
      </w:r>
      <w:r w:rsidRPr="00633995">
        <w:t xml:space="preserve">in Table 1 </w:t>
      </w:r>
      <w:r w:rsidR="00ED2D93" w:rsidRPr="00633995">
        <w:t>suggest that digital trade is positively associated with adequacy decisions that involve the US</w:t>
      </w:r>
      <w:r w:rsidR="005D34BF" w:rsidRPr="00633995">
        <w:t>.</w:t>
      </w:r>
      <w:r w:rsidR="00ED2D93" w:rsidRPr="00633995">
        <w:t xml:space="preserve"> These findings </w:t>
      </w:r>
      <w:r w:rsidR="00676183" w:rsidRPr="00633995">
        <w:t xml:space="preserve">are premised on </w:t>
      </w:r>
      <w:r w:rsidR="00342952" w:rsidRPr="00633995">
        <w:t>identify</w:t>
      </w:r>
      <w:r w:rsidR="00276096" w:rsidRPr="00633995">
        <w:t>ing</w:t>
      </w:r>
      <w:r w:rsidR="00342952" w:rsidRPr="00633995">
        <w:t xml:space="preserve"> the effect of adequacy on </w:t>
      </w:r>
      <w:r w:rsidR="009B7803" w:rsidRPr="00633995">
        <w:t xml:space="preserve">aggregate </w:t>
      </w:r>
      <w:r w:rsidR="00342952" w:rsidRPr="00633995">
        <w:t xml:space="preserve">digital trade </w:t>
      </w:r>
      <w:r w:rsidR="00D1598D" w:rsidRPr="00633995">
        <w:t xml:space="preserve">using </w:t>
      </w:r>
      <w:r w:rsidR="006E561B" w:rsidRPr="00633995">
        <w:t xml:space="preserve">the time variation </w:t>
      </w:r>
      <w:r w:rsidR="00D1598D" w:rsidRPr="00633995">
        <w:t>in</w:t>
      </w:r>
      <w:r w:rsidR="006E561B" w:rsidRPr="00633995">
        <w:t xml:space="preserve"> adequacy status</w:t>
      </w:r>
      <w:r w:rsidR="00D1598D" w:rsidRPr="00633995">
        <w:t xml:space="preserve"> across countries</w:t>
      </w:r>
      <w:r w:rsidR="006E561B" w:rsidRPr="00633995">
        <w:t>.</w:t>
      </w:r>
      <w:r w:rsidR="00342952" w:rsidRPr="00633995">
        <w:t xml:space="preserve"> </w:t>
      </w:r>
      <w:r w:rsidR="006E561B" w:rsidRPr="00633995">
        <w:t xml:space="preserve">However, </w:t>
      </w:r>
      <w:r w:rsidR="00D1598D" w:rsidRPr="00633995">
        <w:lastRenderedPageBreak/>
        <w:t>insofar as c</w:t>
      </w:r>
      <w:r w:rsidR="006E561B" w:rsidRPr="00633995">
        <w:t>hanges in trade costs, prices, and demand are product</w:t>
      </w:r>
      <w:r w:rsidR="00D1598D" w:rsidRPr="00633995">
        <w:t xml:space="preserve"> or </w:t>
      </w:r>
      <w:r w:rsidR="006E561B" w:rsidRPr="00633995">
        <w:t xml:space="preserve">sector specific, </w:t>
      </w:r>
      <w:r w:rsidR="00276096" w:rsidRPr="00633995">
        <w:t xml:space="preserve">our estimates </w:t>
      </w:r>
      <w:r w:rsidR="006E561B" w:rsidRPr="00633995">
        <w:t xml:space="preserve">could hide substantial heterogeneity. </w:t>
      </w:r>
      <w:r w:rsidR="00740F40" w:rsidRPr="00633995">
        <w:t xml:space="preserve">Moreover, as </w:t>
      </w:r>
      <w:r w:rsidR="00D1598D" w:rsidRPr="00633995">
        <w:t>already mentioned,</w:t>
      </w:r>
      <w:r w:rsidR="00740F40" w:rsidRPr="00633995">
        <w:t xml:space="preserve"> </w:t>
      </w:r>
      <w:r w:rsidR="00D1598D" w:rsidRPr="00633995">
        <w:t xml:space="preserve">a range of </w:t>
      </w:r>
      <w:r w:rsidR="00740F40" w:rsidRPr="00633995">
        <w:t xml:space="preserve">industries and sectors beyond </w:t>
      </w:r>
      <w:r w:rsidR="00D1598D" w:rsidRPr="00633995">
        <w:t xml:space="preserve">those we characterize as </w:t>
      </w:r>
      <w:r w:rsidR="00740F40" w:rsidRPr="00633995">
        <w:t xml:space="preserve">digital </w:t>
      </w:r>
      <w:r w:rsidR="00D1598D" w:rsidRPr="00633995">
        <w:t xml:space="preserve">may </w:t>
      </w:r>
      <w:r w:rsidR="009470B0" w:rsidRPr="00633995">
        <w:t>rely on cross-border data transfers</w:t>
      </w:r>
      <w:r w:rsidR="00740F40" w:rsidRPr="00633995">
        <w:t xml:space="preserve">. </w:t>
      </w:r>
    </w:p>
    <w:p w14:paraId="181B5D7A" w14:textId="4B5B8E80" w:rsidR="00423516" w:rsidRPr="00633995" w:rsidRDefault="00D1598D" w:rsidP="0011538D">
      <w:pPr>
        <w:jc w:val="both"/>
        <w:rPr>
          <w:rFonts w:eastAsiaTheme="minorEastAsia"/>
        </w:rPr>
      </w:pPr>
      <w:r w:rsidRPr="00633995">
        <w:t>To address th</w:t>
      </w:r>
      <w:r w:rsidR="003C418D" w:rsidRPr="00633995">
        <w:t>is</w:t>
      </w:r>
      <w:r w:rsidRPr="00633995">
        <w:t xml:space="preserve"> possibility</w:t>
      </w:r>
      <w:r w:rsidR="00471D75" w:rsidRPr="00633995">
        <w:t>,</w:t>
      </w:r>
      <w:r w:rsidR="00276096" w:rsidRPr="00633995">
        <w:t xml:space="preserve"> w</w:t>
      </w:r>
      <w:r w:rsidR="00E93802" w:rsidRPr="00633995">
        <w:t xml:space="preserve">e </w:t>
      </w:r>
      <w:r w:rsidR="0036671F" w:rsidRPr="00633995">
        <w:t xml:space="preserve">extend </w:t>
      </w:r>
      <w:r w:rsidR="0018392E" w:rsidRPr="00633995">
        <w:t xml:space="preserve">the </w:t>
      </w:r>
      <w:r w:rsidR="0036671F" w:rsidRPr="00633995">
        <w:t xml:space="preserve">gravity </w:t>
      </w:r>
      <w:r w:rsidR="00276096" w:rsidRPr="00633995">
        <w:t xml:space="preserve">framework </w:t>
      </w:r>
      <w:r w:rsidR="00166839" w:rsidRPr="00633995">
        <w:t>by pooling</w:t>
      </w:r>
      <w:r w:rsidR="00616498" w:rsidRPr="00633995">
        <w:t xml:space="preserve"> across all industries</w:t>
      </w:r>
      <w:r w:rsidR="00276096" w:rsidRPr="00633995">
        <w:t>,</w:t>
      </w:r>
      <w:r w:rsidR="00616498" w:rsidRPr="00633995">
        <w:t xml:space="preserve"> following </w:t>
      </w:r>
      <w:r w:rsidR="00166839" w:rsidRPr="00633995">
        <w:t>French and Zylkin (2024).</w:t>
      </w:r>
      <w:r w:rsidR="00C179A2" w:rsidRPr="00633995">
        <w:rPr>
          <w:rStyle w:val="FootnoteReference"/>
          <w:rFonts w:eastAsiaTheme="minorEastAsia"/>
        </w:rPr>
        <w:footnoteReference w:id="40"/>
      </w:r>
      <w:r w:rsidR="00C179A2" w:rsidRPr="00633995">
        <w:rPr>
          <w:rFonts w:eastAsiaTheme="minorEastAsia"/>
        </w:rPr>
        <w:t xml:space="preserve"> </w:t>
      </w:r>
      <w:r w:rsidR="00423516" w:rsidRPr="00633995">
        <w:rPr>
          <w:rFonts w:eastAsiaTheme="minorEastAsia"/>
        </w:rPr>
        <w:t xml:space="preserve">In doing so, we correct for potential aggregation bias </w:t>
      </w:r>
      <w:r w:rsidR="005F4AC6" w:rsidRPr="00633995">
        <w:rPr>
          <w:rFonts w:eastAsiaTheme="minorEastAsia"/>
        </w:rPr>
        <w:t xml:space="preserve">among the treated sectors </w:t>
      </w:r>
      <w:r w:rsidR="00760D17" w:rsidRPr="00633995">
        <w:rPr>
          <w:rFonts w:eastAsiaTheme="minorEastAsia"/>
        </w:rPr>
        <w:t xml:space="preserve">and </w:t>
      </w:r>
      <w:r w:rsidR="000422C6" w:rsidRPr="00633995">
        <w:rPr>
          <w:rFonts w:eastAsiaTheme="minorEastAsia"/>
        </w:rPr>
        <w:t>control for any</w:t>
      </w:r>
      <w:r w:rsidR="00760D17" w:rsidRPr="00633995">
        <w:rPr>
          <w:rFonts w:eastAsiaTheme="minorEastAsia"/>
        </w:rPr>
        <w:t xml:space="preserve"> </w:t>
      </w:r>
      <w:r w:rsidR="00A43624" w:rsidRPr="00633995">
        <w:rPr>
          <w:rFonts w:eastAsiaTheme="minorEastAsia"/>
        </w:rPr>
        <w:t xml:space="preserve">bilateral </w:t>
      </w:r>
      <w:r w:rsidR="000422C6" w:rsidRPr="00633995">
        <w:t xml:space="preserve">time-variant unobserved factors that </w:t>
      </w:r>
      <w:r w:rsidR="00276096" w:rsidRPr="00633995">
        <w:t xml:space="preserve">influence </w:t>
      </w:r>
      <w:r w:rsidR="000422C6" w:rsidRPr="00633995">
        <w:t>bilateral digital</w:t>
      </w:r>
      <w:r w:rsidR="00276096" w:rsidRPr="00633995">
        <w:t xml:space="preserve"> trade</w:t>
      </w:r>
      <w:r w:rsidR="00C173D4" w:rsidRPr="00633995">
        <w:t xml:space="preserve"> using fixed effects</w:t>
      </w:r>
      <w:r w:rsidR="000168E4" w:rsidRPr="00633995">
        <w:t xml:space="preserve">. At the same time, </w:t>
      </w:r>
      <w:r w:rsidR="00504823" w:rsidRPr="00633995">
        <w:t>pooling across sectors</w:t>
      </w:r>
      <w:r w:rsidR="000168E4" w:rsidRPr="00633995">
        <w:t xml:space="preserve"> </w:t>
      </w:r>
      <w:r w:rsidR="00001B2E" w:rsidRPr="00633995">
        <w:t xml:space="preserve">enables us to exploit </w:t>
      </w:r>
      <w:r w:rsidR="000168E4" w:rsidRPr="00633995">
        <w:t xml:space="preserve">not only the variation over time in adequacy status, but also the variation </w:t>
      </w:r>
      <w:r w:rsidR="0018392E" w:rsidRPr="00633995">
        <w:t xml:space="preserve">in </w:t>
      </w:r>
      <w:r w:rsidR="008C7F15">
        <w:t xml:space="preserve">digital </w:t>
      </w:r>
      <w:r w:rsidR="000168E4" w:rsidRPr="00633995">
        <w:t xml:space="preserve">trade induced by adequacy </w:t>
      </w:r>
      <w:r w:rsidR="0018392E" w:rsidRPr="00633995">
        <w:t xml:space="preserve">decisions </w:t>
      </w:r>
      <w:r w:rsidR="000168E4" w:rsidRPr="00633995">
        <w:t>across</w:t>
      </w:r>
      <w:r w:rsidR="00856505" w:rsidRPr="00633995">
        <w:t xml:space="preserve"> all </w:t>
      </w:r>
      <w:r w:rsidR="000168E4" w:rsidRPr="00633995">
        <w:t>sectors</w:t>
      </w:r>
      <w:r w:rsidR="00856505" w:rsidRPr="00633995">
        <w:t xml:space="preserve"> and industries</w:t>
      </w:r>
      <w:r w:rsidR="00760D17" w:rsidRPr="00633995">
        <w:rPr>
          <w:rFonts w:eastAsiaTheme="minorEastAsia"/>
        </w:rPr>
        <w:t xml:space="preserve">. </w:t>
      </w:r>
      <w:r w:rsidR="00CF3F27" w:rsidRPr="00633995">
        <w:rPr>
          <w:rFonts w:eastAsiaTheme="minorEastAsia"/>
        </w:rPr>
        <w:t>Th</w:t>
      </w:r>
      <w:r w:rsidRPr="00633995">
        <w:rPr>
          <w:rFonts w:eastAsiaTheme="minorEastAsia"/>
        </w:rPr>
        <w:t xml:space="preserve">e approach is akin to estimating </w:t>
      </w:r>
      <w:r w:rsidR="00F51EA1" w:rsidRPr="00633995">
        <w:rPr>
          <w:rFonts w:eastAsiaTheme="minorEastAsia"/>
        </w:rPr>
        <w:t xml:space="preserve">an </w:t>
      </w:r>
      <w:r w:rsidR="00A84EAA" w:rsidRPr="00633995">
        <w:rPr>
          <w:rFonts w:eastAsiaTheme="minorEastAsia"/>
        </w:rPr>
        <w:t>A</w:t>
      </w:r>
      <w:r w:rsidR="00F51EA1" w:rsidRPr="00633995">
        <w:rPr>
          <w:rFonts w:eastAsiaTheme="minorEastAsia"/>
        </w:rPr>
        <w:t xml:space="preserve">verage </w:t>
      </w:r>
      <w:r w:rsidR="00A84EAA" w:rsidRPr="00633995">
        <w:rPr>
          <w:rFonts w:eastAsiaTheme="minorEastAsia"/>
        </w:rPr>
        <w:t>T</w:t>
      </w:r>
      <w:r w:rsidR="00F51EA1" w:rsidRPr="00633995">
        <w:rPr>
          <w:rFonts w:eastAsiaTheme="minorEastAsia"/>
        </w:rPr>
        <w:t xml:space="preserve">reatment </w:t>
      </w:r>
      <w:r w:rsidR="00A84EAA" w:rsidRPr="00633995">
        <w:rPr>
          <w:rFonts w:eastAsiaTheme="minorEastAsia"/>
        </w:rPr>
        <w:t>E</w:t>
      </w:r>
      <w:r w:rsidR="00F51EA1" w:rsidRPr="00633995">
        <w:rPr>
          <w:rFonts w:eastAsiaTheme="minorEastAsia"/>
        </w:rPr>
        <w:t>ffect</w:t>
      </w:r>
      <w:r w:rsidR="00A84EAA" w:rsidRPr="00633995">
        <w:rPr>
          <w:rFonts w:eastAsiaTheme="minorEastAsia"/>
        </w:rPr>
        <w:t xml:space="preserve"> (ATE)</w:t>
      </w:r>
      <w:r w:rsidRPr="00633995">
        <w:rPr>
          <w:rFonts w:eastAsiaTheme="minorEastAsia"/>
        </w:rPr>
        <w:t xml:space="preserve"> </w:t>
      </w:r>
      <w:r w:rsidR="008C7F15" w:rsidRPr="00633995">
        <w:rPr>
          <w:rFonts w:eastAsiaTheme="minorEastAsia"/>
        </w:rPr>
        <w:t xml:space="preserve">on a sector-by-sector basis </w:t>
      </w:r>
      <w:r w:rsidRPr="00633995">
        <w:rPr>
          <w:rFonts w:eastAsiaTheme="minorEastAsia"/>
        </w:rPr>
        <w:t xml:space="preserve">as opposed to </w:t>
      </w:r>
      <w:r w:rsidR="009B7803" w:rsidRPr="00633995">
        <w:rPr>
          <w:rFonts w:eastAsiaTheme="minorEastAsia"/>
        </w:rPr>
        <w:t>estimati</w:t>
      </w:r>
      <w:r w:rsidR="002F3DB2" w:rsidRPr="00633995">
        <w:rPr>
          <w:rFonts w:eastAsiaTheme="minorEastAsia"/>
        </w:rPr>
        <w:t>ng</w:t>
      </w:r>
      <w:r w:rsidR="009B7803" w:rsidRPr="00633995">
        <w:rPr>
          <w:rFonts w:eastAsiaTheme="minorEastAsia"/>
        </w:rPr>
        <w:t xml:space="preserve"> </w:t>
      </w:r>
      <w:r w:rsidR="002F3DB2" w:rsidRPr="00633995">
        <w:rPr>
          <w:rFonts w:eastAsiaTheme="minorEastAsia"/>
        </w:rPr>
        <w:t xml:space="preserve">an </w:t>
      </w:r>
      <w:r w:rsidR="002F3DB2" w:rsidRPr="00633995">
        <w:rPr>
          <w:rFonts w:cs="CMU Serif"/>
        </w:rPr>
        <w:t>Average Treatment Effect on the Treated sectors (ATT)</w:t>
      </w:r>
      <w:r w:rsidR="0072436A" w:rsidRPr="00633995">
        <w:rPr>
          <w:rFonts w:eastAsiaTheme="minorEastAsia"/>
        </w:rPr>
        <w:t>,</w:t>
      </w:r>
      <w:r w:rsidR="000556E4" w:rsidRPr="00633995">
        <w:rPr>
          <w:rFonts w:eastAsiaTheme="minorEastAsia"/>
        </w:rPr>
        <w:t xml:space="preserve"> </w:t>
      </w:r>
      <w:r w:rsidR="00E51FBA" w:rsidRPr="00633995">
        <w:rPr>
          <w:rFonts w:eastAsiaTheme="minorEastAsia"/>
        </w:rPr>
        <w:t xml:space="preserve">as we did before. </w:t>
      </w:r>
    </w:p>
    <w:p w14:paraId="361FC141" w14:textId="504E2659" w:rsidR="00BE4204" w:rsidRPr="00633995" w:rsidRDefault="00386AD8" w:rsidP="0011538D">
      <w:pPr>
        <w:jc w:val="both"/>
        <w:rPr>
          <w:rFonts w:eastAsiaTheme="minorEastAsia"/>
        </w:rPr>
      </w:pPr>
      <w:r>
        <w:rPr>
          <w:rFonts w:eastAsiaTheme="minorEastAsia"/>
        </w:rPr>
        <w:t>W</w:t>
      </w:r>
      <w:r w:rsidR="00BE4204" w:rsidRPr="00633995">
        <w:rPr>
          <w:rFonts w:eastAsiaTheme="minorEastAsia"/>
        </w:rPr>
        <w:t xml:space="preserve">e </w:t>
      </w:r>
      <w:r w:rsidR="00647246" w:rsidRPr="00633995">
        <w:rPr>
          <w:rFonts w:eastAsiaTheme="minorEastAsia"/>
        </w:rPr>
        <w:t xml:space="preserve">can </w:t>
      </w:r>
      <w:r w:rsidR="00BE4204" w:rsidRPr="00633995">
        <w:rPr>
          <w:rFonts w:eastAsiaTheme="minorEastAsia"/>
        </w:rPr>
        <w:t xml:space="preserve">estimate </w:t>
      </w:r>
      <w:r w:rsidR="009B7803" w:rsidRPr="00633995">
        <w:rPr>
          <w:rFonts w:eastAsiaTheme="minorEastAsia"/>
        </w:rPr>
        <w:t>the</w:t>
      </w:r>
      <w:r w:rsidR="00BE4204" w:rsidRPr="00633995">
        <w:rPr>
          <w:rFonts w:eastAsiaTheme="minorEastAsia"/>
        </w:rPr>
        <w:t xml:space="preserve"> effects of adequacy</w:t>
      </w:r>
      <w:r w:rsidR="00647246" w:rsidRPr="00633995">
        <w:rPr>
          <w:rFonts w:eastAsiaTheme="minorEastAsia"/>
        </w:rPr>
        <w:t xml:space="preserve"> and </w:t>
      </w:r>
      <w:r w:rsidR="00D1598D" w:rsidRPr="00633995">
        <w:rPr>
          <w:rFonts w:eastAsiaTheme="minorEastAsia"/>
        </w:rPr>
        <w:t xml:space="preserve">associated potential </w:t>
      </w:r>
      <w:r w:rsidR="001D49D2" w:rsidRPr="00633995">
        <w:rPr>
          <w:rFonts w:eastAsiaTheme="minorEastAsia"/>
        </w:rPr>
        <w:t>club</w:t>
      </w:r>
      <w:r w:rsidR="00647246" w:rsidRPr="00633995">
        <w:rPr>
          <w:rFonts w:eastAsiaTheme="minorEastAsia"/>
        </w:rPr>
        <w:t xml:space="preserve"> effect</w:t>
      </w:r>
      <w:r w:rsidR="00D1598D" w:rsidRPr="00633995">
        <w:rPr>
          <w:rFonts w:eastAsiaTheme="minorEastAsia"/>
        </w:rPr>
        <w:t>s</w:t>
      </w:r>
      <w:r w:rsidR="00C3294F" w:rsidRPr="00633995">
        <w:rPr>
          <w:rFonts w:eastAsiaTheme="minorEastAsia"/>
        </w:rPr>
        <w:t xml:space="preserve"> </w:t>
      </w:r>
      <w:r w:rsidR="009B7803" w:rsidRPr="00633995">
        <w:rPr>
          <w:rFonts w:eastAsiaTheme="minorEastAsia"/>
        </w:rPr>
        <w:t xml:space="preserve">by </w:t>
      </w:r>
      <w:r w:rsidR="00DF13DE" w:rsidRPr="00633995">
        <w:rPr>
          <w:rFonts w:eastAsiaTheme="minorEastAsia"/>
        </w:rPr>
        <w:t>modifying</w:t>
      </w:r>
      <w:r w:rsidR="00647246" w:rsidRPr="00633995">
        <w:rPr>
          <w:rFonts w:eastAsiaTheme="minorEastAsia"/>
        </w:rPr>
        <w:t xml:space="preserve"> equation (</w:t>
      </w:r>
      <w:r>
        <w:rPr>
          <w:rFonts w:eastAsiaTheme="minorEastAsia"/>
        </w:rPr>
        <w:t>4</w:t>
      </w:r>
      <w:r w:rsidR="00647246" w:rsidRPr="00633995">
        <w:rPr>
          <w:rFonts w:eastAsiaTheme="minorEastAsia"/>
        </w:rPr>
        <w:t xml:space="preserve">) </w:t>
      </w:r>
      <w:r w:rsidR="009933B8" w:rsidRPr="00633995">
        <w:rPr>
          <w:rFonts w:eastAsiaTheme="minorEastAsia"/>
        </w:rPr>
        <w:t xml:space="preserve">to interact the </w:t>
      </w:r>
      <m:oMath>
        <m:sSub>
          <m:sSubPr>
            <m:ctrlPr>
              <w:rPr>
                <w:rFonts w:ascii="Cambria Math" w:hAnsi="Cambria Math"/>
                <w:i/>
              </w:rPr>
            </m:ctrlPr>
          </m:sSubPr>
          <m:e>
            <m:r>
              <w:rPr>
                <w:rFonts w:ascii="Cambria Math" w:hAnsi="Cambria Math"/>
              </w:rPr>
              <m:t>ADQ</m:t>
            </m:r>
          </m:e>
          <m:sub>
            <m:r>
              <w:rPr>
                <w:rFonts w:ascii="Cambria Math" w:hAnsi="Cambria Math"/>
              </w:rPr>
              <m:t>ijt</m:t>
            </m:r>
          </m:sub>
        </m:sSub>
      </m:oMath>
      <w:r w:rsidR="009933B8" w:rsidRPr="00633995">
        <w:rPr>
          <w:rFonts w:eastAsiaTheme="minorEastAsia"/>
        </w:rPr>
        <w:t xml:space="preserve"> and</w:t>
      </w:r>
      <w:r w:rsidR="009933B8" w:rsidRPr="00633995">
        <w:t xml:space="preserve"> </w:t>
      </w:r>
      <m:oMath>
        <m:sSub>
          <m:sSubPr>
            <m:ctrlPr>
              <w:rPr>
                <w:rFonts w:ascii="Cambria Math" w:hAnsi="Cambria Math"/>
                <w:i/>
              </w:rPr>
            </m:ctrlPr>
          </m:sSubPr>
          <m:e>
            <m:r>
              <w:rPr>
                <w:rFonts w:ascii="Cambria Math" w:hAnsi="Cambria Math"/>
              </w:rPr>
              <m:t>CLB</m:t>
            </m:r>
          </m:e>
          <m:sub>
            <m:r>
              <w:rPr>
                <w:rFonts w:ascii="Cambria Math" w:hAnsi="Cambria Math"/>
              </w:rPr>
              <m:t>ijt</m:t>
            </m:r>
          </m:sub>
        </m:sSub>
      </m:oMath>
      <w:r w:rsidR="009933B8" w:rsidRPr="00633995">
        <w:rPr>
          <w:rFonts w:eastAsiaTheme="minorEastAsia"/>
        </w:rPr>
        <w:t xml:space="preserve"> </w:t>
      </w:r>
      <w:r w:rsidR="009933B8" w:rsidRPr="00633995">
        <w:t xml:space="preserve">dummy variables with </w:t>
      </w:r>
      <w:r w:rsidR="00C6092C" w:rsidRPr="00633995">
        <w:t xml:space="preserve">sector-weighted </w:t>
      </w:r>
      <w:r w:rsidR="009933B8" w:rsidRPr="00633995">
        <w:t>prox</w:t>
      </w:r>
      <w:r w:rsidR="00F67F66" w:rsidRPr="00633995">
        <w:t>ies</w:t>
      </w:r>
      <w:r w:rsidR="009933B8" w:rsidRPr="00633995">
        <w:t xml:space="preserve"> of data-intensit</w:t>
      </w:r>
      <w:r w:rsidR="00FA6D15" w:rsidRPr="00633995">
        <w:t>y</w:t>
      </w:r>
      <w:r w:rsidR="009933B8" w:rsidRPr="00633995">
        <w:t xml:space="preserve">, </w:t>
      </w:r>
      <m:oMath>
        <m:sSub>
          <m:sSubPr>
            <m:ctrlPr>
              <w:rPr>
                <w:rFonts w:ascii="Cambria Math" w:hAnsi="Cambria Math"/>
                <w:i/>
              </w:rPr>
            </m:ctrlPr>
          </m:sSubPr>
          <m:e>
            <m:r>
              <w:rPr>
                <w:rFonts w:ascii="Cambria Math" w:hAnsi="Cambria Math"/>
              </w:rPr>
              <m:t>I</m:t>
            </m:r>
          </m:e>
          <m:sub>
            <m:r>
              <w:rPr>
                <w:rFonts w:ascii="Cambria Math" w:hAnsi="Cambria Math"/>
              </w:rPr>
              <m:t>k</m:t>
            </m:r>
          </m:sub>
        </m:sSub>
      </m:oMath>
      <w:r w:rsidR="00FA6D15" w:rsidRPr="00633995">
        <w:rPr>
          <w:rFonts w:eastAsiaTheme="minorEastAsia"/>
        </w:rPr>
        <w:t>:</w:t>
      </w:r>
      <w:r w:rsidR="00FA6D15" w:rsidRPr="00633995">
        <w:rPr>
          <w:rStyle w:val="FootnoteReference"/>
        </w:rPr>
        <w:footnoteReference w:id="41"/>
      </w:r>
      <w:r w:rsidR="00FA6D15" w:rsidRPr="00633995">
        <w:rPr>
          <w:rFonts w:eastAsiaTheme="minorEastAsia"/>
        </w:rPr>
        <w:t xml:space="preserve">  </w:t>
      </w:r>
    </w:p>
    <w:p w14:paraId="4C620EE0" w14:textId="6122147F" w:rsidR="00B1176C" w:rsidRPr="00513BF1" w:rsidRDefault="00000000" w:rsidP="0011538D">
      <w:pPr>
        <w:jc w:val="both"/>
      </w:pPr>
      <m:oMathPara>
        <m:oMath>
          <m:sSub>
            <m:sSubPr>
              <m:ctrlPr>
                <w:rPr>
                  <w:rFonts w:ascii="Cambria Math" w:hAnsi="Cambria Math"/>
                  <w:i/>
                  <w:iCs/>
                </w:rPr>
              </m:ctrlPr>
            </m:sSubPr>
            <m:e>
              <m:r>
                <w:rPr>
                  <w:rFonts w:ascii="Cambria Math" w:hAnsi="Cambria Math"/>
                </w:rPr>
                <m:t>X</m:t>
              </m:r>
            </m:e>
            <m:sub>
              <m:r>
                <w:rPr>
                  <w:rFonts w:ascii="Cambria Math" w:hAnsi="Cambria Math"/>
                </w:rPr>
                <m:t>ijkt</m:t>
              </m:r>
            </m:sub>
          </m:sSub>
          <m:r>
            <w:rPr>
              <w:rFonts w:ascii="Cambria Math" w:hAnsi="Cambria Math"/>
            </w:rPr>
            <m:t>=</m:t>
          </m:r>
          <m:r>
            <w:rPr>
              <w:rFonts w:ascii="Cambria Math" w:hAnsi="Cambria Math"/>
            </w:rPr>
            <m:t>exp</m:t>
          </m:r>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βADQ</m:t>
                  </m:r>
                </m:e>
                <m:sub>
                  <m:r>
                    <w:rPr>
                      <w:rFonts w:ascii="Cambria Math" w:hAnsi="Cambria Math"/>
                    </w:rPr>
                    <m:t>ijt</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k</m:t>
                  </m:r>
                </m:sub>
              </m:sSub>
              <m:r>
                <w:rPr>
                  <w:rFonts w:ascii="Cambria Math" w:hAnsi="Cambria Math"/>
                </w:rPr>
                <m:t>+</m:t>
              </m:r>
              <m:r>
                <m:rPr>
                  <m:sty m:val="p"/>
                </m:rPr>
                <w:rPr>
                  <w:rFonts w:ascii="Cambria Math" w:eastAsiaTheme="minorEastAsia" w:hAnsi="Cambria Math"/>
                </w:rPr>
                <m:t>λ</m:t>
              </m:r>
              <m:sSub>
                <m:sSubPr>
                  <m:ctrlPr>
                    <w:rPr>
                      <w:rFonts w:ascii="Cambria Math" w:hAnsi="Cambria Math"/>
                      <w:i/>
                      <w:iCs/>
                    </w:rPr>
                  </m:ctrlPr>
                </m:sSubPr>
                <m:e>
                  <m:r>
                    <w:rPr>
                      <w:rFonts w:ascii="Cambria Math" w:hAnsi="Cambria Math"/>
                    </w:rPr>
                    <m:t>CLB</m:t>
                  </m:r>
                </m:e>
                <m:sub>
                  <m:r>
                    <w:rPr>
                      <w:rFonts w:ascii="Cambria Math" w:hAnsi="Cambria Math"/>
                    </w:rPr>
                    <m:t>ijt</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k</m:t>
                  </m:r>
                </m:sub>
              </m:sSub>
              <m:r>
                <w:rPr>
                  <w:rFonts w:ascii="Cambria Math" w:hAnsi="Cambria Math"/>
                </w:rPr>
                <m:t>+</m:t>
              </m:r>
              <m:sSub>
                <m:sSubPr>
                  <m:ctrlPr>
                    <w:rPr>
                      <w:rFonts w:ascii="Cambria Math" w:hAnsi="Cambria Math"/>
                      <w:i/>
                      <w:iCs/>
                    </w:rPr>
                  </m:ctrlPr>
                </m:sSubPr>
                <m:e>
                  <m:r>
                    <w:rPr>
                      <w:rFonts w:ascii="Cambria Math" w:hAnsi="Cambria Math"/>
                    </w:rPr>
                    <m:t>α</m:t>
                  </m:r>
                </m:e>
                <m:sub>
                  <m:r>
                    <w:rPr>
                      <w:rFonts w:ascii="Cambria Math" w:hAnsi="Cambria Math"/>
                    </w:rPr>
                    <m:t>ikt</m:t>
                  </m:r>
                </m:sub>
              </m:sSub>
              <m:r>
                <w:rPr>
                  <w:rFonts w:ascii="Cambria Math" w:hAnsi="Cambria Math"/>
                </w:rPr>
                <m:t>+</m:t>
              </m:r>
              <m:sSub>
                <m:sSubPr>
                  <m:ctrlPr>
                    <w:rPr>
                      <w:rFonts w:ascii="Cambria Math" w:hAnsi="Cambria Math"/>
                      <w:i/>
                      <w:iCs/>
                    </w:rPr>
                  </m:ctrlPr>
                </m:sSubPr>
                <m:e>
                  <m:r>
                    <w:rPr>
                      <w:rFonts w:ascii="Cambria Math" w:hAnsi="Cambria Math"/>
                    </w:rPr>
                    <m:t>γ</m:t>
                  </m:r>
                </m:e>
                <m:sub>
                  <m:r>
                    <w:rPr>
                      <w:rFonts w:ascii="Cambria Math" w:hAnsi="Cambria Math"/>
                    </w:rPr>
                    <m:t>jkt</m:t>
                  </m:r>
                </m:sub>
              </m:sSub>
              <m:r>
                <w:rPr>
                  <w:rFonts w:ascii="Cambria Math" w:hAnsi="Cambria Math"/>
                </w:rPr>
                <m:t>+</m:t>
              </m:r>
              <m:sSub>
                <m:sSubPr>
                  <m:ctrlPr>
                    <w:rPr>
                      <w:rFonts w:ascii="Cambria Math" w:hAnsi="Cambria Math"/>
                      <w:i/>
                      <w:iCs/>
                    </w:rPr>
                  </m:ctrlPr>
                </m:sSubPr>
                <m:e>
                  <m:r>
                    <w:rPr>
                      <w:rFonts w:ascii="Cambria Math" w:hAnsi="Cambria Math"/>
                    </w:rPr>
                    <m:t>δ</m:t>
                  </m:r>
                </m:e>
                <m:sub>
                  <m:r>
                    <w:rPr>
                      <w:rFonts w:ascii="Cambria Math" w:hAnsi="Cambria Math"/>
                    </w:rPr>
                    <m:t>ijt</m:t>
                  </m:r>
                </m:sub>
              </m:sSub>
              <m:r>
                <w:rPr>
                  <w:rFonts w:ascii="Cambria Math" w:hAnsi="Cambria Math"/>
                </w:rPr>
                <m:t>+</m:t>
              </m:r>
              <m:sSub>
                <m:sSubPr>
                  <m:ctrlPr>
                    <w:rPr>
                      <w:rFonts w:ascii="Cambria Math" w:hAnsi="Cambria Math"/>
                      <w:i/>
                      <w:iCs/>
                    </w:rPr>
                  </m:ctrlPr>
                </m:sSubPr>
                <m:e>
                  <m:r>
                    <w:rPr>
                      <w:rFonts w:ascii="Cambria Math" w:hAnsi="Cambria Math"/>
                    </w:rPr>
                    <m:t>ψ</m:t>
                  </m:r>
                </m:e>
                <m:sub>
                  <m:r>
                    <w:rPr>
                      <w:rFonts w:ascii="Cambria Math" w:hAnsi="Cambria Math"/>
                    </w:rPr>
                    <m:t>ijk</m:t>
                  </m:r>
                </m:sub>
              </m:sSub>
            </m:e>
          </m:d>
          <m:r>
            <w:rPr>
              <w:rFonts w:ascii="Cambria Math" w:hAnsi="Cambria Math"/>
            </w:rPr>
            <m:t>+</m:t>
          </m:r>
          <m:sSub>
            <m:sSubPr>
              <m:ctrlPr>
                <w:rPr>
                  <w:rFonts w:ascii="Cambria Math" w:hAnsi="Cambria Math"/>
                  <w:i/>
                  <w:iCs/>
                </w:rPr>
              </m:ctrlPr>
            </m:sSubPr>
            <m:e>
              <m:r>
                <w:rPr>
                  <w:rFonts w:ascii="Cambria Math" w:hAnsi="Cambria Math"/>
                </w:rPr>
                <m:t>ε</m:t>
              </m:r>
            </m:e>
            <m:sub>
              <m:r>
                <w:rPr>
                  <w:rFonts w:ascii="Cambria Math" w:hAnsi="Cambria Math"/>
                </w:rPr>
                <m:t>ijkt</m:t>
              </m:r>
            </m:sub>
          </m:sSub>
          <m:r>
            <w:rPr>
              <w:rFonts w:ascii="Cambria Math" w:hAnsi="Cambria Math"/>
            </w:rPr>
            <m:t>           (5)</m:t>
          </m:r>
        </m:oMath>
      </m:oMathPara>
    </w:p>
    <w:p w14:paraId="344EF5B4" w14:textId="31CC3DF8" w:rsidR="000B143B" w:rsidRDefault="00FA5ACD" w:rsidP="0011538D">
      <w:pPr>
        <w:jc w:val="both"/>
        <w:rPr>
          <w:rFonts w:eastAsiaTheme="minorEastAsia"/>
        </w:rPr>
      </w:pPr>
      <w:r w:rsidRPr="00633995">
        <w:t xml:space="preserve">where </w:t>
      </w:r>
      <m:oMath>
        <m:sSub>
          <m:sSubPr>
            <m:ctrlPr>
              <w:rPr>
                <w:rFonts w:ascii="Cambria Math" w:hAnsi="Cambria Math"/>
                <w:i/>
              </w:rPr>
            </m:ctrlPr>
          </m:sSubPr>
          <m:e>
            <m:r>
              <w:rPr>
                <w:rFonts w:ascii="Cambria Math" w:hAnsi="Cambria Math"/>
              </w:rPr>
              <m:t>X</m:t>
            </m:r>
          </m:e>
          <m:sub>
            <m:r>
              <w:rPr>
                <w:rFonts w:ascii="Cambria Math" w:hAnsi="Cambria Math"/>
              </w:rPr>
              <m:t>ijkt</m:t>
            </m:r>
          </m:sub>
        </m:sSub>
      </m:oMath>
      <w:r w:rsidRPr="00633995">
        <w:t xml:space="preserve"> </w:t>
      </w:r>
      <w:r w:rsidR="003A57CB" w:rsidRPr="00633995">
        <w:t>represents</w:t>
      </w:r>
      <w:r w:rsidRPr="00633995">
        <w:t xml:space="preserve"> </w:t>
      </w:r>
      <w:r w:rsidR="00FF29C2" w:rsidRPr="00633995">
        <w:t xml:space="preserve">exports </w:t>
      </w:r>
      <w:r w:rsidR="00647246" w:rsidRPr="00633995">
        <w:t>of</w:t>
      </w:r>
      <w:r w:rsidR="000804BC" w:rsidRPr="00633995">
        <w:t xml:space="preserve"> goods and services belonging to</w:t>
      </w:r>
      <w:r w:rsidR="00FF29C2" w:rsidRPr="00633995">
        <w:t xml:space="preserve"> </w:t>
      </w:r>
      <w:r w:rsidR="00FF29C2" w:rsidRPr="00633995">
        <w:rPr>
          <w:rFonts w:eastAsiaTheme="minorEastAsia"/>
        </w:rPr>
        <w:t xml:space="preserve">sector </w:t>
      </w:r>
      <m:oMath>
        <m:r>
          <w:rPr>
            <w:rFonts w:ascii="Cambria Math" w:hAnsi="Cambria Math"/>
          </w:rPr>
          <m:t>k</m:t>
        </m:r>
      </m:oMath>
      <w:r w:rsidRPr="00633995">
        <w:t xml:space="preserve"> between origin country </w:t>
      </w:r>
      <m:oMath>
        <m:r>
          <w:rPr>
            <w:rFonts w:ascii="Cambria Math" w:hAnsi="Cambria Math"/>
          </w:rPr>
          <m:t>i</m:t>
        </m:r>
      </m:oMath>
      <w:r w:rsidRPr="00633995">
        <w:rPr>
          <w:rFonts w:eastAsiaTheme="minorEastAsia"/>
        </w:rPr>
        <w:t xml:space="preserve"> </w:t>
      </w:r>
      <w:r w:rsidRPr="00633995">
        <w:t>and destination country</w:t>
      </w:r>
      <w:r w:rsidR="000804BC" w:rsidRPr="00633995">
        <w:rPr>
          <w:rFonts w:eastAsiaTheme="minorEastAsia"/>
        </w:rPr>
        <w:t xml:space="preserve"> </w:t>
      </w:r>
      <m:oMath>
        <m:r>
          <w:rPr>
            <w:rFonts w:ascii="Cambria Math" w:hAnsi="Cambria Math"/>
          </w:rPr>
          <m:t>j</m:t>
        </m:r>
      </m:oMath>
      <w:r w:rsidRPr="00633995">
        <w:rPr>
          <w:rFonts w:eastAsiaTheme="minorEastAsia"/>
        </w:rPr>
        <w:t xml:space="preserve"> </w:t>
      </w:r>
      <w:r w:rsidR="000804BC" w:rsidRPr="00633995">
        <w:rPr>
          <w:rFonts w:eastAsiaTheme="minorEastAsia"/>
        </w:rPr>
        <w:t xml:space="preserve">in </w:t>
      </w:r>
      <w:r w:rsidRPr="00633995">
        <w:t xml:space="preserve">year </w:t>
      </w:r>
      <m:oMath>
        <m:r>
          <w:rPr>
            <w:rFonts w:ascii="Cambria Math" w:hAnsi="Cambria Math"/>
          </w:rPr>
          <m:t>t</m:t>
        </m:r>
      </m:oMath>
      <w:r w:rsidR="00AD74EC" w:rsidRPr="00633995">
        <w:rPr>
          <w:rFonts w:eastAsiaTheme="minorEastAsia"/>
        </w:rPr>
        <w:t xml:space="preserve">, where </w:t>
      </w:r>
      <m:oMath>
        <m:r>
          <w:rPr>
            <w:rFonts w:ascii="Cambria Math" w:hAnsi="Cambria Math"/>
          </w:rPr>
          <m:t>k</m:t>
        </m:r>
        <m:r>
          <w:rPr>
            <w:rFonts w:ascii="Cambria Math" w:eastAsiaTheme="minorEastAsia" w:hAnsi="Cambria Math"/>
          </w:rPr>
          <m:t>=1,…,d,…,K</m:t>
        </m:r>
      </m:oMath>
      <w:r w:rsidR="00AD74EC" w:rsidRPr="00633995">
        <w:rPr>
          <w:rFonts w:eastAsiaTheme="minorEastAsia"/>
        </w:rPr>
        <w:t xml:space="preserve"> </w:t>
      </w:r>
      <w:r w:rsidR="00D1598D" w:rsidRPr="00633995">
        <w:rPr>
          <w:rFonts w:eastAsiaTheme="minorEastAsia"/>
        </w:rPr>
        <w:t xml:space="preserve">spans </w:t>
      </w:r>
      <w:r w:rsidR="00AD74EC" w:rsidRPr="00633995">
        <w:rPr>
          <w:rFonts w:eastAsiaTheme="minorEastAsia"/>
        </w:rPr>
        <w:t>all</w:t>
      </w:r>
      <w:r w:rsidR="00EA1995" w:rsidRPr="00633995">
        <w:rPr>
          <w:rFonts w:eastAsiaTheme="minorEastAsia"/>
        </w:rPr>
        <w:t xml:space="preserve"> industries</w:t>
      </w:r>
      <w:r w:rsidR="00DF4448" w:rsidRPr="00633995">
        <w:rPr>
          <w:rFonts w:eastAsiaTheme="minorEastAsia"/>
        </w:rPr>
        <w:t xml:space="preserve">, i.e. </w:t>
      </w:r>
      <w:r w:rsidR="00AD74EC" w:rsidRPr="00633995">
        <w:rPr>
          <w:rFonts w:eastAsiaTheme="minorEastAsia"/>
        </w:rPr>
        <w:t xml:space="preserve">both digital and </w:t>
      </w:r>
      <w:r w:rsidR="00DF4448" w:rsidRPr="00633995">
        <w:rPr>
          <w:rFonts w:eastAsiaTheme="minorEastAsia"/>
        </w:rPr>
        <w:t>non-digital</w:t>
      </w:r>
      <w:r w:rsidR="001E26B5">
        <w:rPr>
          <w:rFonts w:eastAsiaTheme="minorEastAsia"/>
        </w:rPr>
        <w:t>.</w:t>
      </w:r>
      <w:r w:rsidR="001E26B5" w:rsidRPr="00633995">
        <w:rPr>
          <w:rFonts w:eastAsiaTheme="minorEastAsia"/>
        </w:rPr>
        <w:t xml:space="preserve"> </w:t>
      </w:r>
      <w:r w:rsidR="001E26B5">
        <w:rPr>
          <w:rFonts w:eastAsiaTheme="minorEastAsia"/>
        </w:rPr>
        <w:t xml:space="preserve">The terms </w:t>
      </w:r>
      <m:oMath>
        <m:sSub>
          <m:sSubPr>
            <m:ctrlPr>
              <w:rPr>
                <w:rFonts w:ascii="Cambria Math" w:hAnsi="Cambria Math"/>
                <w:i/>
              </w:rPr>
            </m:ctrlPr>
          </m:sSubPr>
          <m:e>
            <m:r>
              <w:rPr>
                <w:rFonts w:ascii="Cambria Math" w:hAnsi="Cambria Math"/>
              </w:rPr>
              <m:t>α</m:t>
            </m:r>
          </m:e>
          <m:sub>
            <m:r>
              <w:rPr>
                <w:rFonts w:ascii="Cambria Math" w:hAnsi="Cambria Math"/>
              </w:rPr>
              <m:t>ikt</m:t>
            </m:r>
          </m:sub>
        </m:sSub>
      </m:oMath>
      <w:r w:rsidR="00D77C80">
        <w:rPr>
          <w:rFonts w:eastAsiaTheme="minorEastAsia"/>
        </w:rPr>
        <w:t xml:space="preserve"> and</w:t>
      </w:r>
      <w:r w:rsidR="000B143B" w:rsidRPr="00633995">
        <w:rPr>
          <w:rFonts w:eastAsiaTheme="minorEastAsia"/>
        </w:rPr>
        <w:t xml:space="preserve"> </w:t>
      </w:r>
      <m:oMath>
        <m:sSub>
          <m:sSubPr>
            <m:ctrlPr>
              <w:rPr>
                <w:rFonts w:ascii="Cambria Math" w:hAnsi="Cambria Math"/>
                <w:i/>
              </w:rPr>
            </m:ctrlPr>
          </m:sSubPr>
          <m:e>
            <m:r>
              <w:rPr>
                <w:rFonts w:ascii="Cambria Math" w:hAnsi="Cambria Math"/>
              </w:rPr>
              <m:t>γ</m:t>
            </m:r>
          </m:e>
          <m:sub>
            <m:r>
              <w:rPr>
                <w:rFonts w:ascii="Cambria Math" w:hAnsi="Cambria Math"/>
              </w:rPr>
              <m:t>jkt</m:t>
            </m:r>
          </m:sub>
        </m:sSub>
      </m:oMath>
      <w:r w:rsidR="001E26B5">
        <w:rPr>
          <w:rFonts w:eastAsiaTheme="minorEastAsia"/>
        </w:rPr>
        <w:t xml:space="preserve"> </w:t>
      </w:r>
      <w:r w:rsidR="00274FEA">
        <w:rPr>
          <w:rFonts w:eastAsiaTheme="minorEastAsia"/>
        </w:rPr>
        <w:t xml:space="preserve">correspond </w:t>
      </w:r>
      <w:r w:rsidR="001E26B5">
        <w:rPr>
          <w:rFonts w:eastAsiaTheme="minorEastAsia"/>
        </w:rPr>
        <w:t>to</w:t>
      </w:r>
      <w:r w:rsidR="001E26B5" w:rsidRPr="00633995">
        <w:rPr>
          <w:rFonts w:eastAsiaTheme="minorEastAsia"/>
        </w:rPr>
        <w:t xml:space="preserve"> </w:t>
      </w:r>
      <w:r w:rsidR="009B7803" w:rsidRPr="00633995">
        <w:rPr>
          <w:rFonts w:eastAsiaTheme="minorEastAsia"/>
        </w:rPr>
        <w:t>exporter-sector-time</w:t>
      </w:r>
      <w:r w:rsidR="00CF7D6B">
        <w:rPr>
          <w:rFonts w:eastAsiaTheme="minorEastAsia"/>
        </w:rPr>
        <w:t xml:space="preserve"> and</w:t>
      </w:r>
      <w:r w:rsidR="009B7803" w:rsidRPr="00633995">
        <w:rPr>
          <w:rFonts w:eastAsiaTheme="minorEastAsia"/>
        </w:rPr>
        <w:t xml:space="preserve"> importer-sector-time</w:t>
      </w:r>
      <w:r w:rsidR="008C7F15">
        <w:rPr>
          <w:rFonts w:eastAsiaTheme="minorEastAsia"/>
        </w:rPr>
        <w:t xml:space="preserve"> fixed effects</w:t>
      </w:r>
      <w:r w:rsidR="004E682E">
        <w:rPr>
          <w:rFonts w:eastAsiaTheme="minorEastAsia"/>
        </w:rPr>
        <w:t>, respectively</w:t>
      </w:r>
      <w:r w:rsidR="007E1C63">
        <w:rPr>
          <w:rFonts w:eastAsiaTheme="minorEastAsia"/>
        </w:rPr>
        <w:t>,</w:t>
      </w:r>
      <w:r w:rsidR="007E1C63" w:rsidRPr="007E1C63">
        <w:rPr>
          <w:rFonts w:eastAsiaTheme="minorEastAsia"/>
        </w:rPr>
        <w:t xml:space="preserve"> </w:t>
      </w:r>
      <w:r w:rsidR="007E1C63" w:rsidRPr="00633995">
        <w:rPr>
          <w:rFonts w:eastAsiaTheme="minorEastAsia"/>
        </w:rPr>
        <w:t>each incorporating the sector-level dimension</w:t>
      </w:r>
      <w:r w:rsidR="008C7F15">
        <w:rPr>
          <w:rFonts w:eastAsiaTheme="minorEastAsia"/>
        </w:rPr>
        <w:t xml:space="preserve">, while </w:t>
      </w:r>
      <m:oMath>
        <m:sSub>
          <m:sSubPr>
            <m:ctrlPr>
              <w:rPr>
                <w:rFonts w:ascii="Cambria Math" w:hAnsi="Cambria Math"/>
                <w:i/>
              </w:rPr>
            </m:ctrlPr>
          </m:sSubPr>
          <m:e>
            <m:r>
              <w:rPr>
                <w:rFonts w:ascii="Cambria Math" w:hAnsi="Cambria Math"/>
              </w:rPr>
              <m:t>δ</m:t>
            </m:r>
          </m:e>
          <m:sub>
            <m:r>
              <w:rPr>
                <w:rFonts w:ascii="Cambria Math" w:hAnsi="Cambria Math"/>
              </w:rPr>
              <m:t>ijt</m:t>
            </m:r>
          </m:sub>
        </m:sSub>
      </m:oMath>
      <w:r w:rsidR="001E26B5">
        <w:rPr>
          <w:rFonts w:eastAsiaTheme="minorEastAsia"/>
        </w:rPr>
        <w:t xml:space="preserve"> and </w:t>
      </w:r>
      <m:oMath>
        <m:sSub>
          <m:sSubPr>
            <m:ctrlPr>
              <w:rPr>
                <w:rFonts w:ascii="Cambria Math" w:hAnsi="Cambria Math"/>
                <w:i/>
                <w:iCs/>
              </w:rPr>
            </m:ctrlPr>
          </m:sSubPr>
          <m:e>
            <m:r>
              <w:rPr>
                <w:rFonts w:ascii="Cambria Math" w:hAnsi="Cambria Math"/>
              </w:rPr>
              <m:t>ψ</m:t>
            </m:r>
          </m:e>
          <m:sub>
            <m:r>
              <w:rPr>
                <w:rFonts w:ascii="Cambria Math" w:hAnsi="Cambria Math"/>
              </w:rPr>
              <m:t>ijk</m:t>
            </m:r>
          </m:sub>
        </m:sSub>
      </m:oMath>
      <w:r w:rsidR="001E26B5" w:rsidRPr="00633995">
        <w:rPr>
          <w:rFonts w:eastAsiaTheme="minorEastAsia"/>
        </w:rPr>
        <w:t xml:space="preserve"> </w:t>
      </w:r>
      <w:r w:rsidR="00274FEA">
        <w:rPr>
          <w:rFonts w:eastAsiaTheme="minorEastAsia"/>
        </w:rPr>
        <w:t>correspond</w:t>
      </w:r>
      <w:r w:rsidR="001E26B5">
        <w:rPr>
          <w:rFonts w:eastAsiaTheme="minorEastAsia"/>
        </w:rPr>
        <w:t xml:space="preserve"> to exporter-importer-time and</w:t>
      </w:r>
      <w:r w:rsidR="009B7803" w:rsidRPr="00633995">
        <w:rPr>
          <w:rFonts w:eastAsiaTheme="minorEastAsia"/>
        </w:rPr>
        <w:t xml:space="preserve"> exporter-importer-sector fixed effects</w:t>
      </w:r>
      <w:r w:rsidR="000B143B" w:rsidRPr="00633995">
        <w:rPr>
          <w:rFonts w:eastAsiaTheme="minorEastAsia"/>
        </w:rPr>
        <w:t xml:space="preserve">. The term </w:t>
      </w:r>
      <m:oMath>
        <m:sSub>
          <m:sSubPr>
            <m:ctrlPr>
              <w:rPr>
                <w:rFonts w:ascii="Cambria Math" w:hAnsi="Cambria Math"/>
                <w:i/>
              </w:rPr>
            </m:ctrlPr>
          </m:sSubPr>
          <m:e>
            <m:r>
              <w:rPr>
                <w:rFonts w:ascii="Cambria Math" w:hAnsi="Cambria Math"/>
              </w:rPr>
              <m:t>δ</m:t>
            </m:r>
          </m:e>
          <m:sub>
            <m:r>
              <w:rPr>
                <w:rFonts w:ascii="Cambria Math" w:hAnsi="Cambria Math"/>
              </w:rPr>
              <m:t>ijt</m:t>
            </m:r>
          </m:sub>
        </m:sSub>
        <m:r>
          <w:rPr>
            <w:rFonts w:ascii="Cambria Math" w:hAnsi="Cambria Math"/>
          </w:rPr>
          <m:t xml:space="preserve"> </m:t>
        </m:r>
      </m:oMath>
      <w:r w:rsidR="0074641D">
        <w:rPr>
          <w:rFonts w:eastAsiaTheme="minorEastAsia"/>
        </w:rPr>
        <w:t>controls for all standard gravity controls and therefore</w:t>
      </w:r>
      <w:r w:rsidR="000B143B" w:rsidRPr="00633995">
        <w:t xml:space="preserve"> </w:t>
      </w:r>
      <w:r w:rsidR="0074641D" w:rsidRPr="00633995">
        <w:t>replac</w:t>
      </w:r>
      <w:r w:rsidR="0074641D">
        <w:t>es</w:t>
      </w:r>
      <w:r w:rsidR="0074641D" w:rsidRPr="00633995">
        <w:t xml:space="preserve"> </w:t>
      </w:r>
      <w:r w:rsidR="00B1645E" w:rsidRPr="00633995">
        <w:rPr>
          <w:rFonts w:eastAsiaTheme="minorEastAsia"/>
        </w:rPr>
        <w:t xml:space="preserve">the vector </w:t>
      </w:r>
      <m:oMath>
        <m:sSub>
          <m:sSubPr>
            <m:ctrlPr>
              <w:rPr>
                <w:rFonts w:ascii="Cambria Math" w:hAnsi="Cambria Math"/>
                <w:i/>
              </w:rPr>
            </m:ctrlPr>
          </m:sSubPr>
          <m:e>
            <m:r>
              <w:rPr>
                <w:rFonts w:ascii="Cambria Math" w:hAnsi="Cambria Math"/>
              </w:rPr>
              <m:t>GRA</m:t>
            </m:r>
          </m:e>
          <m:sub>
            <m:r>
              <w:rPr>
                <w:rFonts w:ascii="Cambria Math" w:hAnsi="Cambria Math"/>
              </w:rPr>
              <m:t>ijt</m:t>
            </m:r>
          </m:sub>
        </m:sSub>
      </m:oMath>
      <w:r w:rsidR="000B143B" w:rsidRPr="00633995">
        <w:rPr>
          <w:rFonts w:eastAsiaTheme="minorEastAsia"/>
        </w:rPr>
        <w:t xml:space="preserve"> </w:t>
      </w:r>
      <w:r w:rsidR="00386AD8">
        <w:rPr>
          <w:rFonts w:eastAsiaTheme="minorEastAsia"/>
        </w:rPr>
        <w:t xml:space="preserve">used </w:t>
      </w:r>
      <w:r w:rsidR="00136C5F">
        <w:rPr>
          <w:rFonts w:eastAsiaTheme="minorEastAsia"/>
        </w:rPr>
        <w:t xml:space="preserve">in the aggregate gravity regressions. </w:t>
      </w:r>
      <w:r w:rsidR="008C7F15">
        <w:rPr>
          <w:rFonts w:eastAsiaTheme="minorEastAsia"/>
        </w:rPr>
        <w:t xml:space="preserve">It </w:t>
      </w:r>
      <w:r w:rsidR="00214143">
        <w:rPr>
          <w:rFonts w:eastAsiaTheme="minorEastAsia"/>
        </w:rPr>
        <w:t>also capture</w:t>
      </w:r>
      <w:r w:rsidR="008E0C89">
        <w:rPr>
          <w:rFonts w:eastAsiaTheme="minorEastAsia"/>
        </w:rPr>
        <w:t>s</w:t>
      </w:r>
      <w:r w:rsidR="00214143">
        <w:rPr>
          <w:rFonts w:eastAsiaTheme="minorEastAsia"/>
        </w:rPr>
        <w:t xml:space="preserve"> </w:t>
      </w:r>
      <w:r w:rsidR="008E0C89">
        <w:rPr>
          <w:rFonts w:eastAsiaTheme="minorEastAsia"/>
        </w:rPr>
        <w:t xml:space="preserve">the </w:t>
      </w:r>
      <w:r w:rsidR="00214143" w:rsidRPr="00633995">
        <w:t>linear country-pair-specific time trend</w:t>
      </w:r>
      <w:r w:rsidR="008E0C89">
        <w:t>s</w:t>
      </w:r>
      <w:r w:rsidR="00214143">
        <w:rPr>
          <w:rFonts w:eastAsiaTheme="minorEastAsia"/>
        </w:rPr>
        <w:t xml:space="preserve">. </w:t>
      </w:r>
      <w:r w:rsidR="000875CF" w:rsidRPr="000875CF">
        <w:rPr>
          <w:rFonts w:eastAsiaTheme="minorEastAsia"/>
        </w:rPr>
        <w:t>All regressions again apply two-way clustering by country-pair and year</w:t>
      </w:r>
      <w:r w:rsidR="000B143B" w:rsidRPr="00633995">
        <w:rPr>
          <w:rFonts w:eastAsiaTheme="minorEastAsia"/>
        </w:rPr>
        <w:t xml:space="preserve">. </w:t>
      </w:r>
    </w:p>
    <w:p w14:paraId="320C674A" w14:textId="0372303C" w:rsidR="000C2CBF" w:rsidRDefault="007B3868" w:rsidP="0011538D">
      <w:pPr>
        <w:jc w:val="both"/>
      </w:pPr>
      <w:r w:rsidRPr="00633995">
        <w:t xml:space="preserve">The rationale behind interacting </w:t>
      </w:r>
      <w:r w:rsidR="002F3DB2" w:rsidRPr="00633995">
        <w:t xml:space="preserve">the </w:t>
      </w:r>
      <w:r w:rsidR="00DC05B1" w:rsidRPr="00633995">
        <w:t xml:space="preserve">adequacy </w:t>
      </w:r>
      <w:r w:rsidR="002F3DB2" w:rsidRPr="00633995">
        <w:t xml:space="preserve">and club </w:t>
      </w:r>
      <w:r w:rsidR="00872B07">
        <w:t>variables</w:t>
      </w:r>
      <w:r w:rsidR="00872B07" w:rsidRPr="00633995">
        <w:t xml:space="preserve"> </w:t>
      </w:r>
      <w:r w:rsidRPr="00633995">
        <w:t xml:space="preserve">with a measure of data intensity is </w:t>
      </w:r>
      <w:r w:rsidR="00DC05B1" w:rsidRPr="00633995">
        <w:t xml:space="preserve">to capture how </w:t>
      </w:r>
      <w:r w:rsidRPr="00633995">
        <w:t xml:space="preserve">sectors </w:t>
      </w:r>
      <w:r w:rsidR="009C020A" w:rsidRPr="00633995">
        <w:t xml:space="preserve">respond to adequacy based on </w:t>
      </w:r>
      <w:r w:rsidRPr="00633995">
        <w:t xml:space="preserve">how much they are affected by data-related cost frictions, something </w:t>
      </w:r>
      <w:r w:rsidR="009C020A" w:rsidRPr="00633995">
        <w:t>our</w:t>
      </w:r>
      <w:r w:rsidRPr="00633995">
        <w:t xml:space="preserve"> baseline gravity estimates cannot capture. </w:t>
      </w:r>
      <w:r w:rsidR="00610DF0" w:rsidRPr="00633995">
        <w:rPr>
          <w:rFonts w:eastAsiaTheme="minorEastAsia"/>
        </w:rPr>
        <w:t xml:space="preserve">To </w:t>
      </w:r>
      <w:r w:rsidR="00843B71" w:rsidRPr="00633995">
        <w:rPr>
          <w:rFonts w:eastAsiaTheme="minorEastAsia"/>
        </w:rPr>
        <w:t>define</w:t>
      </w:r>
      <w:r w:rsidR="0094794F" w:rsidRPr="00633995">
        <w:rPr>
          <w:rFonts w:eastAsiaTheme="minorEastAsia"/>
        </w:rPr>
        <w:t xml:space="preserve"> the</w:t>
      </w:r>
      <w:r w:rsidR="00610DF0" w:rsidRPr="00633995">
        <w:rPr>
          <w:rFonts w:eastAsiaTheme="minorEastAsia"/>
        </w:rPr>
        <w:t xml:space="preserve"> term </w:t>
      </w:r>
      <m:oMath>
        <m:sSub>
          <m:sSubPr>
            <m:ctrlPr>
              <w:rPr>
                <w:rFonts w:ascii="Cambria Math" w:hAnsi="Cambria Math"/>
                <w:i/>
              </w:rPr>
            </m:ctrlPr>
          </m:sSubPr>
          <m:e>
            <m:r>
              <w:rPr>
                <w:rFonts w:ascii="Cambria Math" w:hAnsi="Cambria Math"/>
              </w:rPr>
              <m:t>I</m:t>
            </m:r>
          </m:e>
          <m:sub>
            <m:r>
              <w:rPr>
                <w:rFonts w:ascii="Cambria Math" w:hAnsi="Cambria Math"/>
              </w:rPr>
              <m:t>k</m:t>
            </m:r>
          </m:sub>
        </m:sSub>
        <m:r>
          <w:rPr>
            <w:rFonts w:ascii="Cambria Math" w:hAnsi="Cambria Math"/>
          </w:rPr>
          <m:t>,</m:t>
        </m:r>
      </m:oMath>
      <w:r w:rsidR="00FA6D15" w:rsidRPr="00633995">
        <w:rPr>
          <w:rFonts w:eastAsiaTheme="minorEastAsia"/>
        </w:rPr>
        <w:t xml:space="preserve"> </w:t>
      </w:r>
      <w:r w:rsidR="0064124B" w:rsidRPr="00633995">
        <w:rPr>
          <w:rFonts w:eastAsiaTheme="minorEastAsia"/>
        </w:rPr>
        <w:t xml:space="preserve">we first develop </w:t>
      </w:r>
      <w:r w:rsidR="008D6FF1" w:rsidRPr="00633995">
        <w:rPr>
          <w:rFonts w:eastAsiaTheme="minorEastAsia"/>
        </w:rPr>
        <w:t xml:space="preserve">two </w:t>
      </w:r>
      <w:r w:rsidR="00FA6D15" w:rsidRPr="00633995">
        <w:rPr>
          <w:rFonts w:eastAsiaTheme="minorEastAsia"/>
        </w:rPr>
        <w:t>dummy variable</w:t>
      </w:r>
      <w:r w:rsidR="003258C1" w:rsidRPr="00633995">
        <w:rPr>
          <w:rFonts w:eastAsiaTheme="minorEastAsia"/>
        </w:rPr>
        <w:t>s</w:t>
      </w:r>
      <w:r w:rsidR="00835DBE" w:rsidRPr="00633995">
        <w:rPr>
          <w:rFonts w:eastAsiaTheme="minorEastAsia"/>
        </w:rPr>
        <w:t xml:space="preserve"> </w:t>
      </w:r>
      <w:r w:rsidR="00C773EF" w:rsidRPr="00633995">
        <w:rPr>
          <w:rFonts w:eastAsiaTheme="minorEastAsia"/>
        </w:rPr>
        <w:t xml:space="preserve">following </w:t>
      </w:r>
      <w:r w:rsidR="008D6FF1" w:rsidRPr="00633995">
        <w:rPr>
          <w:rFonts w:eastAsiaTheme="minorEastAsia"/>
        </w:rPr>
        <w:t xml:space="preserve">the narrow and broad definitions of digital trade </w:t>
      </w:r>
      <w:r w:rsidR="0066280D" w:rsidRPr="00633995">
        <w:rPr>
          <w:rFonts w:eastAsiaTheme="minorEastAsia"/>
        </w:rPr>
        <w:t xml:space="preserve">as </w:t>
      </w:r>
      <w:r w:rsidR="00E805C8" w:rsidRPr="00633995">
        <w:rPr>
          <w:rFonts w:eastAsiaTheme="minorEastAsia"/>
        </w:rPr>
        <w:t xml:space="preserve">reported in </w:t>
      </w:r>
      <w:r w:rsidR="0081686F">
        <w:rPr>
          <w:rFonts w:eastAsiaTheme="minorEastAsia"/>
        </w:rPr>
        <w:t>Appendix</w:t>
      </w:r>
      <w:r w:rsidR="0081686F" w:rsidRPr="00633995">
        <w:rPr>
          <w:rFonts w:eastAsiaTheme="minorEastAsia"/>
        </w:rPr>
        <w:t xml:space="preserve"> </w:t>
      </w:r>
      <w:r w:rsidR="00C773EF" w:rsidRPr="00633995">
        <w:rPr>
          <w:rFonts w:eastAsiaTheme="minorEastAsia"/>
        </w:rPr>
        <w:t xml:space="preserve">Table </w:t>
      </w:r>
      <w:r w:rsidR="0064124B" w:rsidRPr="00633995">
        <w:rPr>
          <w:rFonts w:eastAsiaTheme="minorEastAsia"/>
        </w:rPr>
        <w:t>A</w:t>
      </w:r>
      <w:r w:rsidR="00D961BE">
        <w:rPr>
          <w:rFonts w:eastAsiaTheme="minorEastAsia"/>
        </w:rPr>
        <w:t>5</w:t>
      </w:r>
      <w:r w:rsidR="009C020A" w:rsidRPr="00633995">
        <w:rPr>
          <w:rFonts w:eastAsiaTheme="minorEastAsia"/>
        </w:rPr>
        <w:t>. This is equivalent to attach</w:t>
      </w:r>
      <w:r w:rsidR="00241FC1" w:rsidRPr="00633995">
        <w:rPr>
          <w:rFonts w:eastAsiaTheme="minorEastAsia"/>
        </w:rPr>
        <w:t>ing</w:t>
      </w:r>
      <w:r w:rsidR="009C020A" w:rsidRPr="00633995">
        <w:rPr>
          <w:rFonts w:eastAsiaTheme="minorEastAsia"/>
        </w:rPr>
        <w:t xml:space="preserve"> a </w:t>
      </w:r>
      <w:r w:rsidR="0094794F" w:rsidRPr="00633995">
        <w:rPr>
          <w:rFonts w:eastAsiaTheme="minorEastAsia"/>
        </w:rPr>
        <w:t>weight</w:t>
      </w:r>
      <w:r w:rsidR="009C020A" w:rsidRPr="00633995">
        <w:rPr>
          <w:rFonts w:eastAsiaTheme="minorEastAsia"/>
        </w:rPr>
        <w:t xml:space="preserve"> equal to one to digital sectors only, as they are the ones </w:t>
      </w:r>
      <w:r w:rsidR="002F3DB2" w:rsidRPr="00633995">
        <w:rPr>
          <w:rFonts w:eastAsiaTheme="minorEastAsia"/>
        </w:rPr>
        <w:t>that should benefit most from ad</w:t>
      </w:r>
      <w:r w:rsidR="009C020A" w:rsidRPr="00633995">
        <w:rPr>
          <w:rFonts w:eastAsiaTheme="minorEastAsia"/>
        </w:rPr>
        <w:t>equacy</w:t>
      </w:r>
      <w:r w:rsidR="00713557" w:rsidRPr="00633995">
        <w:rPr>
          <w:rFonts w:eastAsiaTheme="minorEastAsia"/>
        </w:rPr>
        <w:t xml:space="preserve">. </w:t>
      </w:r>
      <w:r w:rsidR="002F3DB2" w:rsidRPr="00633995">
        <w:rPr>
          <w:rFonts w:eastAsiaTheme="minorEastAsia"/>
        </w:rPr>
        <w:t xml:space="preserve">In Section 4.2 we </w:t>
      </w:r>
      <w:r w:rsidR="00241FC1" w:rsidRPr="00633995">
        <w:rPr>
          <w:rFonts w:eastAsiaTheme="minorEastAsia"/>
        </w:rPr>
        <w:t xml:space="preserve">augment </w:t>
      </w:r>
      <w:r w:rsidR="009C020A" w:rsidRPr="00633995">
        <w:rPr>
          <w:rFonts w:eastAsiaTheme="minorEastAsia"/>
        </w:rPr>
        <w:t xml:space="preserve">this strategy </w:t>
      </w:r>
      <w:r w:rsidR="00E805C8" w:rsidRPr="00633995">
        <w:rPr>
          <w:rFonts w:eastAsiaTheme="minorEastAsia"/>
        </w:rPr>
        <w:t xml:space="preserve">with </w:t>
      </w:r>
      <w:r w:rsidR="008D46C1" w:rsidRPr="00633995">
        <w:rPr>
          <w:rFonts w:eastAsiaTheme="minorEastAsia"/>
        </w:rPr>
        <w:t xml:space="preserve">several </w:t>
      </w:r>
      <w:r w:rsidR="00FA6D15" w:rsidRPr="00633995">
        <w:rPr>
          <w:rFonts w:eastAsiaTheme="minorEastAsia"/>
        </w:rPr>
        <w:t xml:space="preserve">continuous </w:t>
      </w:r>
      <w:r w:rsidR="00241FC1" w:rsidRPr="00633995">
        <w:rPr>
          <w:rFonts w:eastAsiaTheme="minorEastAsia"/>
        </w:rPr>
        <w:t xml:space="preserve">measures reflecting </w:t>
      </w:r>
      <w:r w:rsidR="009C020A" w:rsidRPr="00633995">
        <w:rPr>
          <w:rFonts w:eastAsiaTheme="minorEastAsia"/>
        </w:rPr>
        <w:t xml:space="preserve">the level </w:t>
      </w:r>
      <w:r w:rsidR="00241FC1" w:rsidRPr="00633995">
        <w:rPr>
          <w:rFonts w:eastAsiaTheme="minorEastAsia"/>
        </w:rPr>
        <w:t xml:space="preserve">of </w:t>
      </w:r>
      <w:r w:rsidR="00FA6D15" w:rsidRPr="00633995">
        <w:rPr>
          <w:rFonts w:eastAsiaTheme="minorEastAsia"/>
        </w:rPr>
        <w:t xml:space="preserve">data </w:t>
      </w:r>
      <w:r w:rsidR="008C7F15">
        <w:rPr>
          <w:rFonts w:eastAsiaTheme="minorEastAsia"/>
        </w:rPr>
        <w:t>dependence</w:t>
      </w:r>
      <w:r w:rsidR="00241FC1" w:rsidRPr="00633995">
        <w:rPr>
          <w:rFonts w:eastAsiaTheme="minorEastAsia"/>
        </w:rPr>
        <w:t xml:space="preserve"> across all </w:t>
      </w:r>
      <w:r w:rsidR="009C020A" w:rsidRPr="00633995">
        <w:rPr>
          <w:rFonts w:eastAsiaTheme="minorEastAsia"/>
        </w:rPr>
        <w:t>sector</w:t>
      </w:r>
      <w:r w:rsidR="00241FC1" w:rsidRPr="00633995">
        <w:rPr>
          <w:rFonts w:eastAsiaTheme="minorEastAsia"/>
        </w:rPr>
        <w:t>s</w:t>
      </w:r>
      <w:r w:rsidR="009C020A" w:rsidRPr="00633995">
        <w:rPr>
          <w:rFonts w:eastAsiaTheme="minorEastAsia"/>
        </w:rPr>
        <w:t xml:space="preserve">, </w:t>
      </w:r>
      <w:r w:rsidR="00241FC1" w:rsidRPr="00633995">
        <w:rPr>
          <w:rFonts w:eastAsiaTheme="minorEastAsia"/>
        </w:rPr>
        <w:t xml:space="preserve">i.e., both </w:t>
      </w:r>
      <w:r w:rsidR="009C020A" w:rsidRPr="00633995">
        <w:rPr>
          <w:rFonts w:eastAsiaTheme="minorEastAsia"/>
        </w:rPr>
        <w:t>digital and non-digital</w:t>
      </w:r>
      <w:r w:rsidR="000B143B" w:rsidRPr="00633995">
        <w:t>.</w:t>
      </w:r>
      <w:r w:rsidR="000B143B" w:rsidRPr="00633995" w:rsidDel="000B143B">
        <w:t xml:space="preserve"> </w:t>
      </w:r>
    </w:p>
    <w:p w14:paraId="32FF4393" w14:textId="27F01A68" w:rsidR="00B83A8A" w:rsidRPr="00633995" w:rsidRDefault="002C5833" w:rsidP="0011538D">
      <w:pPr>
        <w:spacing w:before="240" w:after="120" w:line="240" w:lineRule="auto"/>
        <w:jc w:val="both"/>
        <w:rPr>
          <w:b/>
          <w:bCs/>
        </w:rPr>
      </w:pPr>
      <w:r w:rsidRPr="00633995">
        <w:rPr>
          <w:b/>
          <w:bCs/>
        </w:rPr>
        <w:t>4.</w:t>
      </w:r>
      <w:r w:rsidR="00CF149C" w:rsidRPr="00633995">
        <w:rPr>
          <w:b/>
          <w:bCs/>
        </w:rPr>
        <w:t>1</w:t>
      </w:r>
      <w:r w:rsidR="00B83A8A" w:rsidRPr="00633995">
        <w:rPr>
          <w:b/>
          <w:bCs/>
        </w:rPr>
        <w:t xml:space="preserve"> </w:t>
      </w:r>
      <w:r w:rsidR="006E0AF4" w:rsidRPr="00633995">
        <w:rPr>
          <w:b/>
          <w:bCs/>
        </w:rPr>
        <w:t>P</w:t>
      </w:r>
      <w:r w:rsidR="006458AD" w:rsidRPr="00633995">
        <w:rPr>
          <w:b/>
          <w:bCs/>
        </w:rPr>
        <w:t xml:space="preserve">ooled </w:t>
      </w:r>
      <w:r w:rsidRPr="00633995">
        <w:rPr>
          <w:b/>
          <w:bCs/>
        </w:rPr>
        <w:t>gravity</w:t>
      </w:r>
      <w:r w:rsidR="006E0AF4" w:rsidRPr="00633995">
        <w:rPr>
          <w:b/>
          <w:bCs/>
        </w:rPr>
        <w:t xml:space="preserve"> estimates</w:t>
      </w:r>
    </w:p>
    <w:p w14:paraId="557CC523" w14:textId="1E0FC9FA" w:rsidR="00B736EB" w:rsidRPr="00633995" w:rsidRDefault="009E7684" w:rsidP="0011538D">
      <w:pPr>
        <w:jc w:val="both"/>
      </w:pPr>
      <w:r w:rsidRPr="00633995">
        <w:rPr>
          <w:rFonts w:eastAsiaTheme="minorEastAsia"/>
        </w:rPr>
        <w:t xml:space="preserve">We </w:t>
      </w:r>
      <w:r w:rsidR="0029589C" w:rsidRPr="00633995">
        <w:rPr>
          <w:rFonts w:eastAsiaTheme="minorEastAsia"/>
        </w:rPr>
        <w:t xml:space="preserve">first </w:t>
      </w:r>
      <w:r w:rsidR="00DE75E2" w:rsidRPr="00633995">
        <w:rPr>
          <w:rFonts w:eastAsiaTheme="minorEastAsia"/>
        </w:rPr>
        <w:t>estimat</w:t>
      </w:r>
      <w:r w:rsidR="0029589C" w:rsidRPr="00633995">
        <w:rPr>
          <w:rFonts w:eastAsiaTheme="minorEastAsia"/>
        </w:rPr>
        <w:t>e</w:t>
      </w:r>
      <w:r w:rsidR="00DE75E2" w:rsidRPr="00633995">
        <w:rPr>
          <w:rFonts w:eastAsiaTheme="minorEastAsia"/>
        </w:rPr>
        <w:t xml:space="preserve"> </w:t>
      </w:r>
      <w:r w:rsidR="00DE75E2" w:rsidRPr="00633995">
        <w:t>equation (</w:t>
      </w:r>
      <w:r w:rsidR="00FA752B">
        <w:t>5</w:t>
      </w:r>
      <w:r w:rsidR="00DE75E2" w:rsidRPr="00633995">
        <w:t xml:space="preserve">) </w:t>
      </w:r>
      <w:r w:rsidR="00DE75E2" w:rsidRPr="00633995">
        <w:rPr>
          <w:rFonts w:eastAsiaTheme="minorEastAsia"/>
        </w:rPr>
        <w:t xml:space="preserve">using </w:t>
      </w:r>
      <w:r w:rsidR="00CD6D32" w:rsidRPr="00633995">
        <w:rPr>
          <w:rFonts w:eastAsiaTheme="minorEastAsia"/>
        </w:rPr>
        <w:t xml:space="preserve">dummy variables for </w:t>
      </w:r>
      <w:r w:rsidR="00FA6222" w:rsidRPr="00633995">
        <w:rPr>
          <w:rFonts w:eastAsiaTheme="minorEastAsia"/>
        </w:rPr>
        <w:t xml:space="preserve">the </w:t>
      </w:r>
      <w:r w:rsidRPr="00633995">
        <w:rPr>
          <w:rFonts w:eastAsiaTheme="minorEastAsia"/>
        </w:rPr>
        <w:t>narrow and broad definitions of digital trade</w:t>
      </w:r>
      <w:r w:rsidR="002F3DB2" w:rsidRPr="00633995">
        <w:rPr>
          <w:rFonts w:eastAsiaTheme="minorEastAsia"/>
        </w:rPr>
        <w:t xml:space="preserve"> as interaction terms</w:t>
      </w:r>
      <w:r w:rsidRPr="00633995">
        <w:rPr>
          <w:rFonts w:eastAsiaTheme="minorEastAsia"/>
        </w:rPr>
        <w:t xml:space="preserve">. </w:t>
      </w:r>
      <w:r w:rsidR="00B736EB" w:rsidRPr="00633995">
        <w:t>The</w:t>
      </w:r>
      <w:r w:rsidR="008C7F15">
        <w:t>se</w:t>
      </w:r>
      <w:r w:rsidR="00B736EB" w:rsidRPr="00633995">
        <w:t xml:space="preserve"> estimates di</w:t>
      </w:r>
      <w:r w:rsidR="002F3DB2" w:rsidRPr="00633995">
        <w:t xml:space="preserve">ffer </w:t>
      </w:r>
      <w:r w:rsidR="00B736EB" w:rsidRPr="00633995">
        <w:t xml:space="preserve">from our baseline aggregate gravity results </w:t>
      </w:r>
      <w:r w:rsidR="00ED5B4D" w:rsidRPr="00633995">
        <w:t xml:space="preserve">because </w:t>
      </w:r>
      <w:r w:rsidR="00B736EB" w:rsidRPr="00633995">
        <w:t>we now include the full set of industries while controlling for all time-</w:t>
      </w:r>
      <w:r w:rsidR="00051546">
        <w:t>varying</w:t>
      </w:r>
      <w:r w:rsidR="00051546" w:rsidRPr="00633995">
        <w:t xml:space="preserve"> </w:t>
      </w:r>
      <w:r w:rsidR="00B736EB" w:rsidRPr="00633995">
        <w:t xml:space="preserve">pair-specific factors at the sector level by including the appropriate set of fixed effects. The inclusion of all sectors implies that identification comes from within pair-time-product variation </w:t>
      </w:r>
      <w:r w:rsidR="00B736EB" w:rsidRPr="00633995">
        <w:lastRenderedPageBreak/>
        <w:t>in trade flows, rather than pair-time variation only.</w:t>
      </w:r>
      <w:r w:rsidR="00FA6D15" w:rsidRPr="00633995">
        <w:t xml:space="preserve"> </w:t>
      </w:r>
      <w:r w:rsidR="0029589C" w:rsidRPr="00633995">
        <w:t xml:space="preserve">Thus, the </w:t>
      </w:r>
      <w:r w:rsidR="00FA6D15" w:rsidRPr="00633995">
        <w:t>estimat</w:t>
      </w:r>
      <w:r w:rsidR="0029589C" w:rsidRPr="00633995">
        <w:t xml:space="preserve">ion </w:t>
      </w:r>
      <w:r w:rsidR="00FA6D15" w:rsidRPr="00633995">
        <w:t>assess</w:t>
      </w:r>
      <w:r w:rsidR="0029589C" w:rsidRPr="00633995">
        <w:t>es</w:t>
      </w:r>
      <w:r w:rsidR="00FA6D15" w:rsidRPr="00633995">
        <w:t xml:space="preserve"> how </w:t>
      </w:r>
      <w:r w:rsidR="00835DBE" w:rsidRPr="00633995">
        <w:t xml:space="preserve">exports in </w:t>
      </w:r>
      <w:r w:rsidR="00FA6D15" w:rsidRPr="00633995">
        <w:t xml:space="preserve">digital sectors </w:t>
      </w:r>
      <w:r w:rsidR="00D42B2F" w:rsidRPr="00633995">
        <w:t xml:space="preserve">are affected </w:t>
      </w:r>
      <w:r w:rsidR="0029589C" w:rsidRPr="00633995">
        <w:t xml:space="preserve">as a result of adequacy relative to </w:t>
      </w:r>
      <w:r w:rsidR="00835DBE" w:rsidRPr="00633995">
        <w:t>non-digital sectors.</w:t>
      </w:r>
    </w:p>
    <w:p w14:paraId="2D60D318" w14:textId="4EB118CE" w:rsidR="00B90F25" w:rsidRPr="00633995" w:rsidRDefault="0050211A" w:rsidP="0011538D">
      <w:pPr>
        <w:jc w:val="both"/>
      </w:pPr>
      <w:r w:rsidRPr="00633995">
        <w:t>Table 2 reports t</w:t>
      </w:r>
      <w:r w:rsidR="00524A85" w:rsidRPr="00633995">
        <w:t>he results</w:t>
      </w:r>
      <w:r w:rsidR="00DE75E2" w:rsidRPr="00633995">
        <w:t xml:space="preserve">. </w:t>
      </w:r>
      <w:r w:rsidR="00356E55" w:rsidRPr="00633995">
        <w:t>When using the narrow definition of digital trade</w:t>
      </w:r>
      <w:r w:rsidR="00016C86" w:rsidRPr="00633995">
        <w:t>,</w:t>
      </w:r>
      <w:r w:rsidR="00356E55" w:rsidRPr="00633995">
        <w:t xml:space="preserve"> </w:t>
      </w:r>
      <w:r w:rsidR="00016C86" w:rsidRPr="00633995">
        <w:t xml:space="preserve">regular </w:t>
      </w:r>
      <w:r w:rsidR="00356E55" w:rsidRPr="00633995">
        <w:t>adequacy</w:t>
      </w:r>
      <w:r w:rsidR="00016C86" w:rsidRPr="00633995">
        <w:t xml:space="preserve"> decisions</w:t>
      </w:r>
      <w:r w:rsidR="00524A85" w:rsidRPr="00633995">
        <w:t xml:space="preserve"> </w:t>
      </w:r>
      <w:r w:rsidR="008C7F15">
        <w:t xml:space="preserve">are </w:t>
      </w:r>
      <w:r w:rsidR="00DE75E2" w:rsidRPr="00633995">
        <w:t>statistically significant in all s</w:t>
      </w:r>
      <w:r w:rsidR="00524A85" w:rsidRPr="00633995">
        <w:t xml:space="preserve">pecifications </w:t>
      </w:r>
      <w:r w:rsidR="00DE75E2" w:rsidRPr="00633995">
        <w:t>(</w:t>
      </w:r>
      <w:r w:rsidR="00524A85" w:rsidRPr="00633995">
        <w:t xml:space="preserve">columns </w:t>
      </w:r>
      <w:r w:rsidR="00DE75E2" w:rsidRPr="00633995">
        <w:t>1</w:t>
      </w:r>
      <w:r w:rsidR="00524A85" w:rsidRPr="00633995">
        <w:t>-4</w:t>
      </w:r>
      <w:r w:rsidR="007A2DCC" w:rsidRPr="00633995">
        <w:t>)</w:t>
      </w:r>
      <w:r w:rsidR="00524A85" w:rsidRPr="00633995">
        <w:t xml:space="preserve">. </w:t>
      </w:r>
      <w:r w:rsidR="00B736EB" w:rsidRPr="00633995">
        <w:t xml:space="preserve">The </w:t>
      </w:r>
      <w:r w:rsidR="00524A85" w:rsidRPr="00633995">
        <w:t xml:space="preserve">EU-US framework agreements </w:t>
      </w:r>
      <w:r w:rsidR="008A3EC3" w:rsidRPr="00633995">
        <w:t xml:space="preserve">are </w:t>
      </w:r>
      <w:r w:rsidR="008C7F15">
        <w:t xml:space="preserve">only </w:t>
      </w:r>
      <w:r w:rsidR="008A3EC3" w:rsidRPr="00633995">
        <w:t>s</w:t>
      </w:r>
      <w:r w:rsidR="00524A85" w:rsidRPr="00633995">
        <w:t xml:space="preserve">ignificant </w:t>
      </w:r>
      <w:r w:rsidR="008C7F15">
        <w:t>at the 10 percent level</w:t>
      </w:r>
      <w:r w:rsidR="009D51F7">
        <w:t xml:space="preserve">. The </w:t>
      </w:r>
      <w:r w:rsidR="00CC14A8">
        <w:t xml:space="preserve">significance of the </w:t>
      </w:r>
      <w:r w:rsidR="009D51F7">
        <w:t xml:space="preserve">regular adequacy decisions </w:t>
      </w:r>
      <w:r w:rsidR="00CC14A8">
        <w:t xml:space="preserve">becomes </w:t>
      </w:r>
      <w:r w:rsidR="008C7F15">
        <w:t>stronger</w:t>
      </w:r>
      <w:r w:rsidR="00CC14A8">
        <w:t>, however,</w:t>
      </w:r>
      <w:r w:rsidR="008C7F15">
        <w:t xml:space="preserve"> when </w:t>
      </w:r>
      <w:r w:rsidR="00524A85" w:rsidRPr="00633995">
        <w:t xml:space="preserve">including the </w:t>
      </w:r>
      <w:r w:rsidR="00CA584C" w:rsidRPr="00633995">
        <w:t>club</w:t>
      </w:r>
      <w:r w:rsidR="00524A85" w:rsidRPr="00633995">
        <w:t xml:space="preserve"> </w:t>
      </w:r>
      <w:r w:rsidR="008A3EC3" w:rsidRPr="00633995">
        <w:t>variables (</w:t>
      </w:r>
      <w:r w:rsidR="00524A85" w:rsidRPr="00633995">
        <w:t>columns 3</w:t>
      </w:r>
      <w:r w:rsidR="008A3EC3" w:rsidRPr="00633995">
        <w:t>-</w:t>
      </w:r>
      <w:r w:rsidR="00524A85" w:rsidRPr="00633995">
        <w:t xml:space="preserve">4). </w:t>
      </w:r>
      <w:r w:rsidR="008C7F15">
        <w:t>E</w:t>
      </w:r>
      <w:r w:rsidR="008A3EC3" w:rsidRPr="00633995">
        <w:t xml:space="preserve">stimates for the SH/PS </w:t>
      </w:r>
      <w:r w:rsidR="00CA584C" w:rsidRPr="00633995">
        <w:t>club</w:t>
      </w:r>
      <w:r w:rsidR="008A3EC3" w:rsidRPr="00633995">
        <w:t xml:space="preserve"> effect </w:t>
      </w:r>
      <w:r w:rsidR="008C7F15">
        <w:t xml:space="preserve">are </w:t>
      </w:r>
      <w:r w:rsidR="008A3EC3" w:rsidRPr="00633995">
        <w:t>positive and statistically significant at the 5</w:t>
      </w:r>
      <w:r w:rsidR="00393AA1" w:rsidRPr="00633995">
        <w:t xml:space="preserve"> percent</w:t>
      </w:r>
      <w:r w:rsidR="008A3EC3" w:rsidRPr="00633995">
        <w:t xml:space="preserve"> level. </w:t>
      </w:r>
      <w:r w:rsidR="00B736EB" w:rsidRPr="00633995">
        <w:t xml:space="preserve">As in the aggregate analysis, </w:t>
      </w:r>
      <w:r w:rsidR="008A3EC3" w:rsidRPr="00633995">
        <w:t xml:space="preserve">estimates of </w:t>
      </w:r>
      <w:r w:rsidR="00524A85" w:rsidRPr="00633995">
        <w:t xml:space="preserve">the </w:t>
      </w:r>
      <w:r w:rsidR="00CA584C" w:rsidRPr="00633995">
        <w:t>club</w:t>
      </w:r>
      <w:r w:rsidR="00524A85" w:rsidRPr="00633995">
        <w:t xml:space="preserve"> effect for </w:t>
      </w:r>
      <w:r w:rsidR="00475C40" w:rsidRPr="00633995">
        <w:t>regular</w:t>
      </w:r>
      <w:r w:rsidR="008A3EC3" w:rsidRPr="00633995">
        <w:t xml:space="preserve"> </w:t>
      </w:r>
      <w:r w:rsidR="00524A85" w:rsidRPr="00633995">
        <w:t xml:space="preserve">adequacy decisions </w:t>
      </w:r>
      <w:r w:rsidR="00F12478" w:rsidRPr="00633995">
        <w:t>remain</w:t>
      </w:r>
      <w:r w:rsidR="00524A85" w:rsidRPr="00633995">
        <w:t xml:space="preserve"> insignificant.</w:t>
      </w:r>
      <w:r w:rsidR="00016C86" w:rsidRPr="00633995">
        <w:t xml:space="preserve"> Moreover, we no longer find any significant relationship between adequacy and our broad definition of digital trade (column 5)</w:t>
      </w:r>
      <w:r w:rsidR="00ED5B4D" w:rsidRPr="00633995">
        <w:t xml:space="preserve">, supporting </w:t>
      </w:r>
      <w:r w:rsidR="005E0B22" w:rsidRPr="00633995">
        <w:t>the presumption that adequacy should matter more for digital intensive activities.</w:t>
      </w:r>
      <w:r w:rsidR="00016C86" w:rsidRPr="00633995">
        <w:t xml:space="preserve"> </w:t>
      </w:r>
      <w:r w:rsidR="00412A30">
        <w:t>Table 2 also reports estimates of the effects of one of the control variables, the existence of trade agreements that embody digital trade provisions. Such agreements are found to be strongly associated with digital trade flows.</w:t>
      </w:r>
    </w:p>
    <w:p w14:paraId="566D3E72" w14:textId="30AB1EB6" w:rsidR="0015627D" w:rsidRPr="00633995" w:rsidRDefault="0015627D" w:rsidP="0011538D">
      <w:pPr>
        <w:spacing w:before="240" w:after="120" w:line="240" w:lineRule="auto"/>
        <w:jc w:val="both"/>
        <w:rPr>
          <w:b/>
          <w:bCs/>
        </w:rPr>
      </w:pPr>
      <w:r w:rsidRPr="00633995">
        <w:rPr>
          <w:b/>
          <w:bCs/>
        </w:rPr>
        <w:t xml:space="preserve">Table </w:t>
      </w:r>
      <w:r w:rsidR="0059266F" w:rsidRPr="00633995">
        <w:rPr>
          <w:b/>
          <w:bCs/>
        </w:rPr>
        <w:t>2</w:t>
      </w:r>
      <w:r w:rsidRPr="00633995">
        <w:rPr>
          <w:b/>
          <w:bCs/>
        </w:rPr>
        <w:t xml:space="preserve">: </w:t>
      </w:r>
      <w:r w:rsidR="0043735C" w:rsidRPr="00633995">
        <w:rPr>
          <w:b/>
          <w:bCs/>
        </w:rPr>
        <w:t>P</w:t>
      </w:r>
      <w:r w:rsidR="0059266F" w:rsidRPr="00633995">
        <w:rPr>
          <w:b/>
          <w:bCs/>
        </w:rPr>
        <w:t>ooled</w:t>
      </w:r>
      <w:r w:rsidRPr="00633995">
        <w:rPr>
          <w:b/>
          <w:bCs/>
        </w:rPr>
        <w:t xml:space="preserve"> gravity </w:t>
      </w:r>
      <w:r w:rsidR="0043735C" w:rsidRPr="00633995">
        <w:rPr>
          <w:b/>
          <w:bCs/>
        </w:rPr>
        <w:t>estimates</w:t>
      </w:r>
    </w:p>
    <w:tbl>
      <w:tblPr>
        <w:tblW w:w="5000" w:type="pct"/>
        <w:tblCellMar>
          <w:left w:w="70" w:type="dxa"/>
          <w:right w:w="70" w:type="dxa"/>
        </w:tblCellMar>
        <w:tblLook w:val="04A0" w:firstRow="1" w:lastRow="0" w:firstColumn="1" w:lastColumn="0" w:noHBand="0" w:noVBand="1"/>
      </w:tblPr>
      <w:tblGrid>
        <w:gridCol w:w="2382"/>
        <w:gridCol w:w="1329"/>
        <w:gridCol w:w="1329"/>
        <w:gridCol w:w="1329"/>
        <w:gridCol w:w="1330"/>
        <w:gridCol w:w="1327"/>
      </w:tblGrid>
      <w:tr w:rsidR="00C23698" w:rsidRPr="00633995" w14:paraId="5B90C01F" w14:textId="0840470C" w:rsidTr="00604F53">
        <w:trPr>
          <w:trHeight w:val="144"/>
        </w:trPr>
        <w:tc>
          <w:tcPr>
            <w:tcW w:w="1320" w:type="pct"/>
            <w:tcBorders>
              <w:top w:val="single" w:sz="4" w:space="0" w:color="auto"/>
              <w:left w:val="nil"/>
              <w:bottom w:val="nil"/>
              <w:right w:val="nil"/>
            </w:tcBorders>
            <w:shd w:val="clear" w:color="auto" w:fill="auto"/>
            <w:noWrap/>
            <w:vAlign w:val="center"/>
            <w:hideMark/>
          </w:tcPr>
          <w:p w14:paraId="4E07CE1A" w14:textId="77777777" w:rsidR="00C23698" w:rsidRPr="00633995" w:rsidRDefault="00C23698" w:rsidP="0011538D">
            <w:pPr>
              <w:spacing w:after="0" w:line="240" w:lineRule="auto"/>
              <w:jc w:val="both"/>
              <w:rPr>
                <w:rFonts w:ascii="Aptos Narrow" w:eastAsia="Times New Roman" w:hAnsi="Aptos Narrow" w:cs="Times New Roman"/>
                <w:color w:val="000000"/>
                <w:sz w:val="20"/>
                <w:szCs w:val="20"/>
                <w:lang w:eastAsia="de-DE"/>
              </w:rPr>
            </w:pPr>
            <w:r w:rsidRPr="00633995">
              <w:rPr>
                <w:rFonts w:ascii="Aptos Narrow" w:eastAsia="Times New Roman" w:hAnsi="Aptos Narrow" w:cs="Times New Roman"/>
                <w:color w:val="000000"/>
                <w:sz w:val="20"/>
                <w:szCs w:val="20"/>
                <w:lang w:eastAsia="de-DE"/>
              </w:rPr>
              <w:t> </w:t>
            </w:r>
          </w:p>
        </w:tc>
        <w:tc>
          <w:tcPr>
            <w:tcW w:w="736" w:type="pct"/>
            <w:tcBorders>
              <w:top w:val="single" w:sz="4" w:space="0" w:color="auto"/>
              <w:left w:val="nil"/>
              <w:bottom w:val="nil"/>
              <w:right w:val="nil"/>
            </w:tcBorders>
            <w:shd w:val="clear" w:color="auto" w:fill="auto"/>
            <w:noWrap/>
            <w:vAlign w:val="center"/>
            <w:hideMark/>
          </w:tcPr>
          <w:p w14:paraId="1C7A8B3F"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(1)</w:t>
            </w:r>
          </w:p>
        </w:tc>
        <w:tc>
          <w:tcPr>
            <w:tcW w:w="736" w:type="pct"/>
            <w:tcBorders>
              <w:top w:val="single" w:sz="4" w:space="0" w:color="auto"/>
              <w:left w:val="nil"/>
              <w:bottom w:val="nil"/>
              <w:right w:val="nil"/>
            </w:tcBorders>
            <w:shd w:val="clear" w:color="auto" w:fill="auto"/>
            <w:noWrap/>
            <w:vAlign w:val="center"/>
            <w:hideMark/>
          </w:tcPr>
          <w:p w14:paraId="243CB486"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(2)</w:t>
            </w:r>
          </w:p>
        </w:tc>
        <w:tc>
          <w:tcPr>
            <w:tcW w:w="736" w:type="pct"/>
            <w:tcBorders>
              <w:top w:val="single" w:sz="4" w:space="0" w:color="auto"/>
              <w:left w:val="nil"/>
              <w:bottom w:val="nil"/>
              <w:right w:val="nil"/>
            </w:tcBorders>
            <w:shd w:val="clear" w:color="auto" w:fill="auto"/>
            <w:noWrap/>
            <w:vAlign w:val="center"/>
            <w:hideMark/>
          </w:tcPr>
          <w:p w14:paraId="47E63AD7"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(3)</w:t>
            </w:r>
          </w:p>
        </w:tc>
        <w:tc>
          <w:tcPr>
            <w:tcW w:w="737" w:type="pct"/>
            <w:tcBorders>
              <w:top w:val="single" w:sz="4" w:space="0" w:color="auto"/>
              <w:left w:val="nil"/>
              <w:bottom w:val="nil"/>
              <w:right w:val="nil"/>
            </w:tcBorders>
            <w:shd w:val="clear" w:color="auto" w:fill="auto"/>
            <w:noWrap/>
            <w:vAlign w:val="center"/>
            <w:hideMark/>
          </w:tcPr>
          <w:p w14:paraId="666C32DA"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(4)</w:t>
            </w:r>
          </w:p>
        </w:tc>
        <w:tc>
          <w:tcPr>
            <w:tcW w:w="735" w:type="pct"/>
            <w:tcBorders>
              <w:top w:val="single" w:sz="4" w:space="0" w:color="auto"/>
              <w:left w:val="nil"/>
              <w:bottom w:val="nil"/>
              <w:right w:val="nil"/>
            </w:tcBorders>
            <w:shd w:val="clear" w:color="auto" w:fill="auto"/>
            <w:noWrap/>
            <w:vAlign w:val="center"/>
            <w:hideMark/>
          </w:tcPr>
          <w:p w14:paraId="5FE7D2D9"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(5)</w:t>
            </w:r>
          </w:p>
        </w:tc>
      </w:tr>
      <w:tr w:rsidR="00C23698" w:rsidRPr="00633995" w14:paraId="29058473" w14:textId="7BAFA21F" w:rsidTr="00604F53">
        <w:trPr>
          <w:trHeight w:val="144"/>
        </w:trPr>
        <w:tc>
          <w:tcPr>
            <w:tcW w:w="1320" w:type="pct"/>
            <w:tcBorders>
              <w:top w:val="nil"/>
              <w:left w:val="nil"/>
              <w:bottom w:val="single" w:sz="4" w:space="0" w:color="auto"/>
              <w:right w:val="nil"/>
            </w:tcBorders>
            <w:shd w:val="clear" w:color="auto" w:fill="auto"/>
            <w:noWrap/>
            <w:vAlign w:val="center"/>
            <w:hideMark/>
          </w:tcPr>
          <w:p w14:paraId="5B2757AD"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 </w:t>
            </w:r>
          </w:p>
        </w:tc>
        <w:tc>
          <w:tcPr>
            <w:tcW w:w="736" w:type="pct"/>
            <w:tcBorders>
              <w:top w:val="nil"/>
              <w:left w:val="nil"/>
              <w:bottom w:val="single" w:sz="4" w:space="0" w:color="auto"/>
              <w:right w:val="nil"/>
            </w:tcBorders>
            <w:shd w:val="clear" w:color="auto" w:fill="auto"/>
            <w:noWrap/>
            <w:vAlign w:val="center"/>
            <w:hideMark/>
          </w:tcPr>
          <w:p w14:paraId="0F5B6FB4"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EXP</w:t>
            </w:r>
          </w:p>
        </w:tc>
        <w:tc>
          <w:tcPr>
            <w:tcW w:w="736" w:type="pct"/>
            <w:tcBorders>
              <w:top w:val="nil"/>
              <w:left w:val="nil"/>
              <w:bottom w:val="single" w:sz="4" w:space="0" w:color="auto"/>
              <w:right w:val="nil"/>
            </w:tcBorders>
            <w:shd w:val="clear" w:color="auto" w:fill="auto"/>
            <w:noWrap/>
            <w:vAlign w:val="center"/>
            <w:hideMark/>
          </w:tcPr>
          <w:p w14:paraId="41D8F66D"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EXP</w:t>
            </w:r>
          </w:p>
        </w:tc>
        <w:tc>
          <w:tcPr>
            <w:tcW w:w="736" w:type="pct"/>
            <w:tcBorders>
              <w:top w:val="nil"/>
              <w:left w:val="nil"/>
              <w:bottom w:val="single" w:sz="4" w:space="0" w:color="auto"/>
              <w:right w:val="nil"/>
            </w:tcBorders>
            <w:shd w:val="clear" w:color="auto" w:fill="auto"/>
            <w:noWrap/>
            <w:vAlign w:val="center"/>
            <w:hideMark/>
          </w:tcPr>
          <w:p w14:paraId="3B72899E"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EXP</w:t>
            </w:r>
          </w:p>
        </w:tc>
        <w:tc>
          <w:tcPr>
            <w:tcW w:w="737" w:type="pct"/>
            <w:tcBorders>
              <w:top w:val="nil"/>
              <w:left w:val="nil"/>
              <w:bottom w:val="single" w:sz="4" w:space="0" w:color="auto"/>
              <w:right w:val="nil"/>
            </w:tcBorders>
            <w:shd w:val="clear" w:color="auto" w:fill="auto"/>
            <w:noWrap/>
            <w:vAlign w:val="center"/>
            <w:hideMark/>
          </w:tcPr>
          <w:p w14:paraId="341639F5"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EXP</w:t>
            </w:r>
          </w:p>
        </w:tc>
        <w:tc>
          <w:tcPr>
            <w:tcW w:w="735" w:type="pct"/>
            <w:tcBorders>
              <w:top w:val="nil"/>
              <w:left w:val="nil"/>
              <w:bottom w:val="single" w:sz="4" w:space="0" w:color="auto"/>
              <w:right w:val="nil"/>
            </w:tcBorders>
            <w:shd w:val="clear" w:color="auto" w:fill="auto"/>
            <w:noWrap/>
            <w:vAlign w:val="center"/>
            <w:hideMark/>
          </w:tcPr>
          <w:p w14:paraId="53BA3163"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EXP</w:t>
            </w:r>
          </w:p>
        </w:tc>
      </w:tr>
      <w:tr w:rsidR="00F175E0" w:rsidRPr="00633995" w14:paraId="5D4E7924" w14:textId="59ACC9C8" w:rsidTr="00604F53">
        <w:trPr>
          <w:trHeight w:val="144"/>
        </w:trPr>
        <w:tc>
          <w:tcPr>
            <w:tcW w:w="1320" w:type="pct"/>
            <w:tcBorders>
              <w:top w:val="single" w:sz="4" w:space="0" w:color="auto"/>
              <w:left w:val="nil"/>
              <w:bottom w:val="nil"/>
              <w:right w:val="nil"/>
            </w:tcBorders>
            <w:shd w:val="clear" w:color="auto" w:fill="auto"/>
            <w:noWrap/>
            <w:vAlign w:val="center"/>
            <w:hideMark/>
          </w:tcPr>
          <w:p w14:paraId="666DA15B" w14:textId="787EB2C1" w:rsidR="00F175E0" w:rsidRPr="00CA3B05" w:rsidRDefault="00F175E0" w:rsidP="00F175E0">
            <w:pPr>
              <w:spacing w:after="0" w:line="240" w:lineRule="auto"/>
              <w:jc w:val="both"/>
              <w:rPr>
                <w:rFonts w:ascii="Aptos Narrow" w:eastAsia="Times New Roman" w:hAnsi="Aptos Narrow" w:cs="Times New Roman"/>
                <w:i/>
                <w:iCs/>
                <w:color w:val="000000"/>
                <w:sz w:val="20"/>
                <w:szCs w:val="20"/>
                <w:lang w:eastAsia="de-DE"/>
              </w:rPr>
            </w:pPr>
            <m:oMathPara>
              <m:oMathParaPr>
                <m:jc m:val="left"/>
              </m:oMathParaPr>
              <m:oMath>
                <m:r>
                  <w:rPr>
                    <w:rFonts w:ascii="Cambria Math" w:eastAsia="Times New Roman" w:hAnsi="Cambria Math" w:cs="Times New Roman"/>
                    <w:color w:val="000000"/>
                    <w:sz w:val="20"/>
                    <w:szCs w:val="20"/>
                    <w:lang w:eastAsia="de-DE"/>
                  </w:rPr>
                  <m:t>RAD</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Q</m:t>
                    </m:r>
                  </m:e>
                  <m:sub>
                    <m:r>
                      <w:rPr>
                        <w:rFonts w:ascii="Cambria Math" w:eastAsia="Times New Roman" w:hAnsi="Cambria Math" w:cs="Times New Roman"/>
                        <w:color w:val="000000"/>
                        <w:sz w:val="20"/>
                        <w:szCs w:val="20"/>
                        <w:lang w:eastAsia="de-DE"/>
                      </w:rPr>
                      <m:t>ijt</m:t>
                    </m:r>
                  </m:sub>
                </m:sSub>
                <m:r>
                  <w:rPr>
                    <w:rFonts w:ascii="Cambria Math" w:eastAsia="Times New Roman" w:hAnsi="Cambria Math" w:cs="Times New Roman"/>
                    <w:color w:val="000000"/>
                    <w:sz w:val="20"/>
                    <w:szCs w:val="20"/>
                    <w:lang w:eastAsia="de-DE"/>
                  </w:rPr>
                  <m:t>*</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I</m:t>
                    </m:r>
                  </m:e>
                  <m:sub>
                    <m:r>
                      <w:rPr>
                        <w:rFonts w:ascii="Cambria Math" w:eastAsia="Times New Roman" w:hAnsi="Cambria Math" w:cs="Times New Roman"/>
                        <w:color w:val="000000"/>
                        <w:sz w:val="20"/>
                        <w:szCs w:val="20"/>
                        <w:lang w:eastAsia="de-DE"/>
                      </w:rPr>
                      <m:t>k</m:t>
                    </m:r>
                  </m:sub>
                </m:sSub>
              </m:oMath>
            </m:oMathPara>
          </w:p>
        </w:tc>
        <w:tc>
          <w:tcPr>
            <w:tcW w:w="736" w:type="pct"/>
            <w:tcBorders>
              <w:top w:val="single" w:sz="4" w:space="0" w:color="auto"/>
              <w:left w:val="nil"/>
              <w:bottom w:val="nil"/>
              <w:right w:val="nil"/>
            </w:tcBorders>
            <w:shd w:val="clear" w:color="auto" w:fill="auto"/>
            <w:noWrap/>
            <w:vAlign w:val="bottom"/>
          </w:tcPr>
          <w:p w14:paraId="16D40DC2" w14:textId="2F9C8768" w:rsidR="00F175E0" w:rsidRPr="00F175E0"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0.059*</w:t>
            </w:r>
          </w:p>
        </w:tc>
        <w:tc>
          <w:tcPr>
            <w:tcW w:w="736" w:type="pct"/>
            <w:tcBorders>
              <w:top w:val="single" w:sz="4" w:space="0" w:color="auto"/>
              <w:left w:val="nil"/>
              <w:bottom w:val="nil"/>
              <w:right w:val="nil"/>
            </w:tcBorders>
            <w:shd w:val="clear" w:color="auto" w:fill="auto"/>
            <w:noWrap/>
            <w:vAlign w:val="bottom"/>
          </w:tcPr>
          <w:p w14:paraId="60207BF4" w14:textId="23036CD6" w:rsidR="00F175E0" w:rsidRPr="00F175E0"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0.059*</w:t>
            </w:r>
          </w:p>
        </w:tc>
        <w:tc>
          <w:tcPr>
            <w:tcW w:w="736" w:type="pct"/>
            <w:tcBorders>
              <w:top w:val="single" w:sz="4" w:space="0" w:color="auto"/>
              <w:left w:val="nil"/>
              <w:bottom w:val="nil"/>
              <w:right w:val="nil"/>
            </w:tcBorders>
            <w:shd w:val="clear" w:color="auto" w:fill="auto"/>
            <w:noWrap/>
            <w:vAlign w:val="bottom"/>
          </w:tcPr>
          <w:p w14:paraId="59402D7C" w14:textId="55730F3B" w:rsidR="00F175E0" w:rsidRPr="00F175E0"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0.081**</w:t>
            </w:r>
          </w:p>
        </w:tc>
        <w:tc>
          <w:tcPr>
            <w:tcW w:w="737" w:type="pct"/>
            <w:tcBorders>
              <w:top w:val="single" w:sz="4" w:space="0" w:color="auto"/>
              <w:left w:val="nil"/>
              <w:bottom w:val="nil"/>
              <w:right w:val="nil"/>
            </w:tcBorders>
            <w:shd w:val="clear" w:color="auto" w:fill="auto"/>
            <w:noWrap/>
            <w:vAlign w:val="bottom"/>
          </w:tcPr>
          <w:p w14:paraId="0E1DD2D4" w14:textId="3A1C1AD5" w:rsidR="00F175E0" w:rsidRPr="00F175E0"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0.083**</w:t>
            </w:r>
          </w:p>
        </w:tc>
        <w:tc>
          <w:tcPr>
            <w:tcW w:w="735" w:type="pct"/>
            <w:tcBorders>
              <w:top w:val="single" w:sz="4" w:space="0" w:color="auto"/>
              <w:left w:val="nil"/>
              <w:bottom w:val="nil"/>
              <w:right w:val="nil"/>
            </w:tcBorders>
            <w:shd w:val="clear" w:color="auto" w:fill="auto"/>
            <w:noWrap/>
            <w:vAlign w:val="bottom"/>
          </w:tcPr>
          <w:p w14:paraId="292DCE42" w14:textId="633E3365" w:rsidR="00F175E0" w:rsidRPr="00F175E0"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0.030</w:t>
            </w:r>
          </w:p>
        </w:tc>
      </w:tr>
      <w:tr w:rsidR="00F175E0" w:rsidRPr="00633995" w14:paraId="40B353ED" w14:textId="46F13D67" w:rsidTr="00604F53">
        <w:trPr>
          <w:trHeight w:val="144"/>
        </w:trPr>
        <w:tc>
          <w:tcPr>
            <w:tcW w:w="1320" w:type="pct"/>
            <w:tcBorders>
              <w:top w:val="nil"/>
              <w:left w:val="nil"/>
              <w:bottom w:val="nil"/>
              <w:right w:val="nil"/>
            </w:tcBorders>
            <w:shd w:val="clear" w:color="auto" w:fill="auto"/>
            <w:noWrap/>
            <w:vAlign w:val="center"/>
            <w:hideMark/>
          </w:tcPr>
          <w:p w14:paraId="268A38A4" w14:textId="77777777" w:rsidR="00F175E0" w:rsidRPr="00513BF1" w:rsidRDefault="00F175E0" w:rsidP="00F175E0">
            <w:pPr>
              <w:spacing w:after="0" w:line="240" w:lineRule="auto"/>
              <w:jc w:val="both"/>
              <w:rPr>
                <w:rFonts w:ascii="Aptos Narrow" w:eastAsia="Times New Roman" w:hAnsi="Aptos Narrow" w:cs="Times New Roman"/>
                <w:i/>
                <w:iCs/>
                <w:color w:val="000000"/>
                <w:sz w:val="18"/>
                <w:szCs w:val="18"/>
                <w:lang w:eastAsia="de-DE"/>
              </w:rPr>
            </w:pPr>
          </w:p>
        </w:tc>
        <w:tc>
          <w:tcPr>
            <w:tcW w:w="736" w:type="pct"/>
            <w:tcBorders>
              <w:top w:val="nil"/>
              <w:left w:val="nil"/>
              <w:bottom w:val="nil"/>
              <w:right w:val="nil"/>
            </w:tcBorders>
            <w:shd w:val="clear" w:color="auto" w:fill="auto"/>
            <w:noWrap/>
            <w:vAlign w:val="bottom"/>
          </w:tcPr>
          <w:p w14:paraId="1FABA7E6" w14:textId="6446979C"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(0.096)</w:t>
            </w:r>
          </w:p>
        </w:tc>
        <w:tc>
          <w:tcPr>
            <w:tcW w:w="736" w:type="pct"/>
            <w:tcBorders>
              <w:top w:val="nil"/>
              <w:left w:val="nil"/>
              <w:bottom w:val="nil"/>
              <w:right w:val="nil"/>
            </w:tcBorders>
            <w:shd w:val="clear" w:color="auto" w:fill="auto"/>
            <w:noWrap/>
            <w:vAlign w:val="bottom"/>
          </w:tcPr>
          <w:p w14:paraId="1754DE80" w14:textId="0333276C"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(0.078)</w:t>
            </w:r>
          </w:p>
        </w:tc>
        <w:tc>
          <w:tcPr>
            <w:tcW w:w="736" w:type="pct"/>
            <w:tcBorders>
              <w:top w:val="nil"/>
              <w:left w:val="nil"/>
              <w:bottom w:val="nil"/>
              <w:right w:val="nil"/>
            </w:tcBorders>
            <w:shd w:val="clear" w:color="auto" w:fill="auto"/>
            <w:noWrap/>
            <w:vAlign w:val="bottom"/>
          </w:tcPr>
          <w:p w14:paraId="2DE893F7" w14:textId="5C7C155A"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(0.034)</w:t>
            </w:r>
          </w:p>
        </w:tc>
        <w:tc>
          <w:tcPr>
            <w:tcW w:w="737" w:type="pct"/>
            <w:tcBorders>
              <w:top w:val="nil"/>
              <w:left w:val="nil"/>
              <w:bottom w:val="nil"/>
              <w:right w:val="nil"/>
            </w:tcBorders>
            <w:shd w:val="clear" w:color="auto" w:fill="auto"/>
            <w:noWrap/>
            <w:vAlign w:val="bottom"/>
          </w:tcPr>
          <w:p w14:paraId="4E813ECD" w14:textId="1F4C039A"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(0.025)</w:t>
            </w:r>
          </w:p>
        </w:tc>
        <w:tc>
          <w:tcPr>
            <w:tcW w:w="735" w:type="pct"/>
            <w:tcBorders>
              <w:top w:val="nil"/>
              <w:left w:val="nil"/>
              <w:bottom w:val="nil"/>
              <w:right w:val="nil"/>
            </w:tcBorders>
            <w:shd w:val="clear" w:color="auto" w:fill="auto"/>
            <w:noWrap/>
            <w:vAlign w:val="bottom"/>
          </w:tcPr>
          <w:p w14:paraId="4F5310AB" w14:textId="4232F6A0"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(0.317)</w:t>
            </w:r>
          </w:p>
        </w:tc>
      </w:tr>
      <w:tr w:rsidR="00F175E0" w:rsidRPr="00633995" w14:paraId="5C9CFF5B" w14:textId="75075DC7" w:rsidTr="00604F53">
        <w:trPr>
          <w:trHeight w:val="144"/>
        </w:trPr>
        <w:tc>
          <w:tcPr>
            <w:tcW w:w="1320" w:type="pct"/>
            <w:tcBorders>
              <w:top w:val="nil"/>
              <w:left w:val="nil"/>
              <w:bottom w:val="nil"/>
              <w:right w:val="nil"/>
            </w:tcBorders>
            <w:shd w:val="clear" w:color="auto" w:fill="auto"/>
            <w:noWrap/>
            <w:vAlign w:val="center"/>
            <w:hideMark/>
          </w:tcPr>
          <w:p w14:paraId="3AA782D7" w14:textId="382C1D22" w:rsidR="00F175E0" w:rsidRPr="00513BF1" w:rsidRDefault="00F175E0" w:rsidP="00F175E0">
            <w:pPr>
              <w:spacing w:after="0" w:line="240" w:lineRule="auto"/>
              <w:jc w:val="both"/>
              <w:rPr>
                <w:rFonts w:ascii="Aptos Narrow" w:eastAsia="Times New Roman" w:hAnsi="Aptos Narrow" w:cs="Times New Roman"/>
                <w:i/>
                <w:iCs/>
                <w:color w:val="000000"/>
                <w:sz w:val="20"/>
                <w:szCs w:val="20"/>
                <w:lang w:eastAsia="de-DE"/>
              </w:rPr>
            </w:pPr>
            <m:oMath>
              <m:r>
                <w:rPr>
                  <w:rFonts w:ascii="Cambria Math" w:eastAsia="Times New Roman" w:hAnsi="Cambria Math" w:cs="Times New Roman"/>
                  <w:color w:val="000000"/>
                  <w:sz w:val="20"/>
                  <w:szCs w:val="20"/>
                  <w:lang w:eastAsia="de-DE"/>
                </w:rPr>
                <m:t>SH/P</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S</m:t>
                  </m:r>
                </m:e>
                <m:sub>
                  <m:r>
                    <w:rPr>
                      <w:rFonts w:ascii="Cambria Math" w:eastAsia="Times New Roman" w:hAnsi="Cambria Math" w:cs="Times New Roman"/>
                      <w:color w:val="000000"/>
                      <w:sz w:val="20"/>
                      <w:szCs w:val="20"/>
                      <w:lang w:eastAsia="de-DE"/>
                    </w:rPr>
                    <m:t>ijt</m:t>
                  </m:r>
                </m:sub>
              </m:sSub>
              <m:r>
                <w:rPr>
                  <w:rFonts w:ascii="Cambria Math" w:eastAsia="Times New Roman" w:hAnsi="Cambria Math" w:cs="Times New Roman"/>
                  <w:color w:val="000000"/>
                  <w:sz w:val="20"/>
                  <w:szCs w:val="20"/>
                  <w:lang w:eastAsia="de-DE"/>
                </w:rPr>
                <m:t>*</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I</m:t>
                  </m:r>
                </m:e>
                <m:sub>
                  <m:r>
                    <w:rPr>
                      <w:rFonts w:ascii="Cambria Math" w:eastAsia="Times New Roman" w:hAnsi="Cambria Math" w:cs="Times New Roman"/>
                      <w:color w:val="000000"/>
                      <w:sz w:val="20"/>
                      <w:szCs w:val="20"/>
                      <w:lang w:eastAsia="de-DE"/>
                    </w:rPr>
                    <m:t>k</m:t>
                  </m:r>
                </m:sub>
              </m:sSub>
            </m:oMath>
            <w:r>
              <w:rPr>
                <w:rFonts w:ascii="Aptos Narrow" w:eastAsia="Times New Roman" w:hAnsi="Aptos Narrow" w:cs="Times New Roman"/>
                <w:i/>
                <w:iCs/>
                <w:color w:val="000000"/>
                <w:sz w:val="20"/>
                <w:szCs w:val="20"/>
                <w:lang w:eastAsia="de-DE"/>
              </w:rPr>
              <w:t xml:space="preserve"> </w:t>
            </w:r>
          </w:p>
        </w:tc>
        <w:tc>
          <w:tcPr>
            <w:tcW w:w="736" w:type="pct"/>
            <w:tcBorders>
              <w:top w:val="nil"/>
              <w:left w:val="nil"/>
              <w:bottom w:val="nil"/>
              <w:right w:val="nil"/>
            </w:tcBorders>
            <w:shd w:val="clear" w:color="auto" w:fill="auto"/>
            <w:noWrap/>
            <w:vAlign w:val="bottom"/>
          </w:tcPr>
          <w:p w14:paraId="4753407B" w14:textId="0F66865C" w:rsidR="00F175E0" w:rsidRPr="00F175E0"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0.069*</w:t>
            </w:r>
          </w:p>
        </w:tc>
        <w:tc>
          <w:tcPr>
            <w:tcW w:w="736" w:type="pct"/>
            <w:tcBorders>
              <w:top w:val="nil"/>
              <w:left w:val="nil"/>
              <w:bottom w:val="nil"/>
              <w:right w:val="nil"/>
            </w:tcBorders>
            <w:shd w:val="clear" w:color="auto" w:fill="auto"/>
            <w:noWrap/>
            <w:vAlign w:val="bottom"/>
          </w:tcPr>
          <w:p w14:paraId="5FDD885F" w14:textId="6B3D2533" w:rsidR="00F175E0" w:rsidRPr="00F175E0"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0.069*</w:t>
            </w:r>
          </w:p>
        </w:tc>
        <w:tc>
          <w:tcPr>
            <w:tcW w:w="736" w:type="pct"/>
            <w:tcBorders>
              <w:top w:val="nil"/>
              <w:left w:val="nil"/>
              <w:bottom w:val="nil"/>
              <w:right w:val="nil"/>
            </w:tcBorders>
            <w:shd w:val="clear" w:color="auto" w:fill="auto"/>
            <w:noWrap/>
            <w:vAlign w:val="bottom"/>
          </w:tcPr>
          <w:p w14:paraId="50C58E9C" w14:textId="23C9150F" w:rsidR="00F175E0" w:rsidRPr="00F175E0"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0.080*</w:t>
            </w:r>
          </w:p>
        </w:tc>
        <w:tc>
          <w:tcPr>
            <w:tcW w:w="737" w:type="pct"/>
            <w:tcBorders>
              <w:top w:val="nil"/>
              <w:left w:val="nil"/>
              <w:bottom w:val="nil"/>
              <w:right w:val="nil"/>
            </w:tcBorders>
            <w:shd w:val="clear" w:color="auto" w:fill="auto"/>
            <w:noWrap/>
            <w:vAlign w:val="bottom"/>
          </w:tcPr>
          <w:p w14:paraId="45FCD84E" w14:textId="743999EB" w:rsidR="00F175E0" w:rsidRPr="00F175E0"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0.081*</w:t>
            </w:r>
          </w:p>
        </w:tc>
        <w:tc>
          <w:tcPr>
            <w:tcW w:w="735" w:type="pct"/>
            <w:tcBorders>
              <w:top w:val="nil"/>
              <w:left w:val="nil"/>
              <w:bottom w:val="nil"/>
              <w:right w:val="nil"/>
            </w:tcBorders>
            <w:shd w:val="clear" w:color="auto" w:fill="auto"/>
            <w:noWrap/>
            <w:vAlign w:val="bottom"/>
          </w:tcPr>
          <w:p w14:paraId="1002F5D1" w14:textId="60D2B26C" w:rsidR="00F175E0" w:rsidRPr="00F175E0"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-0.010</w:t>
            </w:r>
          </w:p>
        </w:tc>
      </w:tr>
      <w:tr w:rsidR="00F175E0" w:rsidRPr="00633995" w14:paraId="0A89FE16" w14:textId="0A6507A6" w:rsidTr="00604F53">
        <w:trPr>
          <w:trHeight w:val="144"/>
        </w:trPr>
        <w:tc>
          <w:tcPr>
            <w:tcW w:w="1320" w:type="pct"/>
            <w:tcBorders>
              <w:top w:val="nil"/>
              <w:left w:val="nil"/>
              <w:bottom w:val="nil"/>
              <w:right w:val="nil"/>
            </w:tcBorders>
            <w:shd w:val="clear" w:color="auto" w:fill="auto"/>
            <w:noWrap/>
            <w:vAlign w:val="center"/>
            <w:hideMark/>
          </w:tcPr>
          <w:p w14:paraId="0DFD3B40" w14:textId="77777777" w:rsidR="00F175E0" w:rsidRPr="00513BF1" w:rsidRDefault="00F175E0" w:rsidP="00F175E0">
            <w:pPr>
              <w:spacing w:after="0" w:line="240" w:lineRule="auto"/>
              <w:jc w:val="both"/>
              <w:rPr>
                <w:rFonts w:ascii="Aptos Narrow" w:eastAsia="Times New Roman" w:hAnsi="Aptos Narrow" w:cs="Times New Roman"/>
                <w:i/>
                <w:iCs/>
                <w:color w:val="000000"/>
                <w:sz w:val="18"/>
                <w:szCs w:val="18"/>
                <w:lang w:eastAsia="de-DE"/>
              </w:rPr>
            </w:pPr>
          </w:p>
        </w:tc>
        <w:tc>
          <w:tcPr>
            <w:tcW w:w="736" w:type="pct"/>
            <w:tcBorders>
              <w:top w:val="nil"/>
              <w:left w:val="nil"/>
              <w:bottom w:val="nil"/>
              <w:right w:val="nil"/>
            </w:tcBorders>
            <w:shd w:val="clear" w:color="auto" w:fill="auto"/>
            <w:noWrap/>
            <w:vAlign w:val="bottom"/>
          </w:tcPr>
          <w:p w14:paraId="46D6BD06" w14:textId="0E13C25D"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(0.095)</w:t>
            </w:r>
          </w:p>
        </w:tc>
        <w:tc>
          <w:tcPr>
            <w:tcW w:w="736" w:type="pct"/>
            <w:tcBorders>
              <w:top w:val="nil"/>
              <w:left w:val="nil"/>
              <w:bottom w:val="nil"/>
              <w:right w:val="nil"/>
            </w:tcBorders>
            <w:shd w:val="clear" w:color="auto" w:fill="auto"/>
            <w:noWrap/>
            <w:vAlign w:val="bottom"/>
          </w:tcPr>
          <w:p w14:paraId="371E608D" w14:textId="27141732"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(0.094)</w:t>
            </w:r>
          </w:p>
        </w:tc>
        <w:tc>
          <w:tcPr>
            <w:tcW w:w="736" w:type="pct"/>
            <w:tcBorders>
              <w:top w:val="nil"/>
              <w:left w:val="nil"/>
              <w:bottom w:val="nil"/>
              <w:right w:val="nil"/>
            </w:tcBorders>
            <w:shd w:val="clear" w:color="auto" w:fill="auto"/>
            <w:noWrap/>
            <w:vAlign w:val="bottom"/>
          </w:tcPr>
          <w:p w14:paraId="236AE51B" w14:textId="48CA8F7D"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(0.066)</w:t>
            </w:r>
          </w:p>
        </w:tc>
        <w:tc>
          <w:tcPr>
            <w:tcW w:w="737" w:type="pct"/>
            <w:tcBorders>
              <w:top w:val="nil"/>
              <w:left w:val="nil"/>
              <w:bottom w:val="nil"/>
              <w:right w:val="nil"/>
            </w:tcBorders>
            <w:shd w:val="clear" w:color="auto" w:fill="auto"/>
            <w:noWrap/>
            <w:vAlign w:val="bottom"/>
          </w:tcPr>
          <w:p w14:paraId="56E3F527" w14:textId="1DEF7C57"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(0.066)</w:t>
            </w:r>
          </w:p>
        </w:tc>
        <w:tc>
          <w:tcPr>
            <w:tcW w:w="735" w:type="pct"/>
            <w:tcBorders>
              <w:top w:val="nil"/>
              <w:left w:val="nil"/>
              <w:bottom w:val="nil"/>
              <w:right w:val="nil"/>
            </w:tcBorders>
            <w:shd w:val="clear" w:color="auto" w:fill="auto"/>
            <w:noWrap/>
            <w:vAlign w:val="bottom"/>
          </w:tcPr>
          <w:p w14:paraId="0240C9CA" w14:textId="0781C57D"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(0.657)</w:t>
            </w:r>
          </w:p>
        </w:tc>
      </w:tr>
      <w:tr w:rsidR="00F175E0" w:rsidRPr="00633995" w14:paraId="57149FD6" w14:textId="04404EE9" w:rsidTr="00604F53">
        <w:trPr>
          <w:trHeight w:val="144"/>
        </w:trPr>
        <w:tc>
          <w:tcPr>
            <w:tcW w:w="1320" w:type="pct"/>
            <w:tcBorders>
              <w:top w:val="nil"/>
              <w:left w:val="nil"/>
              <w:bottom w:val="nil"/>
              <w:right w:val="nil"/>
            </w:tcBorders>
            <w:shd w:val="clear" w:color="auto" w:fill="auto"/>
            <w:noWrap/>
            <w:vAlign w:val="center"/>
            <w:hideMark/>
          </w:tcPr>
          <w:p w14:paraId="6AE55235" w14:textId="4EA7149C" w:rsidR="00F175E0" w:rsidRPr="00CA3B05" w:rsidRDefault="00F175E0" w:rsidP="00F175E0">
            <w:pPr>
              <w:spacing w:after="0" w:line="240" w:lineRule="auto"/>
              <w:jc w:val="both"/>
              <w:rPr>
                <w:rFonts w:ascii="Aptos Narrow" w:eastAsia="Times New Roman" w:hAnsi="Aptos Narrow" w:cs="Times New Roman"/>
                <w:i/>
                <w:iCs/>
                <w:color w:val="000000"/>
                <w:sz w:val="20"/>
                <w:szCs w:val="20"/>
                <w:lang w:eastAsia="de-DE"/>
              </w:rPr>
            </w:pPr>
            <m:oMathPara>
              <m:oMathParaPr>
                <m:jc m:val="left"/>
              </m:oMathParaPr>
              <m:oMath>
                <m:r>
                  <w:rPr>
                    <w:rFonts w:ascii="Cambria Math" w:eastAsia="Times New Roman" w:hAnsi="Cambria Math" w:cs="Times New Roman"/>
                    <w:color w:val="000000"/>
                    <w:sz w:val="20"/>
                    <w:szCs w:val="20"/>
                    <w:lang w:eastAsia="de-DE"/>
                  </w:rPr>
                  <m:t>RAD</m:t>
                </m:r>
                <m:sSubSup>
                  <m:sSubSupPr>
                    <m:ctrlPr>
                      <w:rPr>
                        <w:rFonts w:ascii="Cambria Math" w:eastAsia="Times New Roman" w:hAnsi="Cambria Math" w:cs="Times New Roman"/>
                        <w:i/>
                        <w:iCs/>
                        <w:color w:val="000000"/>
                        <w:sz w:val="20"/>
                        <w:szCs w:val="20"/>
                        <w:lang w:eastAsia="de-DE"/>
                      </w:rPr>
                    </m:ctrlPr>
                  </m:sSubSupPr>
                  <m:e>
                    <m:r>
                      <w:rPr>
                        <w:rFonts w:ascii="Cambria Math" w:eastAsia="Times New Roman" w:hAnsi="Cambria Math" w:cs="Times New Roman"/>
                        <w:color w:val="000000"/>
                        <w:sz w:val="20"/>
                        <w:szCs w:val="20"/>
                        <w:lang w:eastAsia="de-DE"/>
                      </w:rPr>
                      <m:t>Q</m:t>
                    </m:r>
                  </m:e>
                  <m:sub>
                    <m:r>
                      <w:rPr>
                        <w:rFonts w:ascii="Cambria Math" w:eastAsia="Times New Roman" w:hAnsi="Cambria Math" w:cs="Times New Roman"/>
                        <w:color w:val="000000"/>
                        <w:sz w:val="20"/>
                        <w:szCs w:val="20"/>
                        <w:lang w:eastAsia="de-DE"/>
                      </w:rPr>
                      <m:t>ijt</m:t>
                    </m:r>
                  </m:sub>
                  <m:sup>
                    <m:r>
                      <w:rPr>
                        <w:rFonts w:ascii="Cambria Math" w:eastAsia="Times New Roman" w:hAnsi="Cambria Math" w:cs="Times New Roman"/>
                        <w:color w:val="000000"/>
                        <w:sz w:val="20"/>
                        <w:szCs w:val="20"/>
                        <w:lang w:eastAsia="de-DE"/>
                      </w:rPr>
                      <m:t>Club</m:t>
                    </m:r>
                  </m:sup>
                </m:sSubSup>
                <m:r>
                  <w:rPr>
                    <w:rFonts w:ascii="Cambria Math" w:eastAsia="Times New Roman" w:hAnsi="Cambria Math" w:cs="Times New Roman"/>
                    <w:color w:val="000000"/>
                    <w:sz w:val="20"/>
                    <w:szCs w:val="20"/>
                    <w:lang w:eastAsia="de-DE"/>
                  </w:rPr>
                  <m:t>*</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I</m:t>
                    </m:r>
                  </m:e>
                  <m:sub>
                    <m:r>
                      <w:rPr>
                        <w:rFonts w:ascii="Cambria Math" w:eastAsia="Times New Roman" w:hAnsi="Cambria Math" w:cs="Times New Roman"/>
                        <w:color w:val="000000"/>
                        <w:sz w:val="20"/>
                        <w:szCs w:val="20"/>
                        <w:lang w:eastAsia="de-DE"/>
                      </w:rPr>
                      <m:t>k</m:t>
                    </m:r>
                  </m:sub>
                </m:sSub>
              </m:oMath>
            </m:oMathPara>
          </w:p>
        </w:tc>
        <w:tc>
          <w:tcPr>
            <w:tcW w:w="736" w:type="pct"/>
            <w:tcBorders>
              <w:top w:val="nil"/>
              <w:left w:val="nil"/>
              <w:bottom w:val="nil"/>
              <w:right w:val="nil"/>
            </w:tcBorders>
            <w:shd w:val="clear" w:color="auto" w:fill="auto"/>
            <w:noWrap/>
            <w:vAlign w:val="bottom"/>
          </w:tcPr>
          <w:p w14:paraId="7A8F9F45" w14:textId="77777777" w:rsidR="00F175E0" w:rsidRPr="00F175E0" w:rsidRDefault="00F175E0" w:rsidP="00F175E0">
            <w:pPr>
              <w:spacing w:after="0" w:line="240" w:lineRule="auto"/>
              <w:jc w:val="both"/>
              <w:rPr>
                <w:rFonts w:ascii="Aptos Narrow" w:eastAsia="Times New Roman" w:hAnsi="Aptos Narrow" w:cs="Times New Roman"/>
                <w:color w:val="000000"/>
                <w:sz w:val="20"/>
                <w:szCs w:val="20"/>
                <w:lang w:eastAsia="de-DE"/>
              </w:rPr>
            </w:pPr>
          </w:p>
        </w:tc>
        <w:tc>
          <w:tcPr>
            <w:tcW w:w="736" w:type="pct"/>
            <w:tcBorders>
              <w:top w:val="nil"/>
              <w:left w:val="nil"/>
              <w:bottom w:val="nil"/>
              <w:right w:val="nil"/>
            </w:tcBorders>
            <w:shd w:val="clear" w:color="auto" w:fill="auto"/>
            <w:noWrap/>
            <w:vAlign w:val="bottom"/>
          </w:tcPr>
          <w:p w14:paraId="72DE1DDD" w14:textId="7ACE8746" w:rsidR="00F175E0" w:rsidRPr="00F175E0"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0.009</w:t>
            </w:r>
          </w:p>
        </w:tc>
        <w:tc>
          <w:tcPr>
            <w:tcW w:w="736" w:type="pct"/>
            <w:tcBorders>
              <w:top w:val="nil"/>
              <w:left w:val="nil"/>
              <w:bottom w:val="nil"/>
              <w:right w:val="nil"/>
            </w:tcBorders>
            <w:shd w:val="clear" w:color="auto" w:fill="auto"/>
            <w:noWrap/>
            <w:vAlign w:val="bottom"/>
          </w:tcPr>
          <w:p w14:paraId="4E2C949B" w14:textId="77777777" w:rsidR="00F175E0" w:rsidRPr="00F175E0" w:rsidRDefault="00F175E0" w:rsidP="00F175E0">
            <w:pPr>
              <w:spacing w:after="0" w:line="240" w:lineRule="auto"/>
              <w:jc w:val="both"/>
              <w:rPr>
                <w:rFonts w:ascii="Aptos Narrow" w:eastAsia="Times New Roman" w:hAnsi="Aptos Narrow" w:cs="Times New Roman"/>
                <w:color w:val="000000"/>
                <w:sz w:val="20"/>
                <w:szCs w:val="20"/>
                <w:lang w:eastAsia="de-DE"/>
              </w:rPr>
            </w:pPr>
          </w:p>
        </w:tc>
        <w:tc>
          <w:tcPr>
            <w:tcW w:w="737" w:type="pct"/>
            <w:tcBorders>
              <w:top w:val="nil"/>
              <w:left w:val="nil"/>
              <w:bottom w:val="nil"/>
              <w:right w:val="nil"/>
            </w:tcBorders>
            <w:shd w:val="clear" w:color="auto" w:fill="auto"/>
            <w:noWrap/>
            <w:vAlign w:val="bottom"/>
          </w:tcPr>
          <w:p w14:paraId="1F4DD8C0" w14:textId="60288A21" w:rsidR="00F175E0" w:rsidRPr="00F175E0"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0.031</w:t>
            </w:r>
          </w:p>
        </w:tc>
        <w:tc>
          <w:tcPr>
            <w:tcW w:w="735" w:type="pct"/>
            <w:tcBorders>
              <w:top w:val="nil"/>
              <w:left w:val="nil"/>
              <w:bottom w:val="nil"/>
              <w:right w:val="nil"/>
            </w:tcBorders>
            <w:shd w:val="clear" w:color="auto" w:fill="auto"/>
            <w:noWrap/>
            <w:vAlign w:val="bottom"/>
          </w:tcPr>
          <w:p w14:paraId="0880FA72" w14:textId="0E47FE04" w:rsidR="00F175E0" w:rsidRPr="00F175E0"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-0.022</w:t>
            </w:r>
          </w:p>
        </w:tc>
      </w:tr>
      <w:tr w:rsidR="00F175E0" w:rsidRPr="00633995" w14:paraId="2A77D31C" w14:textId="0DC887BD" w:rsidTr="00604F53">
        <w:trPr>
          <w:trHeight w:val="144"/>
        </w:trPr>
        <w:tc>
          <w:tcPr>
            <w:tcW w:w="1320" w:type="pct"/>
            <w:tcBorders>
              <w:top w:val="nil"/>
              <w:left w:val="nil"/>
              <w:bottom w:val="nil"/>
              <w:right w:val="nil"/>
            </w:tcBorders>
            <w:shd w:val="clear" w:color="auto" w:fill="auto"/>
            <w:noWrap/>
            <w:vAlign w:val="center"/>
            <w:hideMark/>
          </w:tcPr>
          <w:p w14:paraId="4D44A5F7" w14:textId="77777777" w:rsidR="00F175E0" w:rsidRPr="00513BF1" w:rsidRDefault="00F175E0" w:rsidP="00F175E0">
            <w:pPr>
              <w:spacing w:after="0" w:line="240" w:lineRule="auto"/>
              <w:jc w:val="both"/>
              <w:rPr>
                <w:rFonts w:ascii="Aptos Narrow" w:eastAsia="Times New Roman" w:hAnsi="Aptos Narrow" w:cs="Times New Roman"/>
                <w:i/>
                <w:iCs/>
                <w:color w:val="000000"/>
                <w:sz w:val="18"/>
                <w:szCs w:val="18"/>
                <w:lang w:eastAsia="de-DE"/>
              </w:rPr>
            </w:pPr>
          </w:p>
        </w:tc>
        <w:tc>
          <w:tcPr>
            <w:tcW w:w="736" w:type="pct"/>
            <w:tcBorders>
              <w:top w:val="nil"/>
              <w:left w:val="nil"/>
              <w:bottom w:val="nil"/>
              <w:right w:val="nil"/>
            </w:tcBorders>
            <w:shd w:val="clear" w:color="auto" w:fill="auto"/>
            <w:noWrap/>
            <w:vAlign w:val="bottom"/>
          </w:tcPr>
          <w:p w14:paraId="5D9FCAAC" w14:textId="77777777" w:rsidR="00F175E0" w:rsidRPr="00604F53" w:rsidRDefault="00F175E0" w:rsidP="00F175E0">
            <w:pPr>
              <w:spacing w:after="0" w:line="240" w:lineRule="auto"/>
              <w:jc w:val="both"/>
              <w:rPr>
                <w:rFonts w:ascii="Times New Roman" w:eastAsia="Times New Roman" w:hAnsi="Times New Roman" w:cs="Times New Roman"/>
                <w:sz w:val="20"/>
                <w:szCs w:val="20"/>
                <w:lang w:eastAsia="de-DE"/>
              </w:rPr>
            </w:pPr>
          </w:p>
        </w:tc>
        <w:tc>
          <w:tcPr>
            <w:tcW w:w="736" w:type="pct"/>
            <w:tcBorders>
              <w:top w:val="nil"/>
              <w:left w:val="nil"/>
              <w:bottom w:val="nil"/>
              <w:right w:val="nil"/>
            </w:tcBorders>
            <w:shd w:val="clear" w:color="auto" w:fill="auto"/>
            <w:noWrap/>
            <w:vAlign w:val="bottom"/>
          </w:tcPr>
          <w:p w14:paraId="562F0F6F" w14:textId="7AE893C0"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(0.909)</w:t>
            </w:r>
          </w:p>
        </w:tc>
        <w:tc>
          <w:tcPr>
            <w:tcW w:w="736" w:type="pct"/>
            <w:tcBorders>
              <w:top w:val="nil"/>
              <w:left w:val="nil"/>
              <w:bottom w:val="nil"/>
              <w:right w:val="nil"/>
            </w:tcBorders>
            <w:shd w:val="clear" w:color="auto" w:fill="auto"/>
            <w:noWrap/>
            <w:vAlign w:val="bottom"/>
          </w:tcPr>
          <w:p w14:paraId="66700531" w14:textId="77777777"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p>
        </w:tc>
        <w:tc>
          <w:tcPr>
            <w:tcW w:w="737" w:type="pct"/>
            <w:tcBorders>
              <w:top w:val="nil"/>
              <w:left w:val="nil"/>
              <w:bottom w:val="nil"/>
              <w:right w:val="nil"/>
            </w:tcBorders>
            <w:shd w:val="clear" w:color="auto" w:fill="auto"/>
            <w:noWrap/>
            <w:vAlign w:val="bottom"/>
          </w:tcPr>
          <w:p w14:paraId="728409E8" w14:textId="477924B6"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(0.700)</w:t>
            </w:r>
          </w:p>
        </w:tc>
        <w:tc>
          <w:tcPr>
            <w:tcW w:w="735" w:type="pct"/>
            <w:tcBorders>
              <w:top w:val="nil"/>
              <w:left w:val="nil"/>
              <w:bottom w:val="nil"/>
              <w:right w:val="nil"/>
            </w:tcBorders>
            <w:shd w:val="clear" w:color="auto" w:fill="auto"/>
            <w:noWrap/>
            <w:vAlign w:val="bottom"/>
          </w:tcPr>
          <w:p w14:paraId="4E7CF2B4" w14:textId="0D822C9E"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(0.684)</w:t>
            </w:r>
          </w:p>
        </w:tc>
      </w:tr>
      <w:tr w:rsidR="00F175E0" w:rsidRPr="00633995" w14:paraId="778925CA" w14:textId="2A8F3422" w:rsidTr="00604F53">
        <w:trPr>
          <w:trHeight w:val="144"/>
        </w:trPr>
        <w:tc>
          <w:tcPr>
            <w:tcW w:w="1320" w:type="pct"/>
            <w:tcBorders>
              <w:top w:val="nil"/>
              <w:left w:val="nil"/>
              <w:bottom w:val="nil"/>
              <w:right w:val="nil"/>
            </w:tcBorders>
            <w:shd w:val="clear" w:color="auto" w:fill="auto"/>
            <w:noWrap/>
            <w:vAlign w:val="center"/>
            <w:hideMark/>
          </w:tcPr>
          <w:p w14:paraId="51EAAC57" w14:textId="5E07F383" w:rsidR="00F175E0" w:rsidRPr="00214DDE" w:rsidRDefault="00F175E0" w:rsidP="00F175E0">
            <w:pPr>
              <w:spacing w:after="0" w:line="240" w:lineRule="auto"/>
              <w:jc w:val="both"/>
              <w:rPr>
                <w:rFonts w:ascii="Aptos Narrow" w:eastAsia="Times New Roman" w:hAnsi="Aptos Narrow" w:cs="Times New Roman"/>
                <w:i/>
                <w:iCs/>
                <w:color w:val="000000"/>
                <w:sz w:val="20"/>
                <w:szCs w:val="20"/>
                <w:lang w:eastAsia="de-DE"/>
              </w:rPr>
            </w:pPr>
            <m:oMathPara>
              <m:oMathParaPr>
                <m:jc m:val="left"/>
              </m:oMathParaPr>
              <m:oMath>
                <m:r>
                  <w:rPr>
                    <w:rFonts w:ascii="Cambria Math" w:eastAsia="Times New Roman" w:hAnsi="Cambria Math" w:cs="Times New Roman"/>
                    <w:color w:val="000000"/>
                    <w:sz w:val="20"/>
                    <w:szCs w:val="20"/>
                    <w:lang w:eastAsia="de-DE"/>
                  </w:rPr>
                  <m:t>SH/P</m:t>
                </m:r>
                <m:sSubSup>
                  <m:sSubSupPr>
                    <m:ctrlPr>
                      <w:rPr>
                        <w:rFonts w:ascii="Cambria Math" w:eastAsia="Times New Roman" w:hAnsi="Cambria Math" w:cs="Times New Roman"/>
                        <w:i/>
                        <w:iCs/>
                        <w:color w:val="000000"/>
                        <w:sz w:val="20"/>
                        <w:szCs w:val="20"/>
                        <w:lang w:eastAsia="de-DE"/>
                      </w:rPr>
                    </m:ctrlPr>
                  </m:sSubSupPr>
                  <m:e>
                    <m:r>
                      <w:rPr>
                        <w:rFonts w:ascii="Cambria Math" w:eastAsia="Times New Roman" w:hAnsi="Cambria Math" w:cs="Times New Roman"/>
                        <w:color w:val="000000"/>
                        <w:sz w:val="20"/>
                        <w:szCs w:val="20"/>
                        <w:lang w:eastAsia="de-DE"/>
                      </w:rPr>
                      <m:t>S</m:t>
                    </m:r>
                  </m:e>
                  <m:sub>
                    <m:r>
                      <w:rPr>
                        <w:rFonts w:ascii="Cambria Math" w:eastAsia="Times New Roman" w:hAnsi="Cambria Math" w:cs="Times New Roman"/>
                        <w:color w:val="000000"/>
                        <w:sz w:val="20"/>
                        <w:szCs w:val="20"/>
                        <w:lang w:eastAsia="de-DE"/>
                      </w:rPr>
                      <m:t>ijt</m:t>
                    </m:r>
                  </m:sub>
                  <m:sup>
                    <m:r>
                      <w:rPr>
                        <w:rFonts w:ascii="Cambria Math" w:eastAsia="Times New Roman" w:hAnsi="Cambria Math" w:cs="Times New Roman"/>
                        <w:color w:val="000000"/>
                        <w:sz w:val="20"/>
                        <w:szCs w:val="20"/>
                        <w:lang w:eastAsia="de-DE"/>
                      </w:rPr>
                      <m:t>Club</m:t>
                    </m:r>
                  </m:sup>
                </m:sSubSup>
                <m:r>
                  <w:rPr>
                    <w:rFonts w:ascii="Cambria Math" w:eastAsia="Times New Roman" w:hAnsi="Cambria Math" w:cs="Times New Roman"/>
                    <w:color w:val="000000"/>
                    <w:sz w:val="20"/>
                    <w:szCs w:val="20"/>
                    <w:lang w:eastAsia="de-DE"/>
                  </w:rPr>
                  <m:t>*</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I</m:t>
                    </m:r>
                  </m:e>
                  <m:sub>
                    <m:r>
                      <w:rPr>
                        <w:rFonts w:ascii="Cambria Math" w:eastAsia="Times New Roman" w:hAnsi="Cambria Math" w:cs="Times New Roman"/>
                        <w:color w:val="000000"/>
                        <w:sz w:val="20"/>
                        <w:szCs w:val="20"/>
                        <w:lang w:eastAsia="de-DE"/>
                      </w:rPr>
                      <m:t>k</m:t>
                    </m:r>
                  </m:sub>
                </m:sSub>
                <m:r>
                  <w:rPr>
                    <w:rFonts w:ascii="Cambria Math" w:eastAsia="Times New Roman" w:hAnsi="Cambria Math" w:cs="Times New Roman"/>
                    <w:color w:val="000000"/>
                    <w:sz w:val="20"/>
                    <w:szCs w:val="20"/>
                    <w:lang w:eastAsia="de-DE"/>
                  </w:rPr>
                  <m:t xml:space="preserve"> </m:t>
                </m:r>
              </m:oMath>
            </m:oMathPara>
          </w:p>
        </w:tc>
        <w:tc>
          <w:tcPr>
            <w:tcW w:w="736" w:type="pct"/>
            <w:tcBorders>
              <w:top w:val="nil"/>
              <w:left w:val="nil"/>
              <w:bottom w:val="nil"/>
              <w:right w:val="nil"/>
            </w:tcBorders>
            <w:shd w:val="clear" w:color="auto" w:fill="auto"/>
            <w:noWrap/>
            <w:vAlign w:val="bottom"/>
          </w:tcPr>
          <w:p w14:paraId="32E27746" w14:textId="77777777" w:rsidR="00F175E0" w:rsidRPr="00F175E0" w:rsidRDefault="00F175E0" w:rsidP="00F175E0">
            <w:pPr>
              <w:spacing w:after="0" w:line="240" w:lineRule="auto"/>
              <w:jc w:val="both"/>
              <w:rPr>
                <w:rFonts w:ascii="Aptos Narrow" w:eastAsia="Times New Roman" w:hAnsi="Aptos Narrow" w:cs="Times New Roman"/>
                <w:color w:val="000000"/>
                <w:sz w:val="20"/>
                <w:szCs w:val="20"/>
                <w:lang w:eastAsia="de-DE"/>
              </w:rPr>
            </w:pPr>
          </w:p>
        </w:tc>
        <w:tc>
          <w:tcPr>
            <w:tcW w:w="736" w:type="pct"/>
            <w:tcBorders>
              <w:top w:val="nil"/>
              <w:left w:val="nil"/>
              <w:bottom w:val="nil"/>
              <w:right w:val="nil"/>
            </w:tcBorders>
            <w:shd w:val="clear" w:color="auto" w:fill="auto"/>
            <w:noWrap/>
            <w:vAlign w:val="bottom"/>
          </w:tcPr>
          <w:p w14:paraId="350680F6" w14:textId="77777777" w:rsidR="00F175E0" w:rsidRPr="00F175E0" w:rsidRDefault="00F175E0" w:rsidP="00F175E0">
            <w:pPr>
              <w:spacing w:after="0" w:line="240" w:lineRule="auto"/>
              <w:jc w:val="both"/>
              <w:rPr>
                <w:rFonts w:ascii="Times New Roman" w:eastAsia="Times New Roman" w:hAnsi="Times New Roman" w:cs="Times New Roman"/>
                <w:sz w:val="20"/>
                <w:szCs w:val="20"/>
                <w:lang w:eastAsia="de-DE"/>
              </w:rPr>
            </w:pPr>
          </w:p>
        </w:tc>
        <w:tc>
          <w:tcPr>
            <w:tcW w:w="736" w:type="pct"/>
            <w:tcBorders>
              <w:top w:val="nil"/>
              <w:left w:val="nil"/>
              <w:bottom w:val="nil"/>
              <w:right w:val="nil"/>
            </w:tcBorders>
            <w:shd w:val="clear" w:color="auto" w:fill="auto"/>
            <w:noWrap/>
            <w:vAlign w:val="bottom"/>
          </w:tcPr>
          <w:p w14:paraId="558E309D" w14:textId="7215DA8E" w:rsidR="00F175E0" w:rsidRPr="00F175E0"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0.084**</w:t>
            </w:r>
          </w:p>
        </w:tc>
        <w:tc>
          <w:tcPr>
            <w:tcW w:w="737" w:type="pct"/>
            <w:tcBorders>
              <w:top w:val="nil"/>
              <w:left w:val="nil"/>
              <w:bottom w:val="nil"/>
              <w:right w:val="nil"/>
            </w:tcBorders>
            <w:shd w:val="clear" w:color="auto" w:fill="auto"/>
            <w:noWrap/>
            <w:vAlign w:val="bottom"/>
          </w:tcPr>
          <w:p w14:paraId="4AEBC94E" w14:textId="4B6E5DFD" w:rsidR="00F175E0" w:rsidRPr="00F175E0"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0.085**</w:t>
            </w:r>
          </w:p>
        </w:tc>
        <w:tc>
          <w:tcPr>
            <w:tcW w:w="735" w:type="pct"/>
            <w:tcBorders>
              <w:top w:val="nil"/>
              <w:left w:val="nil"/>
              <w:bottom w:val="nil"/>
              <w:right w:val="nil"/>
            </w:tcBorders>
            <w:shd w:val="clear" w:color="auto" w:fill="auto"/>
            <w:noWrap/>
            <w:vAlign w:val="bottom"/>
          </w:tcPr>
          <w:p w14:paraId="5296A01C" w14:textId="64189C08" w:rsidR="00F175E0" w:rsidRPr="00F175E0"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0.069*</w:t>
            </w:r>
          </w:p>
        </w:tc>
      </w:tr>
      <w:tr w:rsidR="00F175E0" w:rsidRPr="00633995" w14:paraId="6B96E903" w14:textId="08BDD9F8" w:rsidTr="00604F53">
        <w:trPr>
          <w:trHeight w:val="144"/>
        </w:trPr>
        <w:tc>
          <w:tcPr>
            <w:tcW w:w="1320" w:type="pct"/>
            <w:tcBorders>
              <w:top w:val="nil"/>
              <w:left w:val="nil"/>
              <w:bottom w:val="nil"/>
              <w:right w:val="nil"/>
            </w:tcBorders>
            <w:shd w:val="clear" w:color="auto" w:fill="auto"/>
            <w:noWrap/>
            <w:vAlign w:val="center"/>
            <w:hideMark/>
          </w:tcPr>
          <w:p w14:paraId="637BAB7E" w14:textId="77777777" w:rsidR="00F175E0" w:rsidRPr="00513BF1" w:rsidRDefault="00F175E0" w:rsidP="00F175E0">
            <w:pPr>
              <w:spacing w:after="0" w:line="240" w:lineRule="auto"/>
              <w:jc w:val="both"/>
              <w:rPr>
                <w:rFonts w:ascii="Aptos Narrow" w:eastAsia="Times New Roman" w:hAnsi="Aptos Narrow" w:cs="Times New Roman"/>
                <w:color w:val="000000"/>
                <w:sz w:val="18"/>
                <w:szCs w:val="18"/>
                <w:lang w:eastAsia="de-DE"/>
              </w:rPr>
            </w:pPr>
          </w:p>
        </w:tc>
        <w:tc>
          <w:tcPr>
            <w:tcW w:w="736" w:type="pct"/>
            <w:tcBorders>
              <w:top w:val="nil"/>
              <w:left w:val="nil"/>
              <w:bottom w:val="nil"/>
              <w:right w:val="nil"/>
            </w:tcBorders>
            <w:shd w:val="clear" w:color="auto" w:fill="auto"/>
            <w:noWrap/>
            <w:vAlign w:val="bottom"/>
          </w:tcPr>
          <w:p w14:paraId="1A6EFD62" w14:textId="77777777" w:rsidR="00F175E0" w:rsidRPr="00604F53" w:rsidRDefault="00F175E0" w:rsidP="00F175E0">
            <w:pPr>
              <w:spacing w:after="0" w:line="240" w:lineRule="auto"/>
              <w:jc w:val="both"/>
              <w:rPr>
                <w:rFonts w:ascii="Times New Roman" w:eastAsia="Times New Roman" w:hAnsi="Times New Roman" w:cs="Times New Roman"/>
                <w:sz w:val="20"/>
                <w:szCs w:val="20"/>
                <w:lang w:eastAsia="de-DE"/>
              </w:rPr>
            </w:pPr>
          </w:p>
        </w:tc>
        <w:tc>
          <w:tcPr>
            <w:tcW w:w="736" w:type="pct"/>
            <w:tcBorders>
              <w:top w:val="nil"/>
              <w:left w:val="nil"/>
              <w:bottom w:val="nil"/>
              <w:right w:val="nil"/>
            </w:tcBorders>
            <w:shd w:val="clear" w:color="auto" w:fill="auto"/>
            <w:noWrap/>
            <w:vAlign w:val="bottom"/>
          </w:tcPr>
          <w:p w14:paraId="2EFB4EB3" w14:textId="77777777" w:rsidR="00F175E0" w:rsidRPr="00604F53" w:rsidRDefault="00F175E0" w:rsidP="00F175E0">
            <w:pPr>
              <w:spacing w:after="0" w:line="240" w:lineRule="auto"/>
              <w:jc w:val="both"/>
              <w:rPr>
                <w:rFonts w:ascii="Times New Roman" w:eastAsia="Times New Roman" w:hAnsi="Times New Roman" w:cs="Times New Roman"/>
                <w:sz w:val="20"/>
                <w:szCs w:val="20"/>
                <w:lang w:eastAsia="de-DE"/>
              </w:rPr>
            </w:pPr>
          </w:p>
        </w:tc>
        <w:tc>
          <w:tcPr>
            <w:tcW w:w="736" w:type="pct"/>
            <w:tcBorders>
              <w:top w:val="nil"/>
              <w:left w:val="nil"/>
              <w:bottom w:val="nil"/>
              <w:right w:val="nil"/>
            </w:tcBorders>
            <w:shd w:val="clear" w:color="auto" w:fill="auto"/>
            <w:noWrap/>
            <w:vAlign w:val="bottom"/>
          </w:tcPr>
          <w:p w14:paraId="7A070868" w14:textId="1F26D90B"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(0.020)</w:t>
            </w:r>
          </w:p>
        </w:tc>
        <w:tc>
          <w:tcPr>
            <w:tcW w:w="737" w:type="pct"/>
            <w:tcBorders>
              <w:top w:val="nil"/>
              <w:left w:val="nil"/>
              <w:bottom w:val="nil"/>
              <w:right w:val="nil"/>
            </w:tcBorders>
            <w:shd w:val="clear" w:color="auto" w:fill="auto"/>
            <w:noWrap/>
            <w:vAlign w:val="bottom"/>
          </w:tcPr>
          <w:p w14:paraId="7ADA86BF" w14:textId="30613152"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(0.019)</w:t>
            </w:r>
          </w:p>
        </w:tc>
        <w:tc>
          <w:tcPr>
            <w:tcW w:w="735" w:type="pct"/>
            <w:tcBorders>
              <w:top w:val="nil"/>
              <w:left w:val="nil"/>
              <w:bottom w:val="nil"/>
              <w:right w:val="nil"/>
            </w:tcBorders>
            <w:shd w:val="clear" w:color="auto" w:fill="auto"/>
            <w:noWrap/>
            <w:vAlign w:val="bottom"/>
          </w:tcPr>
          <w:p w14:paraId="2C704F17" w14:textId="1BADE4B8"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(0.090)</w:t>
            </w:r>
          </w:p>
        </w:tc>
      </w:tr>
      <w:tr w:rsidR="00F175E0" w:rsidRPr="00633995" w14:paraId="7221CBEA" w14:textId="77777777" w:rsidTr="00604F53">
        <w:trPr>
          <w:trHeight w:val="144"/>
        </w:trPr>
        <w:tc>
          <w:tcPr>
            <w:tcW w:w="1320" w:type="pct"/>
            <w:tcBorders>
              <w:top w:val="nil"/>
              <w:left w:val="nil"/>
              <w:bottom w:val="nil"/>
              <w:right w:val="nil"/>
            </w:tcBorders>
            <w:shd w:val="clear" w:color="auto" w:fill="auto"/>
            <w:noWrap/>
            <w:vAlign w:val="center"/>
          </w:tcPr>
          <w:p w14:paraId="03343F3F" w14:textId="490758EB" w:rsidR="00F175E0" w:rsidRPr="00513BF1" w:rsidRDefault="00582B13" w:rsidP="00F175E0">
            <w:pPr>
              <w:spacing w:after="0" w:line="240" w:lineRule="auto"/>
              <w:jc w:val="both"/>
              <w:rPr>
                <w:rFonts w:ascii="Aptos Narrow" w:eastAsia="Times New Roman" w:hAnsi="Aptos Narrow" w:cs="Times New Roman"/>
                <w:color w:val="000000"/>
                <w:sz w:val="18"/>
                <w:szCs w:val="18"/>
                <w:lang w:eastAsia="de-DE"/>
              </w:rPr>
            </w:pPr>
            <w:r>
              <w:rPr>
                <w:rFonts w:ascii="Cambria Math" w:eastAsia="Times New Roman" w:hAnsi="Cambria Math" w:cs="Times New Roman"/>
                <w:i/>
                <w:color w:val="000000"/>
                <w:sz w:val="20"/>
                <w:szCs w:val="20"/>
                <w:lang w:eastAsia="de-DE"/>
              </w:rPr>
              <w:t>P</w:t>
            </w:r>
            <w:r w:rsidR="00F175E0" w:rsidRPr="00604F53">
              <w:rPr>
                <w:rFonts w:ascii="Cambria Math" w:eastAsia="Times New Roman" w:hAnsi="Cambria Math" w:cs="Times New Roman"/>
                <w:i/>
                <w:color w:val="000000"/>
                <w:sz w:val="20"/>
                <w:szCs w:val="20"/>
                <w:lang w:eastAsia="de-DE"/>
              </w:rPr>
              <w:t>TA DP  * I</w:t>
            </w:r>
            <w:r w:rsidR="00F175E0" w:rsidRPr="00604F53">
              <w:rPr>
                <w:rFonts w:ascii="Cambria Math" w:eastAsia="Times New Roman" w:hAnsi="Cambria Math" w:cs="Times New Roman"/>
                <w:i/>
                <w:color w:val="000000"/>
                <w:sz w:val="20"/>
                <w:szCs w:val="20"/>
                <w:vertAlign w:val="subscript"/>
                <w:lang w:eastAsia="de-DE"/>
              </w:rPr>
              <w:t>k</w:t>
            </w:r>
          </w:p>
        </w:tc>
        <w:tc>
          <w:tcPr>
            <w:tcW w:w="736" w:type="pct"/>
            <w:tcBorders>
              <w:top w:val="nil"/>
              <w:left w:val="nil"/>
              <w:bottom w:val="nil"/>
              <w:right w:val="nil"/>
            </w:tcBorders>
            <w:shd w:val="clear" w:color="auto" w:fill="auto"/>
            <w:noWrap/>
            <w:vAlign w:val="bottom"/>
          </w:tcPr>
          <w:p w14:paraId="066AFA1B" w14:textId="4A6BC765" w:rsidR="00F175E0" w:rsidRPr="00604F53" w:rsidRDefault="00F175E0" w:rsidP="00F175E0">
            <w:pPr>
              <w:spacing w:after="0" w:line="240" w:lineRule="auto"/>
              <w:jc w:val="both"/>
              <w:rPr>
                <w:rFonts w:ascii="Times New Roman" w:eastAsia="Times New Roman" w:hAnsi="Times New Roman" w:cs="Times New Roman"/>
                <w:sz w:val="20"/>
                <w:szCs w:val="20"/>
                <w:lang w:eastAsia="de-DE"/>
              </w:rPr>
            </w:pPr>
            <w:r w:rsidRPr="00604F53">
              <w:rPr>
                <w:rFonts w:ascii="Aptos Narrow" w:hAnsi="Aptos Narrow"/>
                <w:color w:val="000000"/>
                <w:sz w:val="20"/>
                <w:szCs w:val="20"/>
              </w:rPr>
              <w:t>0.329***</w:t>
            </w:r>
          </w:p>
        </w:tc>
        <w:tc>
          <w:tcPr>
            <w:tcW w:w="736" w:type="pct"/>
            <w:tcBorders>
              <w:top w:val="nil"/>
              <w:left w:val="nil"/>
              <w:bottom w:val="nil"/>
              <w:right w:val="nil"/>
            </w:tcBorders>
            <w:shd w:val="clear" w:color="auto" w:fill="auto"/>
            <w:noWrap/>
            <w:vAlign w:val="bottom"/>
          </w:tcPr>
          <w:p w14:paraId="51098359" w14:textId="23CD576B" w:rsidR="00F175E0" w:rsidRPr="00604F53" w:rsidRDefault="00F175E0" w:rsidP="00F175E0">
            <w:pPr>
              <w:spacing w:after="0" w:line="240" w:lineRule="auto"/>
              <w:jc w:val="both"/>
              <w:rPr>
                <w:rFonts w:ascii="Times New Roman" w:eastAsia="Times New Roman" w:hAnsi="Times New Roman" w:cs="Times New Roman"/>
                <w:sz w:val="20"/>
                <w:szCs w:val="20"/>
                <w:lang w:eastAsia="de-DE"/>
              </w:rPr>
            </w:pPr>
            <w:r w:rsidRPr="00604F53">
              <w:rPr>
                <w:rFonts w:ascii="Aptos Narrow" w:hAnsi="Aptos Narrow"/>
                <w:color w:val="000000"/>
                <w:sz w:val="20"/>
                <w:szCs w:val="20"/>
              </w:rPr>
              <w:t>0.329***</w:t>
            </w:r>
          </w:p>
        </w:tc>
        <w:tc>
          <w:tcPr>
            <w:tcW w:w="736" w:type="pct"/>
            <w:tcBorders>
              <w:top w:val="nil"/>
              <w:left w:val="nil"/>
              <w:bottom w:val="nil"/>
              <w:right w:val="nil"/>
            </w:tcBorders>
            <w:shd w:val="clear" w:color="auto" w:fill="auto"/>
            <w:noWrap/>
            <w:vAlign w:val="bottom"/>
          </w:tcPr>
          <w:p w14:paraId="7500DE3D" w14:textId="179F62AA"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0.328***</w:t>
            </w:r>
          </w:p>
        </w:tc>
        <w:tc>
          <w:tcPr>
            <w:tcW w:w="737" w:type="pct"/>
            <w:tcBorders>
              <w:top w:val="nil"/>
              <w:left w:val="nil"/>
              <w:bottom w:val="nil"/>
              <w:right w:val="nil"/>
            </w:tcBorders>
            <w:shd w:val="clear" w:color="auto" w:fill="auto"/>
            <w:noWrap/>
            <w:vAlign w:val="bottom"/>
          </w:tcPr>
          <w:p w14:paraId="3D5AB0D0" w14:textId="5898CF79"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0.328***</w:t>
            </w:r>
          </w:p>
        </w:tc>
        <w:tc>
          <w:tcPr>
            <w:tcW w:w="735" w:type="pct"/>
            <w:tcBorders>
              <w:top w:val="nil"/>
              <w:left w:val="nil"/>
              <w:bottom w:val="nil"/>
              <w:right w:val="nil"/>
            </w:tcBorders>
            <w:shd w:val="clear" w:color="auto" w:fill="auto"/>
            <w:noWrap/>
            <w:vAlign w:val="bottom"/>
          </w:tcPr>
          <w:p w14:paraId="5B3DEFB5" w14:textId="795C4C3D"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0.285***</w:t>
            </w:r>
          </w:p>
        </w:tc>
      </w:tr>
      <w:tr w:rsidR="00F175E0" w:rsidRPr="00633995" w14:paraId="6DB20C8C" w14:textId="77777777" w:rsidTr="00604F53">
        <w:trPr>
          <w:trHeight w:val="144"/>
        </w:trPr>
        <w:tc>
          <w:tcPr>
            <w:tcW w:w="1320" w:type="pct"/>
            <w:tcBorders>
              <w:top w:val="nil"/>
              <w:left w:val="nil"/>
              <w:bottom w:val="nil"/>
              <w:right w:val="nil"/>
            </w:tcBorders>
            <w:shd w:val="clear" w:color="auto" w:fill="auto"/>
            <w:noWrap/>
            <w:vAlign w:val="center"/>
          </w:tcPr>
          <w:p w14:paraId="1598D60F" w14:textId="77777777" w:rsidR="00F175E0" w:rsidRPr="00513BF1" w:rsidRDefault="00F175E0" w:rsidP="00F175E0">
            <w:pPr>
              <w:spacing w:after="0" w:line="240" w:lineRule="auto"/>
              <w:jc w:val="both"/>
              <w:rPr>
                <w:rFonts w:ascii="Aptos Narrow" w:eastAsia="Times New Roman" w:hAnsi="Aptos Narrow" w:cs="Times New Roman"/>
                <w:color w:val="000000"/>
                <w:sz w:val="18"/>
                <w:szCs w:val="18"/>
                <w:lang w:eastAsia="de-DE"/>
              </w:rPr>
            </w:pPr>
          </w:p>
        </w:tc>
        <w:tc>
          <w:tcPr>
            <w:tcW w:w="736" w:type="pct"/>
            <w:tcBorders>
              <w:top w:val="nil"/>
              <w:left w:val="nil"/>
              <w:bottom w:val="nil"/>
              <w:right w:val="nil"/>
            </w:tcBorders>
            <w:shd w:val="clear" w:color="auto" w:fill="auto"/>
            <w:noWrap/>
            <w:vAlign w:val="bottom"/>
          </w:tcPr>
          <w:p w14:paraId="2358AF47" w14:textId="64E5C6F4" w:rsidR="00F175E0" w:rsidRPr="00604F53" w:rsidRDefault="00F175E0" w:rsidP="00F175E0">
            <w:pPr>
              <w:spacing w:after="0" w:line="240" w:lineRule="auto"/>
              <w:jc w:val="both"/>
              <w:rPr>
                <w:rFonts w:ascii="Times New Roman" w:eastAsia="Times New Roman" w:hAnsi="Times New Roman" w:cs="Times New Roman"/>
                <w:sz w:val="20"/>
                <w:szCs w:val="20"/>
                <w:lang w:eastAsia="de-DE"/>
              </w:rPr>
            </w:pPr>
            <w:r w:rsidRPr="00604F53">
              <w:rPr>
                <w:rFonts w:ascii="Aptos Narrow" w:hAnsi="Aptos Narrow"/>
                <w:color w:val="000000"/>
                <w:sz w:val="20"/>
                <w:szCs w:val="20"/>
              </w:rPr>
              <w:t>(0.000)</w:t>
            </w:r>
          </w:p>
        </w:tc>
        <w:tc>
          <w:tcPr>
            <w:tcW w:w="736" w:type="pct"/>
            <w:tcBorders>
              <w:top w:val="nil"/>
              <w:left w:val="nil"/>
              <w:bottom w:val="nil"/>
              <w:right w:val="nil"/>
            </w:tcBorders>
            <w:shd w:val="clear" w:color="auto" w:fill="auto"/>
            <w:noWrap/>
            <w:vAlign w:val="bottom"/>
          </w:tcPr>
          <w:p w14:paraId="1C49089E" w14:textId="5E0E7626" w:rsidR="00F175E0" w:rsidRPr="00604F53" w:rsidRDefault="00F175E0" w:rsidP="00F175E0">
            <w:pPr>
              <w:spacing w:after="0" w:line="240" w:lineRule="auto"/>
              <w:jc w:val="both"/>
              <w:rPr>
                <w:rFonts w:ascii="Times New Roman" w:eastAsia="Times New Roman" w:hAnsi="Times New Roman" w:cs="Times New Roman"/>
                <w:sz w:val="20"/>
                <w:szCs w:val="20"/>
                <w:lang w:eastAsia="de-DE"/>
              </w:rPr>
            </w:pPr>
            <w:r w:rsidRPr="00604F53">
              <w:rPr>
                <w:rFonts w:ascii="Aptos Narrow" w:hAnsi="Aptos Narrow"/>
                <w:color w:val="000000"/>
                <w:sz w:val="20"/>
                <w:szCs w:val="20"/>
              </w:rPr>
              <w:t>(0.000)</w:t>
            </w:r>
          </w:p>
        </w:tc>
        <w:tc>
          <w:tcPr>
            <w:tcW w:w="736" w:type="pct"/>
            <w:tcBorders>
              <w:top w:val="nil"/>
              <w:left w:val="nil"/>
              <w:bottom w:val="nil"/>
              <w:right w:val="nil"/>
            </w:tcBorders>
            <w:shd w:val="clear" w:color="auto" w:fill="auto"/>
            <w:noWrap/>
            <w:vAlign w:val="bottom"/>
          </w:tcPr>
          <w:p w14:paraId="38DC565D" w14:textId="6BD78524"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(0.000)</w:t>
            </w:r>
          </w:p>
        </w:tc>
        <w:tc>
          <w:tcPr>
            <w:tcW w:w="737" w:type="pct"/>
            <w:tcBorders>
              <w:top w:val="nil"/>
              <w:left w:val="nil"/>
              <w:bottom w:val="nil"/>
              <w:right w:val="nil"/>
            </w:tcBorders>
            <w:shd w:val="clear" w:color="auto" w:fill="auto"/>
            <w:noWrap/>
            <w:vAlign w:val="bottom"/>
          </w:tcPr>
          <w:p w14:paraId="77E9F3C4" w14:textId="461BA127"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(0.000)</w:t>
            </w:r>
          </w:p>
        </w:tc>
        <w:tc>
          <w:tcPr>
            <w:tcW w:w="735" w:type="pct"/>
            <w:tcBorders>
              <w:top w:val="nil"/>
              <w:left w:val="nil"/>
              <w:bottom w:val="nil"/>
              <w:right w:val="nil"/>
            </w:tcBorders>
            <w:shd w:val="clear" w:color="auto" w:fill="auto"/>
            <w:noWrap/>
            <w:vAlign w:val="bottom"/>
          </w:tcPr>
          <w:p w14:paraId="65399911" w14:textId="2D021E60" w:rsidR="00F175E0" w:rsidRPr="00604F53" w:rsidRDefault="00F175E0" w:rsidP="00F175E0">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(0.000)</w:t>
            </w:r>
          </w:p>
        </w:tc>
      </w:tr>
      <w:tr w:rsidR="00C23698" w:rsidRPr="00633995" w14:paraId="097838F5" w14:textId="3E42BC9E" w:rsidTr="00604F53">
        <w:trPr>
          <w:trHeight w:val="144"/>
        </w:trPr>
        <w:tc>
          <w:tcPr>
            <w:tcW w:w="1320" w:type="pct"/>
            <w:tcBorders>
              <w:top w:val="nil"/>
              <w:left w:val="nil"/>
              <w:bottom w:val="nil"/>
              <w:right w:val="nil"/>
            </w:tcBorders>
            <w:shd w:val="clear" w:color="auto" w:fill="auto"/>
            <w:noWrap/>
            <w:vAlign w:val="center"/>
            <w:hideMark/>
          </w:tcPr>
          <w:p w14:paraId="10753F06" w14:textId="200CC305"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Digital trade dummy</w:t>
            </w:r>
          </w:p>
        </w:tc>
        <w:tc>
          <w:tcPr>
            <w:tcW w:w="736" w:type="pct"/>
            <w:tcBorders>
              <w:top w:val="nil"/>
              <w:left w:val="nil"/>
              <w:bottom w:val="nil"/>
              <w:right w:val="nil"/>
            </w:tcBorders>
            <w:shd w:val="clear" w:color="auto" w:fill="auto"/>
            <w:noWrap/>
            <w:vAlign w:val="center"/>
            <w:hideMark/>
          </w:tcPr>
          <w:p w14:paraId="7CFF8D36"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Narrow</w:t>
            </w:r>
          </w:p>
        </w:tc>
        <w:tc>
          <w:tcPr>
            <w:tcW w:w="736" w:type="pct"/>
            <w:tcBorders>
              <w:top w:val="nil"/>
              <w:left w:val="nil"/>
              <w:bottom w:val="nil"/>
              <w:right w:val="nil"/>
            </w:tcBorders>
            <w:shd w:val="clear" w:color="auto" w:fill="auto"/>
            <w:noWrap/>
            <w:vAlign w:val="center"/>
            <w:hideMark/>
          </w:tcPr>
          <w:p w14:paraId="72D94E1F"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Narrow</w:t>
            </w:r>
          </w:p>
        </w:tc>
        <w:tc>
          <w:tcPr>
            <w:tcW w:w="736" w:type="pct"/>
            <w:tcBorders>
              <w:top w:val="nil"/>
              <w:left w:val="nil"/>
              <w:bottom w:val="nil"/>
              <w:right w:val="nil"/>
            </w:tcBorders>
            <w:shd w:val="clear" w:color="auto" w:fill="auto"/>
            <w:noWrap/>
            <w:vAlign w:val="center"/>
            <w:hideMark/>
          </w:tcPr>
          <w:p w14:paraId="1596DEB2"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Narrow</w:t>
            </w:r>
          </w:p>
        </w:tc>
        <w:tc>
          <w:tcPr>
            <w:tcW w:w="737" w:type="pct"/>
            <w:tcBorders>
              <w:top w:val="nil"/>
              <w:left w:val="nil"/>
              <w:bottom w:val="nil"/>
              <w:right w:val="nil"/>
            </w:tcBorders>
            <w:shd w:val="clear" w:color="auto" w:fill="auto"/>
            <w:noWrap/>
            <w:vAlign w:val="center"/>
            <w:hideMark/>
          </w:tcPr>
          <w:p w14:paraId="57EA07A3"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Narrow</w:t>
            </w:r>
          </w:p>
        </w:tc>
        <w:tc>
          <w:tcPr>
            <w:tcW w:w="735" w:type="pct"/>
            <w:tcBorders>
              <w:top w:val="nil"/>
              <w:left w:val="nil"/>
              <w:bottom w:val="nil"/>
              <w:right w:val="nil"/>
            </w:tcBorders>
            <w:shd w:val="clear" w:color="auto" w:fill="auto"/>
            <w:noWrap/>
            <w:vAlign w:val="center"/>
            <w:hideMark/>
          </w:tcPr>
          <w:p w14:paraId="4833E22A"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Broad</w:t>
            </w:r>
          </w:p>
        </w:tc>
      </w:tr>
      <w:tr w:rsidR="00C23698" w:rsidRPr="00633995" w14:paraId="3EC0ADD6" w14:textId="4F2096A0" w:rsidTr="00604F53">
        <w:trPr>
          <w:trHeight w:val="144"/>
        </w:trPr>
        <w:tc>
          <w:tcPr>
            <w:tcW w:w="1320" w:type="pct"/>
            <w:tcBorders>
              <w:top w:val="nil"/>
              <w:left w:val="nil"/>
              <w:bottom w:val="nil"/>
              <w:right w:val="nil"/>
            </w:tcBorders>
            <w:shd w:val="clear" w:color="auto" w:fill="auto"/>
            <w:noWrap/>
            <w:vAlign w:val="center"/>
            <w:hideMark/>
          </w:tcPr>
          <w:p w14:paraId="642DBE5B"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Controls</w:t>
            </w:r>
          </w:p>
        </w:tc>
        <w:tc>
          <w:tcPr>
            <w:tcW w:w="736" w:type="pct"/>
            <w:tcBorders>
              <w:top w:val="nil"/>
              <w:left w:val="nil"/>
              <w:bottom w:val="nil"/>
              <w:right w:val="nil"/>
            </w:tcBorders>
            <w:shd w:val="clear" w:color="auto" w:fill="auto"/>
            <w:noWrap/>
            <w:vAlign w:val="center"/>
            <w:hideMark/>
          </w:tcPr>
          <w:p w14:paraId="49ECA178"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Subsumed</w:t>
            </w:r>
          </w:p>
        </w:tc>
        <w:tc>
          <w:tcPr>
            <w:tcW w:w="736" w:type="pct"/>
            <w:tcBorders>
              <w:top w:val="nil"/>
              <w:left w:val="nil"/>
              <w:bottom w:val="nil"/>
              <w:right w:val="nil"/>
            </w:tcBorders>
            <w:shd w:val="clear" w:color="auto" w:fill="auto"/>
            <w:noWrap/>
            <w:vAlign w:val="center"/>
            <w:hideMark/>
          </w:tcPr>
          <w:p w14:paraId="15FB4E77"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Subsumed</w:t>
            </w:r>
          </w:p>
        </w:tc>
        <w:tc>
          <w:tcPr>
            <w:tcW w:w="736" w:type="pct"/>
            <w:tcBorders>
              <w:top w:val="nil"/>
              <w:left w:val="nil"/>
              <w:bottom w:val="nil"/>
              <w:right w:val="nil"/>
            </w:tcBorders>
            <w:shd w:val="clear" w:color="auto" w:fill="auto"/>
            <w:noWrap/>
            <w:vAlign w:val="center"/>
            <w:hideMark/>
          </w:tcPr>
          <w:p w14:paraId="64FDE4D9"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Subsumed</w:t>
            </w:r>
          </w:p>
        </w:tc>
        <w:tc>
          <w:tcPr>
            <w:tcW w:w="737" w:type="pct"/>
            <w:tcBorders>
              <w:top w:val="nil"/>
              <w:left w:val="nil"/>
              <w:bottom w:val="nil"/>
              <w:right w:val="nil"/>
            </w:tcBorders>
            <w:shd w:val="clear" w:color="auto" w:fill="auto"/>
            <w:noWrap/>
            <w:vAlign w:val="center"/>
            <w:hideMark/>
          </w:tcPr>
          <w:p w14:paraId="7B414CD1"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Subsumed</w:t>
            </w:r>
          </w:p>
        </w:tc>
        <w:tc>
          <w:tcPr>
            <w:tcW w:w="735" w:type="pct"/>
            <w:tcBorders>
              <w:top w:val="nil"/>
              <w:left w:val="nil"/>
              <w:bottom w:val="nil"/>
              <w:right w:val="nil"/>
            </w:tcBorders>
            <w:shd w:val="clear" w:color="auto" w:fill="auto"/>
            <w:noWrap/>
            <w:vAlign w:val="center"/>
            <w:hideMark/>
          </w:tcPr>
          <w:p w14:paraId="132CF506"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Subsumed</w:t>
            </w:r>
          </w:p>
        </w:tc>
      </w:tr>
      <w:tr w:rsidR="00C23698" w:rsidRPr="00633995" w14:paraId="3D213C9C" w14:textId="4664DBFD" w:rsidTr="00604F53">
        <w:trPr>
          <w:trHeight w:val="144"/>
        </w:trPr>
        <w:tc>
          <w:tcPr>
            <w:tcW w:w="1320" w:type="pct"/>
            <w:tcBorders>
              <w:top w:val="single" w:sz="4" w:space="0" w:color="auto"/>
              <w:left w:val="nil"/>
              <w:bottom w:val="nil"/>
              <w:right w:val="nil"/>
            </w:tcBorders>
            <w:shd w:val="clear" w:color="auto" w:fill="auto"/>
            <w:noWrap/>
            <w:vAlign w:val="center"/>
            <w:hideMark/>
          </w:tcPr>
          <w:p w14:paraId="57184BC8"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Obs.</w:t>
            </w:r>
          </w:p>
        </w:tc>
        <w:tc>
          <w:tcPr>
            <w:tcW w:w="736" w:type="pct"/>
            <w:tcBorders>
              <w:top w:val="single" w:sz="4" w:space="0" w:color="auto"/>
              <w:left w:val="nil"/>
              <w:bottom w:val="nil"/>
              <w:right w:val="nil"/>
            </w:tcBorders>
            <w:shd w:val="clear" w:color="auto" w:fill="auto"/>
            <w:noWrap/>
            <w:vAlign w:val="center"/>
            <w:hideMark/>
          </w:tcPr>
          <w:p w14:paraId="5A201D7C"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4911529</w:t>
            </w:r>
          </w:p>
        </w:tc>
        <w:tc>
          <w:tcPr>
            <w:tcW w:w="736" w:type="pct"/>
            <w:tcBorders>
              <w:top w:val="single" w:sz="4" w:space="0" w:color="auto"/>
              <w:left w:val="nil"/>
              <w:bottom w:val="nil"/>
              <w:right w:val="nil"/>
            </w:tcBorders>
            <w:shd w:val="clear" w:color="auto" w:fill="auto"/>
            <w:noWrap/>
            <w:vAlign w:val="center"/>
            <w:hideMark/>
          </w:tcPr>
          <w:p w14:paraId="1D17F21E"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4911529</w:t>
            </w:r>
          </w:p>
        </w:tc>
        <w:tc>
          <w:tcPr>
            <w:tcW w:w="736" w:type="pct"/>
            <w:tcBorders>
              <w:top w:val="single" w:sz="4" w:space="0" w:color="auto"/>
              <w:left w:val="nil"/>
              <w:bottom w:val="nil"/>
              <w:right w:val="nil"/>
            </w:tcBorders>
            <w:shd w:val="clear" w:color="auto" w:fill="auto"/>
            <w:noWrap/>
            <w:vAlign w:val="center"/>
            <w:hideMark/>
          </w:tcPr>
          <w:p w14:paraId="3AB03B18"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4911529</w:t>
            </w:r>
          </w:p>
        </w:tc>
        <w:tc>
          <w:tcPr>
            <w:tcW w:w="737" w:type="pct"/>
            <w:tcBorders>
              <w:top w:val="single" w:sz="4" w:space="0" w:color="auto"/>
              <w:left w:val="nil"/>
              <w:bottom w:val="nil"/>
              <w:right w:val="nil"/>
            </w:tcBorders>
            <w:shd w:val="clear" w:color="auto" w:fill="auto"/>
            <w:noWrap/>
            <w:vAlign w:val="center"/>
            <w:hideMark/>
          </w:tcPr>
          <w:p w14:paraId="15D7EB87"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4911529</w:t>
            </w:r>
          </w:p>
        </w:tc>
        <w:tc>
          <w:tcPr>
            <w:tcW w:w="735" w:type="pct"/>
            <w:tcBorders>
              <w:top w:val="single" w:sz="4" w:space="0" w:color="auto"/>
              <w:left w:val="nil"/>
              <w:bottom w:val="nil"/>
              <w:right w:val="nil"/>
            </w:tcBorders>
            <w:shd w:val="clear" w:color="auto" w:fill="auto"/>
            <w:noWrap/>
            <w:vAlign w:val="center"/>
            <w:hideMark/>
          </w:tcPr>
          <w:p w14:paraId="17734B6C"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4911529</w:t>
            </w:r>
          </w:p>
        </w:tc>
      </w:tr>
      <w:tr w:rsidR="00C23698" w:rsidRPr="00633995" w14:paraId="5B0A9ABA" w14:textId="22B3C0B9" w:rsidTr="00604F53">
        <w:trPr>
          <w:trHeight w:val="144"/>
        </w:trPr>
        <w:tc>
          <w:tcPr>
            <w:tcW w:w="1320" w:type="pct"/>
            <w:tcBorders>
              <w:top w:val="nil"/>
              <w:left w:val="nil"/>
              <w:bottom w:val="nil"/>
              <w:right w:val="nil"/>
            </w:tcBorders>
            <w:shd w:val="clear" w:color="auto" w:fill="auto"/>
            <w:noWrap/>
            <w:vAlign w:val="center"/>
            <w:hideMark/>
          </w:tcPr>
          <w:p w14:paraId="3F1F065D"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R2</w:t>
            </w:r>
          </w:p>
        </w:tc>
        <w:tc>
          <w:tcPr>
            <w:tcW w:w="736" w:type="pct"/>
            <w:tcBorders>
              <w:top w:val="nil"/>
              <w:left w:val="nil"/>
              <w:bottom w:val="nil"/>
              <w:right w:val="nil"/>
            </w:tcBorders>
            <w:shd w:val="clear" w:color="auto" w:fill="auto"/>
            <w:noWrap/>
            <w:vAlign w:val="center"/>
            <w:hideMark/>
          </w:tcPr>
          <w:p w14:paraId="2443E186"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0.71</w:t>
            </w:r>
          </w:p>
        </w:tc>
        <w:tc>
          <w:tcPr>
            <w:tcW w:w="736" w:type="pct"/>
            <w:tcBorders>
              <w:top w:val="nil"/>
              <w:left w:val="nil"/>
              <w:bottom w:val="nil"/>
              <w:right w:val="nil"/>
            </w:tcBorders>
            <w:shd w:val="clear" w:color="auto" w:fill="auto"/>
            <w:noWrap/>
            <w:vAlign w:val="center"/>
            <w:hideMark/>
          </w:tcPr>
          <w:p w14:paraId="5B2F8CF2"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0.71</w:t>
            </w:r>
          </w:p>
        </w:tc>
        <w:tc>
          <w:tcPr>
            <w:tcW w:w="736" w:type="pct"/>
            <w:tcBorders>
              <w:top w:val="nil"/>
              <w:left w:val="nil"/>
              <w:bottom w:val="nil"/>
              <w:right w:val="nil"/>
            </w:tcBorders>
            <w:shd w:val="clear" w:color="auto" w:fill="auto"/>
            <w:noWrap/>
            <w:vAlign w:val="center"/>
            <w:hideMark/>
          </w:tcPr>
          <w:p w14:paraId="4A3F13C1"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0.71</w:t>
            </w:r>
          </w:p>
        </w:tc>
        <w:tc>
          <w:tcPr>
            <w:tcW w:w="737" w:type="pct"/>
            <w:tcBorders>
              <w:top w:val="nil"/>
              <w:left w:val="nil"/>
              <w:bottom w:val="nil"/>
              <w:right w:val="nil"/>
            </w:tcBorders>
            <w:shd w:val="clear" w:color="auto" w:fill="auto"/>
            <w:noWrap/>
            <w:vAlign w:val="center"/>
            <w:hideMark/>
          </w:tcPr>
          <w:p w14:paraId="70E5A5E8"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0.71</w:t>
            </w:r>
          </w:p>
        </w:tc>
        <w:tc>
          <w:tcPr>
            <w:tcW w:w="735" w:type="pct"/>
            <w:tcBorders>
              <w:top w:val="nil"/>
              <w:left w:val="nil"/>
              <w:bottom w:val="nil"/>
              <w:right w:val="nil"/>
            </w:tcBorders>
            <w:shd w:val="clear" w:color="auto" w:fill="auto"/>
            <w:noWrap/>
            <w:vAlign w:val="center"/>
            <w:hideMark/>
          </w:tcPr>
          <w:p w14:paraId="351AAA78"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0.71</w:t>
            </w:r>
          </w:p>
        </w:tc>
      </w:tr>
      <w:tr w:rsidR="00C23698" w:rsidRPr="00633995" w14:paraId="6A01FD2B" w14:textId="2CA90848" w:rsidTr="00604F53">
        <w:trPr>
          <w:trHeight w:val="144"/>
        </w:trPr>
        <w:tc>
          <w:tcPr>
            <w:tcW w:w="1320" w:type="pct"/>
            <w:tcBorders>
              <w:top w:val="nil"/>
              <w:left w:val="nil"/>
              <w:bottom w:val="nil"/>
              <w:right w:val="nil"/>
            </w:tcBorders>
            <w:shd w:val="clear" w:color="auto" w:fill="auto"/>
            <w:noWrap/>
            <w:vAlign w:val="center"/>
            <w:hideMark/>
          </w:tcPr>
          <w:p w14:paraId="40DEC94E"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FE Pair-Year</w:t>
            </w:r>
          </w:p>
        </w:tc>
        <w:tc>
          <w:tcPr>
            <w:tcW w:w="736" w:type="pct"/>
            <w:tcBorders>
              <w:top w:val="nil"/>
              <w:left w:val="nil"/>
              <w:bottom w:val="nil"/>
              <w:right w:val="nil"/>
            </w:tcBorders>
            <w:shd w:val="clear" w:color="auto" w:fill="auto"/>
            <w:noWrap/>
            <w:vAlign w:val="center"/>
            <w:hideMark/>
          </w:tcPr>
          <w:p w14:paraId="3DDD9937"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736" w:type="pct"/>
            <w:tcBorders>
              <w:top w:val="nil"/>
              <w:left w:val="nil"/>
              <w:bottom w:val="nil"/>
              <w:right w:val="nil"/>
            </w:tcBorders>
            <w:shd w:val="clear" w:color="auto" w:fill="auto"/>
            <w:noWrap/>
            <w:vAlign w:val="center"/>
            <w:hideMark/>
          </w:tcPr>
          <w:p w14:paraId="794BB1B0"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736" w:type="pct"/>
            <w:tcBorders>
              <w:top w:val="nil"/>
              <w:left w:val="nil"/>
              <w:bottom w:val="nil"/>
              <w:right w:val="nil"/>
            </w:tcBorders>
            <w:shd w:val="clear" w:color="auto" w:fill="auto"/>
            <w:noWrap/>
            <w:vAlign w:val="center"/>
            <w:hideMark/>
          </w:tcPr>
          <w:p w14:paraId="67EC9D8D"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737" w:type="pct"/>
            <w:tcBorders>
              <w:top w:val="nil"/>
              <w:left w:val="nil"/>
              <w:bottom w:val="nil"/>
              <w:right w:val="nil"/>
            </w:tcBorders>
            <w:shd w:val="clear" w:color="auto" w:fill="auto"/>
            <w:noWrap/>
            <w:vAlign w:val="center"/>
            <w:hideMark/>
          </w:tcPr>
          <w:p w14:paraId="7B652AB9"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735" w:type="pct"/>
            <w:tcBorders>
              <w:top w:val="nil"/>
              <w:left w:val="nil"/>
              <w:bottom w:val="nil"/>
              <w:right w:val="nil"/>
            </w:tcBorders>
            <w:shd w:val="clear" w:color="auto" w:fill="auto"/>
            <w:noWrap/>
            <w:vAlign w:val="center"/>
            <w:hideMark/>
          </w:tcPr>
          <w:p w14:paraId="7324E8C0"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r>
      <w:tr w:rsidR="00C23698" w:rsidRPr="00633995" w14:paraId="09C70FCE" w14:textId="47BA5165" w:rsidTr="00604F53">
        <w:trPr>
          <w:trHeight w:val="144"/>
        </w:trPr>
        <w:tc>
          <w:tcPr>
            <w:tcW w:w="1320" w:type="pct"/>
            <w:tcBorders>
              <w:top w:val="nil"/>
              <w:left w:val="nil"/>
              <w:bottom w:val="nil"/>
              <w:right w:val="nil"/>
            </w:tcBorders>
            <w:shd w:val="clear" w:color="auto" w:fill="auto"/>
            <w:noWrap/>
            <w:vAlign w:val="center"/>
            <w:hideMark/>
          </w:tcPr>
          <w:p w14:paraId="695A385B"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FE Pair-Ind</w:t>
            </w:r>
          </w:p>
        </w:tc>
        <w:tc>
          <w:tcPr>
            <w:tcW w:w="736" w:type="pct"/>
            <w:tcBorders>
              <w:top w:val="nil"/>
              <w:left w:val="nil"/>
              <w:bottom w:val="nil"/>
              <w:right w:val="nil"/>
            </w:tcBorders>
            <w:shd w:val="clear" w:color="auto" w:fill="auto"/>
            <w:noWrap/>
            <w:vAlign w:val="center"/>
            <w:hideMark/>
          </w:tcPr>
          <w:p w14:paraId="4530DDD0"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736" w:type="pct"/>
            <w:tcBorders>
              <w:top w:val="nil"/>
              <w:left w:val="nil"/>
              <w:bottom w:val="nil"/>
              <w:right w:val="nil"/>
            </w:tcBorders>
            <w:shd w:val="clear" w:color="auto" w:fill="auto"/>
            <w:noWrap/>
            <w:vAlign w:val="center"/>
            <w:hideMark/>
          </w:tcPr>
          <w:p w14:paraId="7EBA5DD5"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736" w:type="pct"/>
            <w:tcBorders>
              <w:top w:val="nil"/>
              <w:left w:val="nil"/>
              <w:bottom w:val="nil"/>
              <w:right w:val="nil"/>
            </w:tcBorders>
            <w:shd w:val="clear" w:color="auto" w:fill="auto"/>
            <w:noWrap/>
            <w:vAlign w:val="center"/>
            <w:hideMark/>
          </w:tcPr>
          <w:p w14:paraId="4EAEBC73"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737" w:type="pct"/>
            <w:tcBorders>
              <w:top w:val="nil"/>
              <w:left w:val="nil"/>
              <w:bottom w:val="nil"/>
              <w:right w:val="nil"/>
            </w:tcBorders>
            <w:shd w:val="clear" w:color="auto" w:fill="auto"/>
            <w:noWrap/>
            <w:vAlign w:val="center"/>
            <w:hideMark/>
          </w:tcPr>
          <w:p w14:paraId="20805C39"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735" w:type="pct"/>
            <w:tcBorders>
              <w:top w:val="nil"/>
              <w:left w:val="nil"/>
              <w:bottom w:val="nil"/>
              <w:right w:val="nil"/>
            </w:tcBorders>
            <w:shd w:val="clear" w:color="auto" w:fill="auto"/>
            <w:noWrap/>
            <w:vAlign w:val="center"/>
            <w:hideMark/>
          </w:tcPr>
          <w:p w14:paraId="775EC561"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r>
      <w:tr w:rsidR="00C23698" w:rsidRPr="00633995" w14:paraId="42510CC0" w14:textId="6BE6BFC3" w:rsidTr="00604F53">
        <w:trPr>
          <w:trHeight w:val="144"/>
        </w:trPr>
        <w:tc>
          <w:tcPr>
            <w:tcW w:w="1320" w:type="pct"/>
            <w:tcBorders>
              <w:top w:val="nil"/>
              <w:left w:val="nil"/>
              <w:bottom w:val="nil"/>
              <w:right w:val="nil"/>
            </w:tcBorders>
            <w:shd w:val="clear" w:color="auto" w:fill="auto"/>
            <w:noWrap/>
            <w:vAlign w:val="center"/>
            <w:hideMark/>
          </w:tcPr>
          <w:p w14:paraId="34B6052A"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FE Exp-Ind-Year</w:t>
            </w:r>
          </w:p>
        </w:tc>
        <w:tc>
          <w:tcPr>
            <w:tcW w:w="736" w:type="pct"/>
            <w:tcBorders>
              <w:top w:val="nil"/>
              <w:left w:val="nil"/>
              <w:bottom w:val="nil"/>
              <w:right w:val="nil"/>
            </w:tcBorders>
            <w:shd w:val="clear" w:color="auto" w:fill="auto"/>
            <w:noWrap/>
            <w:vAlign w:val="center"/>
            <w:hideMark/>
          </w:tcPr>
          <w:p w14:paraId="45F0DFFE"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736" w:type="pct"/>
            <w:tcBorders>
              <w:top w:val="nil"/>
              <w:left w:val="nil"/>
              <w:bottom w:val="nil"/>
              <w:right w:val="nil"/>
            </w:tcBorders>
            <w:shd w:val="clear" w:color="auto" w:fill="auto"/>
            <w:noWrap/>
            <w:vAlign w:val="center"/>
            <w:hideMark/>
          </w:tcPr>
          <w:p w14:paraId="44CDF4E8"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736" w:type="pct"/>
            <w:tcBorders>
              <w:top w:val="nil"/>
              <w:left w:val="nil"/>
              <w:bottom w:val="nil"/>
              <w:right w:val="nil"/>
            </w:tcBorders>
            <w:shd w:val="clear" w:color="auto" w:fill="auto"/>
            <w:noWrap/>
            <w:vAlign w:val="center"/>
            <w:hideMark/>
          </w:tcPr>
          <w:p w14:paraId="2C3935C2"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737" w:type="pct"/>
            <w:tcBorders>
              <w:top w:val="nil"/>
              <w:left w:val="nil"/>
              <w:bottom w:val="nil"/>
              <w:right w:val="nil"/>
            </w:tcBorders>
            <w:shd w:val="clear" w:color="auto" w:fill="auto"/>
            <w:noWrap/>
            <w:vAlign w:val="center"/>
            <w:hideMark/>
          </w:tcPr>
          <w:p w14:paraId="29D02646"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735" w:type="pct"/>
            <w:tcBorders>
              <w:top w:val="nil"/>
              <w:left w:val="nil"/>
              <w:bottom w:val="nil"/>
              <w:right w:val="nil"/>
            </w:tcBorders>
            <w:shd w:val="clear" w:color="auto" w:fill="auto"/>
            <w:noWrap/>
            <w:vAlign w:val="center"/>
            <w:hideMark/>
          </w:tcPr>
          <w:p w14:paraId="31591A41"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r>
      <w:tr w:rsidR="00C23698" w:rsidRPr="00633995" w14:paraId="6947C1CF" w14:textId="50D97173" w:rsidTr="00604F53">
        <w:trPr>
          <w:trHeight w:val="144"/>
        </w:trPr>
        <w:tc>
          <w:tcPr>
            <w:tcW w:w="1320" w:type="pct"/>
            <w:tcBorders>
              <w:top w:val="nil"/>
              <w:left w:val="nil"/>
              <w:bottom w:val="nil"/>
              <w:right w:val="nil"/>
            </w:tcBorders>
            <w:shd w:val="clear" w:color="auto" w:fill="auto"/>
            <w:noWrap/>
            <w:vAlign w:val="center"/>
            <w:hideMark/>
          </w:tcPr>
          <w:p w14:paraId="3A62F31F"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FE Imp-Ind-Year</w:t>
            </w:r>
          </w:p>
        </w:tc>
        <w:tc>
          <w:tcPr>
            <w:tcW w:w="736" w:type="pct"/>
            <w:tcBorders>
              <w:top w:val="nil"/>
              <w:left w:val="nil"/>
              <w:bottom w:val="nil"/>
              <w:right w:val="nil"/>
            </w:tcBorders>
            <w:shd w:val="clear" w:color="auto" w:fill="auto"/>
            <w:noWrap/>
            <w:vAlign w:val="center"/>
            <w:hideMark/>
          </w:tcPr>
          <w:p w14:paraId="0115D025"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736" w:type="pct"/>
            <w:tcBorders>
              <w:top w:val="nil"/>
              <w:left w:val="nil"/>
              <w:bottom w:val="nil"/>
              <w:right w:val="nil"/>
            </w:tcBorders>
            <w:shd w:val="clear" w:color="auto" w:fill="auto"/>
            <w:noWrap/>
            <w:vAlign w:val="center"/>
            <w:hideMark/>
          </w:tcPr>
          <w:p w14:paraId="3CDED3CA"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736" w:type="pct"/>
            <w:tcBorders>
              <w:top w:val="nil"/>
              <w:left w:val="nil"/>
              <w:bottom w:val="nil"/>
              <w:right w:val="nil"/>
            </w:tcBorders>
            <w:shd w:val="clear" w:color="auto" w:fill="auto"/>
            <w:noWrap/>
            <w:vAlign w:val="center"/>
            <w:hideMark/>
          </w:tcPr>
          <w:p w14:paraId="4B6FB6A3"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737" w:type="pct"/>
            <w:tcBorders>
              <w:top w:val="nil"/>
              <w:left w:val="nil"/>
              <w:bottom w:val="nil"/>
              <w:right w:val="nil"/>
            </w:tcBorders>
            <w:shd w:val="clear" w:color="auto" w:fill="auto"/>
            <w:noWrap/>
            <w:vAlign w:val="center"/>
            <w:hideMark/>
          </w:tcPr>
          <w:p w14:paraId="17BE70BF"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c>
          <w:tcPr>
            <w:tcW w:w="735" w:type="pct"/>
            <w:tcBorders>
              <w:top w:val="nil"/>
              <w:left w:val="nil"/>
              <w:bottom w:val="nil"/>
              <w:right w:val="nil"/>
            </w:tcBorders>
            <w:shd w:val="clear" w:color="auto" w:fill="auto"/>
            <w:noWrap/>
            <w:vAlign w:val="center"/>
            <w:hideMark/>
          </w:tcPr>
          <w:p w14:paraId="7FF80794"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Yes</w:t>
            </w:r>
          </w:p>
        </w:tc>
      </w:tr>
      <w:tr w:rsidR="00C23698" w:rsidRPr="00633995" w14:paraId="17797888" w14:textId="61D2A279" w:rsidTr="00604F53">
        <w:trPr>
          <w:trHeight w:val="144"/>
        </w:trPr>
        <w:tc>
          <w:tcPr>
            <w:tcW w:w="1320" w:type="pct"/>
            <w:tcBorders>
              <w:top w:val="nil"/>
              <w:left w:val="nil"/>
              <w:bottom w:val="single" w:sz="4" w:space="0" w:color="auto"/>
              <w:right w:val="nil"/>
            </w:tcBorders>
            <w:shd w:val="clear" w:color="auto" w:fill="auto"/>
            <w:noWrap/>
            <w:vAlign w:val="center"/>
            <w:hideMark/>
          </w:tcPr>
          <w:p w14:paraId="3F683CB4"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Two-way cluster</w:t>
            </w:r>
          </w:p>
        </w:tc>
        <w:tc>
          <w:tcPr>
            <w:tcW w:w="736" w:type="pct"/>
            <w:tcBorders>
              <w:top w:val="nil"/>
              <w:left w:val="nil"/>
              <w:bottom w:val="single" w:sz="4" w:space="0" w:color="auto"/>
              <w:right w:val="nil"/>
            </w:tcBorders>
            <w:shd w:val="clear" w:color="auto" w:fill="auto"/>
            <w:noWrap/>
            <w:vAlign w:val="center"/>
            <w:hideMark/>
          </w:tcPr>
          <w:p w14:paraId="1CED957E"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Pair &amp; Year</w:t>
            </w:r>
          </w:p>
        </w:tc>
        <w:tc>
          <w:tcPr>
            <w:tcW w:w="736" w:type="pct"/>
            <w:tcBorders>
              <w:top w:val="nil"/>
              <w:left w:val="nil"/>
              <w:bottom w:val="single" w:sz="4" w:space="0" w:color="auto"/>
              <w:right w:val="nil"/>
            </w:tcBorders>
            <w:shd w:val="clear" w:color="auto" w:fill="auto"/>
            <w:noWrap/>
            <w:vAlign w:val="center"/>
            <w:hideMark/>
          </w:tcPr>
          <w:p w14:paraId="618CBCEB"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Pair &amp; Year</w:t>
            </w:r>
          </w:p>
        </w:tc>
        <w:tc>
          <w:tcPr>
            <w:tcW w:w="736" w:type="pct"/>
            <w:tcBorders>
              <w:top w:val="nil"/>
              <w:left w:val="nil"/>
              <w:bottom w:val="single" w:sz="4" w:space="0" w:color="auto"/>
              <w:right w:val="nil"/>
            </w:tcBorders>
            <w:shd w:val="clear" w:color="auto" w:fill="auto"/>
            <w:noWrap/>
            <w:vAlign w:val="center"/>
            <w:hideMark/>
          </w:tcPr>
          <w:p w14:paraId="6F385B69"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Pair &amp; Year</w:t>
            </w:r>
          </w:p>
        </w:tc>
        <w:tc>
          <w:tcPr>
            <w:tcW w:w="737" w:type="pct"/>
            <w:tcBorders>
              <w:top w:val="nil"/>
              <w:left w:val="nil"/>
              <w:bottom w:val="single" w:sz="4" w:space="0" w:color="auto"/>
              <w:right w:val="nil"/>
            </w:tcBorders>
            <w:shd w:val="clear" w:color="auto" w:fill="auto"/>
            <w:noWrap/>
            <w:vAlign w:val="center"/>
            <w:hideMark/>
          </w:tcPr>
          <w:p w14:paraId="6017B564"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Pair &amp; Year</w:t>
            </w:r>
          </w:p>
        </w:tc>
        <w:tc>
          <w:tcPr>
            <w:tcW w:w="735" w:type="pct"/>
            <w:tcBorders>
              <w:top w:val="nil"/>
              <w:left w:val="nil"/>
              <w:bottom w:val="single" w:sz="4" w:space="0" w:color="auto"/>
              <w:right w:val="nil"/>
            </w:tcBorders>
            <w:shd w:val="clear" w:color="auto" w:fill="auto"/>
            <w:noWrap/>
            <w:vAlign w:val="center"/>
            <w:hideMark/>
          </w:tcPr>
          <w:p w14:paraId="0896AD0D" w14:textId="77777777" w:rsidR="00C23698" w:rsidRPr="00513BF1" w:rsidRDefault="00C23698" w:rsidP="0011538D">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Pair &amp; Year</w:t>
            </w:r>
          </w:p>
        </w:tc>
      </w:tr>
    </w:tbl>
    <w:p w14:paraId="7EF44FBA" w14:textId="7B117AB6" w:rsidR="002E07C6" w:rsidRDefault="00457695" w:rsidP="0011538D">
      <w:pPr>
        <w:spacing w:after="240"/>
        <w:jc w:val="both"/>
        <w:rPr>
          <w:sz w:val="18"/>
          <w:szCs w:val="18"/>
        </w:rPr>
      </w:pPr>
      <w:r w:rsidRPr="00633995">
        <w:rPr>
          <w:sz w:val="18"/>
          <w:szCs w:val="18"/>
        </w:rPr>
        <w:t>Notes: *, **, and *** denote 10%, 5% and 1% significance levels</w:t>
      </w:r>
      <w:r w:rsidR="00C20724" w:rsidRPr="00633995">
        <w:rPr>
          <w:sz w:val="18"/>
          <w:szCs w:val="18"/>
        </w:rPr>
        <w:t>. P</w:t>
      </w:r>
      <w:r w:rsidRPr="00633995">
        <w:rPr>
          <w:sz w:val="18"/>
          <w:szCs w:val="18"/>
        </w:rPr>
        <w:t>-values in parenthesis. FE</w:t>
      </w:r>
      <w:r w:rsidR="00C20724" w:rsidRPr="00633995">
        <w:rPr>
          <w:sz w:val="18"/>
          <w:szCs w:val="18"/>
        </w:rPr>
        <w:t xml:space="preserve">: </w:t>
      </w:r>
      <w:r w:rsidRPr="00633995">
        <w:rPr>
          <w:sz w:val="18"/>
          <w:szCs w:val="18"/>
        </w:rPr>
        <w:t>fixed effects</w:t>
      </w:r>
      <w:r w:rsidR="00C20724" w:rsidRPr="00633995">
        <w:rPr>
          <w:sz w:val="18"/>
          <w:szCs w:val="18"/>
        </w:rPr>
        <w:t xml:space="preserve">; </w:t>
      </w:r>
      <w:r w:rsidRPr="00633995">
        <w:rPr>
          <w:sz w:val="18"/>
          <w:szCs w:val="18"/>
        </w:rPr>
        <w:t>SH</w:t>
      </w:r>
      <w:r w:rsidR="00C20724" w:rsidRPr="00633995">
        <w:rPr>
          <w:sz w:val="18"/>
          <w:szCs w:val="18"/>
        </w:rPr>
        <w:t xml:space="preserve">: </w:t>
      </w:r>
      <w:r w:rsidRPr="00633995">
        <w:rPr>
          <w:sz w:val="18"/>
          <w:szCs w:val="18"/>
        </w:rPr>
        <w:t>Safe Harbor</w:t>
      </w:r>
      <w:r w:rsidR="00C20724" w:rsidRPr="00633995">
        <w:rPr>
          <w:sz w:val="18"/>
          <w:szCs w:val="18"/>
        </w:rPr>
        <w:t xml:space="preserve">; PS: </w:t>
      </w:r>
      <w:r w:rsidRPr="00633995">
        <w:rPr>
          <w:sz w:val="18"/>
          <w:szCs w:val="18"/>
        </w:rPr>
        <w:t>Privacy Shield</w:t>
      </w:r>
      <w:r w:rsidR="00C20724" w:rsidRPr="00633995">
        <w:rPr>
          <w:sz w:val="18"/>
          <w:szCs w:val="18"/>
        </w:rPr>
        <w:t xml:space="preserve">; </w:t>
      </w:r>
      <w:r w:rsidR="007D08D7" w:rsidRPr="00633995">
        <w:rPr>
          <w:i/>
          <w:iCs/>
          <w:sz w:val="18"/>
          <w:szCs w:val="18"/>
        </w:rPr>
        <w:t>R</w:t>
      </w:r>
      <w:r w:rsidRPr="00633995">
        <w:rPr>
          <w:i/>
          <w:iCs/>
          <w:sz w:val="18"/>
          <w:szCs w:val="18"/>
        </w:rPr>
        <w:t>ADQ</w:t>
      </w:r>
      <w:r w:rsidR="00C20724" w:rsidRPr="00633995">
        <w:rPr>
          <w:sz w:val="18"/>
          <w:szCs w:val="18"/>
        </w:rPr>
        <w:t xml:space="preserve">: </w:t>
      </w:r>
      <w:r w:rsidR="00361B4C" w:rsidRPr="00633995">
        <w:rPr>
          <w:sz w:val="18"/>
          <w:szCs w:val="18"/>
        </w:rPr>
        <w:t>regular</w:t>
      </w:r>
      <w:r w:rsidR="00C20724" w:rsidRPr="00633995">
        <w:rPr>
          <w:sz w:val="18"/>
          <w:szCs w:val="18"/>
        </w:rPr>
        <w:t xml:space="preserve"> adequacy </w:t>
      </w:r>
      <w:r w:rsidR="00E13305" w:rsidRPr="00633995">
        <w:rPr>
          <w:sz w:val="18"/>
          <w:szCs w:val="18"/>
        </w:rPr>
        <w:t xml:space="preserve">decision; </w:t>
      </w:r>
      <w:r w:rsidR="00CA3B05" w:rsidRPr="00F94075">
        <w:rPr>
          <w:i/>
          <w:iCs/>
          <w:sz w:val="18"/>
          <w:szCs w:val="18"/>
        </w:rPr>
        <w:t>RADQ</w:t>
      </w:r>
      <w:r w:rsidR="00CA3B05" w:rsidRPr="00F94075">
        <w:rPr>
          <w:i/>
          <w:iCs/>
          <w:sz w:val="18"/>
          <w:szCs w:val="18"/>
          <w:vertAlign w:val="superscript"/>
        </w:rPr>
        <w:t>Club</w:t>
      </w:r>
      <w:r w:rsidR="00CA3B05" w:rsidRPr="00633995">
        <w:rPr>
          <w:sz w:val="18"/>
          <w:szCs w:val="18"/>
        </w:rPr>
        <w:t xml:space="preserve">: club effect between </w:t>
      </w:r>
      <w:r w:rsidR="00CA3B05">
        <w:rPr>
          <w:sz w:val="18"/>
          <w:szCs w:val="18"/>
        </w:rPr>
        <w:t xml:space="preserve">regular </w:t>
      </w:r>
      <w:r w:rsidR="00CA3B05" w:rsidRPr="00633995">
        <w:rPr>
          <w:sz w:val="18"/>
          <w:szCs w:val="18"/>
        </w:rPr>
        <w:t>adequa</w:t>
      </w:r>
      <w:r w:rsidR="00CA3B05">
        <w:rPr>
          <w:sz w:val="18"/>
          <w:szCs w:val="18"/>
        </w:rPr>
        <w:t>cy</w:t>
      </w:r>
      <w:r w:rsidR="00CA3B05" w:rsidRPr="00633995">
        <w:rPr>
          <w:sz w:val="18"/>
          <w:szCs w:val="18"/>
        </w:rPr>
        <w:t xml:space="preserve"> countries; </w:t>
      </w:r>
      <w:r w:rsidR="00CA3B05" w:rsidRPr="00F94075">
        <w:rPr>
          <w:i/>
          <w:iCs/>
          <w:sz w:val="18"/>
          <w:szCs w:val="18"/>
        </w:rPr>
        <w:t>SH/PS</w:t>
      </w:r>
      <w:r w:rsidR="00CA3B05" w:rsidRPr="00F94075">
        <w:rPr>
          <w:i/>
          <w:iCs/>
          <w:sz w:val="18"/>
          <w:szCs w:val="18"/>
          <w:vertAlign w:val="superscript"/>
        </w:rPr>
        <w:t>Club</w:t>
      </w:r>
      <w:r w:rsidR="00CA3B05" w:rsidRPr="00633995">
        <w:rPr>
          <w:sz w:val="18"/>
          <w:szCs w:val="18"/>
        </w:rPr>
        <w:t>:</w:t>
      </w:r>
      <w:r w:rsidR="003C418D" w:rsidRPr="00633995">
        <w:rPr>
          <w:sz w:val="18"/>
          <w:szCs w:val="18"/>
        </w:rPr>
        <w:t xml:space="preserve"> </w:t>
      </w:r>
      <w:r w:rsidR="00CA584C" w:rsidRPr="00633995">
        <w:rPr>
          <w:sz w:val="18"/>
          <w:szCs w:val="18"/>
        </w:rPr>
        <w:t>clu</w:t>
      </w:r>
      <w:r w:rsidR="007B59E6" w:rsidRPr="00633995">
        <w:rPr>
          <w:sz w:val="18"/>
          <w:szCs w:val="18"/>
        </w:rPr>
        <w:t>b</w:t>
      </w:r>
      <w:r w:rsidR="003C418D" w:rsidRPr="00633995">
        <w:rPr>
          <w:sz w:val="18"/>
          <w:szCs w:val="18"/>
        </w:rPr>
        <w:t xml:space="preserve"> effect including the US</w:t>
      </w:r>
      <w:r w:rsidRPr="00633995">
        <w:rPr>
          <w:sz w:val="18"/>
          <w:szCs w:val="18"/>
        </w:rPr>
        <w:t>.</w:t>
      </w:r>
      <w:r w:rsidR="000C2E26" w:rsidRPr="00633995">
        <w:rPr>
          <w:sz w:val="18"/>
          <w:szCs w:val="18"/>
        </w:rPr>
        <w:t xml:space="preserve"> </w:t>
      </w:r>
      <w:r w:rsidR="00FA752B">
        <w:rPr>
          <w:sz w:val="18"/>
          <w:szCs w:val="18"/>
        </w:rPr>
        <w:t>The</w:t>
      </w:r>
      <w:r w:rsidR="00016C86" w:rsidRPr="00633995">
        <w:rPr>
          <w:sz w:val="18"/>
          <w:szCs w:val="18"/>
        </w:rPr>
        <w:t xml:space="preserve"> dummy</w:t>
      </w:r>
      <w:r w:rsidR="000C2E26" w:rsidRPr="00633995">
        <w:rPr>
          <w:sz w:val="18"/>
          <w:szCs w:val="18"/>
        </w:rPr>
        <w:t xml:space="preserve"> </w:t>
      </w:r>
      <w:r w:rsidR="000C2E26" w:rsidRPr="00633995">
        <w:rPr>
          <w:i/>
          <w:iCs/>
          <w:sz w:val="18"/>
          <w:szCs w:val="18"/>
        </w:rPr>
        <w:t>I</w:t>
      </w:r>
      <w:r w:rsidR="000C2E26" w:rsidRPr="00633995">
        <w:rPr>
          <w:i/>
          <w:iCs/>
          <w:sz w:val="18"/>
          <w:szCs w:val="18"/>
          <w:vertAlign w:val="subscript"/>
        </w:rPr>
        <w:t>k</w:t>
      </w:r>
      <w:r w:rsidR="00BA22D7" w:rsidRPr="00633995">
        <w:rPr>
          <w:sz w:val="18"/>
          <w:szCs w:val="18"/>
        </w:rPr>
        <w:t xml:space="preserve"> </w:t>
      </w:r>
      <w:r w:rsidR="00FA752B">
        <w:rPr>
          <w:sz w:val="18"/>
          <w:szCs w:val="18"/>
        </w:rPr>
        <w:t xml:space="preserve">is an indicator that takes value 1 if industry k is included in the definition of digital industries as per </w:t>
      </w:r>
      <w:r w:rsidR="00E76678">
        <w:rPr>
          <w:sz w:val="18"/>
          <w:szCs w:val="18"/>
        </w:rPr>
        <w:t>A</w:t>
      </w:r>
      <w:r w:rsidR="005150C6">
        <w:rPr>
          <w:sz w:val="18"/>
          <w:szCs w:val="18"/>
        </w:rPr>
        <w:t>ppendix</w:t>
      </w:r>
      <w:r w:rsidR="00E76678">
        <w:rPr>
          <w:sz w:val="18"/>
          <w:szCs w:val="18"/>
        </w:rPr>
        <w:t xml:space="preserve"> T</w:t>
      </w:r>
      <w:r w:rsidR="00FA752B">
        <w:rPr>
          <w:sz w:val="18"/>
          <w:szCs w:val="18"/>
        </w:rPr>
        <w:t>able A5.</w:t>
      </w:r>
    </w:p>
    <w:p w14:paraId="1D57A213" w14:textId="689D9D30" w:rsidR="006218FB" w:rsidRPr="00EC691B" w:rsidRDefault="006218FB" w:rsidP="006218FB">
      <w:pPr>
        <w:jc w:val="both"/>
      </w:pPr>
      <w:r w:rsidRPr="000A50C7">
        <w:t xml:space="preserve">While the aggregate results in Table 1 </w:t>
      </w:r>
      <w:r w:rsidR="008C7F15">
        <w:t xml:space="preserve">point to </w:t>
      </w:r>
      <w:r w:rsidRPr="000A50C7">
        <w:t xml:space="preserve">the significance of the EU-U.S. adequacy framework for digital trade, the pooled gravity regression results suggest that this effect is much weaker, although </w:t>
      </w:r>
      <w:r w:rsidR="00412A30">
        <w:t xml:space="preserve">the </w:t>
      </w:r>
      <w:r w:rsidRPr="000A50C7">
        <w:t>club effect remains significant</w:t>
      </w:r>
      <w:r>
        <w:t xml:space="preserve">. Instead, regular adequacy decisions have a stronger effect. </w:t>
      </w:r>
      <w:r w:rsidR="008C7F15">
        <w:t xml:space="preserve">Note that </w:t>
      </w:r>
      <w:r w:rsidRPr="004E40F4">
        <w:t>the two results do not necessarily contradict each other, as they are not directly comparable due to differences in their reference units</w:t>
      </w:r>
      <w:r>
        <w:t xml:space="preserve">. The aggregate results only measure the increase in the selected digital trade sectors, i.e. the treated units, whilst the pooled gravity results include the entire set of sectors. As such, the latter </w:t>
      </w:r>
      <w:r w:rsidR="009912F6">
        <w:t xml:space="preserve">comprises </w:t>
      </w:r>
      <w:r>
        <w:t>a different sample, also includ</w:t>
      </w:r>
      <w:r w:rsidR="009912F6">
        <w:t>ing</w:t>
      </w:r>
      <w:r>
        <w:t xml:space="preserve"> non-digital sectors. </w:t>
      </w:r>
      <w:r w:rsidR="00CC143C" w:rsidRPr="00CC143C">
        <w:t xml:space="preserve">This also </w:t>
      </w:r>
      <w:r w:rsidR="009912F6">
        <w:t xml:space="preserve">matters for </w:t>
      </w:r>
      <w:r w:rsidR="00CC143C" w:rsidRPr="00CC143C">
        <w:t xml:space="preserve">the interpretation of the pooled results. </w:t>
      </w:r>
      <w:r w:rsidR="00B006FE">
        <w:t>More s</w:t>
      </w:r>
      <w:r w:rsidR="00B006FE" w:rsidRPr="00CC143C">
        <w:t>pecifically</w:t>
      </w:r>
      <w:r w:rsidR="00CC143C" w:rsidRPr="00CC143C">
        <w:t xml:space="preserve">, the significance of the adequacy variables indicates that, compared to </w:t>
      </w:r>
      <w:r w:rsidR="00C97AAA">
        <w:t>non-</w:t>
      </w:r>
      <w:r w:rsidR="00CC143C" w:rsidRPr="00CC143C">
        <w:lastRenderedPageBreak/>
        <w:t xml:space="preserve">digital sectors, trade in sectors assessed as digital </w:t>
      </w:r>
      <w:r w:rsidR="009912F6">
        <w:t>expands</w:t>
      </w:r>
      <w:r w:rsidR="00CC143C">
        <w:t>, on average,</w:t>
      </w:r>
      <w:r w:rsidR="00CC143C" w:rsidRPr="00CC143C">
        <w:t xml:space="preserve"> faster due to adequacy</w:t>
      </w:r>
      <w:r>
        <w:t xml:space="preserve">. </w:t>
      </w:r>
      <w:r w:rsidR="00DA1214" w:rsidRPr="00DA1214">
        <w:t>In Table 1, no such distinction between the two groups can be made for the outcome variable</w:t>
      </w:r>
      <w:r w:rsidR="00DA1214">
        <w:t>.</w:t>
      </w:r>
    </w:p>
    <w:p w14:paraId="452AD5CC" w14:textId="39B7F5B9" w:rsidR="00CF149C" w:rsidRPr="00633995" w:rsidRDefault="00CF149C" w:rsidP="0011538D">
      <w:pPr>
        <w:spacing w:before="240" w:after="120" w:line="240" w:lineRule="auto"/>
        <w:jc w:val="both"/>
        <w:rPr>
          <w:b/>
          <w:bCs/>
        </w:rPr>
      </w:pPr>
      <w:r w:rsidRPr="00633995">
        <w:rPr>
          <w:b/>
          <w:bCs/>
        </w:rPr>
        <w:t xml:space="preserve">4.2 </w:t>
      </w:r>
      <w:r w:rsidR="00F5180F" w:rsidRPr="00633995">
        <w:rPr>
          <w:b/>
          <w:bCs/>
        </w:rPr>
        <w:t xml:space="preserve">Robustness: </w:t>
      </w:r>
      <w:r w:rsidR="005E0B22" w:rsidRPr="00633995">
        <w:rPr>
          <w:b/>
          <w:bCs/>
        </w:rPr>
        <w:t>D</w:t>
      </w:r>
      <w:r w:rsidRPr="00633995">
        <w:rPr>
          <w:b/>
          <w:bCs/>
        </w:rPr>
        <w:t>ata intensity-based measures of digital trade</w:t>
      </w:r>
    </w:p>
    <w:p w14:paraId="1758C29C" w14:textId="308A69F3" w:rsidR="00CF149C" w:rsidRPr="00513BF1" w:rsidRDefault="00F00F57" w:rsidP="0011538D">
      <w:pPr>
        <w:jc w:val="both"/>
      </w:pPr>
      <w:r w:rsidRPr="00F00F57">
        <w:rPr>
          <w:rFonts w:eastAsiaTheme="minorEastAsia"/>
        </w:rPr>
        <w:t xml:space="preserve">To assess the robustness of our results using sectoral definitions of digital trade, we construct three </w:t>
      </w:r>
      <w:r w:rsidR="004762BF">
        <w:rPr>
          <w:rFonts w:eastAsiaTheme="minorEastAsia"/>
        </w:rPr>
        <w:t xml:space="preserve">different </w:t>
      </w:r>
      <w:r w:rsidR="0069004B" w:rsidRPr="00633995">
        <w:rPr>
          <w:rFonts w:eastAsiaTheme="minorEastAsia"/>
        </w:rPr>
        <w:t xml:space="preserve">continuous </w:t>
      </w:r>
      <w:r w:rsidRPr="00F00F57">
        <w:rPr>
          <w:rFonts w:eastAsiaTheme="minorEastAsia"/>
        </w:rPr>
        <w:t>data intensity measures</w:t>
      </w:r>
      <w:r w:rsidR="00CF149C" w:rsidRPr="00633995">
        <w:rPr>
          <w:rFonts w:eastAsiaTheme="minorEastAsia"/>
        </w:rPr>
        <w:t xml:space="preserve">. </w:t>
      </w:r>
      <w:r w:rsidR="00CF149C" w:rsidRPr="00633995">
        <w:t xml:space="preserve">The first measure is </w:t>
      </w:r>
      <w:r w:rsidR="00CF149C" w:rsidRPr="00633995">
        <w:rPr>
          <w:rFonts w:eastAsiaTheme="minorEastAsia"/>
        </w:rPr>
        <w:t xml:space="preserve">based on firm-level information associated with participation in the EU-US </w:t>
      </w:r>
      <w:r w:rsidR="0050132C">
        <w:rPr>
          <w:rFonts w:eastAsiaTheme="minorEastAsia"/>
        </w:rPr>
        <w:t>Data Protection Framework. A</w:t>
      </w:r>
      <w:r w:rsidR="00CF149C" w:rsidRPr="00633995">
        <w:rPr>
          <w:rFonts w:eastAsiaTheme="minorEastAsia"/>
        </w:rPr>
        <w:t xml:space="preserve">s discussed, </w:t>
      </w:r>
      <w:r w:rsidR="00CF149C" w:rsidRPr="00633995">
        <w:t>the US Department of Commerce maintains a list of self-certified companies that includes data on each company's primary sector of activity. Using web scraping, we retrieved data on all 2,675 companies certified under this framework, including their primary and sub-sector activities, as well as the stated purpose for which firms use the adequacy agreement. We use this information to create an indicator of data intensity based on the share of listed firms in each sector.</w:t>
      </w:r>
      <w:r w:rsidR="00CF149C" w:rsidRPr="00633995">
        <w:rPr>
          <w:rStyle w:val="FootnoteReference"/>
        </w:rPr>
        <w:footnoteReference w:id="42"/>
      </w:r>
    </w:p>
    <w:p w14:paraId="432EA9CC" w14:textId="1F3E05B5" w:rsidR="00CF149C" w:rsidRPr="00633995" w:rsidRDefault="00CF149C" w:rsidP="0011538D">
      <w:pPr>
        <w:jc w:val="both"/>
      </w:pPr>
      <w:r w:rsidRPr="00513BF1">
        <w:t>Two other</w:t>
      </w:r>
      <w:r w:rsidR="0079212F" w:rsidRPr="00513BF1">
        <w:t xml:space="preserve"> data</w:t>
      </w:r>
      <w:r w:rsidRPr="00513BF1">
        <w:t xml:space="preserve"> intensity measures are derived from national input-output tables provided by the OECD for 1995-</w:t>
      </w:r>
      <w:r w:rsidR="002576A6" w:rsidRPr="00513BF1">
        <w:t>20</w:t>
      </w:r>
      <w:r w:rsidR="002576A6">
        <w:t>20</w:t>
      </w:r>
      <w:r w:rsidRPr="00513BF1">
        <w:t>. These are based on the 2-digit I</w:t>
      </w:r>
      <w:r w:rsidR="009912F6">
        <w:t>nternational Standard Industrial Classification (I</w:t>
      </w:r>
      <w:r w:rsidRPr="00513BF1">
        <w:t>SIC</w:t>
      </w:r>
      <w:r w:rsidR="009912F6">
        <w:t>)</w:t>
      </w:r>
      <w:r w:rsidRPr="00513BF1">
        <w:t xml:space="preserve"> </w:t>
      </w:r>
      <w:r w:rsidR="009912F6">
        <w:t>(</w:t>
      </w:r>
      <w:r w:rsidRPr="00513BF1">
        <w:t>Rev</w:t>
      </w:r>
      <w:r w:rsidR="009912F6">
        <w:t>ision</w:t>
      </w:r>
      <w:r w:rsidRPr="00513BF1">
        <w:t xml:space="preserve"> 4</w:t>
      </w:r>
      <w:r w:rsidR="009912F6">
        <w:t>)</w:t>
      </w:r>
      <w:r w:rsidRPr="00513BF1">
        <w:t xml:space="preserve"> which aligns with our trade </w:t>
      </w:r>
      <w:r w:rsidR="007F5B7E" w:rsidRPr="00513BF1">
        <w:t>data and</w:t>
      </w:r>
      <w:r w:rsidR="0079212F" w:rsidRPr="00513BF1">
        <w:t xml:space="preserve"> define d</w:t>
      </w:r>
      <w:r w:rsidR="0073037D" w:rsidRPr="00513BF1">
        <w:t>ata</w:t>
      </w:r>
      <w:r w:rsidR="0079212F" w:rsidRPr="00513BF1">
        <w:t xml:space="preserve"> intensity in terms of usage of upstream digital services and goods by firms operating in a given downstream sector</w:t>
      </w:r>
      <w:r w:rsidRPr="00633995">
        <w:t>.</w:t>
      </w:r>
      <w:r w:rsidRPr="00633995">
        <w:rPr>
          <w:rStyle w:val="FootnoteReference"/>
        </w:rPr>
        <w:footnoteReference w:id="43"/>
      </w:r>
      <w:r w:rsidRPr="00513BF1">
        <w:t xml:space="preserve"> The first measure, domestic input elasticities of digital sectors, refers to the input-output coefficients of digital inputs sourced domestically. The second measure, cross-border input elasticities, refers to the input-output coefficients of imported digital inputs. The rationale for these two measures is that even non-digital downstream sectors might be affected by an adequacy decision due to their digital input usage, </w:t>
      </w:r>
      <w:r w:rsidR="0061448A" w:rsidRPr="00513BF1">
        <w:t>which</w:t>
      </w:r>
      <w:r w:rsidRPr="00513BF1">
        <w:t xml:space="preserve"> we expect to be a good proxy of data intensity.</w:t>
      </w:r>
    </w:p>
    <w:p w14:paraId="7034C9C1" w14:textId="3F548788" w:rsidR="00CF149C" w:rsidRPr="00633995" w:rsidRDefault="00CF149C" w:rsidP="0011538D">
      <w:pPr>
        <w:jc w:val="both"/>
      </w:pPr>
      <w:r w:rsidRPr="00633995">
        <w:t xml:space="preserve">To compute these data intensity measures, </w:t>
      </w:r>
      <w:r w:rsidR="00C101A8" w:rsidRPr="00633995">
        <w:t xml:space="preserve">consistent with our narrow definition of digital trade </w:t>
      </w:r>
      <w:r w:rsidR="009912F6">
        <w:t>(</w:t>
      </w:r>
      <w:r w:rsidR="00C101A8" w:rsidRPr="00633995">
        <w:t>Appendix Table A</w:t>
      </w:r>
      <w:r w:rsidR="00C101A8">
        <w:t>5</w:t>
      </w:r>
      <w:r w:rsidR="009912F6">
        <w:t>)</w:t>
      </w:r>
      <w:r w:rsidR="00C101A8">
        <w:t xml:space="preserve">, </w:t>
      </w:r>
      <w:r w:rsidRPr="00633995">
        <w:t xml:space="preserve">we select the digital sectors </w:t>
      </w:r>
      <w:r w:rsidR="00C26AA3" w:rsidRPr="00633995">
        <w:t xml:space="preserve"> </w:t>
      </w:r>
      <w:r w:rsidRPr="00633995">
        <w:t>that sell to other downstream sectors in the economy</w:t>
      </w:r>
      <w:r w:rsidR="003D1E03" w:rsidRPr="00633995">
        <w:t xml:space="preserve">: </w:t>
      </w:r>
      <w:r w:rsidRPr="00633995">
        <w:t>Computer, Electronic and Optical Equipment (ISIC D26), Publishing, Audio-Visual and Broadcasting (ISIC D58T60), Telecom (ISIC D61), and I</w:t>
      </w:r>
      <w:r w:rsidR="009912F6">
        <w:t xml:space="preserve">nformation Technology </w:t>
      </w:r>
      <w:r w:rsidRPr="00633995">
        <w:t xml:space="preserve">and Other Information Services (ISIC D62T63). For each </w:t>
      </w:r>
      <w:r w:rsidR="00597231">
        <w:t>downstream</w:t>
      </w:r>
      <w:r w:rsidR="00597231" w:rsidRPr="00633995">
        <w:t xml:space="preserve"> </w:t>
      </w:r>
      <w:r w:rsidRPr="00633995">
        <w:t>sector, we calculate the proportion of inputs from these digital sectors relative to the sector’s total input usage (total intermediate consumption at purchasers’ prices). Since the OECD provides values for inputs sourced from a country’s domestic market as well as imported inputs, we can compute the coefficient for both sets of inputs, which sum to the total value of digital inputs used by each downstream sector.</w:t>
      </w:r>
      <w:r w:rsidR="00597231">
        <w:rPr>
          <w:rStyle w:val="FootnoteReference"/>
        </w:rPr>
        <w:footnoteReference w:id="44"/>
      </w:r>
      <w:r w:rsidRPr="00633995">
        <w:t xml:space="preserve"> </w:t>
      </w:r>
    </w:p>
    <w:p w14:paraId="342CD85E" w14:textId="4F31954B" w:rsidR="00CF149C" w:rsidRDefault="00CF149C" w:rsidP="0011538D">
      <w:pPr>
        <w:jc w:val="both"/>
      </w:pPr>
      <w:r w:rsidRPr="00633995">
        <w:t>Our preferred measure is the import input elasticity, which is consistent with the input-output coefficient used in Frey and Presidente (2024). However, as this data intensity measure may suffer from endogeneity because trade is our dependent variable, we also use domestic input elasticities as a</w:t>
      </w:r>
      <w:r w:rsidR="00F5180F" w:rsidRPr="00633995">
        <w:t>n additional</w:t>
      </w:r>
      <w:r w:rsidRPr="00633995">
        <w:t xml:space="preserve"> robustness check. To further reduce endogeneity </w:t>
      </w:r>
      <w:r w:rsidR="00F5180F" w:rsidRPr="00633995">
        <w:t>concerns</w:t>
      </w:r>
      <w:r w:rsidRPr="00633995">
        <w:t xml:space="preserve">, we </w:t>
      </w:r>
      <w:r w:rsidRPr="00633995">
        <w:lastRenderedPageBreak/>
        <w:t xml:space="preserve">compute the average across all countries covered in the </w:t>
      </w:r>
      <w:r w:rsidRPr="00513BF1">
        <w:t>input-output</w:t>
      </w:r>
      <w:r w:rsidRPr="00633995">
        <w:t xml:space="preserve"> tables for the year 2006, approximately the midpoint of our period. Appendix Table A</w:t>
      </w:r>
      <w:r w:rsidR="00D961BE">
        <w:t>6</w:t>
      </w:r>
      <w:r w:rsidRPr="00633995">
        <w:t xml:space="preserve"> presents the summary statistics for all three digital intensity measures. Appendix Figure A1 shows they are strongly correlated. </w:t>
      </w:r>
    </w:p>
    <w:p w14:paraId="575AF937" w14:textId="1E9DE569" w:rsidR="0067525B" w:rsidRDefault="0067525B" w:rsidP="0067525B">
      <w:pPr>
        <w:jc w:val="both"/>
      </w:pPr>
      <w:r w:rsidRPr="00633995">
        <w:t>Table 3 reports results from estimating equation (</w:t>
      </w:r>
      <w:r w:rsidR="00DB7643">
        <w:t>5</w:t>
      </w:r>
      <w:r w:rsidRPr="00633995">
        <w:t xml:space="preserve">) on bilateral trade for all sectors, where </w:t>
      </w:r>
      <m:oMath>
        <m:sSub>
          <m:sSubPr>
            <m:ctrlPr>
              <w:rPr>
                <w:rFonts w:ascii="Cambria Math" w:hAnsi="Cambria Math"/>
                <w:i/>
              </w:rPr>
            </m:ctrlPr>
          </m:sSubPr>
          <m:e>
            <m:r>
              <w:rPr>
                <w:rFonts w:ascii="Cambria Math" w:hAnsi="Cambria Math"/>
              </w:rPr>
              <m:t>I</m:t>
            </m:r>
          </m:e>
          <m:sub>
            <m:r>
              <w:rPr>
                <w:rFonts w:ascii="Cambria Math" w:hAnsi="Cambria Math"/>
              </w:rPr>
              <m:t>k</m:t>
            </m:r>
          </m:sub>
        </m:sSub>
      </m:oMath>
      <w:r w:rsidRPr="00633995">
        <w:t xml:space="preserve">  is </w:t>
      </w:r>
      <w:r w:rsidR="00DB7643">
        <w:t xml:space="preserve">now </w:t>
      </w:r>
      <w:r w:rsidRPr="00633995">
        <w:t xml:space="preserve">one of the three continuous digital intensity measures. Results are </w:t>
      </w:r>
      <w:r>
        <w:t>in line with</w:t>
      </w:r>
      <w:r w:rsidRPr="00633995">
        <w:t xml:space="preserve"> those reported in Table 2. When using the sectoral share of firms registered under the EU-US data framework to identify data-intensive sectors, we obtain significant results for both regular adequacy decisions and the club effect for the EU-US agreements (column 1). In our preferred specification using cross-border input elasticities </w:t>
      </w:r>
      <w:r w:rsidR="00723029">
        <w:t>(</w:t>
      </w:r>
      <w:r w:rsidRPr="00633995">
        <w:t xml:space="preserve">column 2), </w:t>
      </w:r>
      <w:r w:rsidR="006A019D">
        <w:t>we obtain similar results</w:t>
      </w:r>
      <w:r w:rsidRPr="00633995">
        <w:t>. When using domestic input elasticities,</w:t>
      </w:r>
      <w:r w:rsidR="00EB6272">
        <w:t xml:space="preserve"> the</w:t>
      </w:r>
      <w:r w:rsidRPr="00633995">
        <w:t xml:space="preserve"> </w:t>
      </w:r>
      <w:r w:rsidR="00A61752">
        <w:t xml:space="preserve">result for </w:t>
      </w:r>
      <w:r w:rsidRPr="00633995">
        <w:t xml:space="preserve">regular adequacy decisions </w:t>
      </w:r>
      <w:r w:rsidR="00A61752">
        <w:t xml:space="preserve">is </w:t>
      </w:r>
      <w:r w:rsidR="00EA7568">
        <w:t>highly</w:t>
      </w:r>
      <w:r w:rsidR="00EA7568" w:rsidRPr="00633995">
        <w:t xml:space="preserve"> </w:t>
      </w:r>
      <w:r w:rsidRPr="00633995">
        <w:t>significant</w:t>
      </w:r>
      <w:r w:rsidR="00EB6272">
        <w:t xml:space="preserve"> </w:t>
      </w:r>
      <w:r w:rsidR="00A61752">
        <w:t xml:space="preserve">whereas </w:t>
      </w:r>
      <w:r w:rsidR="00EB6272">
        <w:t>the</w:t>
      </w:r>
      <w:r w:rsidR="00B52AE9">
        <w:t xml:space="preserve"> results for the</w:t>
      </w:r>
      <w:r w:rsidR="00EB6272">
        <w:t xml:space="preserve"> </w:t>
      </w:r>
      <w:r w:rsidR="00D55000">
        <w:rPr>
          <w:i/>
          <w:iCs/>
        </w:rPr>
        <w:t>SH/PS</w:t>
      </w:r>
      <w:r w:rsidR="009C567C" w:rsidRPr="00633995">
        <w:t xml:space="preserve"> </w:t>
      </w:r>
      <w:r w:rsidR="00EB6272" w:rsidRPr="00633995">
        <w:t>data framework</w:t>
      </w:r>
      <w:r w:rsidR="009C567C">
        <w:t>s</w:t>
      </w:r>
      <w:r w:rsidR="00EB6272">
        <w:t xml:space="preserve"> become significant</w:t>
      </w:r>
      <w:r w:rsidR="001C24A6">
        <w:t xml:space="preserve">, with </w:t>
      </w:r>
      <w:r w:rsidR="00D46D89">
        <w:t xml:space="preserve">its </w:t>
      </w:r>
      <w:r w:rsidRPr="00633995">
        <w:t>club effect</w:t>
      </w:r>
      <w:r w:rsidR="001C24A6">
        <w:t xml:space="preserve"> increasing in magnitude as well as significance</w:t>
      </w:r>
      <w:r w:rsidRPr="00633995">
        <w:t xml:space="preserve"> (column 3).</w:t>
      </w:r>
      <w:r w:rsidR="009C567C" w:rsidRPr="009C567C">
        <w:t xml:space="preserve"> </w:t>
      </w:r>
      <w:r w:rsidR="009C567C">
        <w:t xml:space="preserve">The </w:t>
      </w:r>
      <w:r w:rsidR="009C567C" w:rsidRPr="00582B13">
        <w:rPr>
          <w:i/>
          <w:iCs/>
        </w:rPr>
        <w:t>PTA</w:t>
      </w:r>
      <w:r w:rsidR="009C567C">
        <w:rPr>
          <w:i/>
          <w:iCs/>
        </w:rPr>
        <w:t>-</w:t>
      </w:r>
      <w:r w:rsidR="009C567C" w:rsidRPr="00582B13">
        <w:rPr>
          <w:i/>
          <w:iCs/>
        </w:rPr>
        <w:t>DP</w:t>
      </w:r>
      <w:r w:rsidR="009C567C">
        <w:t xml:space="preserve"> control variable is again positive, large and statistically significant</w:t>
      </w:r>
      <w:r w:rsidR="001C24A6">
        <w:t xml:space="preserve"> at the 1% level</w:t>
      </w:r>
      <w:r w:rsidR="00884C0B">
        <w:t xml:space="preserve"> in all </w:t>
      </w:r>
      <w:r w:rsidR="00B37898">
        <w:t>columns.</w:t>
      </w:r>
    </w:p>
    <w:p w14:paraId="1F65D7D8" w14:textId="383F8AFB" w:rsidR="008809B6" w:rsidRPr="00633995" w:rsidRDefault="008809B6" w:rsidP="0011538D">
      <w:pPr>
        <w:spacing w:before="240" w:after="120" w:line="240" w:lineRule="auto"/>
        <w:jc w:val="both"/>
        <w:rPr>
          <w:b/>
          <w:bCs/>
        </w:rPr>
      </w:pPr>
      <w:r w:rsidRPr="00633995">
        <w:rPr>
          <w:b/>
          <w:bCs/>
        </w:rPr>
        <w:t>Table 3: Results</w:t>
      </w:r>
      <w:r w:rsidR="00A7502F" w:rsidRPr="00633995">
        <w:rPr>
          <w:b/>
          <w:bCs/>
        </w:rPr>
        <w:t xml:space="preserve"> of</w:t>
      </w:r>
      <w:r w:rsidRPr="00633995">
        <w:rPr>
          <w:b/>
          <w:bCs/>
        </w:rPr>
        <w:t xml:space="preserve"> pooled gravity regressions using </w:t>
      </w:r>
      <w:r w:rsidR="0073037D" w:rsidRPr="00633995">
        <w:rPr>
          <w:b/>
          <w:bCs/>
        </w:rPr>
        <w:t xml:space="preserve">data </w:t>
      </w:r>
      <w:r w:rsidRPr="00633995">
        <w:rPr>
          <w:b/>
          <w:bCs/>
        </w:rPr>
        <w:t>intensity measures</w:t>
      </w:r>
    </w:p>
    <w:tbl>
      <w:tblPr>
        <w:tblW w:w="5000" w:type="pct"/>
        <w:tblLayout w:type="fixed"/>
        <w:tblCellMar>
          <w:left w:w="70" w:type="dxa"/>
          <w:right w:w="70" w:type="dxa"/>
        </w:tblCellMar>
        <w:tblLook w:val="04A0" w:firstRow="1" w:lastRow="0" w:firstColumn="1" w:lastColumn="0" w:noHBand="0" w:noVBand="1"/>
      </w:tblPr>
      <w:tblGrid>
        <w:gridCol w:w="2268"/>
        <w:gridCol w:w="1135"/>
        <w:gridCol w:w="1242"/>
        <w:gridCol w:w="1403"/>
        <w:gridCol w:w="1489"/>
        <w:gridCol w:w="1489"/>
      </w:tblGrid>
      <w:tr w:rsidR="00946193" w:rsidRPr="006A6A5A" w14:paraId="621989B7" w14:textId="3EE1C01B" w:rsidTr="00604F53">
        <w:trPr>
          <w:trHeight w:val="144"/>
        </w:trPr>
        <w:tc>
          <w:tcPr>
            <w:tcW w:w="1256" w:type="pct"/>
            <w:tcBorders>
              <w:top w:val="single" w:sz="4" w:space="0" w:color="auto"/>
              <w:left w:val="nil"/>
              <w:bottom w:val="nil"/>
              <w:right w:val="nil"/>
            </w:tcBorders>
            <w:shd w:val="clear" w:color="auto" w:fill="auto"/>
            <w:noWrap/>
            <w:vAlign w:val="center"/>
            <w:hideMark/>
          </w:tcPr>
          <w:p w14:paraId="21162BE6" w14:textId="77777777" w:rsidR="006A6A5A" w:rsidRPr="006A6A5A" w:rsidRDefault="006A6A5A" w:rsidP="006A6A5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 </w:t>
            </w:r>
          </w:p>
        </w:tc>
        <w:tc>
          <w:tcPr>
            <w:tcW w:w="629" w:type="pct"/>
            <w:tcBorders>
              <w:top w:val="single" w:sz="4" w:space="0" w:color="auto"/>
              <w:left w:val="nil"/>
              <w:bottom w:val="nil"/>
              <w:right w:val="nil"/>
            </w:tcBorders>
            <w:shd w:val="clear" w:color="auto" w:fill="auto"/>
            <w:noWrap/>
            <w:vAlign w:val="center"/>
            <w:hideMark/>
          </w:tcPr>
          <w:p w14:paraId="6A9ED365" w14:textId="77777777" w:rsidR="006A6A5A" w:rsidRPr="006A6A5A" w:rsidRDefault="006A6A5A" w:rsidP="006A6A5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(1)</w:t>
            </w:r>
          </w:p>
        </w:tc>
        <w:tc>
          <w:tcPr>
            <w:tcW w:w="688" w:type="pct"/>
            <w:tcBorders>
              <w:top w:val="single" w:sz="4" w:space="0" w:color="auto"/>
              <w:left w:val="nil"/>
              <w:bottom w:val="nil"/>
              <w:right w:val="nil"/>
            </w:tcBorders>
            <w:shd w:val="clear" w:color="auto" w:fill="auto"/>
            <w:noWrap/>
            <w:vAlign w:val="center"/>
            <w:hideMark/>
          </w:tcPr>
          <w:p w14:paraId="6A20B669" w14:textId="77777777" w:rsidR="006A6A5A" w:rsidRPr="006A6A5A" w:rsidRDefault="006A6A5A" w:rsidP="006A6A5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(2)</w:t>
            </w:r>
          </w:p>
        </w:tc>
        <w:tc>
          <w:tcPr>
            <w:tcW w:w="777" w:type="pct"/>
            <w:tcBorders>
              <w:top w:val="single" w:sz="4" w:space="0" w:color="auto"/>
              <w:left w:val="nil"/>
              <w:bottom w:val="nil"/>
              <w:right w:val="nil"/>
            </w:tcBorders>
            <w:shd w:val="clear" w:color="auto" w:fill="auto"/>
            <w:noWrap/>
            <w:vAlign w:val="center"/>
            <w:hideMark/>
          </w:tcPr>
          <w:p w14:paraId="0402C97E" w14:textId="77777777" w:rsidR="006A6A5A" w:rsidRPr="006A6A5A" w:rsidRDefault="006A6A5A" w:rsidP="006A6A5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(3)</w:t>
            </w:r>
          </w:p>
        </w:tc>
        <w:tc>
          <w:tcPr>
            <w:tcW w:w="825" w:type="pct"/>
            <w:tcBorders>
              <w:top w:val="single" w:sz="4" w:space="0" w:color="auto"/>
              <w:left w:val="nil"/>
              <w:bottom w:val="nil"/>
              <w:right w:val="nil"/>
            </w:tcBorders>
            <w:shd w:val="clear" w:color="auto" w:fill="auto"/>
            <w:noWrap/>
            <w:vAlign w:val="center"/>
            <w:hideMark/>
          </w:tcPr>
          <w:p w14:paraId="79F89719" w14:textId="77777777" w:rsidR="006A6A5A" w:rsidRPr="006A6A5A" w:rsidRDefault="006A6A5A" w:rsidP="006A6A5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(4)</w:t>
            </w:r>
          </w:p>
        </w:tc>
        <w:tc>
          <w:tcPr>
            <w:tcW w:w="825" w:type="pct"/>
            <w:tcBorders>
              <w:top w:val="single" w:sz="4" w:space="0" w:color="auto"/>
              <w:left w:val="nil"/>
              <w:bottom w:val="nil"/>
              <w:right w:val="nil"/>
            </w:tcBorders>
            <w:vAlign w:val="center"/>
          </w:tcPr>
          <w:p w14:paraId="7593AE30" w14:textId="46B3E724" w:rsidR="006A6A5A" w:rsidRPr="006A6A5A" w:rsidRDefault="006A6A5A" w:rsidP="006A6A5A">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(5)</w:t>
            </w:r>
          </w:p>
        </w:tc>
      </w:tr>
      <w:tr w:rsidR="00946193" w:rsidRPr="006A6A5A" w14:paraId="06C819F6" w14:textId="4346DEF5" w:rsidTr="00604F53">
        <w:trPr>
          <w:trHeight w:val="144"/>
        </w:trPr>
        <w:tc>
          <w:tcPr>
            <w:tcW w:w="1256" w:type="pct"/>
            <w:tcBorders>
              <w:top w:val="nil"/>
              <w:left w:val="nil"/>
              <w:right w:val="nil"/>
            </w:tcBorders>
            <w:shd w:val="clear" w:color="auto" w:fill="auto"/>
            <w:noWrap/>
            <w:vAlign w:val="bottom"/>
            <w:hideMark/>
          </w:tcPr>
          <w:p w14:paraId="08C51656" w14:textId="77777777" w:rsidR="006A6A5A" w:rsidRPr="006A6A5A" w:rsidRDefault="006A6A5A" w:rsidP="006A6A5A">
            <w:pPr>
              <w:spacing w:after="0" w:line="240" w:lineRule="auto"/>
              <w:jc w:val="both"/>
              <w:rPr>
                <w:rFonts w:ascii="Aptos Narrow" w:eastAsia="Times New Roman" w:hAnsi="Aptos Narrow" w:cs="Times New Roman"/>
                <w:color w:val="000000"/>
                <w:sz w:val="20"/>
                <w:szCs w:val="20"/>
                <w:lang w:eastAsia="de-DE"/>
              </w:rPr>
            </w:pPr>
          </w:p>
        </w:tc>
        <w:tc>
          <w:tcPr>
            <w:tcW w:w="629" w:type="pct"/>
            <w:tcBorders>
              <w:top w:val="nil"/>
              <w:left w:val="nil"/>
              <w:right w:val="nil"/>
            </w:tcBorders>
            <w:shd w:val="clear" w:color="auto" w:fill="auto"/>
            <w:noWrap/>
            <w:vAlign w:val="center"/>
            <w:hideMark/>
          </w:tcPr>
          <w:p w14:paraId="0BF6A774" w14:textId="77777777" w:rsidR="006A6A5A" w:rsidRPr="006A6A5A" w:rsidRDefault="006A6A5A" w:rsidP="006A6A5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EXP</w:t>
            </w:r>
          </w:p>
        </w:tc>
        <w:tc>
          <w:tcPr>
            <w:tcW w:w="688" w:type="pct"/>
            <w:tcBorders>
              <w:top w:val="nil"/>
              <w:left w:val="nil"/>
              <w:right w:val="nil"/>
            </w:tcBorders>
            <w:shd w:val="clear" w:color="auto" w:fill="auto"/>
            <w:noWrap/>
            <w:vAlign w:val="center"/>
            <w:hideMark/>
          </w:tcPr>
          <w:p w14:paraId="1082C830" w14:textId="77777777" w:rsidR="006A6A5A" w:rsidRPr="006A6A5A" w:rsidRDefault="006A6A5A" w:rsidP="006A6A5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EXP</w:t>
            </w:r>
          </w:p>
        </w:tc>
        <w:tc>
          <w:tcPr>
            <w:tcW w:w="777" w:type="pct"/>
            <w:tcBorders>
              <w:top w:val="nil"/>
              <w:left w:val="nil"/>
              <w:right w:val="nil"/>
            </w:tcBorders>
            <w:shd w:val="clear" w:color="auto" w:fill="auto"/>
            <w:noWrap/>
            <w:vAlign w:val="center"/>
            <w:hideMark/>
          </w:tcPr>
          <w:p w14:paraId="04469203" w14:textId="77777777" w:rsidR="006A6A5A" w:rsidRPr="006A6A5A" w:rsidRDefault="006A6A5A" w:rsidP="006A6A5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EXP</w:t>
            </w:r>
          </w:p>
        </w:tc>
        <w:tc>
          <w:tcPr>
            <w:tcW w:w="825" w:type="pct"/>
            <w:tcBorders>
              <w:top w:val="nil"/>
              <w:left w:val="nil"/>
              <w:right w:val="nil"/>
            </w:tcBorders>
            <w:shd w:val="clear" w:color="auto" w:fill="auto"/>
            <w:noWrap/>
            <w:vAlign w:val="center"/>
            <w:hideMark/>
          </w:tcPr>
          <w:p w14:paraId="225C35E3" w14:textId="77777777" w:rsidR="006A6A5A" w:rsidRPr="006A6A5A" w:rsidRDefault="006A6A5A" w:rsidP="006A6A5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EXP</w:t>
            </w:r>
          </w:p>
        </w:tc>
        <w:tc>
          <w:tcPr>
            <w:tcW w:w="825" w:type="pct"/>
            <w:tcBorders>
              <w:top w:val="nil"/>
              <w:left w:val="nil"/>
              <w:right w:val="nil"/>
            </w:tcBorders>
            <w:vAlign w:val="center"/>
          </w:tcPr>
          <w:p w14:paraId="10E43D4A" w14:textId="7EB7359A" w:rsidR="006A6A5A" w:rsidRPr="006A6A5A" w:rsidRDefault="006A6A5A" w:rsidP="006A6A5A">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EXP</w:t>
            </w:r>
          </w:p>
        </w:tc>
      </w:tr>
      <w:tr w:rsidR="00946193" w:rsidRPr="006A6A5A" w14:paraId="6FE8D93A" w14:textId="6525FF41" w:rsidTr="00604F53">
        <w:trPr>
          <w:trHeight w:val="144"/>
        </w:trPr>
        <w:tc>
          <w:tcPr>
            <w:tcW w:w="1256" w:type="pct"/>
            <w:tcBorders>
              <w:top w:val="nil"/>
              <w:left w:val="nil"/>
              <w:bottom w:val="single" w:sz="4" w:space="0" w:color="auto"/>
              <w:right w:val="nil"/>
            </w:tcBorders>
            <w:shd w:val="clear" w:color="auto" w:fill="auto"/>
            <w:noWrap/>
            <w:vAlign w:val="center"/>
            <w:hideMark/>
          </w:tcPr>
          <w:p w14:paraId="4598B4D4" w14:textId="77777777" w:rsidR="006A6A5A" w:rsidRPr="006A6A5A" w:rsidRDefault="006A6A5A" w:rsidP="006A6A5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 </w:t>
            </w:r>
          </w:p>
        </w:tc>
        <w:tc>
          <w:tcPr>
            <w:tcW w:w="629" w:type="pct"/>
            <w:tcBorders>
              <w:top w:val="nil"/>
              <w:left w:val="nil"/>
              <w:bottom w:val="single" w:sz="4" w:space="0" w:color="auto"/>
              <w:right w:val="nil"/>
            </w:tcBorders>
            <w:shd w:val="clear" w:color="auto" w:fill="auto"/>
            <w:noWrap/>
            <w:vAlign w:val="center"/>
            <w:hideMark/>
          </w:tcPr>
          <w:p w14:paraId="0E5E0747" w14:textId="77777777" w:rsidR="006A6A5A" w:rsidRPr="006A6A5A" w:rsidRDefault="006A6A5A" w:rsidP="006A6A5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 </w:t>
            </w:r>
          </w:p>
        </w:tc>
        <w:tc>
          <w:tcPr>
            <w:tcW w:w="688" w:type="pct"/>
            <w:tcBorders>
              <w:top w:val="nil"/>
              <w:left w:val="nil"/>
              <w:bottom w:val="single" w:sz="4" w:space="0" w:color="auto"/>
              <w:right w:val="nil"/>
            </w:tcBorders>
            <w:shd w:val="clear" w:color="auto" w:fill="auto"/>
            <w:noWrap/>
            <w:vAlign w:val="center"/>
            <w:hideMark/>
          </w:tcPr>
          <w:p w14:paraId="4849F59A" w14:textId="77777777" w:rsidR="006A6A5A" w:rsidRPr="006A6A5A" w:rsidRDefault="006A6A5A" w:rsidP="006A6A5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 </w:t>
            </w:r>
          </w:p>
        </w:tc>
        <w:tc>
          <w:tcPr>
            <w:tcW w:w="777" w:type="pct"/>
            <w:tcBorders>
              <w:top w:val="nil"/>
              <w:left w:val="nil"/>
              <w:bottom w:val="single" w:sz="4" w:space="0" w:color="auto"/>
              <w:right w:val="nil"/>
            </w:tcBorders>
            <w:shd w:val="clear" w:color="auto" w:fill="auto"/>
            <w:noWrap/>
            <w:vAlign w:val="center"/>
            <w:hideMark/>
          </w:tcPr>
          <w:p w14:paraId="585FE15F" w14:textId="77777777" w:rsidR="006A6A5A" w:rsidRPr="006A6A5A" w:rsidRDefault="006A6A5A" w:rsidP="006A6A5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 </w:t>
            </w:r>
          </w:p>
        </w:tc>
        <w:tc>
          <w:tcPr>
            <w:tcW w:w="825" w:type="pct"/>
            <w:tcBorders>
              <w:top w:val="nil"/>
              <w:left w:val="nil"/>
              <w:bottom w:val="single" w:sz="4" w:space="0" w:color="auto"/>
              <w:right w:val="nil"/>
            </w:tcBorders>
            <w:shd w:val="clear" w:color="auto" w:fill="auto"/>
            <w:noWrap/>
            <w:vAlign w:val="center"/>
            <w:hideMark/>
          </w:tcPr>
          <w:p w14:paraId="7155DDD7" w14:textId="77777777" w:rsidR="006A6A5A" w:rsidRPr="006A6A5A" w:rsidRDefault="006A6A5A" w:rsidP="006A6A5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Interval</w:t>
            </w:r>
          </w:p>
        </w:tc>
        <w:tc>
          <w:tcPr>
            <w:tcW w:w="825" w:type="pct"/>
            <w:tcBorders>
              <w:top w:val="nil"/>
              <w:left w:val="nil"/>
              <w:bottom w:val="single" w:sz="4" w:space="0" w:color="auto"/>
              <w:right w:val="nil"/>
            </w:tcBorders>
            <w:vAlign w:val="center"/>
          </w:tcPr>
          <w:p w14:paraId="7DBE56C6" w14:textId="559059DE" w:rsidR="006A6A5A" w:rsidRPr="006A6A5A" w:rsidRDefault="006A6A5A" w:rsidP="006A6A5A">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Placebo</w:t>
            </w:r>
          </w:p>
        </w:tc>
      </w:tr>
      <w:tr w:rsidR="00946193" w:rsidRPr="006A6A5A" w14:paraId="706A7FAA" w14:textId="01BA19DC" w:rsidTr="00604F53">
        <w:trPr>
          <w:trHeight w:val="144"/>
        </w:trPr>
        <w:tc>
          <w:tcPr>
            <w:tcW w:w="1256" w:type="pct"/>
            <w:tcBorders>
              <w:top w:val="single" w:sz="4" w:space="0" w:color="auto"/>
              <w:left w:val="nil"/>
              <w:bottom w:val="nil"/>
              <w:right w:val="nil"/>
            </w:tcBorders>
            <w:shd w:val="clear" w:color="auto" w:fill="auto"/>
            <w:noWrap/>
            <w:vAlign w:val="center"/>
            <w:hideMark/>
          </w:tcPr>
          <w:p w14:paraId="13FA159D" w14:textId="19FB77AA" w:rsidR="0032161F" w:rsidRPr="006A6A5A" w:rsidRDefault="0032161F" w:rsidP="0032161F">
            <w:pPr>
              <w:spacing w:after="0" w:line="240" w:lineRule="auto"/>
              <w:jc w:val="both"/>
              <w:rPr>
                <w:rFonts w:ascii="Aptos Narrow" w:eastAsia="Times New Roman" w:hAnsi="Aptos Narrow" w:cs="Times New Roman"/>
                <w:i/>
                <w:iCs/>
                <w:color w:val="000000"/>
                <w:sz w:val="20"/>
                <w:szCs w:val="20"/>
                <w:lang w:eastAsia="de-DE"/>
              </w:rPr>
            </w:pPr>
            <m:oMath>
              <m:r>
                <w:rPr>
                  <w:rFonts w:ascii="Cambria Math" w:eastAsia="Times New Roman" w:hAnsi="Cambria Math" w:cs="Times New Roman"/>
                  <w:color w:val="000000"/>
                  <w:sz w:val="20"/>
                  <w:szCs w:val="20"/>
                  <w:lang w:eastAsia="de-DE"/>
                </w:rPr>
                <m:t>RAD</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Q</m:t>
                  </m:r>
                </m:e>
                <m:sub>
                  <m:r>
                    <w:rPr>
                      <w:rFonts w:ascii="Cambria Math" w:eastAsia="Times New Roman" w:hAnsi="Cambria Math" w:cs="Times New Roman"/>
                      <w:color w:val="000000"/>
                      <w:sz w:val="20"/>
                      <w:szCs w:val="20"/>
                      <w:lang w:eastAsia="de-DE"/>
                    </w:rPr>
                    <m:t>ijt</m:t>
                  </m:r>
                </m:sub>
              </m:sSub>
              <m:r>
                <w:rPr>
                  <w:rFonts w:ascii="Cambria Math" w:eastAsia="Times New Roman" w:hAnsi="Cambria Math" w:cs="Times New Roman"/>
                  <w:color w:val="000000"/>
                  <w:sz w:val="20"/>
                  <w:szCs w:val="20"/>
                  <w:lang w:eastAsia="de-DE"/>
                </w:rPr>
                <m:t>*D</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I</m:t>
                  </m:r>
                </m:e>
                <m:sub>
                  <m:r>
                    <w:rPr>
                      <w:rFonts w:ascii="Cambria Math" w:eastAsia="Times New Roman" w:hAnsi="Cambria Math" w:cs="Times New Roman"/>
                      <w:color w:val="000000"/>
                      <w:sz w:val="20"/>
                      <w:szCs w:val="20"/>
                      <w:lang w:eastAsia="de-DE"/>
                    </w:rPr>
                    <m:t>k</m:t>
                  </m:r>
                </m:sub>
              </m:sSub>
            </m:oMath>
            <w:r w:rsidRPr="006A6A5A">
              <w:rPr>
                <w:rFonts w:ascii="Aptos Narrow" w:eastAsia="Times New Roman" w:hAnsi="Aptos Narrow" w:cs="Times New Roman"/>
                <w:i/>
                <w:iCs/>
                <w:color w:val="000000"/>
                <w:sz w:val="20"/>
                <w:szCs w:val="20"/>
                <w:lang w:eastAsia="de-DE"/>
              </w:rPr>
              <w:t xml:space="preserve"> </w:t>
            </w:r>
          </w:p>
        </w:tc>
        <w:tc>
          <w:tcPr>
            <w:tcW w:w="629" w:type="pct"/>
            <w:tcBorders>
              <w:top w:val="single" w:sz="4" w:space="0" w:color="auto"/>
              <w:left w:val="nil"/>
              <w:bottom w:val="nil"/>
              <w:right w:val="nil"/>
            </w:tcBorders>
            <w:shd w:val="clear" w:color="auto" w:fill="auto"/>
            <w:noWrap/>
            <w:vAlign w:val="bottom"/>
          </w:tcPr>
          <w:p w14:paraId="7C1BE5C6" w14:textId="5F2A6635"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0.172**</w:t>
            </w:r>
          </w:p>
        </w:tc>
        <w:tc>
          <w:tcPr>
            <w:tcW w:w="688" w:type="pct"/>
            <w:tcBorders>
              <w:top w:val="single" w:sz="4" w:space="0" w:color="auto"/>
              <w:left w:val="nil"/>
              <w:bottom w:val="nil"/>
              <w:right w:val="nil"/>
            </w:tcBorders>
            <w:shd w:val="clear" w:color="auto" w:fill="auto"/>
            <w:noWrap/>
            <w:vAlign w:val="bottom"/>
          </w:tcPr>
          <w:p w14:paraId="554AD08B" w14:textId="789FFAF5"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0.358**</w:t>
            </w:r>
          </w:p>
        </w:tc>
        <w:tc>
          <w:tcPr>
            <w:tcW w:w="777" w:type="pct"/>
            <w:tcBorders>
              <w:top w:val="single" w:sz="4" w:space="0" w:color="auto"/>
              <w:left w:val="nil"/>
              <w:bottom w:val="nil"/>
              <w:right w:val="nil"/>
            </w:tcBorders>
            <w:shd w:val="clear" w:color="auto" w:fill="auto"/>
            <w:noWrap/>
            <w:vAlign w:val="bottom"/>
          </w:tcPr>
          <w:p w14:paraId="322F48D4" w14:textId="2C6B84F0"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0.767***</w:t>
            </w:r>
          </w:p>
        </w:tc>
        <w:tc>
          <w:tcPr>
            <w:tcW w:w="825" w:type="pct"/>
            <w:tcBorders>
              <w:top w:val="single" w:sz="4" w:space="0" w:color="auto"/>
              <w:left w:val="nil"/>
              <w:bottom w:val="nil"/>
              <w:right w:val="nil"/>
            </w:tcBorders>
            <w:shd w:val="clear" w:color="auto" w:fill="auto"/>
            <w:noWrap/>
            <w:vAlign w:val="bottom"/>
          </w:tcPr>
          <w:p w14:paraId="5B09A8CF" w14:textId="33D7AF73"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0.695***</w:t>
            </w:r>
          </w:p>
        </w:tc>
        <w:tc>
          <w:tcPr>
            <w:tcW w:w="825" w:type="pct"/>
            <w:tcBorders>
              <w:top w:val="single" w:sz="4" w:space="0" w:color="auto"/>
              <w:left w:val="nil"/>
              <w:bottom w:val="nil"/>
              <w:right w:val="nil"/>
            </w:tcBorders>
            <w:vAlign w:val="bottom"/>
          </w:tcPr>
          <w:p w14:paraId="5B7EB6F5" w14:textId="74729475" w:rsidR="0032161F" w:rsidRPr="0032161F" w:rsidRDefault="0032161F" w:rsidP="0032161F">
            <w:pPr>
              <w:spacing w:after="0" w:line="240" w:lineRule="auto"/>
              <w:jc w:val="both"/>
              <w:rPr>
                <w:rFonts w:ascii="Aptos Narrow" w:hAnsi="Aptos Narrow"/>
                <w:sz w:val="20"/>
                <w:szCs w:val="20"/>
              </w:rPr>
            </w:pPr>
            <w:r w:rsidRPr="00604F53">
              <w:rPr>
                <w:rFonts w:ascii="Aptos Narrow" w:hAnsi="Aptos Narrow"/>
                <w:color w:val="000000"/>
                <w:sz w:val="20"/>
                <w:szCs w:val="20"/>
              </w:rPr>
              <w:t>0.797***</w:t>
            </w:r>
          </w:p>
        </w:tc>
      </w:tr>
      <w:tr w:rsidR="00946193" w:rsidRPr="006A6A5A" w14:paraId="7FBA6DDF" w14:textId="65EBAC57" w:rsidTr="00604F53">
        <w:trPr>
          <w:trHeight w:val="144"/>
        </w:trPr>
        <w:tc>
          <w:tcPr>
            <w:tcW w:w="1256" w:type="pct"/>
            <w:tcBorders>
              <w:top w:val="nil"/>
              <w:left w:val="nil"/>
              <w:bottom w:val="nil"/>
              <w:right w:val="nil"/>
            </w:tcBorders>
            <w:shd w:val="clear" w:color="auto" w:fill="auto"/>
            <w:noWrap/>
            <w:vAlign w:val="center"/>
            <w:hideMark/>
          </w:tcPr>
          <w:p w14:paraId="40B09492" w14:textId="77777777" w:rsidR="0032161F" w:rsidRPr="00604F53" w:rsidRDefault="0032161F" w:rsidP="0032161F">
            <w:pPr>
              <w:spacing w:after="0" w:line="240" w:lineRule="auto"/>
              <w:jc w:val="both"/>
              <w:rPr>
                <w:rFonts w:ascii="Aptos Narrow" w:eastAsia="Times New Roman" w:hAnsi="Aptos Narrow" w:cs="Times New Roman"/>
                <w:i/>
                <w:iCs/>
                <w:sz w:val="20"/>
                <w:szCs w:val="20"/>
                <w:lang w:eastAsia="de-DE"/>
              </w:rPr>
            </w:pPr>
          </w:p>
        </w:tc>
        <w:tc>
          <w:tcPr>
            <w:tcW w:w="629" w:type="pct"/>
            <w:tcBorders>
              <w:top w:val="nil"/>
              <w:left w:val="nil"/>
              <w:bottom w:val="nil"/>
              <w:right w:val="nil"/>
            </w:tcBorders>
            <w:shd w:val="clear" w:color="auto" w:fill="auto"/>
            <w:noWrap/>
            <w:vAlign w:val="bottom"/>
          </w:tcPr>
          <w:p w14:paraId="51406999" w14:textId="6AB649DB" w:rsidR="0032161F" w:rsidRPr="00604F53"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(0.045)</w:t>
            </w:r>
          </w:p>
        </w:tc>
        <w:tc>
          <w:tcPr>
            <w:tcW w:w="688" w:type="pct"/>
            <w:tcBorders>
              <w:top w:val="nil"/>
              <w:left w:val="nil"/>
              <w:bottom w:val="nil"/>
              <w:right w:val="nil"/>
            </w:tcBorders>
            <w:shd w:val="clear" w:color="auto" w:fill="auto"/>
            <w:noWrap/>
            <w:vAlign w:val="bottom"/>
          </w:tcPr>
          <w:p w14:paraId="2F1FF424" w14:textId="6E3C526A" w:rsidR="0032161F" w:rsidRPr="00604F53"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(0.019)</w:t>
            </w:r>
          </w:p>
        </w:tc>
        <w:tc>
          <w:tcPr>
            <w:tcW w:w="777" w:type="pct"/>
            <w:tcBorders>
              <w:top w:val="nil"/>
              <w:left w:val="nil"/>
              <w:bottom w:val="nil"/>
              <w:right w:val="nil"/>
            </w:tcBorders>
            <w:shd w:val="clear" w:color="auto" w:fill="auto"/>
            <w:noWrap/>
            <w:vAlign w:val="bottom"/>
          </w:tcPr>
          <w:p w14:paraId="77E5CF95" w14:textId="1B329004" w:rsidR="0032161F" w:rsidRPr="00604F53"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(0.003)</w:t>
            </w:r>
          </w:p>
        </w:tc>
        <w:tc>
          <w:tcPr>
            <w:tcW w:w="825" w:type="pct"/>
            <w:tcBorders>
              <w:top w:val="nil"/>
              <w:left w:val="nil"/>
              <w:bottom w:val="nil"/>
              <w:right w:val="nil"/>
            </w:tcBorders>
            <w:shd w:val="clear" w:color="auto" w:fill="auto"/>
            <w:noWrap/>
            <w:vAlign w:val="bottom"/>
          </w:tcPr>
          <w:p w14:paraId="46598469" w14:textId="7DCBA551" w:rsidR="0032161F" w:rsidRPr="00604F53"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(0.003)</w:t>
            </w:r>
          </w:p>
        </w:tc>
        <w:tc>
          <w:tcPr>
            <w:tcW w:w="825" w:type="pct"/>
            <w:tcBorders>
              <w:top w:val="nil"/>
              <w:left w:val="nil"/>
              <w:bottom w:val="nil"/>
              <w:right w:val="nil"/>
            </w:tcBorders>
            <w:vAlign w:val="bottom"/>
          </w:tcPr>
          <w:p w14:paraId="1D3F67EA" w14:textId="089219A7" w:rsidR="0032161F" w:rsidRPr="00604F53" w:rsidRDefault="0032161F" w:rsidP="0032161F">
            <w:pPr>
              <w:spacing w:after="0" w:line="240" w:lineRule="auto"/>
              <w:jc w:val="both"/>
              <w:rPr>
                <w:rFonts w:ascii="Aptos Narrow" w:hAnsi="Aptos Narrow"/>
                <w:sz w:val="20"/>
                <w:szCs w:val="20"/>
              </w:rPr>
            </w:pPr>
            <w:r w:rsidRPr="00604F53">
              <w:rPr>
                <w:rFonts w:ascii="Aptos Narrow" w:hAnsi="Aptos Narrow"/>
                <w:color w:val="000000"/>
                <w:sz w:val="20"/>
                <w:szCs w:val="20"/>
              </w:rPr>
              <w:t>(0.002)</w:t>
            </w:r>
          </w:p>
        </w:tc>
      </w:tr>
      <w:tr w:rsidR="00946193" w:rsidRPr="006A6A5A" w14:paraId="3F81148C" w14:textId="62A08FBD" w:rsidTr="00604F53">
        <w:trPr>
          <w:trHeight w:val="144"/>
        </w:trPr>
        <w:tc>
          <w:tcPr>
            <w:tcW w:w="1256" w:type="pct"/>
            <w:tcBorders>
              <w:top w:val="nil"/>
              <w:left w:val="nil"/>
              <w:bottom w:val="nil"/>
              <w:right w:val="nil"/>
            </w:tcBorders>
            <w:shd w:val="clear" w:color="auto" w:fill="auto"/>
            <w:noWrap/>
            <w:vAlign w:val="center"/>
            <w:hideMark/>
          </w:tcPr>
          <w:p w14:paraId="2E16105B" w14:textId="67EECDA5" w:rsidR="0032161F" w:rsidRPr="006A6A5A" w:rsidRDefault="0032161F" w:rsidP="0032161F">
            <w:pPr>
              <w:spacing w:after="0" w:line="240" w:lineRule="auto"/>
              <w:jc w:val="both"/>
              <w:rPr>
                <w:rFonts w:ascii="Aptos Narrow" w:eastAsia="Times New Roman" w:hAnsi="Aptos Narrow" w:cs="Times New Roman"/>
                <w:i/>
                <w:iCs/>
                <w:color w:val="000000"/>
                <w:sz w:val="20"/>
                <w:szCs w:val="20"/>
                <w:lang w:eastAsia="de-DE"/>
              </w:rPr>
            </w:pPr>
            <m:oMath>
              <m:r>
                <w:rPr>
                  <w:rFonts w:ascii="Cambria Math" w:eastAsia="Times New Roman" w:hAnsi="Cambria Math" w:cs="Times New Roman"/>
                  <w:color w:val="000000"/>
                  <w:sz w:val="20"/>
                  <w:szCs w:val="20"/>
                  <w:lang w:eastAsia="de-DE"/>
                </w:rPr>
                <m:t>SH/P</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S</m:t>
                  </m:r>
                </m:e>
                <m:sub>
                  <m:r>
                    <w:rPr>
                      <w:rFonts w:ascii="Cambria Math" w:eastAsia="Times New Roman" w:hAnsi="Cambria Math" w:cs="Times New Roman"/>
                      <w:color w:val="000000"/>
                      <w:sz w:val="20"/>
                      <w:szCs w:val="20"/>
                      <w:lang w:eastAsia="de-DE"/>
                    </w:rPr>
                    <m:t>ijt</m:t>
                  </m:r>
                </m:sub>
              </m:sSub>
              <m:r>
                <w:rPr>
                  <w:rFonts w:ascii="Cambria Math" w:eastAsia="Times New Roman" w:hAnsi="Cambria Math" w:cs="Times New Roman"/>
                  <w:color w:val="000000"/>
                  <w:sz w:val="20"/>
                  <w:szCs w:val="20"/>
                  <w:lang w:eastAsia="de-DE"/>
                </w:rPr>
                <m:t>*D</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I</m:t>
                  </m:r>
                </m:e>
                <m:sub>
                  <m:r>
                    <w:rPr>
                      <w:rFonts w:ascii="Cambria Math" w:eastAsia="Times New Roman" w:hAnsi="Cambria Math" w:cs="Times New Roman"/>
                      <w:color w:val="000000"/>
                      <w:sz w:val="20"/>
                      <w:szCs w:val="20"/>
                      <w:lang w:eastAsia="de-DE"/>
                    </w:rPr>
                    <m:t>k</m:t>
                  </m:r>
                </m:sub>
              </m:sSub>
            </m:oMath>
            <w:r w:rsidRPr="006A6A5A">
              <w:rPr>
                <w:rFonts w:ascii="Aptos Narrow" w:eastAsia="Times New Roman" w:hAnsi="Aptos Narrow" w:cs="Times New Roman"/>
                <w:i/>
                <w:iCs/>
                <w:color w:val="000000"/>
                <w:sz w:val="20"/>
                <w:szCs w:val="20"/>
                <w:lang w:eastAsia="de-DE"/>
              </w:rPr>
              <w:t xml:space="preserve"> </w:t>
            </w:r>
          </w:p>
        </w:tc>
        <w:tc>
          <w:tcPr>
            <w:tcW w:w="629" w:type="pct"/>
            <w:tcBorders>
              <w:top w:val="nil"/>
              <w:left w:val="nil"/>
              <w:bottom w:val="nil"/>
              <w:right w:val="nil"/>
            </w:tcBorders>
            <w:shd w:val="clear" w:color="auto" w:fill="auto"/>
            <w:noWrap/>
            <w:vAlign w:val="bottom"/>
          </w:tcPr>
          <w:p w14:paraId="1F7E2EC7" w14:textId="4F5412B3"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0.137</w:t>
            </w:r>
          </w:p>
        </w:tc>
        <w:tc>
          <w:tcPr>
            <w:tcW w:w="688" w:type="pct"/>
            <w:tcBorders>
              <w:top w:val="nil"/>
              <w:left w:val="nil"/>
              <w:bottom w:val="nil"/>
              <w:right w:val="nil"/>
            </w:tcBorders>
            <w:shd w:val="clear" w:color="auto" w:fill="auto"/>
            <w:noWrap/>
            <w:vAlign w:val="bottom"/>
          </w:tcPr>
          <w:p w14:paraId="46D55937" w14:textId="675E3C1C"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0.263</w:t>
            </w:r>
          </w:p>
        </w:tc>
        <w:tc>
          <w:tcPr>
            <w:tcW w:w="777" w:type="pct"/>
            <w:tcBorders>
              <w:top w:val="nil"/>
              <w:left w:val="nil"/>
              <w:bottom w:val="nil"/>
              <w:right w:val="nil"/>
            </w:tcBorders>
            <w:shd w:val="clear" w:color="auto" w:fill="auto"/>
            <w:noWrap/>
            <w:vAlign w:val="bottom"/>
          </w:tcPr>
          <w:p w14:paraId="01CC736B" w14:textId="2534EB45"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0.922**</w:t>
            </w:r>
          </w:p>
        </w:tc>
        <w:tc>
          <w:tcPr>
            <w:tcW w:w="825" w:type="pct"/>
            <w:tcBorders>
              <w:top w:val="nil"/>
              <w:left w:val="nil"/>
              <w:bottom w:val="nil"/>
              <w:right w:val="nil"/>
            </w:tcBorders>
            <w:shd w:val="clear" w:color="auto" w:fill="auto"/>
            <w:noWrap/>
            <w:vAlign w:val="bottom"/>
          </w:tcPr>
          <w:p w14:paraId="1B747A95" w14:textId="7A327B86"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0.366</w:t>
            </w:r>
          </w:p>
        </w:tc>
        <w:tc>
          <w:tcPr>
            <w:tcW w:w="825" w:type="pct"/>
            <w:tcBorders>
              <w:top w:val="nil"/>
              <w:left w:val="nil"/>
              <w:bottom w:val="nil"/>
              <w:right w:val="nil"/>
            </w:tcBorders>
            <w:vAlign w:val="bottom"/>
          </w:tcPr>
          <w:p w14:paraId="44B72977" w14:textId="7DB9AC20" w:rsidR="0032161F" w:rsidRPr="0032161F" w:rsidRDefault="0032161F" w:rsidP="0032161F">
            <w:pPr>
              <w:spacing w:after="0" w:line="240" w:lineRule="auto"/>
              <w:jc w:val="both"/>
              <w:rPr>
                <w:rFonts w:ascii="Aptos Narrow" w:hAnsi="Aptos Narrow"/>
                <w:sz w:val="20"/>
                <w:szCs w:val="20"/>
              </w:rPr>
            </w:pPr>
            <w:r w:rsidRPr="00604F53">
              <w:rPr>
                <w:rFonts w:ascii="Aptos Narrow" w:hAnsi="Aptos Narrow"/>
                <w:color w:val="000000"/>
                <w:sz w:val="20"/>
                <w:szCs w:val="20"/>
              </w:rPr>
              <w:t>0.973***</w:t>
            </w:r>
          </w:p>
        </w:tc>
      </w:tr>
      <w:tr w:rsidR="00946193" w:rsidRPr="006A6A5A" w14:paraId="5CEA3AE7" w14:textId="6B828411" w:rsidTr="00604F53">
        <w:trPr>
          <w:trHeight w:val="144"/>
        </w:trPr>
        <w:tc>
          <w:tcPr>
            <w:tcW w:w="1256" w:type="pct"/>
            <w:tcBorders>
              <w:top w:val="nil"/>
              <w:left w:val="nil"/>
              <w:bottom w:val="nil"/>
              <w:right w:val="nil"/>
            </w:tcBorders>
            <w:shd w:val="clear" w:color="auto" w:fill="auto"/>
            <w:noWrap/>
            <w:vAlign w:val="center"/>
            <w:hideMark/>
          </w:tcPr>
          <w:p w14:paraId="55FE24E9" w14:textId="77777777" w:rsidR="0032161F" w:rsidRPr="00604F53" w:rsidRDefault="0032161F" w:rsidP="0032161F">
            <w:pPr>
              <w:spacing w:after="0" w:line="240" w:lineRule="auto"/>
              <w:jc w:val="both"/>
              <w:rPr>
                <w:rFonts w:ascii="Aptos Narrow" w:eastAsia="Times New Roman" w:hAnsi="Aptos Narrow" w:cs="Times New Roman"/>
                <w:i/>
                <w:iCs/>
                <w:sz w:val="20"/>
                <w:szCs w:val="20"/>
                <w:lang w:eastAsia="de-DE"/>
              </w:rPr>
            </w:pPr>
          </w:p>
        </w:tc>
        <w:tc>
          <w:tcPr>
            <w:tcW w:w="629" w:type="pct"/>
            <w:tcBorders>
              <w:top w:val="nil"/>
              <w:left w:val="nil"/>
              <w:bottom w:val="nil"/>
              <w:right w:val="nil"/>
            </w:tcBorders>
            <w:shd w:val="clear" w:color="auto" w:fill="auto"/>
            <w:noWrap/>
            <w:vAlign w:val="bottom"/>
          </w:tcPr>
          <w:p w14:paraId="11DAE79F" w14:textId="570D4FEB" w:rsidR="0032161F" w:rsidRPr="00604F53"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(0.133)</w:t>
            </w:r>
          </w:p>
        </w:tc>
        <w:tc>
          <w:tcPr>
            <w:tcW w:w="688" w:type="pct"/>
            <w:tcBorders>
              <w:top w:val="nil"/>
              <w:left w:val="nil"/>
              <w:bottom w:val="nil"/>
              <w:right w:val="nil"/>
            </w:tcBorders>
            <w:shd w:val="clear" w:color="auto" w:fill="auto"/>
            <w:noWrap/>
            <w:vAlign w:val="bottom"/>
          </w:tcPr>
          <w:p w14:paraId="15F48499" w14:textId="34BFD3CC" w:rsidR="0032161F" w:rsidRPr="00604F53"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(0.159)</w:t>
            </w:r>
          </w:p>
        </w:tc>
        <w:tc>
          <w:tcPr>
            <w:tcW w:w="777" w:type="pct"/>
            <w:tcBorders>
              <w:top w:val="nil"/>
              <w:left w:val="nil"/>
              <w:bottom w:val="nil"/>
              <w:right w:val="nil"/>
            </w:tcBorders>
            <w:shd w:val="clear" w:color="auto" w:fill="auto"/>
            <w:noWrap/>
            <w:vAlign w:val="bottom"/>
          </w:tcPr>
          <w:p w14:paraId="608FA025" w14:textId="3E2D0264" w:rsidR="0032161F" w:rsidRPr="00604F53"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(0.031)</w:t>
            </w:r>
          </w:p>
        </w:tc>
        <w:tc>
          <w:tcPr>
            <w:tcW w:w="825" w:type="pct"/>
            <w:tcBorders>
              <w:top w:val="nil"/>
              <w:left w:val="nil"/>
              <w:bottom w:val="nil"/>
              <w:right w:val="nil"/>
            </w:tcBorders>
            <w:shd w:val="clear" w:color="auto" w:fill="auto"/>
            <w:noWrap/>
            <w:vAlign w:val="bottom"/>
          </w:tcPr>
          <w:p w14:paraId="00FF9EFC" w14:textId="5FC18287" w:rsidR="0032161F" w:rsidRPr="00604F53"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(0.496)</w:t>
            </w:r>
          </w:p>
        </w:tc>
        <w:tc>
          <w:tcPr>
            <w:tcW w:w="825" w:type="pct"/>
            <w:tcBorders>
              <w:top w:val="nil"/>
              <w:left w:val="nil"/>
              <w:bottom w:val="nil"/>
              <w:right w:val="nil"/>
            </w:tcBorders>
            <w:vAlign w:val="bottom"/>
          </w:tcPr>
          <w:p w14:paraId="09116A47" w14:textId="1DB96AD5" w:rsidR="0032161F" w:rsidRPr="00604F53" w:rsidRDefault="0032161F" w:rsidP="0032161F">
            <w:pPr>
              <w:spacing w:after="0" w:line="240" w:lineRule="auto"/>
              <w:jc w:val="both"/>
              <w:rPr>
                <w:rFonts w:ascii="Aptos Narrow" w:hAnsi="Aptos Narrow"/>
                <w:sz w:val="20"/>
                <w:szCs w:val="20"/>
              </w:rPr>
            </w:pPr>
            <w:r w:rsidRPr="00604F53">
              <w:rPr>
                <w:rFonts w:ascii="Aptos Narrow" w:hAnsi="Aptos Narrow"/>
                <w:color w:val="000000"/>
                <w:sz w:val="20"/>
                <w:szCs w:val="20"/>
              </w:rPr>
              <w:t>(0.010)</w:t>
            </w:r>
          </w:p>
        </w:tc>
      </w:tr>
      <w:tr w:rsidR="00946193" w:rsidRPr="006A6A5A" w14:paraId="3502F79B" w14:textId="3ED319D4" w:rsidTr="00604F53">
        <w:trPr>
          <w:trHeight w:val="144"/>
        </w:trPr>
        <w:tc>
          <w:tcPr>
            <w:tcW w:w="1256" w:type="pct"/>
            <w:tcBorders>
              <w:top w:val="nil"/>
              <w:left w:val="nil"/>
              <w:bottom w:val="nil"/>
              <w:right w:val="nil"/>
            </w:tcBorders>
            <w:shd w:val="clear" w:color="auto" w:fill="auto"/>
            <w:noWrap/>
            <w:vAlign w:val="center"/>
            <w:hideMark/>
          </w:tcPr>
          <w:p w14:paraId="20E29706" w14:textId="6CC69F89" w:rsidR="0032161F" w:rsidRPr="006A6A5A" w:rsidRDefault="0032161F" w:rsidP="0032161F">
            <w:pPr>
              <w:spacing w:after="0" w:line="240" w:lineRule="auto"/>
              <w:jc w:val="both"/>
              <w:rPr>
                <w:rFonts w:ascii="Aptos Narrow" w:eastAsia="Times New Roman" w:hAnsi="Aptos Narrow" w:cs="Times New Roman"/>
                <w:i/>
                <w:iCs/>
                <w:color w:val="000000"/>
                <w:sz w:val="20"/>
                <w:szCs w:val="20"/>
                <w:lang w:eastAsia="de-DE"/>
              </w:rPr>
            </w:pPr>
            <m:oMath>
              <m:r>
                <w:rPr>
                  <w:rFonts w:ascii="Cambria Math" w:eastAsia="Times New Roman" w:hAnsi="Cambria Math" w:cs="Times New Roman"/>
                  <w:color w:val="000000"/>
                  <w:sz w:val="20"/>
                  <w:szCs w:val="20"/>
                  <w:lang w:eastAsia="de-DE"/>
                </w:rPr>
                <m:t>RAD</m:t>
              </m:r>
              <m:sSubSup>
                <m:sSubSupPr>
                  <m:ctrlPr>
                    <w:rPr>
                      <w:rFonts w:ascii="Cambria Math" w:eastAsia="Times New Roman" w:hAnsi="Cambria Math" w:cs="Times New Roman"/>
                      <w:i/>
                      <w:iCs/>
                      <w:color w:val="000000"/>
                      <w:sz w:val="20"/>
                      <w:szCs w:val="20"/>
                      <w:lang w:eastAsia="de-DE"/>
                    </w:rPr>
                  </m:ctrlPr>
                </m:sSubSupPr>
                <m:e>
                  <m:r>
                    <w:rPr>
                      <w:rFonts w:ascii="Cambria Math" w:eastAsia="Times New Roman" w:hAnsi="Cambria Math" w:cs="Times New Roman"/>
                      <w:color w:val="000000"/>
                      <w:sz w:val="20"/>
                      <w:szCs w:val="20"/>
                      <w:lang w:eastAsia="de-DE"/>
                    </w:rPr>
                    <m:t>Q</m:t>
                  </m:r>
                </m:e>
                <m:sub>
                  <m:r>
                    <w:rPr>
                      <w:rFonts w:ascii="Cambria Math" w:eastAsia="Times New Roman" w:hAnsi="Cambria Math" w:cs="Times New Roman"/>
                      <w:color w:val="000000"/>
                      <w:sz w:val="20"/>
                      <w:szCs w:val="20"/>
                      <w:lang w:eastAsia="de-DE"/>
                    </w:rPr>
                    <m:t>ijt</m:t>
                  </m:r>
                </m:sub>
                <m:sup>
                  <m:r>
                    <w:rPr>
                      <w:rFonts w:ascii="Cambria Math" w:eastAsia="Times New Roman" w:hAnsi="Cambria Math" w:cs="Times New Roman"/>
                      <w:color w:val="000000"/>
                      <w:sz w:val="20"/>
                      <w:szCs w:val="20"/>
                      <w:lang w:eastAsia="de-DE"/>
                    </w:rPr>
                    <m:t>Club</m:t>
                  </m:r>
                </m:sup>
              </m:sSubSup>
              <m:r>
                <w:rPr>
                  <w:rFonts w:ascii="Cambria Math" w:eastAsia="Times New Roman" w:hAnsi="Cambria Math" w:cs="Times New Roman"/>
                  <w:color w:val="000000"/>
                  <w:sz w:val="20"/>
                  <w:szCs w:val="20"/>
                  <w:lang w:eastAsia="de-DE"/>
                </w:rPr>
                <m:t>*D</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I</m:t>
                  </m:r>
                </m:e>
                <m:sub>
                  <m:r>
                    <w:rPr>
                      <w:rFonts w:ascii="Cambria Math" w:eastAsia="Times New Roman" w:hAnsi="Cambria Math" w:cs="Times New Roman"/>
                      <w:color w:val="000000"/>
                      <w:sz w:val="20"/>
                      <w:szCs w:val="20"/>
                      <w:lang w:eastAsia="de-DE"/>
                    </w:rPr>
                    <m:t>k</m:t>
                  </m:r>
                </m:sub>
              </m:sSub>
            </m:oMath>
            <w:r w:rsidRPr="006A6A5A">
              <w:rPr>
                <w:rFonts w:ascii="Aptos Narrow" w:eastAsia="Times New Roman" w:hAnsi="Aptos Narrow" w:cs="Times New Roman"/>
                <w:i/>
                <w:iCs/>
                <w:color w:val="000000"/>
                <w:sz w:val="20"/>
                <w:szCs w:val="20"/>
                <w:lang w:eastAsia="de-DE"/>
              </w:rPr>
              <w:t xml:space="preserve"> </w:t>
            </w:r>
          </w:p>
        </w:tc>
        <w:tc>
          <w:tcPr>
            <w:tcW w:w="629" w:type="pct"/>
            <w:tcBorders>
              <w:top w:val="nil"/>
              <w:left w:val="nil"/>
              <w:bottom w:val="nil"/>
              <w:right w:val="nil"/>
            </w:tcBorders>
            <w:shd w:val="clear" w:color="auto" w:fill="auto"/>
            <w:noWrap/>
            <w:vAlign w:val="bottom"/>
          </w:tcPr>
          <w:p w14:paraId="2FC87242" w14:textId="1AE331CC"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0.041</w:t>
            </w:r>
          </w:p>
        </w:tc>
        <w:tc>
          <w:tcPr>
            <w:tcW w:w="688" w:type="pct"/>
            <w:tcBorders>
              <w:top w:val="nil"/>
              <w:left w:val="nil"/>
              <w:bottom w:val="nil"/>
              <w:right w:val="nil"/>
            </w:tcBorders>
            <w:shd w:val="clear" w:color="auto" w:fill="auto"/>
            <w:noWrap/>
            <w:vAlign w:val="bottom"/>
          </w:tcPr>
          <w:p w14:paraId="37D426D8" w14:textId="18FA2FA9"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0.165</w:t>
            </w:r>
          </w:p>
        </w:tc>
        <w:tc>
          <w:tcPr>
            <w:tcW w:w="777" w:type="pct"/>
            <w:tcBorders>
              <w:top w:val="nil"/>
              <w:left w:val="nil"/>
              <w:bottom w:val="nil"/>
              <w:right w:val="nil"/>
            </w:tcBorders>
            <w:shd w:val="clear" w:color="auto" w:fill="auto"/>
            <w:noWrap/>
            <w:vAlign w:val="bottom"/>
          </w:tcPr>
          <w:p w14:paraId="60E2F047" w14:textId="510323FC"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0.552</w:t>
            </w:r>
          </w:p>
        </w:tc>
        <w:tc>
          <w:tcPr>
            <w:tcW w:w="825" w:type="pct"/>
            <w:tcBorders>
              <w:top w:val="nil"/>
              <w:left w:val="nil"/>
              <w:bottom w:val="nil"/>
              <w:right w:val="nil"/>
            </w:tcBorders>
            <w:shd w:val="clear" w:color="auto" w:fill="auto"/>
            <w:noWrap/>
            <w:vAlign w:val="bottom"/>
          </w:tcPr>
          <w:p w14:paraId="7D28BC64" w14:textId="0088603B"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0.152</w:t>
            </w:r>
          </w:p>
        </w:tc>
        <w:tc>
          <w:tcPr>
            <w:tcW w:w="825" w:type="pct"/>
            <w:tcBorders>
              <w:top w:val="nil"/>
              <w:left w:val="nil"/>
              <w:bottom w:val="nil"/>
              <w:right w:val="nil"/>
            </w:tcBorders>
            <w:vAlign w:val="bottom"/>
          </w:tcPr>
          <w:p w14:paraId="4392B6DA" w14:textId="0AE05735" w:rsidR="0032161F" w:rsidRPr="0032161F" w:rsidRDefault="0032161F" w:rsidP="0032161F">
            <w:pPr>
              <w:spacing w:after="0" w:line="240" w:lineRule="auto"/>
              <w:jc w:val="both"/>
              <w:rPr>
                <w:rFonts w:ascii="Aptos Narrow" w:hAnsi="Aptos Narrow"/>
                <w:sz w:val="20"/>
                <w:szCs w:val="20"/>
              </w:rPr>
            </w:pPr>
            <w:r w:rsidRPr="00604F53">
              <w:rPr>
                <w:rFonts w:ascii="Aptos Narrow" w:hAnsi="Aptos Narrow"/>
                <w:color w:val="000000"/>
                <w:sz w:val="20"/>
                <w:szCs w:val="20"/>
              </w:rPr>
              <w:t>0.482</w:t>
            </w:r>
          </w:p>
        </w:tc>
      </w:tr>
      <w:tr w:rsidR="00946193" w:rsidRPr="006A6A5A" w14:paraId="05069D32" w14:textId="49FB5F10" w:rsidTr="00604F53">
        <w:trPr>
          <w:trHeight w:val="144"/>
        </w:trPr>
        <w:tc>
          <w:tcPr>
            <w:tcW w:w="1256" w:type="pct"/>
            <w:tcBorders>
              <w:top w:val="nil"/>
              <w:left w:val="nil"/>
              <w:bottom w:val="nil"/>
              <w:right w:val="nil"/>
            </w:tcBorders>
            <w:shd w:val="clear" w:color="auto" w:fill="auto"/>
            <w:noWrap/>
            <w:vAlign w:val="center"/>
            <w:hideMark/>
          </w:tcPr>
          <w:p w14:paraId="4DE1C794" w14:textId="77777777" w:rsidR="0032161F" w:rsidRPr="00604F53" w:rsidRDefault="0032161F" w:rsidP="0032161F">
            <w:pPr>
              <w:spacing w:after="0" w:line="240" w:lineRule="auto"/>
              <w:jc w:val="both"/>
              <w:rPr>
                <w:rFonts w:ascii="Aptos Narrow" w:eastAsia="Times New Roman" w:hAnsi="Aptos Narrow" w:cs="Times New Roman"/>
                <w:i/>
                <w:iCs/>
                <w:sz w:val="20"/>
                <w:szCs w:val="20"/>
                <w:lang w:eastAsia="de-DE"/>
              </w:rPr>
            </w:pPr>
          </w:p>
        </w:tc>
        <w:tc>
          <w:tcPr>
            <w:tcW w:w="629" w:type="pct"/>
            <w:tcBorders>
              <w:top w:val="nil"/>
              <w:left w:val="nil"/>
              <w:bottom w:val="nil"/>
              <w:right w:val="nil"/>
            </w:tcBorders>
            <w:shd w:val="clear" w:color="auto" w:fill="auto"/>
            <w:noWrap/>
            <w:vAlign w:val="bottom"/>
          </w:tcPr>
          <w:p w14:paraId="69B26389" w14:textId="5B7E4054" w:rsidR="0032161F" w:rsidRPr="00604F53"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(0.820)</w:t>
            </w:r>
          </w:p>
        </w:tc>
        <w:tc>
          <w:tcPr>
            <w:tcW w:w="688" w:type="pct"/>
            <w:tcBorders>
              <w:top w:val="nil"/>
              <w:left w:val="nil"/>
              <w:bottom w:val="nil"/>
              <w:right w:val="nil"/>
            </w:tcBorders>
            <w:shd w:val="clear" w:color="auto" w:fill="auto"/>
            <w:noWrap/>
            <w:vAlign w:val="bottom"/>
          </w:tcPr>
          <w:p w14:paraId="7BA178C0" w14:textId="1576C513" w:rsidR="0032161F" w:rsidRPr="00604F53"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(0.566)</w:t>
            </w:r>
          </w:p>
        </w:tc>
        <w:tc>
          <w:tcPr>
            <w:tcW w:w="777" w:type="pct"/>
            <w:tcBorders>
              <w:top w:val="nil"/>
              <w:left w:val="nil"/>
              <w:bottom w:val="nil"/>
              <w:right w:val="nil"/>
            </w:tcBorders>
            <w:shd w:val="clear" w:color="auto" w:fill="auto"/>
            <w:noWrap/>
            <w:vAlign w:val="bottom"/>
          </w:tcPr>
          <w:p w14:paraId="7CA252DC" w14:textId="087330F0" w:rsidR="0032161F" w:rsidRPr="00604F53"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(0.130)</w:t>
            </w:r>
          </w:p>
        </w:tc>
        <w:tc>
          <w:tcPr>
            <w:tcW w:w="825" w:type="pct"/>
            <w:tcBorders>
              <w:top w:val="nil"/>
              <w:left w:val="nil"/>
              <w:bottom w:val="nil"/>
              <w:right w:val="nil"/>
            </w:tcBorders>
            <w:shd w:val="clear" w:color="auto" w:fill="auto"/>
            <w:noWrap/>
            <w:vAlign w:val="bottom"/>
          </w:tcPr>
          <w:p w14:paraId="7A51BE86" w14:textId="46292228" w:rsidR="0032161F" w:rsidRPr="00604F53"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(0.704)</w:t>
            </w:r>
          </w:p>
        </w:tc>
        <w:tc>
          <w:tcPr>
            <w:tcW w:w="825" w:type="pct"/>
            <w:tcBorders>
              <w:top w:val="nil"/>
              <w:left w:val="nil"/>
              <w:bottom w:val="nil"/>
              <w:right w:val="nil"/>
            </w:tcBorders>
            <w:vAlign w:val="bottom"/>
          </w:tcPr>
          <w:p w14:paraId="4B7AC81F" w14:textId="33103080" w:rsidR="0032161F" w:rsidRPr="00604F53" w:rsidRDefault="0032161F" w:rsidP="0032161F">
            <w:pPr>
              <w:spacing w:after="0" w:line="240" w:lineRule="auto"/>
              <w:jc w:val="both"/>
              <w:rPr>
                <w:rFonts w:ascii="Aptos Narrow" w:hAnsi="Aptos Narrow"/>
                <w:sz w:val="20"/>
                <w:szCs w:val="20"/>
              </w:rPr>
            </w:pPr>
            <w:r w:rsidRPr="00604F53">
              <w:rPr>
                <w:rFonts w:ascii="Aptos Narrow" w:hAnsi="Aptos Narrow"/>
                <w:color w:val="000000"/>
                <w:sz w:val="20"/>
                <w:szCs w:val="20"/>
              </w:rPr>
              <w:t>(0.182)</w:t>
            </w:r>
          </w:p>
        </w:tc>
      </w:tr>
      <w:tr w:rsidR="00946193" w:rsidRPr="006A6A5A" w14:paraId="2CE35A47" w14:textId="6C0D5FA9" w:rsidTr="00604F53">
        <w:trPr>
          <w:trHeight w:val="144"/>
        </w:trPr>
        <w:tc>
          <w:tcPr>
            <w:tcW w:w="1256" w:type="pct"/>
            <w:tcBorders>
              <w:top w:val="nil"/>
              <w:left w:val="nil"/>
              <w:bottom w:val="nil"/>
              <w:right w:val="nil"/>
            </w:tcBorders>
            <w:shd w:val="clear" w:color="auto" w:fill="auto"/>
            <w:noWrap/>
            <w:vAlign w:val="center"/>
            <w:hideMark/>
          </w:tcPr>
          <w:p w14:paraId="69C94640" w14:textId="127C9F09" w:rsidR="0032161F" w:rsidRPr="00F94075" w:rsidRDefault="0032161F" w:rsidP="0032161F">
            <w:pPr>
              <w:spacing w:after="0" w:line="240" w:lineRule="auto"/>
              <w:jc w:val="both"/>
              <w:rPr>
                <w:rFonts w:ascii="Aptos Narrow" w:eastAsia="Times New Roman" w:hAnsi="Aptos Narrow" w:cs="Times New Roman"/>
                <w:i/>
                <w:iCs/>
                <w:color w:val="000000"/>
                <w:sz w:val="20"/>
                <w:szCs w:val="20"/>
                <w:lang w:eastAsia="de-DE"/>
              </w:rPr>
            </w:pPr>
            <m:oMathPara>
              <m:oMathParaPr>
                <m:jc m:val="left"/>
              </m:oMathParaPr>
              <m:oMath>
                <m:r>
                  <w:rPr>
                    <w:rFonts w:ascii="Cambria Math" w:eastAsia="Times New Roman" w:hAnsi="Cambria Math" w:cs="Times New Roman"/>
                    <w:color w:val="000000"/>
                    <w:sz w:val="20"/>
                    <w:szCs w:val="20"/>
                    <w:lang w:eastAsia="de-DE"/>
                  </w:rPr>
                  <m:t>SH/P</m:t>
                </m:r>
                <m:sSubSup>
                  <m:sSubSupPr>
                    <m:ctrlPr>
                      <w:rPr>
                        <w:rFonts w:ascii="Cambria Math" w:eastAsia="Times New Roman" w:hAnsi="Cambria Math" w:cs="Times New Roman"/>
                        <w:i/>
                        <w:iCs/>
                        <w:color w:val="000000"/>
                        <w:sz w:val="20"/>
                        <w:szCs w:val="20"/>
                        <w:lang w:eastAsia="de-DE"/>
                      </w:rPr>
                    </m:ctrlPr>
                  </m:sSubSupPr>
                  <m:e>
                    <m:r>
                      <w:rPr>
                        <w:rFonts w:ascii="Cambria Math" w:eastAsia="Times New Roman" w:hAnsi="Cambria Math" w:cs="Times New Roman"/>
                        <w:color w:val="000000"/>
                        <w:sz w:val="20"/>
                        <w:szCs w:val="20"/>
                        <w:lang w:eastAsia="de-DE"/>
                      </w:rPr>
                      <m:t>S</m:t>
                    </m:r>
                  </m:e>
                  <m:sub>
                    <m:r>
                      <w:rPr>
                        <w:rFonts w:ascii="Cambria Math" w:eastAsia="Times New Roman" w:hAnsi="Cambria Math" w:cs="Times New Roman"/>
                        <w:color w:val="000000"/>
                        <w:sz w:val="20"/>
                        <w:szCs w:val="20"/>
                        <w:lang w:eastAsia="de-DE"/>
                      </w:rPr>
                      <m:t>ijt</m:t>
                    </m:r>
                  </m:sub>
                  <m:sup>
                    <m:r>
                      <w:rPr>
                        <w:rFonts w:ascii="Cambria Math" w:eastAsia="Times New Roman" w:hAnsi="Cambria Math" w:cs="Times New Roman"/>
                        <w:color w:val="000000"/>
                        <w:sz w:val="20"/>
                        <w:szCs w:val="20"/>
                        <w:lang w:eastAsia="de-DE"/>
                      </w:rPr>
                      <m:t>Club</m:t>
                    </m:r>
                  </m:sup>
                </m:sSubSup>
                <m:r>
                  <w:rPr>
                    <w:rFonts w:ascii="Cambria Math" w:eastAsia="Times New Roman" w:hAnsi="Cambria Math" w:cs="Times New Roman"/>
                    <w:color w:val="000000"/>
                    <w:sz w:val="20"/>
                    <w:szCs w:val="20"/>
                    <w:lang w:eastAsia="de-DE"/>
                  </w:rPr>
                  <m:t>*D</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I</m:t>
                    </m:r>
                  </m:e>
                  <m:sub>
                    <m:r>
                      <w:rPr>
                        <w:rFonts w:ascii="Cambria Math" w:eastAsia="Times New Roman" w:hAnsi="Cambria Math" w:cs="Times New Roman"/>
                        <w:color w:val="000000"/>
                        <w:sz w:val="20"/>
                        <w:szCs w:val="20"/>
                        <w:lang w:eastAsia="de-DE"/>
                      </w:rPr>
                      <m:t>k</m:t>
                    </m:r>
                  </m:sub>
                </m:sSub>
              </m:oMath>
            </m:oMathPara>
          </w:p>
        </w:tc>
        <w:tc>
          <w:tcPr>
            <w:tcW w:w="629" w:type="pct"/>
            <w:tcBorders>
              <w:top w:val="nil"/>
              <w:left w:val="nil"/>
              <w:bottom w:val="nil"/>
              <w:right w:val="nil"/>
            </w:tcBorders>
            <w:shd w:val="clear" w:color="auto" w:fill="auto"/>
            <w:noWrap/>
            <w:vAlign w:val="bottom"/>
          </w:tcPr>
          <w:p w14:paraId="69990334" w14:textId="51EDD24B"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0.216**</w:t>
            </w:r>
          </w:p>
        </w:tc>
        <w:tc>
          <w:tcPr>
            <w:tcW w:w="688" w:type="pct"/>
            <w:tcBorders>
              <w:top w:val="nil"/>
              <w:left w:val="nil"/>
              <w:bottom w:val="nil"/>
              <w:right w:val="nil"/>
            </w:tcBorders>
            <w:shd w:val="clear" w:color="auto" w:fill="auto"/>
            <w:noWrap/>
            <w:vAlign w:val="bottom"/>
          </w:tcPr>
          <w:p w14:paraId="2E1CC8B2" w14:textId="2BA95FAA"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0.396*</w:t>
            </w:r>
          </w:p>
        </w:tc>
        <w:tc>
          <w:tcPr>
            <w:tcW w:w="777" w:type="pct"/>
            <w:tcBorders>
              <w:top w:val="nil"/>
              <w:left w:val="nil"/>
              <w:bottom w:val="nil"/>
              <w:right w:val="nil"/>
            </w:tcBorders>
            <w:shd w:val="clear" w:color="auto" w:fill="auto"/>
            <w:noWrap/>
            <w:vAlign w:val="bottom"/>
          </w:tcPr>
          <w:p w14:paraId="214C103C" w14:textId="1BC7BD20"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0.657**</w:t>
            </w:r>
          </w:p>
        </w:tc>
        <w:tc>
          <w:tcPr>
            <w:tcW w:w="825" w:type="pct"/>
            <w:tcBorders>
              <w:top w:val="nil"/>
              <w:left w:val="nil"/>
              <w:bottom w:val="nil"/>
              <w:right w:val="nil"/>
            </w:tcBorders>
            <w:shd w:val="clear" w:color="auto" w:fill="auto"/>
            <w:noWrap/>
            <w:vAlign w:val="bottom"/>
          </w:tcPr>
          <w:p w14:paraId="7E1790C8" w14:textId="58AF2939"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0.913*</w:t>
            </w:r>
          </w:p>
        </w:tc>
        <w:tc>
          <w:tcPr>
            <w:tcW w:w="825" w:type="pct"/>
            <w:tcBorders>
              <w:top w:val="nil"/>
              <w:left w:val="nil"/>
              <w:bottom w:val="nil"/>
              <w:right w:val="nil"/>
            </w:tcBorders>
            <w:vAlign w:val="bottom"/>
          </w:tcPr>
          <w:p w14:paraId="581BD3F9" w14:textId="52CD5D2D" w:rsidR="0032161F" w:rsidRPr="0032161F" w:rsidRDefault="0032161F" w:rsidP="0032161F">
            <w:pPr>
              <w:spacing w:after="0" w:line="240" w:lineRule="auto"/>
              <w:jc w:val="both"/>
              <w:rPr>
                <w:rFonts w:ascii="Aptos Narrow" w:hAnsi="Aptos Narrow"/>
                <w:sz w:val="20"/>
                <w:szCs w:val="20"/>
              </w:rPr>
            </w:pPr>
            <w:r w:rsidRPr="00604F53">
              <w:rPr>
                <w:rFonts w:ascii="Aptos Narrow" w:hAnsi="Aptos Narrow"/>
                <w:color w:val="000000"/>
                <w:sz w:val="20"/>
                <w:szCs w:val="20"/>
              </w:rPr>
              <w:t>0.721***</w:t>
            </w:r>
          </w:p>
        </w:tc>
      </w:tr>
      <w:tr w:rsidR="00946193" w:rsidRPr="006A6A5A" w14:paraId="16A60731" w14:textId="670BFD7D" w:rsidTr="00604F53">
        <w:trPr>
          <w:trHeight w:val="144"/>
        </w:trPr>
        <w:tc>
          <w:tcPr>
            <w:tcW w:w="1256" w:type="pct"/>
            <w:tcBorders>
              <w:top w:val="nil"/>
              <w:left w:val="nil"/>
              <w:bottom w:val="nil"/>
              <w:right w:val="nil"/>
            </w:tcBorders>
            <w:shd w:val="clear" w:color="auto" w:fill="auto"/>
            <w:noWrap/>
            <w:vAlign w:val="center"/>
            <w:hideMark/>
          </w:tcPr>
          <w:p w14:paraId="290B2BD0" w14:textId="77777777" w:rsidR="0032161F" w:rsidRPr="00604F53" w:rsidRDefault="0032161F" w:rsidP="0032161F">
            <w:pPr>
              <w:spacing w:after="0" w:line="240" w:lineRule="auto"/>
              <w:jc w:val="both"/>
              <w:rPr>
                <w:rFonts w:ascii="Aptos Narrow" w:eastAsia="Times New Roman" w:hAnsi="Aptos Narrow" w:cs="Times New Roman"/>
                <w:sz w:val="20"/>
                <w:szCs w:val="20"/>
                <w:lang w:eastAsia="de-DE"/>
              </w:rPr>
            </w:pPr>
          </w:p>
        </w:tc>
        <w:tc>
          <w:tcPr>
            <w:tcW w:w="629" w:type="pct"/>
            <w:tcBorders>
              <w:top w:val="nil"/>
              <w:left w:val="nil"/>
              <w:bottom w:val="nil"/>
              <w:right w:val="nil"/>
            </w:tcBorders>
            <w:shd w:val="clear" w:color="auto" w:fill="auto"/>
            <w:noWrap/>
            <w:vAlign w:val="bottom"/>
          </w:tcPr>
          <w:p w14:paraId="2C9C921F" w14:textId="2B7C6FA6" w:rsidR="0032161F" w:rsidRPr="00604F53"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(0.022)</w:t>
            </w:r>
          </w:p>
        </w:tc>
        <w:tc>
          <w:tcPr>
            <w:tcW w:w="688" w:type="pct"/>
            <w:tcBorders>
              <w:top w:val="nil"/>
              <w:left w:val="nil"/>
              <w:bottom w:val="nil"/>
              <w:right w:val="nil"/>
            </w:tcBorders>
            <w:shd w:val="clear" w:color="auto" w:fill="auto"/>
            <w:noWrap/>
            <w:vAlign w:val="bottom"/>
          </w:tcPr>
          <w:p w14:paraId="0D9E74A6" w14:textId="5FD40726" w:rsidR="0032161F" w:rsidRPr="00604F53"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(0.057)</w:t>
            </w:r>
          </w:p>
        </w:tc>
        <w:tc>
          <w:tcPr>
            <w:tcW w:w="777" w:type="pct"/>
            <w:tcBorders>
              <w:top w:val="nil"/>
              <w:left w:val="nil"/>
              <w:bottom w:val="nil"/>
              <w:right w:val="nil"/>
            </w:tcBorders>
            <w:shd w:val="clear" w:color="auto" w:fill="auto"/>
            <w:noWrap/>
            <w:vAlign w:val="bottom"/>
          </w:tcPr>
          <w:p w14:paraId="12EDBF6D" w14:textId="64232075" w:rsidR="0032161F" w:rsidRPr="00604F53"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(0.024)</w:t>
            </w:r>
          </w:p>
        </w:tc>
        <w:tc>
          <w:tcPr>
            <w:tcW w:w="825" w:type="pct"/>
            <w:tcBorders>
              <w:top w:val="nil"/>
              <w:left w:val="nil"/>
              <w:bottom w:val="nil"/>
              <w:right w:val="nil"/>
            </w:tcBorders>
            <w:shd w:val="clear" w:color="auto" w:fill="auto"/>
            <w:noWrap/>
            <w:vAlign w:val="bottom"/>
          </w:tcPr>
          <w:p w14:paraId="45D57823" w14:textId="32A118AC" w:rsidR="0032161F" w:rsidRPr="00604F53"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(0.050)</w:t>
            </w:r>
          </w:p>
        </w:tc>
        <w:tc>
          <w:tcPr>
            <w:tcW w:w="825" w:type="pct"/>
            <w:tcBorders>
              <w:top w:val="nil"/>
              <w:left w:val="nil"/>
              <w:bottom w:val="nil"/>
              <w:right w:val="nil"/>
            </w:tcBorders>
            <w:vAlign w:val="bottom"/>
          </w:tcPr>
          <w:p w14:paraId="52089EB1" w14:textId="693C5519" w:rsidR="0032161F" w:rsidRPr="00604F53" w:rsidRDefault="0032161F" w:rsidP="0032161F">
            <w:pPr>
              <w:spacing w:after="0" w:line="240" w:lineRule="auto"/>
              <w:jc w:val="both"/>
              <w:rPr>
                <w:rFonts w:ascii="Aptos Narrow" w:hAnsi="Aptos Narrow"/>
                <w:sz w:val="20"/>
                <w:szCs w:val="20"/>
              </w:rPr>
            </w:pPr>
            <w:r w:rsidRPr="00604F53">
              <w:rPr>
                <w:rFonts w:ascii="Aptos Narrow" w:hAnsi="Aptos Narrow"/>
                <w:color w:val="000000"/>
                <w:sz w:val="20"/>
                <w:szCs w:val="20"/>
              </w:rPr>
              <w:t>(0.007)</w:t>
            </w:r>
          </w:p>
        </w:tc>
      </w:tr>
      <w:tr w:rsidR="00946193" w:rsidRPr="006A6A5A" w14:paraId="72D469CF" w14:textId="77777777" w:rsidTr="00946193">
        <w:trPr>
          <w:trHeight w:val="144"/>
        </w:trPr>
        <w:tc>
          <w:tcPr>
            <w:tcW w:w="1256" w:type="pct"/>
            <w:tcBorders>
              <w:top w:val="nil"/>
              <w:left w:val="nil"/>
              <w:bottom w:val="nil"/>
              <w:right w:val="nil"/>
            </w:tcBorders>
            <w:shd w:val="clear" w:color="auto" w:fill="auto"/>
            <w:noWrap/>
            <w:vAlign w:val="center"/>
          </w:tcPr>
          <w:p w14:paraId="795A5AC9" w14:textId="7662FD52" w:rsidR="0032161F" w:rsidRDefault="00582B13" w:rsidP="0032161F">
            <w:pPr>
              <w:spacing w:after="0" w:line="240" w:lineRule="auto"/>
              <w:jc w:val="both"/>
              <w:rPr>
                <w:rFonts w:ascii="Aptos" w:eastAsia="Aptos" w:hAnsi="Aptos" w:cs="Times New Roman"/>
                <w:color w:val="000000"/>
                <w:sz w:val="20"/>
                <w:szCs w:val="20"/>
                <w:lang w:eastAsia="de-DE"/>
              </w:rPr>
            </w:pPr>
            <w:r>
              <w:rPr>
                <w:rFonts w:ascii="Cambria Math" w:eastAsia="Aptos" w:hAnsi="Cambria Math" w:cs="Times New Roman"/>
                <w:i/>
                <w:iCs/>
                <w:color w:val="000000"/>
                <w:sz w:val="20"/>
                <w:szCs w:val="20"/>
                <w:lang w:eastAsia="de-DE"/>
              </w:rPr>
              <w:t>P</w:t>
            </w:r>
            <w:r w:rsidR="0032161F" w:rsidRPr="00604F53">
              <w:rPr>
                <w:rFonts w:ascii="Cambria Math" w:eastAsia="Aptos" w:hAnsi="Cambria Math" w:cs="Times New Roman"/>
                <w:i/>
                <w:iCs/>
                <w:color w:val="000000"/>
                <w:sz w:val="20"/>
                <w:szCs w:val="20"/>
                <w:lang w:eastAsia="de-DE"/>
              </w:rPr>
              <w:t xml:space="preserve">TA DP </w:t>
            </w:r>
            <m:oMath>
              <m:r>
                <w:rPr>
                  <w:rFonts w:ascii="Cambria Math" w:eastAsia="Times New Roman" w:hAnsi="Cambria Math" w:cs="Times New Roman"/>
                  <w:color w:val="000000"/>
                  <w:sz w:val="20"/>
                  <w:szCs w:val="20"/>
                  <w:lang w:eastAsia="de-DE"/>
                </w:rPr>
                <m:t>*D</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I</m:t>
                  </m:r>
                </m:e>
                <m:sub>
                  <m:r>
                    <w:rPr>
                      <w:rFonts w:ascii="Cambria Math" w:eastAsia="Times New Roman" w:hAnsi="Cambria Math" w:cs="Times New Roman"/>
                      <w:color w:val="000000"/>
                      <w:sz w:val="20"/>
                      <w:szCs w:val="20"/>
                      <w:lang w:eastAsia="de-DE"/>
                    </w:rPr>
                    <m:t>k</m:t>
                  </m:r>
                </m:sub>
              </m:sSub>
            </m:oMath>
          </w:p>
        </w:tc>
        <w:tc>
          <w:tcPr>
            <w:tcW w:w="629" w:type="pct"/>
            <w:tcBorders>
              <w:top w:val="nil"/>
              <w:left w:val="nil"/>
              <w:bottom w:val="nil"/>
              <w:right w:val="nil"/>
            </w:tcBorders>
            <w:shd w:val="clear" w:color="auto" w:fill="auto"/>
            <w:noWrap/>
            <w:vAlign w:val="bottom"/>
          </w:tcPr>
          <w:p w14:paraId="1A59D1AD" w14:textId="63F20646"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0.749***</w:t>
            </w:r>
          </w:p>
        </w:tc>
        <w:tc>
          <w:tcPr>
            <w:tcW w:w="688" w:type="pct"/>
            <w:tcBorders>
              <w:top w:val="nil"/>
              <w:left w:val="nil"/>
              <w:bottom w:val="nil"/>
              <w:right w:val="nil"/>
            </w:tcBorders>
            <w:shd w:val="clear" w:color="auto" w:fill="auto"/>
            <w:noWrap/>
            <w:vAlign w:val="bottom"/>
          </w:tcPr>
          <w:p w14:paraId="02CD88AF" w14:textId="56E7A69C"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1.607***</w:t>
            </w:r>
          </w:p>
        </w:tc>
        <w:tc>
          <w:tcPr>
            <w:tcW w:w="777" w:type="pct"/>
            <w:tcBorders>
              <w:top w:val="nil"/>
              <w:left w:val="nil"/>
              <w:bottom w:val="nil"/>
              <w:right w:val="nil"/>
            </w:tcBorders>
            <w:shd w:val="clear" w:color="auto" w:fill="auto"/>
            <w:noWrap/>
            <w:vAlign w:val="bottom"/>
          </w:tcPr>
          <w:p w14:paraId="220142D8" w14:textId="0FEFA031"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1.972***</w:t>
            </w:r>
          </w:p>
        </w:tc>
        <w:tc>
          <w:tcPr>
            <w:tcW w:w="825" w:type="pct"/>
            <w:tcBorders>
              <w:top w:val="nil"/>
              <w:left w:val="nil"/>
              <w:bottom w:val="nil"/>
              <w:right w:val="nil"/>
            </w:tcBorders>
            <w:shd w:val="clear" w:color="auto" w:fill="auto"/>
            <w:noWrap/>
            <w:vAlign w:val="bottom"/>
          </w:tcPr>
          <w:p w14:paraId="256E24D3" w14:textId="76E13264"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2.018***</w:t>
            </w:r>
          </w:p>
        </w:tc>
        <w:tc>
          <w:tcPr>
            <w:tcW w:w="825" w:type="pct"/>
            <w:tcBorders>
              <w:top w:val="nil"/>
              <w:left w:val="nil"/>
              <w:bottom w:val="nil"/>
              <w:right w:val="nil"/>
            </w:tcBorders>
            <w:vAlign w:val="bottom"/>
          </w:tcPr>
          <w:p w14:paraId="0D8780A8" w14:textId="3857282E" w:rsidR="0032161F" w:rsidRPr="0032161F" w:rsidRDefault="0032161F" w:rsidP="0032161F">
            <w:pPr>
              <w:spacing w:after="0" w:line="240" w:lineRule="auto"/>
              <w:jc w:val="both"/>
              <w:rPr>
                <w:rFonts w:ascii="Aptos Narrow" w:hAnsi="Aptos Narrow"/>
                <w:color w:val="000000"/>
                <w:sz w:val="20"/>
                <w:szCs w:val="20"/>
              </w:rPr>
            </w:pPr>
            <w:r w:rsidRPr="00604F53">
              <w:rPr>
                <w:rFonts w:ascii="Aptos Narrow" w:hAnsi="Aptos Narrow"/>
                <w:color w:val="000000"/>
                <w:sz w:val="20"/>
                <w:szCs w:val="20"/>
              </w:rPr>
              <w:t>1.929***</w:t>
            </w:r>
          </w:p>
        </w:tc>
      </w:tr>
      <w:tr w:rsidR="00946193" w:rsidRPr="006A6A5A" w14:paraId="2ECCE348" w14:textId="77777777" w:rsidTr="00946193">
        <w:trPr>
          <w:trHeight w:val="144"/>
        </w:trPr>
        <w:tc>
          <w:tcPr>
            <w:tcW w:w="1256" w:type="pct"/>
            <w:tcBorders>
              <w:top w:val="nil"/>
              <w:left w:val="nil"/>
              <w:bottom w:val="nil"/>
              <w:right w:val="nil"/>
            </w:tcBorders>
            <w:shd w:val="clear" w:color="auto" w:fill="auto"/>
            <w:noWrap/>
            <w:vAlign w:val="center"/>
          </w:tcPr>
          <w:p w14:paraId="40878714" w14:textId="77777777" w:rsidR="0032161F" w:rsidRDefault="0032161F" w:rsidP="0032161F">
            <w:pPr>
              <w:spacing w:after="0" w:line="240" w:lineRule="auto"/>
              <w:jc w:val="both"/>
              <w:rPr>
                <w:rFonts w:ascii="Aptos" w:eastAsia="Aptos" w:hAnsi="Aptos" w:cs="Times New Roman"/>
                <w:color w:val="000000"/>
                <w:sz w:val="20"/>
                <w:szCs w:val="20"/>
                <w:lang w:eastAsia="de-DE"/>
              </w:rPr>
            </w:pPr>
          </w:p>
        </w:tc>
        <w:tc>
          <w:tcPr>
            <w:tcW w:w="629" w:type="pct"/>
            <w:tcBorders>
              <w:top w:val="nil"/>
              <w:left w:val="nil"/>
              <w:bottom w:val="nil"/>
              <w:right w:val="nil"/>
            </w:tcBorders>
            <w:shd w:val="clear" w:color="auto" w:fill="auto"/>
            <w:noWrap/>
            <w:vAlign w:val="bottom"/>
          </w:tcPr>
          <w:p w14:paraId="2A55EA07" w14:textId="02AD3E50"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(0.000)</w:t>
            </w:r>
          </w:p>
        </w:tc>
        <w:tc>
          <w:tcPr>
            <w:tcW w:w="688" w:type="pct"/>
            <w:tcBorders>
              <w:top w:val="nil"/>
              <w:left w:val="nil"/>
              <w:bottom w:val="nil"/>
              <w:right w:val="nil"/>
            </w:tcBorders>
            <w:shd w:val="clear" w:color="auto" w:fill="auto"/>
            <w:noWrap/>
            <w:vAlign w:val="bottom"/>
          </w:tcPr>
          <w:p w14:paraId="3CFFC744" w14:textId="4B3C2F1F"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(0.000)</w:t>
            </w:r>
          </w:p>
        </w:tc>
        <w:tc>
          <w:tcPr>
            <w:tcW w:w="777" w:type="pct"/>
            <w:tcBorders>
              <w:top w:val="nil"/>
              <w:left w:val="nil"/>
              <w:bottom w:val="nil"/>
              <w:right w:val="nil"/>
            </w:tcBorders>
            <w:shd w:val="clear" w:color="auto" w:fill="auto"/>
            <w:noWrap/>
            <w:vAlign w:val="bottom"/>
          </w:tcPr>
          <w:p w14:paraId="3B8C4270" w14:textId="5EE88A9C"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(0.000)</w:t>
            </w:r>
          </w:p>
        </w:tc>
        <w:tc>
          <w:tcPr>
            <w:tcW w:w="825" w:type="pct"/>
            <w:tcBorders>
              <w:top w:val="nil"/>
              <w:left w:val="nil"/>
              <w:bottom w:val="nil"/>
              <w:right w:val="nil"/>
            </w:tcBorders>
            <w:shd w:val="clear" w:color="auto" w:fill="auto"/>
            <w:noWrap/>
            <w:vAlign w:val="bottom"/>
          </w:tcPr>
          <w:p w14:paraId="0EDD8826" w14:textId="1A1A650E"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(0.002)</w:t>
            </w:r>
          </w:p>
        </w:tc>
        <w:tc>
          <w:tcPr>
            <w:tcW w:w="825" w:type="pct"/>
            <w:tcBorders>
              <w:top w:val="nil"/>
              <w:left w:val="nil"/>
              <w:bottom w:val="nil"/>
              <w:right w:val="nil"/>
            </w:tcBorders>
            <w:vAlign w:val="bottom"/>
          </w:tcPr>
          <w:p w14:paraId="63BCDBE4" w14:textId="01A39086" w:rsidR="0032161F" w:rsidRPr="0032161F" w:rsidRDefault="0032161F" w:rsidP="0032161F">
            <w:pPr>
              <w:spacing w:after="0" w:line="240" w:lineRule="auto"/>
              <w:jc w:val="both"/>
              <w:rPr>
                <w:rFonts w:ascii="Aptos Narrow" w:hAnsi="Aptos Narrow"/>
                <w:color w:val="000000"/>
                <w:sz w:val="20"/>
                <w:szCs w:val="20"/>
              </w:rPr>
            </w:pPr>
            <w:r w:rsidRPr="00604F53">
              <w:rPr>
                <w:rFonts w:ascii="Aptos Narrow" w:hAnsi="Aptos Narrow"/>
                <w:color w:val="000000"/>
                <w:sz w:val="20"/>
                <w:szCs w:val="20"/>
              </w:rPr>
              <w:t>(0.000)</w:t>
            </w:r>
          </w:p>
        </w:tc>
      </w:tr>
      <w:tr w:rsidR="00946193" w:rsidRPr="006A6A5A" w14:paraId="2AD71AE8" w14:textId="35CD5AA6" w:rsidTr="00604F53">
        <w:trPr>
          <w:trHeight w:val="144"/>
        </w:trPr>
        <w:tc>
          <w:tcPr>
            <w:tcW w:w="1256" w:type="pct"/>
            <w:tcBorders>
              <w:top w:val="nil"/>
              <w:left w:val="nil"/>
              <w:bottom w:val="nil"/>
              <w:right w:val="nil"/>
            </w:tcBorders>
            <w:shd w:val="clear" w:color="auto" w:fill="auto"/>
            <w:noWrap/>
            <w:vAlign w:val="center"/>
          </w:tcPr>
          <w:p w14:paraId="42C8F97F" w14:textId="6EB5D916" w:rsidR="0032161F" w:rsidRPr="006A6A5A" w:rsidRDefault="0032161F" w:rsidP="0032161F">
            <w:pPr>
              <w:spacing w:after="0" w:line="240" w:lineRule="auto"/>
              <w:jc w:val="both"/>
              <w:rPr>
                <w:rFonts w:ascii="Aptos Narrow" w:eastAsia="Times New Roman" w:hAnsi="Aptos Narrow" w:cs="Times New Roman"/>
                <w:color w:val="000000"/>
                <w:sz w:val="20"/>
                <w:szCs w:val="20"/>
                <w:lang w:eastAsia="de-DE"/>
              </w:rPr>
            </w:pPr>
            <m:oMath>
              <m:r>
                <w:rPr>
                  <w:rFonts w:ascii="Cambria Math" w:eastAsia="Times New Roman" w:hAnsi="Cambria Math" w:cs="Times New Roman"/>
                  <w:color w:val="000000"/>
                  <w:sz w:val="20"/>
                  <w:szCs w:val="20"/>
                  <w:lang w:eastAsia="de-DE"/>
                </w:rPr>
                <m:t>RAD</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Q</m:t>
                  </m:r>
                </m:e>
                <m:sub>
                  <m:r>
                    <w:rPr>
                      <w:rFonts w:ascii="Cambria Math" w:eastAsia="Times New Roman" w:hAnsi="Cambria Math" w:cs="Times New Roman"/>
                      <w:color w:val="000000"/>
                      <w:sz w:val="20"/>
                      <w:szCs w:val="20"/>
                      <w:lang w:eastAsia="de-DE"/>
                    </w:rPr>
                    <m:t>ijt</m:t>
                  </m:r>
                </m:sub>
              </m:sSub>
              <m:r>
                <w:rPr>
                  <w:rFonts w:ascii="Cambria Math" w:eastAsia="Times New Roman" w:hAnsi="Cambria Math" w:cs="Times New Roman"/>
                  <w:color w:val="000000"/>
                  <w:sz w:val="20"/>
                  <w:szCs w:val="20"/>
                  <w:lang w:eastAsia="de-DE"/>
                </w:rPr>
                <m:t>*D</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I</m:t>
                  </m:r>
                </m:e>
                <m:sub>
                  <m:r>
                    <w:rPr>
                      <w:rFonts w:ascii="Cambria Math" w:eastAsia="Times New Roman" w:hAnsi="Cambria Math" w:cs="Times New Roman"/>
                      <w:color w:val="000000"/>
                      <w:sz w:val="20"/>
                      <w:szCs w:val="20"/>
                      <w:lang w:eastAsia="de-DE"/>
                    </w:rPr>
                    <m:t>k</m:t>
                  </m:r>
                </m:sub>
              </m:sSub>
            </m:oMath>
            <w:r w:rsidRPr="006A6A5A">
              <w:rPr>
                <w:rFonts w:ascii="Aptos Narrow" w:eastAsia="Times New Roman" w:hAnsi="Aptos Narrow" w:cs="Times New Roman"/>
                <w:i/>
                <w:iCs/>
                <w:color w:val="000000"/>
                <w:sz w:val="20"/>
                <w:szCs w:val="20"/>
                <w:lang w:eastAsia="de-DE"/>
              </w:rPr>
              <w:t xml:space="preserve"> </w:t>
            </w:r>
            <w:r>
              <w:rPr>
                <w:rFonts w:ascii="Aptos Narrow" w:eastAsia="Times New Roman" w:hAnsi="Aptos Narrow" w:cs="Times New Roman"/>
                <w:i/>
                <w:iCs/>
                <w:color w:val="000000"/>
                <w:sz w:val="20"/>
                <w:szCs w:val="20"/>
                <w:lang w:eastAsia="de-DE"/>
              </w:rPr>
              <w:t>(t+4)</w:t>
            </w:r>
          </w:p>
        </w:tc>
        <w:tc>
          <w:tcPr>
            <w:tcW w:w="629" w:type="pct"/>
            <w:tcBorders>
              <w:top w:val="nil"/>
              <w:left w:val="nil"/>
              <w:bottom w:val="nil"/>
              <w:right w:val="nil"/>
            </w:tcBorders>
            <w:shd w:val="clear" w:color="auto" w:fill="auto"/>
            <w:noWrap/>
            <w:vAlign w:val="center"/>
          </w:tcPr>
          <w:p w14:paraId="33184931"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688" w:type="pct"/>
            <w:tcBorders>
              <w:top w:val="nil"/>
              <w:left w:val="nil"/>
              <w:bottom w:val="nil"/>
              <w:right w:val="nil"/>
            </w:tcBorders>
            <w:shd w:val="clear" w:color="auto" w:fill="auto"/>
            <w:noWrap/>
            <w:vAlign w:val="center"/>
          </w:tcPr>
          <w:p w14:paraId="45BC9E4A"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777" w:type="pct"/>
            <w:tcBorders>
              <w:top w:val="nil"/>
              <w:left w:val="nil"/>
              <w:bottom w:val="nil"/>
              <w:right w:val="nil"/>
            </w:tcBorders>
            <w:shd w:val="clear" w:color="auto" w:fill="auto"/>
            <w:noWrap/>
            <w:vAlign w:val="center"/>
          </w:tcPr>
          <w:p w14:paraId="70114D47"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825" w:type="pct"/>
            <w:tcBorders>
              <w:top w:val="nil"/>
              <w:left w:val="nil"/>
              <w:bottom w:val="nil"/>
              <w:right w:val="nil"/>
            </w:tcBorders>
            <w:shd w:val="clear" w:color="auto" w:fill="auto"/>
            <w:noWrap/>
            <w:vAlign w:val="center"/>
          </w:tcPr>
          <w:p w14:paraId="62CE992C"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825" w:type="pct"/>
            <w:tcBorders>
              <w:top w:val="nil"/>
              <w:left w:val="nil"/>
              <w:bottom w:val="nil"/>
              <w:right w:val="nil"/>
            </w:tcBorders>
            <w:vAlign w:val="bottom"/>
          </w:tcPr>
          <w:p w14:paraId="221B67CD" w14:textId="4A999F63"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0.141</w:t>
            </w:r>
          </w:p>
        </w:tc>
      </w:tr>
      <w:tr w:rsidR="00946193" w:rsidRPr="006A6A5A" w14:paraId="56B31F32" w14:textId="0C681491" w:rsidTr="00604F53">
        <w:trPr>
          <w:trHeight w:val="144"/>
        </w:trPr>
        <w:tc>
          <w:tcPr>
            <w:tcW w:w="1256" w:type="pct"/>
            <w:tcBorders>
              <w:top w:val="nil"/>
              <w:left w:val="nil"/>
              <w:bottom w:val="nil"/>
              <w:right w:val="nil"/>
            </w:tcBorders>
            <w:shd w:val="clear" w:color="auto" w:fill="auto"/>
            <w:noWrap/>
            <w:vAlign w:val="center"/>
          </w:tcPr>
          <w:p w14:paraId="65A460A8" w14:textId="77777777" w:rsidR="0032161F" w:rsidRPr="006A6A5A"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629" w:type="pct"/>
            <w:tcBorders>
              <w:top w:val="nil"/>
              <w:left w:val="nil"/>
              <w:bottom w:val="nil"/>
              <w:right w:val="nil"/>
            </w:tcBorders>
            <w:shd w:val="clear" w:color="auto" w:fill="auto"/>
            <w:noWrap/>
            <w:vAlign w:val="center"/>
          </w:tcPr>
          <w:p w14:paraId="6E1CF15C"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688" w:type="pct"/>
            <w:tcBorders>
              <w:top w:val="nil"/>
              <w:left w:val="nil"/>
              <w:bottom w:val="nil"/>
              <w:right w:val="nil"/>
            </w:tcBorders>
            <w:shd w:val="clear" w:color="auto" w:fill="auto"/>
            <w:noWrap/>
            <w:vAlign w:val="center"/>
          </w:tcPr>
          <w:p w14:paraId="67643893"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777" w:type="pct"/>
            <w:tcBorders>
              <w:top w:val="nil"/>
              <w:left w:val="nil"/>
              <w:bottom w:val="nil"/>
              <w:right w:val="nil"/>
            </w:tcBorders>
            <w:shd w:val="clear" w:color="auto" w:fill="auto"/>
            <w:noWrap/>
            <w:vAlign w:val="center"/>
          </w:tcPr>
          <w:p w14:paraId="0ADB5DCF"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825" w:type="pct"/>
            <w:tcBorders>
              <w:top w:val="nil"/>
              <w:left w:val="nil"/>
              <w:bottom w:val="nil"/>
              <w:right w:val="nil"/>
            </w:tcBorders>
            <w:shd w:val="clear" w:color="auto" w:fill="auto"/>
            <w:noWrap/>
            <w:vAlign w:val="center"/>
          </w:tcPr>
          <w:p w14:paraId="1CAA9216"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825" w:type="pct"/>
            <w:tcBorders>
              <w:top w:val="nil"/>
              <w:left w:val="nil"/>
              <w:bottom w:val="nil"/>
              <w:right w:val="nil"/>
            </w:tcBorders>
            <w:vAlign w:val="bottom"/>
          </w:tcPr>
          <w:p w14:paraId="0FE9B082" w14:textId="028463BF"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(0.506)</w:t>
            </w:r>
          </w:p>
        </w:tc>
      </w:tr>
      <w:tr w:rsidR="00946193" w:rsidRPr="006A6A5A" w14:paraId="1DA39B0D" w14:textId="77777777" w:rsidTr="00946193">
        <w:trPr>
          <w:trHeight w:val="144"/>
        </w:trPr>
        <w:tc>
          <w:tcPr>
            <w:tcW w:w="1256" w:type="pct"/>
            <w:tcBorders>
              <w:top w:val="nil"/>
              <w:left w:val="nil"/>
              <w:bottom w:val="nil"/>
              <w:right w:val="nil"/>
            </w:tcBorders>
            <w:shd w:val="clear" w:color="auto" w:fill="auto"/>
            <w:noWrap/>
            <w:vAlign w:val="center"/>
          </w:tcPr>
          <w:p w14:paraId="01CB1DC1" w14:textId="6C6C4CC7" w:rsidR="0032161F" w:rsidRPr="006A6A5A" w:rsidRDefault="0032161F" w:rsidP="0032161F">
            <w:pPr>
              <w:spacing w:after="0" w:line="240" w:lineRule="auto"/>
              <w:jc w:val="both"/>
              <w:rPr>
                <w:rFonts w:ascii="Aptos Narrow" w:eastAsia="Times New Roman" w:hAnsi="Aptos Narrow" w:cs="Times New Roman"/>
                <w:color w:val="000000"/>
                <w:sz w:val="20"/>
                <w:szCs w:val="20"/>
                <w:lang w:eastAsia="de-DE"/>
              </w:rPr>
            </w:pPr>
            <m:oMath>
              <m:r>
                <w:rPr>
                  <w:rFonts w:ascii="Cambria Math" w:eastAsia="Times New Roman" w:hAnsi="Cambria Math" w:cs="Times New Roman"/>
                  <w:color w:val="000000"/>
                  <w:sz w:val="20"/>
                  <w:szCs w:val="20"/>
                  <w:lang w:eastAsia="de-DE"/>
                </w:rPr>
                <m:t>SH/P</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S</m:t>
                  </m:r>
                </m:e>
                <m:sub>
                  <m:r>
                    <w:rPr>
                      <w:rFonts w:ascii="Cambria Math" w:eastAsia="Times New Roman" w:hAnsi="Cambria Math" w:cs="Times New Roman"/>
                      <w:color w:val="000000"/>
                      <w:sz w:val="20"/>
                      <w:szCs w:val="20"/>
                      <w:lang w:eastAsia="de-DE"/>
                    </w:rPr>
                    <m:t>ijt</m:t>
                  </m:r>
                </m:sub>
              </m:sSub>
              <m:r>
                <w:rPr>
                  <w:rFonts w:ascii="Cambria Math" w:eastAsia="Times New Roman" w:hAnsi="Cambria Math" w:cs="Times New Roman"/>
                  <w:color w:val="000000"/>
                  <w:sz w:val="20"/>
                  <w:szCs w:val="20"/>
                  <w:lang w:eastAsia="de-DE"/>
                </w:rPr>
                <m:t>*D</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I</m:t>
                  </m:r>
                </m:e>
                <m:sub>
                  <m:r>
                    <w:rPr>
                      <w:rFonts w:ascii="Cambria Math" w:eastAsia="Times New Roman" w:hAnsi="Cambria Math" w:cs="Times New Roman"/>
                      <w:color w:val="000000"/>
                      <w:sz w:val="20"/>
                      <w:szCs w:val="20"/>
                      <w:lang w:eastAsia="de-DE"/>
                    </w:rPr>
                    <m:t>k</m:t>
                  </m:r>
                </m:sub>
              </m:sSub>
            </m:oMath>
            <w:r w:rsidRPr="006A6A5A">
              <w:rPr>
                <w:rFonts w:ascii="Aptos Narrow" w:eastAsia="Times New Roman" w:hAnsi="Aptos Narrow" w:cs="Times New Roman"/>
                <w:i/>
                <w:iCs/>
                <w:color w:val="000000"/>
                <w:sz w:val="20"/>
                <w:szCs w:val="20"/>
                <w:lang w:eastAsia="de-DE"/>
              </w:rPr>
              <w:t xml:space="preserve"> </w:t>
            </w:r>
            <w:r>
              <w:rPr>
                <w:rFonts w:ascii="Aptos Narrow" w:eastAsia="Times New Roman" w:hAnsi="Aptos Narrow" w:cs="Times New Roman"/>
                <w:i/>
                <w:iCs/>
                <w:color w:val="000000"/>
                <w:sz w:val="20"/>
                <w:szCs w:val="20"/>
                <w:lang w:eastAsia="de-DE"/>
              </w:rPr>
              <w:t>(t+4)</w:t>
            </w:r>
          </w:p>
        </w:tc>
        <w:tc>
          <w:tcPr>
            <w:tcW w:w="629" w:type="pct"/>
            <w:tcBorders>
              <w:top w:val="nil"/>
              <w:left w:val="nil"/>
              <w:bottom w:val="nil"/>
              <w:right w:val="nil"/>
            </w:tcBorders>
            <w:shd w:val="clear" w:color="auto" w:fill="auto"/>
            <w:noWrap/>
            <w:vAlign w:val="center"/>
          </w:tcPr>
          <w:p w14:paraId="68412896"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688" w:type="pct"/>
            <w:tcBorders>
              <w:top w:val="nil"/>
              <w:left w:val="nil"/>
              <w:bottom w:val="nil"/>
              <w:right w:val="nil"/>
            </w:tcBorders>
            <w:shd w:val="clear" w:color="auto" w:fill="auto"/>
            <w:noWrap/>
            <w:vAlign w:val="center"/>
          </w:tcPr>
          <w:p w14:paraId="26BEFA88"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777" w:type="pct"/>
            <w:tcBorders>
              <w:top w:val="nil"/>
              <w:left w:val="nil"/>
              <w:bottom w:val="nil"/>
              <w:right w:val="nil"/>
            </w:tcBorders>
            <w:shd w:val="clear" w:color="auto" w:fill="auto"/>
            <w:noWrap/>
            <w:vAlign w:val="center"/>
          </w:tcPr>
          <w:p w14:paraId="079DFD70"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825" w:type="pct"/>
            <w:tcBorders>
              <w:top w:val="nil"/>
              <w:left w:val="nil"/>
              <w:bottom w:val="nil"/>
              <w:right w:val="nil"/>
            </w:tcBorders>
            <w:shd w:val="clear" w:color="auto" w:fill="auto"/>
            <w:noWrap/>
            <w:vAlign w:val="center"/>
          </w:tcPr>
          <w:p w14:paraId="531076D8"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825" w:type="pct"/>
            <w:tcBorders>
              <w:top w:val="nil"/>
              <w:left w:val="nil"/>
              <w:bottom w:val="nil"/>
              <w:right w:val="nil"/>
            </w:tcBorders>
            <w:vAlign w:val="bottom"/>
          </w:tcPr>
          <w:p w14:paraId="39AC2F69" w14:textId="2BF35481"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-1.136***</w:t>
            </w:r>
          </w:p>
        </w:tc>
      </w:tr>
      <w:tr w:rsidR="00946193" w:rsidRPr="006A6A5A" w14:paraId="3444B4C2" w14:textId="77777777" w:rsidTr="00946193">
        <w:trPr>
          <w:trHeight w:val="144"/>
        </w:trPr>
        <w:tc>
          <w:tcPr>
            <w:tcW w:w="1256" w:type="pct"/>
            <w:tcBorders>
              <w:top w:val="nil"/>
              <w:left w:val="nil"/>
              <w:bottom w:val="nil"/>
              <w:right w:val="nil"/>
            </w:tcBorders>
            <w:shd w:val="clear" w:color="auto" w:fill="auto"/>
            <w:noWrap/>
            <w:vAlign w:val="center"/>
          </w:tcPr>
          <w:p w14:paraId="743324F4" w14:textId="77777777" w:rsidR="0032161F" w:rsidRPr="006A6A5A"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629" w:type="pct"/>
            <w:tcBorders>
              <w:top w:val="nil"/>
              <w:left w:val="nil"/>
              <w:bottom w:val="nil"/>
              <w:right w:val="nil"/>
            </w:tcBorders>
            <w:shd w:val="clear" w:color="auto" w:fill="auto"/>
            <w:noWrap/>
            <w:vAlign w:val="center"/>
          </w:tcPr>
          <w:p w14:paraId="691D9196"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688" w:type="pct"/>
            <w:tcBorders>
              <w:top w:val="nil"/>
              <w:left w:val="nil"/>
              <w:bottom w:val="nil"/>
              <w:right w:val="nil"/>
            </w:tcBorders>
            <w:shd w:val="clear" w:color="auto" w:fill="auto"/>
            <w:noWrap/>
            <w:vAlign w:val="center"/>
          </w:tcPr>
          <w:p w14:paraId="2E670587"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777" w:type="pct"/>
            <w:tcBorders>
              <w:top w:val="nil"/>
              <w:left w:val="nil"/>
              <w:bottom w:val="nil"/>
              <w:right w:val="nil"/>
            </w:tcBorders>
            <w:shd w:val="clear" w:color="auto" w:fill="auto"/>
            <w:noWrap/>
            <w:vAlign w:val="center"/>
          </w:tcPr>
          <w:p w14:paraId="414BE44F"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825" w:type="pct"/>
            <w:tcBorders>
              <w:top w:val="nil"/>
              <w:left w:val="nil"/>
              <w:bottom w:val="nil"/>
              <w:right w:val="nil"/>
            </w:tcBorders>
            <w:shd w:val="clear" w:color="auto" w:fill="auto"/>
            <w:noWrap/>
            <w:vAlign w:val="center"/>
          </w:tcPr>
          <w:p w14:paraId="1782837E"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825" w:type="pct"/>
            <w:tcBorders>
              <w:top w:val="nil"/>
              <w:left w:val="nil"/>
              <w:bottom w:val="nil"/>
              <w:right w:val="nil"/>
            </w:tcBorders>
            <w:vAlign w:val="bottom"/>
          </w:tcPr>
          <w:p w14:paraId="04FB359F" w14:textId="30FDA299"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(0.000)</w:t>
            </w:r>
          </w:p>
        </w:tc>
      </w:tr>
      <w:tr w:rsidR="00946193" w:rsidRPr="006A6A5A" w14:paraId="15780EF6" w14:textId="77777777" w:rsidTr="00946193">
        <w:trPr>
          <w:trHeight w:val="144"/>
        </w:trPr>
        <w:tc>
          <w:tcPr>
            <w:tcW w:w="1256" w:type="pct"/>
            <w:tcBorders>
              <w:top w:val="nil"/>
              <w:left w:val="nil"/>
              <w:bottom w:val="nil"/>
              <w:right w:val="nil"/>
            </w:tcBorders>
            <w:shd w:val="clear" w:color="auto" w:fill="auto"/>
            <w:noWrap/>
            <w:vAlign w:val="center"/>
          </w:tcPr>
          <w:p w14:paraId="4DAC0C95" w14:textId="6F156960" w:rsidR="0032161F" w:rsidRPr="006A6A5A" w:rsidRDefault="0032161F" w:rsidP="0032161F">
            <w:pPr>
              <w:spacing w:after="0" w:line="240" w:lineRule="auto"/>
              <w:jc w:val="both"/>
              <w:rPr>
                <w:rFonts w:ascii="Aptos Narrow" w:eastAsia="Times New Roman" w:hAnsi="Aptos Narrow" w:cs="Times New Roman"/>
                <w:color w:val="000000"/>
                <w:sz w:val="20"/>
                <w:szCs w:val="20"/>
                <w:lang w:eastAsia="de-DE"/>
              </w:rPr>
            </w:pPr>
            <m:oMath>
              <m:r>
                <w:rPr>
                  <w:rFonts w:ascii="Cambria Math" w:eastAsia="Times New Roman" w:hAnsi="Cambria Math" w:cs="Times New Roman"/>
                  <w:color w:val="000000"/>
                  <w:sz w:val="20"/>
                  <w:szCs w:val="20"/>
                  <w:lang w:eastAsia="de-DE"/>
                </w:rPr>
                <m:t>RAD</m:t>
              </m:r>
              <m:sSubSup>
                <m:sSubSupPr>
                  <m:ctrlPr>
                    <w:rPr>
                      <w:rFonts w:ascii="Cambria Math" w:eastAsia="Times New Roman" w:hAnsi="Cambria Math" w:cs="Times New Roman"/>
                      <w:i/>
                      <w:iCs/>
                      <w:color w:val="000000"/>
                      <w:sz w:val="20"/>
                      <w:szCs w:val="20"/>
                      <w:lang w:eastAsia="de-DE"/>
                    </w:rPr>
                  </m:ctrlPr>
                </m:sSubSupPr>
                <m:e>
                  <m:r>
                    <w:rPr>
                      <w:rFonts w:ascii="Cambria Math" w:eastAsia="Times New Roman" w:hAnsi="Cambria Math" w:cs="Times New Roman"/>
                      <w:color w:val="000000"/>
                      <w:sz w:val="20"/>
                      <w:szCs w:val="20"/>
                      <w:lang w:eastAsia="de-DE"/>
                    </w:rPr>
                    <m:t>Q</m:t>
                  </m:r>
                </m:e>
                <m:sub>
                  <m:r>
                    <w:rPr>
                      <w:rFonts w:ascii="Cambria Math" w:eastAsia="Times New Roman" w:hAnsi="Cambria Math" w:cs="Times New Roman"/>
                      <w:color w:val="000000"/>
                      <w:sz w:val="20"/>
                      <w:szCs w:val="20"/>
                      <w:lang w:eastAsia="de-DE"/>
                    </w:rPr>
                    <m:t>ijt</m:t>
                  </m:r>
                </m:sub>
                <m:sup>
                  <m:r>
                    <w:rPr>
                      <w:rFonts w:ascii="Cambria Math" w:eastAsia="Times New Roman" w:hAnsi="Cambria Math" w:cs="Times New Roman"/>
                      <w:color w:val="000000"/>
                      <w:sz w:val="20"/>
                      <w:szCs w:val="20"/>
                      <w:lang w:eastAsia="de-DE"/>
                    </w:rPr>
                    <m:t>Club</m:t>
                  </m:r>
                </m:sup>
              </m:sSubSup>
              <m:r>
                <w:rPr>
                  <w:rFonts w:ascii="Cambria Math" w:eastAsia="Times New Roman" w:hAnsi="Cambria Math" w:cs="Times New Roman"/>
                  <w:color w:val="000000"/>
                  <w:sz w:val="20"/>
                  <w:szCs w:val="20"/>
                  <w:lang w:eastAsia="de-DE"/>
                </w:rPr>
                <m:t>*D</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I</m:t>
                  </m:r>
                </m:e>
                <m:sub>
                  <m:r>
                    <w:rPr>
                      <w:rFonts w:ascii="Cambria Math" w:eastAsia="Times New Roman" w:hAnsi="Cambria Math" w:cs="Times New Roman"/>
                      <w:color w:val="000000"/>
                      <w:sz w:val="20"/>
                      <w:szCs w:val="20"/>
                      <w:lang w:eastAsia="de-DE"/>
                    </w:rPr>
                    <m:t>k</m:t>
                  </m:r>
                </m:sub>
              </m:sSub>
            </m:oMath>
            <w:r w:rsidRPr="006A6A5A">
              <w:rPr>
                <w:rFonts w:ascii="Aptos Narrow" w:eastAsia="Times New Roman" w:hAnsi="Aptos Narrow" w:cs="Times New Roman"/>
                <w:i/>
                <w:iCs/>
                <w:color w:val="000000"/>
                <w:sz w:val="20"/>
                <w:szCs w:val="20"/>
                <w:lang w:eastAsia="de-DE"/>
              </w:rPr>
              <w:t xml:space="preserve"> </w:t>
            </w:r>
            <w:r>
              <w:rPr>
                <w:rFonts w:ascii="Aptos Narrow" w:eastAsia="Times New Roman" w:hAnsi="Aptos Narrow" w:cs="Times New Roman"/>
                <w:i/>
                <w:iCs/>
                <w:color w:val="000000"/>
                <w:sz w:val="20"/>
                <w:szCs w:val="20"/>
                <w:lang w:eastAsia="de-DE"/>
              </w:rPr>
              <w:t>(t+4)</w:t>
            </w:r>
          </w:p>
        </w:tc>
        <w:tc>
          <w:tcPr>
            <w:tcW w:w="629" w:type="pct"/>
            <w:tcBorders>
              <w:top w:val="nil"/>
              <w:left w:val="nil"/>
              <w:bottom w:val="nil"/>
              <w:right w:val="nil"/>
            </w:tcBorders>
            <w:shd w:val="clear" w:color="auto" w:fill="auto"/>
            <w:noWrap/>
            <w:vAlign w:val="center"/>
          </w:tcPr>
          <w:p w14:paraId="5C6B9C19"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688" w:type="pct"/>
            <w:tcBorders>
              <w:top w:val="nil"/>
              <w:left w:val="nil"/>
              <w:bottom w:val="nil"/>
              <w:right w:val="nil"/>
            </w:tcBorders>
            <w:shd w:val="clear" w:color="auto" w:fill="auto"/>
            <w:noWrap/>
            <w:vAlign w:val="center"/>
          </w:tcPr>
          <w:p w14:paraId="27506178"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777" w:type="pct"/>
            <w:tcBorders>
              <w:top w:val="nil"/>
              <w:left w:val="nil"/>
              <w:bottom w:val="nil"/>
              <w:right w:val="nil"/>
            </w:tcBorders>
            <w:shd w:val="clear" w:color="auto" w:fill="auto"/>
            <w:noWrap/>
            <w:vAlign w:val="center"/>
          </w:tcPr>
          <w:p w14:paraId="51B81222"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825" w:type="pct"/>
            <w:tcBorders>
              <w:top w:val="nil"/>
              <w:left w:val="nil"/>
              <w:bottom w:val="nil"/>
              <w:right w:val="nil"/>
            </w:tcBorders>
            <w:shd w:val="clear" w:color="auto" w:fill="auto"/>
            <w:noWrap/>
            <w:vAlign w:val="center"/>
          </w:tcPr>
          <w:p w14:paraId="1D9C7E84"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825" w:type="pct"/>
            <w:tcBorders>
              <w:top w:val="nil"/>
              <w:left w:val="nil"/>
              <w:bottom w:val="nil"/>
              <w:right w:val="nil"/>
            </w:tcBorders>
            <w:vAlign w:val="bottom"/>
          </w:tcPr>
          <w:p w14:paraId="17AE5177" w14:textId="0D5387E0"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0.310</w:t>
            </w:r>
          </w:p>
        </w:tc>
      </w:tr>
      <w:tr w:rsidR="00946193" w:rsidRPr="006A6A5A" w14:paraId="7BE15827" w14:textId="77777777" w:rsidTr="00946193">
        <w:trPr>
          <w:trHeight w:val="144"/>
        </w:trPr>
        <w:tc>
          <w:tcPr>
            <w:tcW w:w="1256" w:type="pct"/>
            <w:tcBorders>
              <w:top w:val="nil"/>
              <w:left w:val="nil"/>
              <w:bottom w:val="nil"/>
              <w:right w:val="nil"/>
            </w:tcBorders>
            <w:shd w:val="clear" w:color="auto" w:fill="auto"/>
            <w:noWrap/>
            <w:vAlign w:val="center"/>
          </w:tcPr>
          <w:p w14:paraId="54D30A01" w14:textId="77777777" w:rsidR="0032161F" w:rsidRPr="006A6A5A"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629" w:type="pct"/>
            <w:tcBorders>
              <w:top w:val="nil"/>
              <w:left w:val="nil"/>
              <w:bottom w:val="nil"/>
              <w:right w:val="nil"/>
            </w:tcBorders>
            <w:shd w:val="clear" w:color="auto" w:fill="auto"/>
            <w:noWrap/>
            <w:vAlign w:val="center"/>
          </w:tcPr>
          <w:p w14:paraId="3F339A2F"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688" w:type="pct"/>
            <w:tcBorders>
              <w:top w:val="nil"/>
              <w:left w:val="nil"/>
              <w:bottom w:val="nil"/>
              <w:right w:val="nil"/>
            </w:tcBorders>
            <w:shd w:val="clear" w:color="auto" w:fill="auto"/>
            <w:noWrap/>
            <w:vAlign w:val="center"/>
          </w:tcPr>
          <w:p w14:paraId="39AEE467"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777" w:type="pct"/>
            <w:tcBorders>
              <w:top w:val="nil"/>
              <w:left w:val="nil"/>
              <w:bottom w:val="nil"/>
              <w:right w:val="nil"/>
            </w:tcBorders>
            <w:shd w:val="clear" w:color="auto" w:fill="auto"/>
            <w:noWrap/>
            <w:vAlign w:val="center"/>
          </w:tcPr>
          <w:p w14:paraId="057D0968"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825" w:type="pct"/>
            <w:tcBorders>
              <w:top w:val="nil"/>
              <w:left w:val="nil"/>
              <w:bottom w:val="nil"/>
              <w:right w:val="nil"/>
            </w:tcBorders>
            <w:shd w:val="clear" w:color="auto" w:fill="auto"/>
            <w:noWrap/>
            <w:vAlign w:val="center"/>
          </w:tcPr>
          <w:p w14:paraId="28DE80EC"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825" w:type="pct"/>
            <w:tcBorders>
              <w:top w:val="nil"/>
              <w:left w:val="nil"/>
              <w:bottom w:val="nil"/>
              <w:right w:val="nil"/>
            </w:tcBorders>
            <w:vAlign w:val="bottom"/>
          </w:tcPr>
          <w:p w14:paraId="7B04A2AA" w14:textId="58904A01"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(0.503)</w:t>
            </w:r>
          </w:p>
        </w:tc>
      </w:tr>
      <w:tr w:rsidR="00946193" w:rsidRPr="006A6A5A" w14:paraId="7B4B8401" w14:textId="1A8249E7" w:rsidTr="00604F53">
        <w:trPr>
          <w:trHeight w:val="144"/>
        </w:trPr>
        <w:tc>
          <w:tcPr>
            <w:tcW w:w="1256" w:type="pct"/>
            <w:tcBorders>
              <w:top w:val="nil"/>
              <w:left w:val="nil"/>
              <w:bottom w:val="nil"/>
              <w:right w:val="nil"/>
            </w:tcBorders>
            <w:shd w:val="clear" w:color="auto" w:fill="auto"/>
            <w:noWrap/>
            <w:vAlign w:val="center"/>
          </w:tcPr>
          <w:p w14:paraId="3DC1ABB8" w14:textId="78827474" w:rsidR="0032161F" w:rsidRPr="00595D6A" w:rsidRDefault="0032161F" w:rsidP="0032161F">
            <w:pPr>
              <w:spacing w:after="0" w:line="240" w:lineRule="auto"/>
              <w:jc w:val="both"/>
              <w:rPr>
                <w:rFonts w:ascii="Aptos Narrow" w:eastAsia="Times New Roman" w:hAnsi="Aptos Narrow" w:cs="Times New Roman"/>
                <w:color w:val="000000"/>
                <w:sz w:val="20"/>
                <w:szCs w:val="20"/>
                <w:lang w:eastAsia="de-DE"/>
              </w:rPr>
            </w:pPr>
            <m:oMath>
              <m:r>
                <w:rPr>
                  <w:rFonts w:ascii="Cambria Math" w:eastAsia="Times New Roman" w:hAnsi="Cambria Math" w:cs="Times New Roman"/>
                  <w:color w:val="000000"/>
                  <w:sz w:val="20"/>
                  <w:szCs w:val="20"/>
                  <w:lang w:eastAsia="de-DE"/>
                </w:rPr>
                <m:t>SH/P</m:t>
              </m:r>
              <m:sSubSup>
                <m:sSubSupPr>
                  <m:ctrlPr>
                    <w:rPr>
                      <w:rFonts w:ascii="Cambria Math" w:eastAsia="Times New Roman" w:hAnsi="Cambria Math" w:cs="Times New Roman"/>
                      <w:i/>
                      <w:iCs/>
                      <w:color w:val="000000"/>
                      <w:sz w:val="20"/>
                      <w:szCs w:val="20"/>
                      <w:lang w:eastAsia="de-DE"/>
                    </w:rPr>
                  </m:ctrlPr>
                </m:sSubSupPr>
                <m:e>
                  <m:r>
                    <w:rPr>
                      <w:rFonts w:ascii="Cambria Math" w:eastAsia="Times New Roman" w:hAnsi="Cambria Math" w:cs="Times New Roman"/>
                      <w:color w:val="000000"/>
                      <w:sz w:val="20"/>
                      <w:szCs w:val="20"/>
                      <w:lang w:eastAsia="de-DE"/>
                    </w:rPr>
                    <m:t>S</m:t>
                  </m:r>
                </m:e>
                <m:sub>
                  <m:r>
                    <w:rPr>
                      <w:rFonts w:ascii="Cambria Math" w:eastAsia="Times New Roman" w:hAnsi="Cambria Math" w:cs="Times New Roman"/>
                      <w:color w:val="000000"/>
                      <w:sz w:val="20"/>
                      <w:szCs w:val="20"/>
                      <w:lang w:eastAsia="de-DE"/>
                    </w:rPr>
                    <m:t>ijt</m:t>
                  </m:r>
                </m:sub>
                <m:sup>
                  <m:r>
                    <w:rPr>
                      <w:rFonts w:ascii="Cambria Math" w:eastAsia="Times New Roman" w:hAnsi="Cambria Math" w:cs="Times New Roman"/>
                      <w:color w:val="000000"/>
                      <w:sz w:val="20"/>
                      <w:szCs w:val="20"/>
                      <w:lang w:eastAsia="de-DE"/>
                    </w:rPr>
                    <m:t>Club</m:t>
                  </m:r>
                </m:sup>
              </m:sSubSup>
              <m:r>
                <w:rPr>
                  <w:rFonts w:ascii="Cambria Math" w:eastAsia="Times New Roman" w:hAnsi="Cambria Math" w:cs="Times New Roman"/>
                  <w:color w:val="000000"/>
                  <w:sz w:val="20"/>
                  <w:szCs w:val="20"/>
                  <w:lang w:eastAsia="de-DE"/>
                </w:rPr>
                <m:t>*D</m:t>
              </m:r>
              <m:sSub>
                <m:sSubPr>
                  <m:ctrlPr>
                    <w:rPr>
                      <w:rFonts w:ascii="Cambria Math" w:eastAsia="Times New Roman" w:hAnsi="Cambria Math" w:cs="Times New Roman"/>
                      <w:i/>
                      <w:iCs/>
                      <w:color w:val="000000"/>
                      <w:sz w:val="20"/>
                      <w:szCs w:val="20"/>
                      <w:lang w:eastAsia="de-DE"/>
                    </w:rPr>
                  </m:ctrlPr>
                </m:sSubPr>
                <m:e>
                  <m:r>
                    <w:rPr>
                      <w:rFonts w:ascii="Cambria Math" w:eastAsia="Times New Roman" w:hAnsi="Cambria Math" w:cs="Times New Roman"/>
                      <w:color w:val="000000"/>
                      <w:sz w:val="20"/>
                      <w:szCs w:val="20"/>
                      <w:lang w:eastAsia="de-DE"/>
                    </w:rPr>
                    <m:t>I</m:t>
                  </m:r>
                </m:e>
                <m:sub>
                  <m:r>
                    <w:rPr>
                      <w:rFonts w:ascii="Cambria Math" w:eastAsia="Times New Roman" w:hAnsi="Cambria Math" w:cs="Times New Roman"/>
                      <w:color w:val="000000"/>
                      <w:sz w:val="20"/>
                      <w:szCs w:val="20"/>
                      <w:lang w:eastAsia="de-DE"/>
                    </w:rPr>
                    <m:t>k</m:t>
                  </m:r>
                </m:sub>
              </m:sSub>
            </m:oMath>
            <w:r>
              <w:rPr>
                <w:rFonts w:ascii="Aptos Narrow" w:eastAsia="Times New Roman" w:hAnsi="Aptos Narrow" w:cs="Times New Roman"/>
                <w:iCs/>
                <w:color w:val="000000"/>
                <w:sz w:val="20"/>
                <w:szCs w:val="20"/>
                <w:lang w:eastAsia="de-DE"/>
              </w:rPr>
              <w:t xml:space="preserve"> </w:t>
            </w:r>
            <w:r>
              <w:rPr>
                <w:rFonts w:ascii="Aptos Narrow" w:eastAsia="Times New Roman" w:hAnsi="Aptos Narrow" w:cs="Times New Roman"/>
                <w:i/>
                <w:iCs/>
                <w:color w:val="000000"/>
                <w:sz w:val="20"/>
                <w:szCs w:val="20"/>
                <w:lang w:eastAsia="de-DE"/>
              </w:rPr>
              <w:t>(t+4)</w:t>
            </w:r>
          </w:p>
        </w:tc>
        <w:tc>
          <w:tcPr>
            <w:tcW w:w="629" w:type="pct"/>
            <w:tcBorders>
              <w:top w:val="nil"/>
              <w:left w:val="nil"/>
              <w:bottom w:val="nil"/>
              <w:right w:val="nil"/>
            </w:tcBorders>
            <w:shd w:val="clear" w:color="auto" w:fill="auto"/>
            <w:noWrap/>
            <w:vAlign w:val="center"/>
          </w:tcPr>
          <w:p w14:paraId="49E57FFE"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688" w:type="pct"/>
            <w:tcBorders>
              <w:top w:val="nil"/>
              <w:left w:val="nil"/>
              <w:bottom w:val="nil"/>
              <w:right w:val="nil"/>
            </w:tcBorders>
            <w:shd w:val="clear" w:color="auto" w:fill="auto"/>
            <w:noWrap/>
            <w:vAlign w:val="center"/>
          </w:tcPr>
          <w:p w14:paraId="046C1E6D"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777" w:type="pct"/>
            <w:tcBorders>
              <w:top w:val="nil"/>
              <w:left w:val="nil"/>
              <w:bottom w:val="nil"/>
              <w:right w:val="nil"/>
            </w:tcBorders>
            <w:shd w:val="clear" w:color="auto" w:fill="auto"/>
            <w:noWrap/>
            <w:vAlign w:val="center"/>
          </w:tcPr>
          <w:p w14:paraId="42D7E555"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825" w:type="pct"/>
            <w:tcBorders>
              <w:top w:val="nil"/>
              <w:left w:val="nil"/>
              <w:bottom w:val="nil"/>
              <w:right w:val="nil"/>
            </w:tcBorders>
            <w:shd w:val="clear" w:color="auto" w:fill="auto"/>
            <w:noWrap/>
            <w:vAlign w:val="center"/>
          </w:tcPr>
          <w:p w14:paraId="6F85CE62"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825" w:type="pct"/>
            <w:tcBorders>
              <w:top w:val="nil"/>
              <w:left w:val="nil"/>
              <w:bottom w:val="nil"/>
              <w:right w:val="nil"/>
            </w:tcBorders>
            <w:vAlign w:val="bottom"/>
          </w:tcPr>
          <w:p w14:paraId="1359EF6C" w14:textId="3273F9F5"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0.105</w:t>
            </w:r>
          </w:p>
        </w:tc>
      </w:tr>
      <w:tr w:rsidR="00946193" w:rsidRPr="006A6A5A" w14:paraId="5F8812A0" w14:textId="253CF760" w:rsidTr="00604F53">
        <w:trPr>
          <w:trHeight w:val="144"/>
        </w:trPr>
        <w:tc>
          <w:tcPr>
            <w:tcW w:w="1256" w:type="pct"/>
            <w:tcBorders>
              <w:top w:val="nil"/>
              <w:left w:val="nil"/>
              <w:bottom w:val="nil"/>
              <w:right w:val="nil"/>
            </w:tcBorders>
            <w:shd w:val="clear" w:color="auto" w:fill="auto"/>
            <w:noWrap/>
            <w:vAlign w:val="center"/>
          </w:tcPr>
          <w:p w14:paraId="57EDD922" w14:textId="77777777" w:rsidR="0032161F" w:rsidRPr="006A6A5A"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629" w:type="pct"/>
            <w:tcBorders>
              <w:top w:val="nil"/>
              <w:left w:val="nil"/>
              <w:bottom w:val="nil"/>
              <w:right w:val="nil"/>
            </w:tcBorders>
            <w:shd w:val="clear" w:color="auto" w:fill="auto"/>
            <w:noWrap/>
            <w:vAlign w:val="center"/>
          </w:tcPr>
          <w:p w14:paraId="5AAFCB3C"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688" w:type="pct"/>
            <w:tcBorders>
              <w:top w:val="nil"/>
              <w:left w:val="nil"/>
              <w:bottom w:val="nil"/>
              <w:right w:val="nil"/>
            </w:tcBorders>
            <w:shd w:val="clear" w:color="auto" w:fill="auto"/>
            <w:noWrap/>
            <w:vAlign w:val="center"/>
          </w:tcPr>
          <w:p w14:paraId="2514AD7E"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777" w:type="pct"/>
            <w:tcBorders>
              <w:top w:val="nil"/>
              <w:left w:val="nil"/>
              <w:bottom w:val="nil"/>
              <w:right w:val="nil"/>
            </w:tcBorders>
            <w:shd w:val="clear" w:color="auto" w:fill="auto"/>
            <w:noWrap/>
            <w:vAlign w:val="center"/>
          </w:tcPr>
          <w:p w14:paraId="25507572"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825" w:type="pct"/>
            <w:tcBorders>
              <w:top w:val="nil"/>
              <w:left w:val="nil"/>
              <w:bottom w:val="nil"/>
              <w:right w:val="nil"/>
            </w:tcBorders>
            <w:shd w:val="clear" w:color="auto" w:fill="auto"/>
            <w:noWrap/>
            <w:vAlign w:val="center"/>
          </w:tcPr>
          <w:p w14:paraId="1AB65282" w14:textId="77777777"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p>
        </w:tc>
        <w:tc>
          <w:tcPr>
            <w:tcW w:w="825" w:type="pct"/>
            <w:tcBorders>
              <w:top w:val="nil"/>
              <w:left w:val="nil"/>
              <w:bottom w:val="nil"/>
              <w:right w:val="nil"/>
            </w:tcBorders>
            <w:vAlign w:val="bottom"/>
          </w:tcPr>
          <w:p w14:paraId="2EEAD745" w14:textId="2648ED91" w:rsidR="0032161F" w:rsidRPr="0032161F" w:rsidRDefault="0032161F" w:rsidP="0032161F">
            <w:pPr>
              <w:spacing w:after="0" w:line="240" w:lineRule="auto"/>
              <w:jc w:val="both"/>
              <w:rPr>
                <w:rFonts w:ascii="Aptos Narrow" w:eastAsia="Times New Roman" w:hAnsi="Aptos Narrow" w:cs="Times New Roman"/>
                <w:color w:val="000000"/>
                <w:sz w:val="20"/>
                <w:szCs w:val="20"/>
                <w:lang w:eastAsia="de-DE"/>
              </w:rPr>
            </w:pPr>
            <w:r w:rsidRPr="00604F53">
              <w:rPr>
                <w:rFonts w:ascii="Aptos Narrow" w:hAnsi="Aptos Narrow"/>
                <w:color w:val="000000"/>
                <w:sz w:val="20"/>
                <w:szCs w:val="20"/>
              </w:rPr>
              <w:t>(0.654)</w:t>
            </w:r>
          </w:p>
        </w:tc>
      </w:tr>
      <w:tr w:rsidR="00946193" w:rsidRPr="006A6A5A" w14:paraId="3845C741" w14:textId="53AB231E" w:rsidTr="00604F53">
        <w:trPr>
          <w:trHeight w:val="144"/>
        </w:trPr>
        <w:tc>
          <w:tcPr>
            <w:tcW w:w="1256" w:type="pct"/>
            <w:tcBorders>
              <w:top w:val="nil"/>
              <w:left w:val="nil"/>
              <w:bottom w:val="nil"/>
              <w:right w:val="nil"/>
            </w:tcBorders>
            <w:shd w:val="clear" w:color="auto" w:fill="auto"/>
            <w:noWrap/>
            <w:vAlign w:val="center"/>
            <w:hideMark/>
          </w:tcPr>
          <w:p w14:paraId="389928AE"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Digital variable</w:t>
            </w:r>
          </w:p>
        </w:tc>
        <w:tc>
          <w:tcPr>
            <w:tcW w:w="629" w:type="pct"/>
            <w:tcBorders>
              <w:top w:val="nil"/>
              <w:left w:val="nil"/>
              <w:bottom w:val="nil"/>
              <w:right w:val="nil"/>
            </w:tcBorders>
            <w:shd w:val="clear" w:color="auto" w:fill="auto"/>
            <w:noWrap/>
            <w:vAlign w:val="center"/>
            <w:hideMark/>
          </w:tcPr>
          <w:p w14:paraId="66BA6743" w14:textId="062C1B1B"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DPF</w:t>
            </w:r>
          </w:p>
        </w:tc>
        <w:tc>
          <w:tcPr>
            <w:tcW w:w="688" w:type="pct"/>
            <w:tcBorders>
              <w:top w:val="nil"/>
              <w:left w:val="nil"/>
              <w:bottom w:val="nil"/>
              <w:right w:val="nil"/>
            </w:tcBorders>
            <w:shd w:val="clear" w:color="auto" w:fill="auto"/>
            <w:noWrap/>
            <w:vAlign w:val="center"/>
            <w:hideMark/>
          </w:tcPr>
          <w:p w14:paraId="18185D31"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I/O imp</w:t>
            </w:r>
          </w:p>
        </w:tc>
        <w:tc>
          <w:tcPr>
            <w:tcW w:w="777" w:type="pct"/>
            <w:tcBorders>
              <w:top w:val="nil"/>
              <w:left w:val="nil"/>
              <w:bottom w:val="nil"/>
              <w:right w:val="nil"/>
            </w:tcBorders>
            <w:shd w:val="clear" w:color="auto" w:fill="auto"/>
            <w:noWrap/>
            <w:vAlign w:val="center"/>
            <w:hideMark/>
          </w:tcPr>
          <w:p w14:paraId="79BBF132" w14:textId="0D539F3A"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I/O dom</w:t>
            </w:r>
            <w:r w:rsidR="00F94075">
              <w:rPr>
                <w:rFonts w:ascii="Aptos Narrow" w:eastAsia="Times New Roman" w:hAnsi="Aptos Narrow" w:cs="Times New Roman"/>
                <w:color w:val="000000"/>
                <w:sz w:val="20"/>
                <w:szCs w:val="20"/>
                <w:lang w:eastAsia="de-DE"/>
              </w:rPr>
              <w:t>estic</w:t>
            </w:r>
          </w:p>
        </w:tc>
        <w:tc>
          <w:tcPr>
            <w:tcW w:w="825" w:type="pct"/>
            <w:tcBorders>
              <w:top w:val="nil"/>
              <w:left w:val="nil"/>
              <w:bottom w:val="nil"/>
              <w:right w:val="nil"/>
            </w:tcBorders>
            <w:shd w:val="clear" w:color="auto" w:fill="auto"/>
            <w:noWrap/>
            <w:vAlign w:val="center"/>
            <w:hideMark/>
          </w:tcPr>
          <w:p w14:paraId="3A21078C" w14:textId="58905F31"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I/O imp</w:t>
            </w:r>
            <w:r w:rsidR="00F94075">
              <w:rPr>
                <w:rFonts w:ascii="Aptos Narrow" w:eastAsia="Times New Roman" w:hAnsi="Aptos Narrow" w:cs="Times New Roman"/>
                <w:color w:val="000000"/>
                <w:sz w:val="20"/>
                <w:szCs w:val="20"/>
                <w:lang w:eastAsia="de-DE"/>
              </w:rPr>
              <w:t>orts</w:t>
            </w:r>
          </w:p>
        </w:tc>
        <w:tc>
          <w:tcPr>
            <w:tcW w:w="825" w:type="pct"/>
            <w:tcBorders>
              <w:top w:val="nil"/>
              <w:left w:val="nil"/>
              <w:bottom w:val="nil"/>
              <w:right w:val="nil"/>
            </w:tcBorders>
            <w:vAlign w:val="center"/>
          </w:tcPr>
          <w:p w14:paraId="676F258A" w14:textId="4C5742C8"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I/O imp</w:t>
            </w:r>
          </w:p>
        </w:tc>
      </w:tr>
      <w:tr w:rsidR="00946193" w:rsidRPr="006A6A5A" w14:paraId="7F0D4587" w14:textId="342A5D4C" w:rsidTr="00604F53">
        <w:trPr>
          <w:trHeight w:val="144"/>
        </w:trPr>
        <w:tc>
          <w:tcPr>
            <w:tcW w:w="1256" w:type="pct"/>
            <w:tcBorders>
              <w:top w:val="nil"/>
              <w:left w:val="nil"/>
              <w:bottom w:val="nil"/>
              <w:right w:val="nil"/>
            </w:tcBorders>
            <w:shd w:val="clear" w:color="auto" w:fill="auto"/>
            <w:noWrap/>
            <w:vAlign w:val="center"/>
            <w:hideMark/>
          </w:tcPr>
          <w:p w14:paraId="67F9EA18"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Controls</w:t>
            </w:r>
          </w:p>
        </w:tc>
        <w:tc>
          <w:tcPr>
            <w:tcW w:w="629" w:type="pct"/>
            <w:tcBorders>
              <w:top w:val="nil"/>
              <w:left w:val="nil"/>
              <w:bottom w:val="nil"/>
              <w:right w:val="nil"/>
            </w:tcBorders>
            <w:shd w:val="clear" w:color="auto" w:fill="auto"/>
            <w:noWrap/>
            <w:vAlign w:val="center"/>
            <w:hideMark/>
          </w:tcPr>
          <w:p w14:paraId="7996809E"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Subsumed</w:t>
            </w:r>
          </w:p>
        </w:tc>
        <w:tc>
          <w:tcPr>
            <w:tcW w:w="688" w:type="pct"/>
            <w:tcBorders>
              <w:top w:val="nil"/>
              <w:left w:val="nil"/>
              <w:bottom w:val="nil"/>
              <w:right w:val="nil"/>
            </w:tcBorders>
            <w:shd w:val="clear" w:color="auto" w:fill="auto"/>
            <w:noWrap/>
            <w:vAlign w:val="center"/>
            <w:hideMark/>
          </w:tcPr>
          <w:p w14:paraId="1DD12ECD"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Subsumed</w:t>
            </w:r>
          </w:p>
        </w:tc>
        <w:tc>
          <w:tcPr>
            <w:tcW w:w="777" w:type="pct"/>
            <w:tcBorders>
              <w:top w:val="nil"/>
              <w:left w:val="nil"/>
              <w:bottom w:val="nil"/>
              <w:right w:val="nil"/>
            </w:tcBorders>
            <w:shd w:val="clear" w:color="auto" w:fill="auto"/>
            <w:noWrap/>
            <w:vAlign w:val="center"/>
            <w:hideMark/>
          </w:tcPr>
          <w:p w14:paraId="7CFD3C9F"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Subsumed</w:t>
            </w:r>
          </w:p>
        </w:tc>
        <w:tc>
          <w:tcPr>
            <w:tcW w:w="825" w:type="pct"/>
            <w:tcBorders>
              <w:top w:val="nil"/>
              <w:left w:val="nil"/>
              <w:bottom w:val="nil"/>
              <w:right w:val="nil"/>
            </w:tcBorders>
            <w:shd w:val="clear" w:color="auto" w:fill="auto"/>
            <w:noWrap/>
            <w:vAlign w:val="center"/>
            <w:hideMark/>
          </w:tcPr>
          <w:p w14:paraId="1A0B8AE9"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Subsumed</w:t>
            </w:r>
          </w:p>
        </w:tc>
        <w:tc>
          <w:tcPr>
            <w:tcW w:w="825" w:type="pct"/>
            <w:tcBorders>
              <w:top w:val="nil"/>
              <w:left w:val="nil"/>
              <w:bottom w:val="nil"/>
              <w:right w:val="nil"/>
            </w:tcBorders>
            <w:vAlign w:val="center"/>
          </w:tcPr>
          <w:p w14:paraId="584A0360" w14:textId="4AA9D7E2"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Subsumed</w:t>
            </w:r>
          </w:p>
        </w:tc>
      </w:tr>
      <w:tr w:rsidR="00946193" w:rsidRPr="006A6A5A" w14:paraId="4222CE2E" w14:textId="2E240D0A" w:rsidTr="00604F53">
        <w:trPr>
          <w:trHeight w:val="144"/>
        </w:trPr>
        <w:tc>
          <w:tcPr>
            <w:tcW w:w="1256" w:type="pct"/>
            <w:tcBorders>
              <w:top w:val="single" w:sz="4" w:space="0" w:color="auto"/>
              <w:left w:val="nil"/>
              <w:bottom w:val="nil"/>
              <w:right w:val="nil"/>
            </w:tcBorders>
            <w:shd w:val="clear" w:color="auto" w:fill="auto"/>
            <w:noWrap/>
            <w:vAlign w:val="center"/>
            <w:hideMark/>
          </w:tcPr>
          <w:p w14:paraId="053223AC"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Obs.</w:t>
            </w:r>
          </w:p>
        </w:tc>
        <w:tc>
          <w:tcPr>
            <w:tcW w:w="629" w:type="pct"/>
            <w:tcBorders>
              <w:top w:val="single" w:sz="4" w:space="0" w:color="auto"/>
              <w:left w:val="nil"/>
              <w:bottom w:val="nil"/>
              <w:right w:val="nil"/>
            </w:tcBorders>
            <w:shd w:val="clear" w:color="auto" w:fill="auto"/>
            <w:noWrap/>
            <w:vAlign w:val="center"/>
            <w:hideMark/>
          </w:tcPr>
          <w:p w14:paraId="6F8F2977"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4581963</w:t>
            </w:r>
          </w:p>
        </w:tc>
        <w:tc>
          <w:tcPr>
            <w:tcW w:w="688" w:type="pct"/>
            <w:tcBorders>
              <w:top w:val="single" w:sz="4" w:space="0" w:color="auto"/>
              <w:left w:val="nil"/>
              <w:bottom w:val="nil"/>
              <w:right w:val="nil"/>
            </w:tcBorders>
            <w:shd w:val="clear" w:color="auto" w:fill="auto"/>
            <w:noWrap/>
            <w:vAlign w:val="center"/>
            <w:hideMark/>
          </w:tcPr>
          <w:p w14:paraId="6236ABF8"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4911529</w:t>
            </w:r>
          </w:p>
        </w:tc>
        <w:tc>
          <w:tcPr>
            <w:tcW w:w="777" w:type="pct"/>
            <w:tcBorders>
              <w:top w:val="single" w:sz="4" w:space="0" w:color="auto"/>
              <w:left w:val="nil"/>
              <w:bottom w:val="nil"/>
              <w:right w:val="nil"/>
            </w:tcBorders>
            <w:shd w:val="clear" w:color="auto" w:fill="auto"/>
            <w:noWrap/>
            <w:vAlign w:val="center"/>
            <w:hideMark/>
          </w:tcPr>
          <w:p w14:paraId="66703EF4"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4911529</w:t>
            </w:r>
          </w:p>
        </w:tc>
        <w:tc>
          <w:tcPr>
            <w:tcW w:w="825" w:type="pct"/>
            <w:tcBorders>
              <w:top w:val="single" w:sz="4" w:space="0" w:color="auto"/>
              <w:left w:val="nil"/>
              <w:bottom w:val="nil"/>
              <w:right w:val="nil"/>
            </w:tcBorders>
            <w:shd w:val="clear" w:color="auto" w:fill="auto"/>
            <w:noWrap/>
            <w:vAlign w:val="bottom"/>
            <w:hideMark/>
          </w:tcPr>
          <w:p w14:paraId="7B2C0C20"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1272015</w:t>
            </w:r>
          </w:p>
        </w:tc>
        <w:tc>
          <w:tcPr>
            <w:tcW w:w="825" w:type="pct"/>
            <w:tcBorders>
              <w:top w:val="single" w:sz="4" w:space="0" w:color="auto"/>
              <w:left w:val="nil"/>
              <w:bottom w:val="nil"/>
              <w:right w:val="nil"/>
            </w:tcBorders>
            <w:vAlign w:val="bottom"/>
          </w:tcPr>
          <w:p w14:paraId="38150356" w14:textId="2DD17ED4"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4911529</w:t>
            </w:r>
          </w:p>
        </w:tc>
      </w:tr>
      <w:tr w:rsidR="00946193" w:rsidRPr="006A6A5A" w14:paraId="78C63128" w14:textId="3088D702" w:rsidTr="00604F53">
        <w:trPr>
          <w:trHeight w:val="144"/>
        </w:trPr>
        <w:tc>
          <w:tcPr>
            <w:tcW w:w="1256" w:type="pct"/>
            <w:tcBorders>
              <w:top w:val="nil"/>
              <w:left w:val="nil"/>
              <w:bottom w:val="nil"/>
              <w:right w:val="nil"/>
            </w:tcBorders>
            <w:shd w:val="clear" w:color="auto" w:fill="auto"/>
            <w:noWrap/>
            <w:vAlign w:val="center"/>
            <w:hideMark/>
          </w:tcPr>
          <w:p w14:paraId="4C4C80B2"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R2</w:t>
            </w:r>
          </w:p>
        </w:tc>
        <w:tc>
          <w:tcPr>
            <w:tcW w:w="629" w:type="pct"/>
            <w:tcBorders>
              <w:top w:val="nil"/>
              <w:left w:val="nil"/>
              <w:bottom w:val="nil"/>
              <w:right w:val="nil"/>
            </w:tcBorders>
            <w:shd w:val="clear" w:color="auto" w:fill="auto"/>
            <w:noWrap/>
            <w:vAlign w:val="center"/>
            <w:hideMark/>
          </w:tcPr>
          <w:p w14:paraId="2DF1F92B"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0.71</w:t>
            </w:r>
          </w:p>
        </w:tc>
        <w:tc>
          <w:tcPr>
            <w:tcW w:w="688" w:type="pct"/>
            <w:tcBorders>
              <w:top w:val="nil"/>
              <w:left w:val="nil"/>
              <w:bottom w:val="nil"/>
              <w:right w:val="nil"/>
            </w:tcBorders>
            <w:shd w:val="clear" w:color="auto" w:fill="auto"/>
            <w:noWrap/>
            <w:vAlign w:val="center"/>
            <w:hideMark/>
          </w:tcPr>
          <w:p w14:paraId="36F0AB8E"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0.71</w:t>
            </w:r>
          </w:p>
        </w:tc>
        <w:tc>
          <w:tcPr>
            <w:tcW w:w="777" w:type="pct"/>
            <w:tcBorders>
              <w:top w:val="nil"/>
              <w:left w:val="nil"/>
              <w:bottom w:val="nil"/>
              <w:right w:val="nil"/>
            </w:tcBorders>
            <w:shd w:val="clear" w:color="auto" w:fill="auto"/>
            <w:noWrap/>
            <w:vAlign w:val="center"/>
            <w:hideMark/>
          </w:tcPr>
          <w:p w14:paraId="49F2449F"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0.71</w:t>
            </w:r>
          </w:p>
        </w:tc>
        <w:tc>
          <w:tcPr>
            <w:tcW w:w="825" w:type="pct"/>
            <w:tcBorders>
              <w:top w:val="nil"/>
              <w:left w:val="nil"/>
              <w:bottom w:val="nil"/>
              <w:right w:val="nil"/>
            </w:tcBorders>
            <w:shd w:val="clear" w:color="auto" w:fill="auto"/>
            <w:noWrap/>
            <w:vAlign w:val="center"/>
            <w:hideMark/>
          </w:tcPr>
          <w:p w14:paraId="6E3F6006" w14:textId="26775095"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0.71</w:t>
            </w:r>
          </w:p>
        </w:tc>
        <w:tc>
          <w:tcPr>
            <w:tcW w:w="825" w:type="pct"/>
            <w:tcBorders>
              <w:top w:val="nil"/>
              <w:left w:val="nil"/>
              <w:bottom w:val="nil"/>
              <w:right w:val="nil"/>
            </w:tcBorders>
            <w:vAlign w:val="center"/>
          </w:tcPr>
          <w:p w14:paraId="0CAD21F3" w14:textId="0094C26B"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0.71</w:t>
            </w:r>
          </w:p>
        </w:tc>
      </w:tr>
      <w:tr w:rsidR="00946193" w:rsidRPr="006A6A5A" w14:paraId="1C70BDB4" w14:textId="577F95DD" w:rsidTr="00604F53">
        <w:trPr>
          <w:trHeight w:val="144"/>
        </w:trPr>
        <w:tc>
          <w:tcPr>
            <w:tcW w:w="1256" w:type="pct"/>
            <w:tcBorders>
              <w:top w:val="nil"/>
              <w:left w:val="nil"/>
              <w:bottom w:val="nil"/>
              <w:right w:val="nil"/>
            </w:tcBorders>
            <w:shd w:val="clear" w:color="auto" w:fill="auto"/>
            <w:noWrap/>
            <w:vAlign w:val="center"/>
            <w:hideMark/>
          </w:tcPr>
          <w:p w14:paraId="6658BF38"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FE Pair-Year</w:t>
            </w:r>
          </w:p>
        </w:tc>
        <w:tc>
          <w:tcPr>
            <w:tcW w:w="629" w:type="pct"/>
            <w:tcBorders>
              <w:top w:val="nil"/>
              <w:left w:val="nil"/>
              <w:bottom w:val="nil"/>
              <w:right w:val="nil"/>
            </w:tcBorders>
            <w:shd w:val="clear" w:color="auto" w:fill="auto"/>
            <w:noWrap/>
            <w:vAlign w:val="center"/>
            <w:hideMark/>
          </w:tcPr>
          <w:p w14:paraId="75ACB290"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c>
          <w:tcPr>
            <w:tcW w:w="688" w:type="pct"/>
            <w:tcBorders>
              <w:top w:val="nil"/>
              <w:left w:val="nil"/>
              <w:bottom w:val="nil"/>
              <w:right w:val="nil"/>
            </w:tcBorders>
            <w:shd w:val="clear" w:color="auto" w:fill="auto"/>
            <w:noWrap/>
            <w:vAlign w:val="center"/>
            <w:hideMark/>
          </w:tcPr>
          <w:p w14:paraId="7D4B3BBD"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c>
          <w:tcPr>
            <w:tcW w:w="777" w:type="pct"/>
            <w:tcBorders>
              <w:top w:val="nil"/>
              <w:left w:val="nil"/>
              <w:bottom w:val="nil"/>
              <w:right w:val="nil"/>
            </w:tcBorders>
            <w:shd w:val="clear" w:color="auto" w:fill="auto"/>
            <w:noWrap/>
            <w:vAlign w:val="center"/>
            <w:hideMark/>
          </w:tcPr>
          <w:p w14:paraId="4A3FC469"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c>
          <w:tcPr>
            <w:tcW w:w="825" w:type="pct"/>
            <w:tcBorders>
              <w:top w:val="nil"/>
              <w:left w:val="nil"/>
              <w:bottom w:val="nil"/>
              <w:right w:val="nil"/>
            </w:tcBorders>
            <w:shd w:val="clear" w:color="auto" w:fill="auto"/>
            <w:noWrap/>
            <w:vAlign w:val="center"/>
            <w:hideMark/>
          </w:tcPr>
          <w:p w14:paraId="0B5EC8A3"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c>
          <w:tcPr>
            <w:tcW w:w="825" w:type="pct"/>
            <w:tcBorders>
              <w:top w:val="nil"/>
              <w:left w:val="nil"/>
              <w:bottom w:val="nil"/>
              <w:right w:val="nil"/>
            </w:tcBorders>
            <w:vAlign w:val="center"/>
          </w:tcPr>
          <w:p w14:paraId="54A5275C" w14:textId="65F3299B"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r>
      <w:tr w:rsidR="00946193" w:rsidRPr="006A6A5A" w14:paraId="44B4342A" w14:textId="210B3FC1" w:rsidTr="00604F53">
        <w:trPr>
          <w:trHeight w:val="144"/>
        </w:trPr>
        <w:tc>
          <w:tcPr>
            <w:tcW w:w="1256" w:type="pct"/>
            <w:tcBorders>
              <w:top w:val="nil"/>
              <w:left w:val="nil"/>
              <w:bottom w:val="nil"/>
              <w:right w:val="nil"/>
            </w:tcBorders>
            <w:shd w:val="clear" w:color="auto" w:fill="auto"/>
            <w:noWrap/>
            <w:vAlign w:val="center"/>
            <w:hideMark/>
          </w:tcPr>
          <w:p w14:paraId="2C2A69E0"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FE Pair-Ind</w:t>
            </w:r>
          </w:p>
        </w:tc>
        <w:tc>
          <w:tcPr>
            <w:tcW w:w="629" w:type="pct"/>
            <w:tcBorders>
              <w:top w:val="nil"/>
              <w:left w:val="nil"/>
              <w:bottom w:val="nil"/>
              <w:right w:val="nil"/>
            </w:tcBorders>
            <w:shd w:val="clear" w:color="auto" w:fill="auto"/>
            <w:noWrap/>
            <w:vAlign w:val="center"/>
            <w:hideMark/>
          </w:tcPr>
          <w:p w14:paraId="722C74CA"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c>
          <w:tcPr>
            <w:tcW w:w="688" w:type="pct"/>
            <w:tcBorders>
              <w:top w:val="nil"/>
              <w:left w:val="nil"/>
              <w:bottom w:val="nil"/>
              <w:right w:val="nil"/>
            </w:tcBorders>
            <w:shd w:val="clear" w:color="auto" w:fill="auto"/>
            <w:noWrap/>
            <w:vAlign w:val="center"/>
            <w:hideMark/>
          </w:tcPr>
          <w:p w14:paraId="2E894EFD"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c>
          <w:tcPr>
            <w:tcW w:w="777" w:type="pct"/>
            <w:tcBorders>
              <w:top w:val="nil"/>
              <w:left w:val="nil"/>
              <w:bottom w:val="nil"/>
              <w:right w:val="nil"/>
            </w:tcBorders>
            <w:shd w:val="clear" w:color="auto" w:fill="auto"/>
            <w:noWrap/>
            <w:vAlign w:val="center"/>
            <w:hideMark/>
          </w:tcPr>
          <w:p w14:paraId="64A7FF13"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c>
          <w:tcPr>
            <w:tcW w:w="825" w:type="pct"/>
            <w:tcBorders>
              <w:top w:val="nil"/>
              <w:left w:val="nil"/>
              <w:bottom w:val="nil"/>
              <w:right w:val="nil"/>
            </w:tcBorders>
            <w:shd w:val="clear" w:color="auto" w:fill="auto"/>
            <w:noWrap/>
            <w:vAlign w:val="center"/>
            <w:hideMark/>
          </w:tcPr>
          <w:p w14:paraId="1BF15A77"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c>
          <w:tcPr>
            <w:tcW w:w="825" w:type="pct"/>
            <w:tcBorders>
              <w:top w:val="nil"/>
              <w:left w:val="nil"/>
              <w:bottom w:val="nil"/>
              <w:right w:val="nil"/>
            </w:tcBorders>
            <w:vAlign w:val="center"/>
          </w:tcPr>
          <w:p w14:paraId="479989EF" w14:textId="3C901BFE"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r>
      <w:tr w:rsidR="00946193" w:rsidRPr="006A6A5A" w14:paraId="3C9F5467" w14:textId="23DE746C" w:rsidTr="00604F53">
        <w:trPr>
          <w:trHeight w:val="144"/>
        </w:trPr>
        <w:tc>
          <w:tcPr>
            <w:tcW w:w="1256" w:type="pct"/>
            <w:tcBorders>
              <w:top w:val="nil"/>
              <w:left w:val="nil"/>
              <w:bottom w:val="nil"/>
              <w:right w:val="nil"/>
            </w:tcBorders>
            <w:shd w:val="clear" w:color="auto" w:fill="auto"/>
            <w:noWrap/>
            <w:vAlign w:val="center"/>
            <w:hideMark/>
          </w:tcPr>
          <w:p w14:paraId="50421516"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FE Exp-Ind-Year</w:t>
            </w:r>
          </w:p>
        </w:tc>
        <w:tc>
          <w:tcPr>
            <w:tcW w:w="629" w:type="pct"/>
            <w:tcBorders>
              <w:top w:val="nil"/>
              <w:left w:val="nil"/>
              <w:bottom w:val="nil"/>
              <w:right w:val="nil"/>
            </w:tcBorders>
            <w:shd w:val="clear" w:color="auto" w:fill="auto"/>
            <w:noWrap/>
            <w:vAlign w:val="center"/>
            <w:hideMark/>
          </w:tcPr>
          <w:p w14:paraId="122FC111"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c>
          <w:tcPr>
            <w:tcW w:w="688" w:type="pct"/>
            <w:tcBorders>
              <w:top w:val="nil"/>
              <w:left w:val="nil"/>
              <w:bottom w:val="nil"/>
              <w:right w:val="nil"/>
            </w:tcBorders>
            <w:shd w:val="clear" w:color="auto" w:fill="auto"/>
            <w:noWrap/>
            <w:vAlign w:val="center"/>
            <w:hideMark/>
          </w:tcPr>
          <w:p w14:paraId="4D0E5502"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c>
          <w:tcPr>
            <w:tcW w:w="777" w:type="pct"/>
            <w:tcBorders>
              <w:top w:val="nil"/>
              <w:left w:val="nil"/>
              <w:bottom w:val="nil"/>
              <w:right w:val="nil"/>
            </w:tcBorders>
            <w:shd w:val="clear" w:color="auto" w:fill="auto"/>
            <w:noWrap/>
            <w:vAlign w:val="center"/>
            <w:hideMark/>
          </w:tcPr>
          <w:p w14:paraId="39E01188"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c>
          <w:tcPr>
            <w:tcW w:w="825" w:type="pct"/>
            <w:tcBorders>
              <w:top w:val="nil"/>
              <w:left w:val="nil"/>
              <w:bottom w:val="nil"/>
              <w:right w:val="nil"/>
            </w:tcBorders>
            <w:shd w:val="clear" w:color="auto" w:fill="auto"/>
            <w:noWrap/>
            <w:vAlign w:val="center"/>
            <w:hideMark/>
          </w:tcPr>
          <w:p w14:paraId="640D6625"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c>
          <w:tcPr>
            <w:tcW w:w="825" w:type="pct"/>
            <w:tcBorders>
              <w:top w:val="nil"/>
              <w:left w:val="nil"/>
              <w:bottom w:val="nil"/>
              <w:right w:val="nil"/>
            </w:tcBorders>
            <w:vAlign w:val="center"/>
          </w:tcPr>
          <w:p w14:paraId="28251F4A" w14:textId="7F8EA7CD"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r>
      <w:tr w:rsidR="00946193" w:rsidRPr="006A6A5A" w14:paraId="3E8F0648" w14:textId="55ED4FA9" w:rsidTr="00604F53">
        <w:trPr>
          <w:trHeight w:val="144"/>
        </w:trPr>
        <w:tc>
          <w:tcPr>
            <w:tcW w:w="1256" w:type="pct"/>
            <w:tcBorders>
              <w:top w:val="nil"/>
              <w:left w:val="nil"/>
              <w:bottom w:val="nil"/>
              <w:right w:val="nil"/>
            </w:tcBorders>
            <w:shd w:val="clear" w:color="auto" w:fill="auto"/>
            <w:noWrap/>
            <w:vAlign w:val="center"/>
            <w:hideMark/>
          </w:tcPr>
          <w:p w14:paraId="4775B73A"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FE Imp-Ind-Year</w:t>
            </w:r>
          </w:p>
        </w:tc>
        <w:tc>
          <w:tcPr>
            <w:tcW w:w="629" w:type="pct"/>
            <w:tcBorders>
              <w:top w:val="nil"/>
              <w:left w:val="nil"/>
              <w:bottom w:val="nil"/>
              <w:right w:val="nil"/>
            </w:tcBorders>
            <w:shd w:val="clear" w:color="auto" w:fill="auto"/>
            <w:noWrap/>
            <w:vAlign w:val="center"/>
            <w:hideMark/>
          </w:tcPr>
          <w:p w14:paraId="0A0314AC"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c>
          <w:tcPr>
            <w:tcW w:w="688" w:type="pct"/>
            <w:tcBorders>
              <w:top w:val="nil"/>
              <w:left w:val="nil"/>
              <w:bottom w:val="nil"/>
              <w:right w:val="nil"/>
            </w:tcBorders>
            <w:shd w:val="clear" w:color="auto" w:fill="auto"/>
            <w:noWrap/>
            <w:vAlign w:val="center"/>
            <w:hideMark/>
          </w:tcPr>
          <w:p w14:paraId="333CD3D7"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c>
          <w:tcPr>
            <w:tcW w:w="777" w:type="pct"/>
            <w:tcBorders>
              <w:top w:val="nil"/>
              <w:left w:val="nil"/>
              <w:bottom w:val="nil"/>
              <w:right w:val="nil"/>
            </w:tcBorders>
            <w:shd w:val="clear" w:color="auto" w:fill="auto"/>
            <w:noWrap/>
            <w:vAlign w:val="center"/>
            <w:hideMark/>
          </w:tcPr>
          <w:p w14:paraId="3F97B247"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c>
          <w:tcPr>
            <w:tcW w:w="825" w:type="pct"/>
            <w:tcBorders>
              <w:top w:val="nil"/>
              <w:left w:val="nil"/>
              <w:bottom w:val="nil"/>
              <w:right w:val="nil"/>
            </w:tcBorders>
            <w:shd w:val="clear" w:color="auto" w:fill="auto"/>
            <w:noWrap/>
            <w:vAlign w:val="center"/>
            <w:hideMark/>
          </w:tcPr>
          <w:p w14:paraId="399F1919"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c>
          <w:tcPr>
            <w:tcW w:w="825" w:type="pct"/>
            <w:tcBorders>
              <w:top w:val="nil"/>
              <w:left w:val="nil"/>
              <w:bottom w:val="nil"/>
              <w:right w:val="nil"/>
            </w:tcBorders>
            <w:vAlign w:val="center"/>
          </w:tcPr>
          <w:p w14:paraId="0C15F451" w14:textId="1EC85D15"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Yes</w:t>
            </w:r>
          </w:p>
        </w:tc>
      </w:tr>
      <w:tr w:rsidR="00946193" w:rsidRPr="006A6A5A" w14:paraId="0BEFD13B" w14:textId="23B74E94" w:rsidTr="00604F53">
        <w:trPr>
          <w:trHeight w:val="144"/>
        </w:trPr>
        <w:tc>
          <w:tcPr>
            <w:tcW w:w="1256" w:type="pct"/>
            <w:tcBorders>
              <w:top w:val="nil"/>
              <w:left w:val="nil"/>
              <w:bottom w:val="single" w:sz="4" w:space="0" w:color="auto"/>
              <w:right w:val="nil"/>
            </w:tcBorders>
            <w:shd w:val="clear" w:color="auto" w:fill="auto"/>
            <w:noWrap/>
            <w:vAlign w:val="center"/>
            <w:hideMark/>
          </w:tcPr>
          <w:p w14:paraId="32CFDF17"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Two-way cluster</w:t>
            </w:r>
          </w:p>
        </w:tc>
        <w:tc>
          <w:tcPr>
            <w:tcW w:w="629" w:type="pct"/>
            <w:tcBorders>
              <w:top w:val="nil"/>
              <w:left w:val="nil"/>
              <w:bottom w:val="single" w:sz="4" w:space="0" w:color="auto"/>
              <w:right w:val="nil"/>
            </w:tcBorders>
            <w:shd w:val="clear" w:color="auto" w:fill="auto"/>
            <w:noWrap/>
            <w:vAlign w:val="center"/>
            <w:hideMark/>
          </w:tcPr>
          <w:p w14:paraId="6BAE5436"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Pair &amp; Year</w:t>
            </w:r>
          </w:p>
        </w:tc>
        <w:tc>
          <w:tcPr>
            <w:tcW w:w="688" w:type="pct"/>
            <w:tcBorders>
              <w:top w:val="nil"/>
              <w:left w:val="nil"/>
              <w:bottom w:val="single" w:sz="4" w:space="0" w:color="auto"/>
              <w:right w:val="nil"/>
            </w:tcBorders>
            <w:shd w:val="clear" w:color="auto" w:fill="auto"/>
            <w:noWrap/>
            <w:vAlign w:val="center"/>
            <w:hideMark/>
          </w:tcPr>
          <w:p w14:paraId="19E19A2C"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Pair &amp; Year</w:t>
            </w:r>
          </w:p>
        </w:tc>
        <w:tc>
          <w:tcPr>
            <w:tcW w:w="777" w:type="pct"/>
            <w:tcBorders>
              <w:top w:val="nil"/>
              <w:left w:val="nil"/>
              <w:bottom w:val="single" w:sz="4" w:space="0" w:color="auto"/>
              <w:right w:val="nil"/>
            </w:tcBorders>
            <w:shd w:val="clear" w:color="auto" w:fill="auto"/>
            <w:noWrap/>
            <w:vAlign w:val="center"/>
            <w:hideMark/>
          </w:tcPr>
          <w:p w14:paraId="7EE45BE1"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Pair &amp; Year</w:t>
            </w:r>
          </w:p>
        </w:tc>
        <w:tc>
          <w:tcPr>
            <w:tcW w:w="825" w:type="pct"/>
            <w:tcBorders>
              <w:top w:val="nil"/>
              <w:left w:val="nil"/>
              <w:bottom w:val="single" w:sz="4" w:space="0" w:color="auto"/>
              <w:right w:val="nil"/>
            </w:tcBorders>
            <w:shd w:val="clear" w:color="auto" w:fill="auto"/>
            <w:noWrap/>
            <w:vAlign w:val="center"/>
            <w:hideMark/>
          </w:tcPr>
          <w:p w14:paraId="19A5B509" w14:textId="77777777"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Pair &amp; Year</w:t>
            </w:r>
          </w:p>
        </w:tc>
        <w:tc>
          <w:tcPr>
            <w:tcW w:w="825" w:type="pct"/>
            <w:tcBorders>
              <w:top w:val="nil"/>
              <w:left w:val="nil"/>
              <w:bottom w:val="single" w:sz="4" w:space="0" w:color="auto"/>
              <w:right w:val="nil"/>
            </w:tcBorders>
          </w:tcPr>
          <w:p w14:paraId="4A4E54C3" w14:textId="151140D4" w:rsidR="00595D6A" w:rsidRPr="006A6A5A" w:rsidRDefault="00595D6A" w:rsidP="00595D6A">
            <w:pPr>
              <w:spacing w:after="0" w:line="240" w:lineRule="auto"/>
              <w:jc w:val="both"/>
              <w:rPr>
                <w:rFonts w:ascii="Aptos Narrow" w:eastAsia="Times New Roman" w:hAnsi="Aptos Narrow" w:cs="Times New Roman"/>
                <w:color w:val="000000"/>
                <w:sz w:val="20"/>
                <w:szCs w:val="20"/>
                <w:lang w:eastAsia="de-DE"/>
              </w:rPr>
            </w:pPr>
            <w:r w:rsidRPr="006A6A5A">
              <w:rPr>
                <w:rFonts w:ascii="Aptos Narrow" w:eastAsia="Times New Roman" w:hAnsi="Aptos Narrow" w:cs="Times New Roman"/>
                <w:color w:val="000000"/>
                <w:sz w:val="20"/>
                <w:szCs w:val="20"/>
                <w:lang w:eastAsia="de-DE"/>
              </w:rPr>
              <w:t>Pair &amp; Year</w:t>
            </w:r>
          </w:p>
        </w:tc>
      </w:tr>
    </w:tbl>
    <w:p w14:paraId="5116C63F" w14:textId="039C03DD" w:rsidR="00086EF4" w:rsidRDefault="008809B6" w:rsidP="0011538D">
      <w:pPr>
        <w:spacing w:after="240"/>
        <w:jc w:val="both"/>
        <w:rPr>
          <w:sz w:val="18"/>
          <w:szCs w:val="18"/>
        </w:rPr>
      </w:pPr>
      <w:r w:rsidRPr="00633995">
        <w:rPr>
          <w:sz w:val="18"/>
          <w:szCs w:val="18"/>
        </w:rPr>
        <w:t>Notes: *, **, and *** denote 10%, 5% and 1% significance levels</w:t>
      </w:r>
      <w:r w:rsidR="00D76B30" w:rsidRPr="00633995">
        <w:rPr>
          <w:sz w:val="18"/>
          <w:szCs w:val="18"/>
        </w:rPr>
        <w:t>. P-values in parenthesis</w:t>
      </w:r>
      <w:r w:rsidR="00B127D1" w:rsidRPr="00633995">
        <w:rPr>
          <w:sz w:val="18"/>
          <w:szCs w:val="18"/>
        </w:rPr>
        <w:t>.</w:t>
      </w:r>
      <w:r w:rsidR="00D76B30" w:rsidRPr="00633995">
        <w:rPr>
          <w:sz w:val="18"/>
          <w:szCs w:val="18"/>
        </w:rPr>
        <w:t xml:space="preserve"> FE: fixed effects; </w:t>
      </w:r>
      <w:r w:rsidR="00D76B30" w:rsidRPr="00F94075">
        <w:rPr>
          <w:i/>
          <w:iCs/>
          <w:sz w:val="18"/>
          <w:szCs w:val="18"/>
        </w:rPr>
        <w:t>SH</w:t>
      </w:r>
      <w:r w:rsidR="00D76B30" w:rsidRPr="00633995">
        <w:rPr>
          <w:sz w:val="18"/>
          <w:szCs w:val="18"/>
        </w:rPr>
        <w:t xml:space="preserve">: Safe Harbor; </w:t>
      </w:r>
      <w:r w:rsidR="00D76B30" w:rsidRPr="00F94075">
        <w:rPr>
          <w:i/>
          <w:iCs/>
          <w:sz w:val="18"/>
          <w:szCs w:val="18"/>
        </w:rPr>
        <w:t>PS</w:t>
      </w:r>
      <w:r w:rsidR="00D76B30" w:rsidRPr="00633995">
        <w:rPr>
          <w:sz w:val="18"/>
          <w:szCs w:val="18"/>
        </w:rPr>
        <w:t xml:space="preserve">: Privacy Shield; </w:t>
      </w:r>
      <w:r w:rsidR="00F81096" w:rsidRPr="00F94075">
        <w:rPr>
          <w:i/>
          <w:iCs/>
          <w:sz w:val="18"/>
          <w:szCs w:val="18"/>
        </w:rPr>
        <w:t>R</w:t>
      </w:r>
      <w:r w:rsidR="00D76B30" w:rsidRPr="00F94075">
        <w:rPr>
          <w:i/>
          <w:iCs/>
          <w:sz w:val="18"/>
          <w:szCs w:val="18"/>
        </w:rPr>
        <w:t>ADQ</w:t>
      </w:r>
      <w:r w:rsidR="00D76B30" w:rsidRPr="00633995">
        <w:rPr>
          <w:sz w:val="18"/>
          <w:szCs w:val="18"/>
        </w:rPr>
        <w:t xml:space="preserve">: non-US adequacy decision; </w:t>
      </w:r>
      <w:r w:rsidR="00F81096" w:rsidRPr="00F94075">
        <w:rPr>
          <w:i/>
          <w:iCs/>
          <w:sz w:val="18"/>
          <w:szCs w:val="18"/>
        </w:rPr>
        <w:t>RADQ</w:t>
      </w:r>
      <w:r w:rsidR="00F81096" w:rsidRPr="00F94075">
        <w:rPr>
          <w:i/>
          <w:iCs/>
          <w:sz w:val="18"/>
          <w:szCs w:val="18"/>
          <w:vertAlign w:val="superscript"/>
        </w:rPr>
        <w:t>C</w:t>
      </w:r>
      <w:r w:rsidR="00BD43F4" w:rsidRPr="00F94075">
        <w:rPr>
          <w:i/>
          <w:iCs/>
          <w:sz w:val="18"/>
          <w:szCs w:val="18"/>
          <w:vertAlign w:val="superscript"/>
        </w:rPr>
        <w:t>lub</w:t>
      </w:r>
      <w:r w:rsidR="006157FA" w:rsidRPr="00633995">
        <w:rPr>
          <w:sz w:val="18"/>
          <w:szCs w:val="18"/>
        </w:rPr>
        <w:t xml:space="preserve">: </w:t>
      </w:r>
      <w:r w:rsidR="00BD43F4" w:rsidRPr="00633995">
        <w:rPr>
          <w:sz w:val="18"/>
          <w:szCs w:val="18"/>
        </w:rPr>
        <w:t>club</w:t>
      </w:r>
      <w:r w:rsidR="006157FA" w:rsidRPr="00633995">
        <w:rPr>
          <w:sz w:val="18"/>
          <w:szCs w:val="18"/>
        </w:rPr>
        <w:t xml:space="preserve"> effect between non-US adequate countries; </w:t>
      </w:r>
      <w:r w:rsidR="006157FA" w:rsidRPr="00F94075">
        <w:rPr>
          <w:i/>
          <w:iCs/>
          <w:sz w:val="18"/>
          <w:szCs w:val="18"/>
        </w:rPr>
        <w:t>SH/PS</w:t>
      </w:r>
      <w:r w:rsidR="00BD43F4" w:rsidRPr="00F94075">
        <w:rPr>
          <w:i/>
          <w:iCs/>
          <w:sz w:val="18"/>
          <w:szCs w:val="18"/>
          <w:vertAlign w:val="superscript"/>
        </w:rPr>
        <w:t>Club</w:t>
      </w:r>
      <w:r w:rsidR="006157FA" w:rsidRPr="00633995">
        <w:rPr>
          <w:sz w:val="18"/>
          <w:szCs w:val="18"/>
        </w:rPr>
        <w:t xml:space="preserve">: </w:t>
      </w:r>
      <w:r w:rsidR="00BD43F4" w:rsidRPr="00633995">
        <w:rPr>
          <w:sz w:val="18"/>
          <w:szCs w:val="18"/>
        </w:rPr>
        <w:t>club</w:t>
      </w:r>
      <w:r w:rsidR="006157FA" w:rsidRPr="00633995">
        <w:rPr>
          <w:sz w:val="18"/>
          <w:szCs w:val="18"/>
        </w:rPr>
        <w:t xml:space="preserve"> effect including the US</w:t>
      </w:r>
      <w:r w:rsidR="00FA752B">
        <w:rPr>
          <w:sz w:val="18"/>
          <w:szCs w:val="18"/>
        </w:rPr>
        <w:t>.</w:t>
      </w:r>
      <w:r w:rsidR="00B127D1" w:rsidRPr="00633995">
        <w:rPr>
          <w:sz w:val="18"/>
          <w:szCs w:val="18"/>
        </w:rPr>
        <w:t xml:space="preserve"> </w:t>
      </w:r>
      <w:r w:rsidR="00FA752B">
        <w:rPr>
          <w:sz w:val="18"/>
          <w:szCs w:val="18"/>
        </w:rPr>
        <w:t xml:space="preserve">All adequacy variables are interacted with </w:t>
      </w:r>
      <w:r w:rsidR="00FA752B" w:rsidRPr="00604F53">
        <w:rPr>
          <w:i/>
          <w:iCs/>
          <w:sz w:val="18"/>
          <w:szCs w:val="18"/>
        </w:rPr>
        <w:t>D</w:t>
      </w:r>
      <w:r w:rsidR="00086EF4" w:rsidRPr="00633995">
        <w:rPr>
          <w:i/>
          <w:iCs/>
          <w:sz w:val="18"/>
          <w:szCs w:val="18"/>
        </w:rPr>
        <w:t>I</w:t>
      </w:r>
      <w:r w:rsidR="00086EF4" w:rsidRPr="00633995">
        <w:rPr>
          <w:i/>
          <w:iCs/>
          <w:sz w:val="18"/>
          <w:szCs w:val="18"/>
          <w:vertAlign w:val="subscript"/>
        </w:rPr>
        <w:t>k</w:t>
      </w:r>
      <w:r w:rsidR="00FA752B">
        <w:rPr>
          <w:sz w:val="18"/>
          <w:szCs w:val="18"/>
        </w:rPr>
        <w:t xml:space="preserve"> , which refers to the measure of digital intensity used in each interaction term, respectively:</w:t>
      </w:r>
      <w:r w:rsidR="00FA752B" w:rsidRPr="00FA752B">
        <w:rPr>
          <w:sz w:val="18"/>
          <w:szCs w:val="18"/>
        </w:rPr>
        <w:t xml:space="preserve"> </w:t>
      </w:r>
      <w:r w:rsidR="00FA752B">
        <w:rPr>
          <w:sz w:val="18"/>
          <w:szCs w:val="18"/>
        </w:rPr>
        <w:t xml:space="preserve">(1) </w:t>
      </w:r>
      <w:r w:rsidR="00FA752B" w:rsidRPr="00633995">
        <w:rPr>
          <w:sz w:val="18"/>
          <w:szCs w:val="18"/>
        </w:rPr>
        <w:t xml:space="preserve">DPF: EU-US Data Privacy Framework; </w:t>
      </w:r>
      <w:r w:rsidR="00FA752B">
        <w:rPr>
          <w:sz w:val="18"/>
          <w:szCs w:val="18"/>
        </w:rPr>
        <w:t xml:space="preserve">(2) </w:t>
      </w:r>
      <w:r w:rsidR="00FA752B" w:rsidRPr="00633995">
        <w:rPr>
          <w:sz w:val="18"/>
          <w:szCs w:val="18"/>
        </w:rPr>
        <w:t>I/O imp</w:t>
      </w:r>
      <w:r w:rsidR="00F94075">
        <w:rPr>
          <w:sz w:val="18"/>
          <w:szCs w:val="18"/>
        </w:rPr>
        <w:t>orts</w:t>
      </w:r>
      <w:r w:rsidR="00FA752B" w:rsidRPr="00633995">
        <w:rPr>
          <w:sz w:val="18"/>
          <w:szCs w:val="18"/>
        </w:rPr>
        <w:t xml:space="preserve">: IO coefficients of imported digital inputs; </w:t>
      </w:r>
      <w:r w:rsidR="00FA752B">
        <w:rPr>
          <w:sz w:val="18"/>
          <w:szCs w:val="18"/>
        </w:rPr>
        <w:t xml:space="preserve">(3) </w:t>
      </w:r>
      <w:r w:rsidR="00FA752B" w:rsidRPr="00633995">
        <w:rPr>
          <w:sz w:val="18"/>
          <w:szCs w:val="18"/>
        </w:rPr>
        <w:t>I/O dom</w:t>
      </w:r>
      <w:r w:rsidR="00F94075">
        <w:rPr>
          <w:sz w:val="18"/>
          <w:szCs w:val="18"/>
        </w:rPr>
        <w:t>estic</w:t>
      </w:r>
      <w:r w:rsidR="00FA752B" w:rsidRPr="00633995">
        <w:rPr>
          <w:sz w:val="18"/>
          <w:szCs w:val="18"/>
        </w:rPr>
        <w:t>: IO coefficients for digital inputs source</w:t>
      </w:r>
      <w:r w:rsidR="00493F8C">
        <w:rPr>
          <w:sz w:val="18"/>
          <w:szCs w:val="18"/>
        </w:rPr>
        <w:t>d</w:t>
      </w:r>
      <w:r w:rsidR="00FA752B" w:rsidRPr="00633995">
        <w:rPr>
          <w:sz w:val="18"/>
          <w:szCs w:val="18"/>
        </w:rPr>
        <w:t xml:space="preserve"> domestically.</w:t>
      </w:r>
    </w:p>
    <w:p w14:paraId="35D684CD" w14:textId="115313F2" w:rsidR="007A2712" w:rsidRPr="00633995" w:rsidRDefault="007A2712" w:rsidP="007A2712">
      <w:pPr>
        <w:jc w:val="both"/>
      </w:pPr>
      <w:r>
        <w:lastRenderedPageBreak/>
        <w:t>We apply two additional robustness checks. First</w:t>
      </w:r>
      <w:r w:rsidRPr="00633995">
        <w:t>, following Cheng and Wall (2005), Baier and Bergstrand (2007) and Bergstrand et al. (2015), we re-estimate equation (</w:t>
      </w:r>
      <w:r>
        <w:t>5</w:t>
      </w:r>
      <w:r w:rsidRPr="00633995">
        <w:t xml:space="preserve">) using three-year intervals </w:t>
      </w:r>
      <w:r>
        <w:t>with</w:t>
      </w:r>
      <w:r w:rsidRPr="00633995">
        <w:t xml:space="preserve"> our preferred cross-border input elasticity measure. The results, reported in column </w:t>
      </w:r>
      <w:r>
        <w:t>(</w:t>
      </w:r>
      <w:r w:rsidRPr="00633995">
        <w:t>4</w:t>
      </w:r>
      <w:r>
        <w:t>)</w:t>
      </w:r>
      <w:r w:rsidRPr="00633995">
        <w:t xml:space="preserve">, show that </w:t>
      </w:r>
      <w:r>
        <w:t>the coefficients</w:t>
      </w:r>
      <w:r w:rsidRPr="00633995">
        <w:t xml:space="preserve"> remain significant for the regular adequacy decisions </w:t>
      </w:r>
      <w:r>
        <w:t>as well as</w:t>
      </w:r>
      <w:r w:rsidRPr="00633995">
        <w:t xml:space="preserve"> for the club effect </w:t>
      </w:r>
      <w:r>
        <w:t>of the</w:t>
      </w:r>
      <w:r w:rsidRPr="00633995">
        <w:t xml:space="preserve"> </w:t>
      </w:r>
      <w:r w:rsidR="009601A2">
        <w:t>two EU-US data</w:t>
      </w:r>
      <w:r>
        <w:t xml:space="preserve"> frameworks</w:t>
      </w:r>
      <w:r w:rsidRPr="00633995">
        <w:t xml:space="preserve">. </w:t>
      </w:r>
      <w:r>
        <w:t xml:space="preserve">Second, to address any remaining concerns </w:t>
      </w:r>
      <w:r w:rsidR="0061448A">
        <w:t>about</w:t>
      </w:r>
      <w:r>
        <w:t xml:space="preserve"> identification, we also apply lead</w:t>
      </w:r>
      <w:r w:rsidR="00A0093E">
        <w:t>s</w:t>
      </w:r>
      <w:r>
        <w:t xml:space="preserve"> of all our independent variables. This serves as a type of placebo test for a potential implicit parallel trend assumption in case of significance and also allows us to examine if there are anticipation effects present in a country being granted adequacy. Consistent with empirical gravity research – e.g., Larch et al. (2019) and Yotov et al. (2016) – we apply a four-year lead using cross-border input elasticities. The results, reported in column (5), show that the main results hold whereas the lead effects remain largely insignificant, except for </w:t>
      </w:r>
      <w:r w:rsidRPr="00723029">
        <w:rPr>
          <w:i/>
          <w:iCs/>
        </w:rPr>
        <w:t>SH/PS</w:t>
      </w:r>
      <w:r>
        <w:t>, which is negative and significant.</w:t>
      </w:r>
      <w:r>
        <w:rPr>
          <w:rStyle w:val="FootnoteReference"/>
        </w:rPr>
        <w:footnoteReference w:id="45"/>
      </w:r>
      <w:r>
        <w:t xml:space="preserve"> </w:t>
      </w:r>
    </w:p>
    <w:p w14:paraId="1BED4512" w14:textId="77777777" w:rsidR="007A2712" w:rsidRPr="00633995" w:rsidRDefault="007A2712" w:rsidP="007A2712">
      <w:pPr>
        <w:jc w:val="both"/>
      </w:pPr>
      <w:r w:rsidRPr="00633995">
        <w:t xml:space="preserve">Overall, using the most conservative estimates from our narrow digital dummy variable in Table 2 (column 4), </w:t>
      </w:r>
      <w:r>
        <w:t xml:space="preserve">which arguably offers the strongest empirical approach, </w:t>
      </w:r>
      <w:r w:rsidRPr="00633995">
        <w:t xml:space="preserve">the results suggest regular adequacy decisions increase digital trade by some 7-9 percent, whereas the two EU-US framework agreements </w:t>
      </w:r>
      <w:r>
        <w:t xml:space="preserve">increase digital trade </w:t>
      </w:r>
      <w:r w:rsidRPr="00633995">
        <w:t xml:space="preserve">by around 8 percent, computed as </w:t>
      </w:r>
      <m:oMath>
        <m:sSup>
          <m:sSupPr>
            <m:ctrlPr>
              <w:rPr>
                <w:rFonts w:ascii="Cambria Math" w:hAnsi="Cambria Math"/>
                <w:i/>
              </w:rPr>
            </m:ctrlPr>
          </m:sSupPr>
          <m:e>
            <m:r>
              <w:rPr>
                <w:rFonts w:ascii="Cambria Math" w:hAnsi="Cambria Math"/>
              </w:rPr>
              <m:t>e</m:t>
            </m:r>
          </m:e>
          <m: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RADQ | PS/SH)</m:t>
            </m:r>
          </m:sup>
        </m:sSup>
        <m:r>
          <w:rPr>
            <w:rFonts w:ascii="Cambria Math" w:hAnsi="Cambria Math"/>
          </w:rPr>
          <m:t>-1</m:t>
        </m:r>
      </m:oMath>
      <w:r w:rsidRPr="00633995">
        <w:rPr>
          <w:rFonts w:eastAsiaTheme="minorEastAsia"/>
        </w:rPr>
        <w:t>.</w:t>
      </w:r>
      <w:r>
        <w:t xml:space="preserve"> Considering</w:t>
      </w:r>
      <w:r w:rsidRPr="00633995">
        <w:t xml:space="preserve"> the club effect associated with the two Transatlantic data agreements, countries within the adequacy club experience a</w:t>
      </w:r>
      <w:r>
        <w:t xml:space="preserve"> digital </w:t>
      </w:r>
      <w:r w:rsidRPr="00633995">
        <w:t>trade impact of around 9 percent.</w:t>
      </w:r>
      <w:r w:rsidRPr="00633995">
        <w:rPr>
          <w:rStyle w:val="FootnoteReference"/>
        </w:rPr>
        <w:footnoteReference w:id="46"/>
      </w:r>
      <w:r w:rsidRPr="00633995">
        <w:t xml:space="preserve"> </w:t>
      </w:r>
      <w:r>
        <w:t>T</w:t>
      </w:r>
      <w:r w:rsidRPr="00710DEF">
        <w:t xml:space="preserve">he former </w:t>
      </w:r>
      <w:r>
        <w:t xml:space="preserve">estimate pertains to trade </w:t>
      </w:r>
      <w:r w:rsidRPr="00710DEF">
        <w:t>between the EU and countries</w:t>
      </w:r>
      <w:r>
        <w:t xml:space="preserve"> accorded adequacy status</w:t>
      </w:r>
      <w:r w:rsidRPr="00710DEF">
        <w:t xml:space="preserve">, whereas the latter </w:t>
      </w:r>
      <w:r>
        <w:t xml:space="preserve">applies to trade </w:t>
      </w:r>
      <w:r w:rsidRPr="00710DEF">
        <w:t xml:space="preserve">between </w:t>
      </w:r>
      <w:r>
        <w:t xml:space="preserve">countries that have been granted </w:t>
      </w:r>
      <w:r w:rsidRPr="00710DEF">
        <w:t>adequacy</w:t>
      </w:r>
      <w:r>
        <w:t>. T</w:t>
      </w:r>
      <w:r w:rsidRPr="00633995">
        <w:t>h</w:t>
      </w:r>
      <w:r>
        <w:t xml:space="preserve">ese results apply </w:t>
      </w:r>
      <w:r w:rsidRPr="00633995">
        <w:t xml:space="preserve">only </w:t>
      </w:r>
      <w:r>
        <w:t xml:space="preserve">to </w:t>
      </w:r>
      <w:r w:rsidRPr="00633995">
        <w:t xml:space="preserve">our pooled estimates. In our aggregate estimates, regular adequacy decisions do not have a significant impact, </w:t>
      </w:r>
      <w:r>
        <w:t xml:space="preserve">with </w:t>
      </w:r>
      <w:r w:rsidRPr="00633995">
        <w:t xml:space="preserve">adequacy </w:t>
      </w:r>
      <w:r>
        <w:t xml:space="preserve">only estimated to impact on trade under the two </w:t>
      </w:r>
      <w:r w:rsidRPr="00633995">
        <w:t>data flow agreement</w:t>
      </w:r>
      <w:r>
        <w:t>s</w:t>
      </w:r>
      <w:r w:rsidRPr="00633995">
        <w:t xml:space="preserve"> between the EU and the US.  </w:t>
      </w:r>
    </w:p>
    <w:p w14:paraId="03A7120F" w14:textId="347C7C52" w:rsidR="00B971D0" w:rsidRPr="00633995" w:rsidRDefault="00FE7545" w:rsidP="0011538D">
      <w:pPr>
        <w:pStyle w:val="ListParagraph"/>
        <w:numPr>
          <w:ilvl w:val="0"/>
          <w:numId w:val="7"/>
        </w:numPr>
        <w:spacing w:before="240" w:after="120" w:line="240" w:lineRule="auto"/>
        <w:contextualSpacing w:val="0"/>
        <w:jc w:val="both"/>
        <w:rPr>
          <w:b/>
          <w:bCs/>
        </w:rPr>
      </w:pPr>
      <w:r w:rsidRPr="00633995">
        <w:rPr>
          <w:b/>
          <w:bCs/>
        </w:rPr>
        <w:t>S</w:t>
      </w:r>
      <w:r w:rsidR="00B971D0" w:rsidRPr="00633995">
        <w:rPr>
          <w:b/>
          <w:bCs/>
        </w:rPr>
        <w:t xml:space="preserve">ynthetic </w:t>
      </w:r>
      <w:r w:rsidR="001377DD" w:rsidRPr="00633995">
        <w:rPr>
          <w:b/>
          <w:bCs/>
        </w:rPr>
        <w:t>c</w:t>
      </w:r>
      <w:r w:rsidR="00A119C5" w:rsidRPr="00633995">
        <w:rPr>
          <w:b/>
          <w:bCs/>
        </w:rPr>
        <w:t xml:space="preserve">ontrol </w:t>
      </w:r>
      <w:r w:rsidR="00FA063E" w:rsidRPr="00633995">
        <w:rPr>
          <w:b/>
          <w:bCs/>
        </w:rPr>
        <w:t>analysis</w:t>
      </w:r>
    </w:p>
    <w:p w14:paraId="79B47226" w14:textId="74F5C9BD" w:rsidR="002272C3" w:rsidRPr="00633995" w:rsidRDefault="001377DD" w:rsidP="0011538D">
      <w:pPr>
        <w:jc w:val="both"/>
      </w:pPr>
      <w:r w:rsidRPr="00633995">
        <w:rPr>
          <w:rFonts w:cs="CMU Serif"/>
        </w:rPr>
        <w:t>T</w:t>
      </w:r>
      <w:r w:rsidR="002272C3" w:rsidRPr="00633995">
        <w:rPr>
          <w:rFonts w:cs="CMU Serif"/>
        </w:rPr>
        <w:t xml:space="preserve">he relationship between adequacy </w:t>
      </w:r>
      <w:r w:rsidR="00FE7545" w:rsidRPr="00633995">
        <w:rPr>
          <w:rFonts w:cs="CMU Serif"/>
        </w:rPr>
        <w:t>decision</w:t>
      </w:r>
      <w:r w:rsidR="0061448A">
        <w:rPr>
          <w:rFonts w:cs="CMU Serif"/>
        </w:rPr>
        <w:t>s</w:t>
      </w:r>
      <w:r w:rsidR="00FE7545" w:rsidRPr="00633995">
        <w:rPr>
          <w:rFonts w:cs="CMU Serif"/>
        </w:rPr>
        <w:t xml:space="preserve"> </w:t>
      </w:r>
      <w:r w:rsidR="002272C3" w:rsidRPr="00633995">
        <w:rPr>
          <w:rFonts w:cs="CMU Serif"/>
        </w:rPr>
        <w:t xml:space="preserve">and digital trade </w:t>
      </w:r>
      <w:r w:rsidR="006A51E9" w:rsidRPr="00633995">
        <w:rPr>
          <w:rFonts w:cs="CMU Serif"/>
        </w:rPr>
        <w:t xml:space="preserve">is likely to </w:t>
      </w:r>
      <w:r w:rsidR="002272C3" w:rsidRPr="00633995">
        <w:rPr>
          <w:rFonts w:cs="CMU Serif"/>
        </w:rPr>
        <w:t xml:space="preserve">be </w:t>
      </w:r>
      <w:r w:rsidR="006A51E9" w:rsidRPr="00633995">
        <w:rPr>
          <w:rFonts w:cs="CMU Serif"/>
        </w:rPr>
        <w:t xml:space="preserve">influenced </w:t>
      </w:r>
      <w:r w:rsidR="002272C3" w:rsidRPr="00633995">
        <w:rPr>
          <w:rFonts w:cs="CMU Serif"/>
        </w:rPr>
        <w:t xml:space="preserve">by </w:t>
      </w:r>
      <w:r w:rsidR="006A51E9" w:rsidRPr="00633995">
        <w:rPr>
          <w:rFonts w:cs="CMU Serif"/>
        </w:rPr>
        <w:t>country</w:t>
      </w:r>
      <w:r w:rsidR="002272C3" w:rsidRPr="00633995">
        <w:rPr>
          <w:rFonts w:cs="CMU Serif"/>
        </w:rPr>
        <w:t xml:space="preserve"> characteristics. </w:t>
      </w:r>
      <w:r w:rsidRPr="00633995">
        <w:rPr>
          <w:rFonts w:cs="CMU Serif"/>
        </w:rPr>
        <w:t>A</w:t>
      </w:r>
      <w:r w:rsidR="0048113B" w:rsidRPr="00633995">
        <w:rPr>
          <w:rFonts w:cs="CMU Serif"/>
        </w:rPr>
        <w:t xml:space="preserve"> gravity model </w:t>
      </w:r>
      <w:r w:rsidRPr="00633995">
        <w:rPr>
          <w:rFonts w:cs="CMU Serif"/>
        </w:rPr>
        <w:t xml:space="preserve">approach </w:t>
      </w:r>
      <w:r w:rsidR="006A51E9" w:rsidRPr="00633995">
        <w:rPr>
          <w:rFonts w:cs="CMU Serif"/>
        </w:rPr>
        <w:t xml:space="preserve">is not well </w:t>
      </w:r>
      <w:r w:rsidR="008D1DD8" w:rsidRPr="00633995">
        <w:rPr>
          <w:rFonts w:cs="CMU Serif"/>
        </w:rPr>
        <w:t xml:space="preserve">suited </w:t>
      </w:r>
      <w:r w:rsidR="0061448A">
        <w:rPr>
          <w:rFonts w:cs="CMU Serif"/>
        </w:rPr>
        <w:t>for</w:t>
      </w:r>
      <w:r w:rsidR="0048113B" w:rsidRPr="00633995">
        <w:rPr>
          <w:rFonts w:cs="CMU Serif"/>
        </w:rPr>
        <w:t xml:space="preserve"> </w:t>
      </w:r>
      <w:r w:rsidR="006A51E9" w:rsidRPr="00633995">
        <w:rPr>
          <w:rFonts w:cs="CMU Serif"/>
        </w:rPr>
        <w:t>identify</w:t>
      </w:r>
      <w:r w:rsidR="0061448A">
        <w:rPr>
          <w:rFonts w:cs="CMU Serif"/>
        </w:rPr>
        <w:t>ing</w:t>
      </w:r>
      <w:r w:rsidR="006A51E9" w:rsidRPr="00633995">
        <w:rPr>
          <w:rFonts w:cs="CMU Serif"/>
        </w:rPr>
        <w:t xml:space="preserve"> </w:t>
      </w:r>
      <w:r w:rsidR="0048113B" w:rsidRPr="00633995">
        <w:rPr>
          <w:rFonts w:cs="CMU Serif"/>
        </w:rPr>
        <w:t>idiosyncratic effect</w:t>
      </w:r>
      <w:r w:rsidR="006A51E9" w:rsidRPr="00633995">
        <w:rPr>
          <w:rFonts w:cs="CMU Serif"/>
        </w:rPr>
        <w:t>s</w:t>
      </w:r>
      <w:r w:rsidR="0048113B" w:rsidRPr="00633995">
        <w:rPr>
          <w:rFonts w:cs="CMU Serif"/>
        </w:rPr>
        <w:t xml:space="preserve"> of adequacy on</w:t>
      </w:r>
      <w:r w:rsidR="00B5241B" w:rsidRPr="00633995">
        <w:rPr>
          <w:rFonts w:cs="CMU Serif"/>
        </w:rPr>
        <w:t xml:space="preserve"> </w:t>
      </w:r>
      <w:r w:rsidR="0048113B" w:rsidRPr="00633995">
        <w:rPr>
          <w:rFonts w:cs="CMU Serif"/>
        </w:rPr>
        <w:t>a country</w:t>
      </w:r>
      <w:r w:rsidR="006E1114" w:rsidRPr="00633995">
        <w:rPr>
          <w:rFonts w:cs="CMU Serif"/>
        </w:rPr>
        <w:t>’s</w:t>
      </w:r>
      <w:r w:rsidR="0048113B" w:rsidRPr="00633995">
        <w:rPr>
          <w:rFonts w:cs="CMU Serif"/>
        </w:rPr>
        <w:t xml:space="preserve"> digital trade. </w:t>
      </w:r>
      <w:r w:rsidR="00B81EFE" w:rsidRPr="00633995">
        <w:rPr>
          <w:rFonts w:cs="CMU Serif"/>
        </w:rPr>
        <w:t xml:space="preserve">To </w:t>
      </w:r>
      <w:r w:rsidR="006A51E9" w:rsidRPr="00633995">
        <w:rPr>
          <w:rFonts w:cs="CMU Serif"/>
        </w:rPr>
        <w:t xml:space="preserve">consider the potential role of </w:t>
      </w:r>
      <w:r w:rsidR="00B81EFE" w:rsidRPr="00633995">
        <w:rPr>
          <w:rFonts w:cs="CMU Serif"/>
        </w:rPr>
        <w:t>country-specific</w:t>
      </w:r>
      <w:r w:rsidR="006A51E9" w:rsidRPr="00633995">
        <w:rPr>
          <w:rFonts w:cs="CMU Serif"/>
        </w:rPr>
        <w:t xml:space="preserve"> factors</w:t>
      </w:r>
      <w:r w:rsidR="00B81EFE" w:rsidRPr="00633995">
        <w:rPr>
          <w:rFonts w:cs="CMU Serif"/>
        </w:rPr>
        <w:t>,</w:t>
      </w:r>
      <w:r w:rsidR="00B81EFE" w:rsidRPr="00633995">
        <w:t xml:space="preserve"> </w:t>
      </w:r>
      <w:r w:rsidR="006A51E9" w:rsidRPr="00633995">
        <w:t xml:space="preserve">we turn to </w:t>
      </w:r>
      <w:r w:rsidR="00B81EFE" w:rsidRPr="00633995">
        <w:t xml:space="preserve">a </w:t>
      </w:r>
      <w:r w:rsidR="00B81EFE" w:rsidRPr="00633995">
        <w:rPr>
          <w:rFonts w:cs="CMU Serif"/>
        </w:rPr>
        <w:t>synthetic control approach</w:t>
      </w:r>
      <w:r w:rsidR="00F14F02">
        <w:t xml:space="preserve">. </w:t>
      </w:r>
      <w:r w:rsidR="00B87580" w:rsidRPr="00633995">
        <w:rPr>
          <w:rFonts w:cs="CMU Serif"/>
        </w:rPr>
        <w:t xml:space="preserve">Synthetic control methods </w:t>
      </w:r>
      <w:r w:rsidR="000A45AD" w:rsidRPr="00633995">
        <w:rPr>
          <w:rFonts w:cs="CMU Serif"/>
        </w:rPr>
        <w:t xml:space="preserve">involve comparing the performance of a </w:t>
      </w:r>
      <w:r w:rsidR="00FE7545" w:rsidRPr="00633995">
        <w:rPr>
          <w:rFonts w:cs="CMU Serif"/>
        </w:rPr>
        <w:t xml:space="preserve">country </w:t>
      </w:r>
      <w:r w:rsidR="000A45AD" w:rsidRPr="00633995">
        <w:rPr>
          <w:rFonts w:cs="CMU Serif"/>
        </w:rPr>
        <w:t>granted adequacy with that of a synthetically constructed counterfactual unit, which approximates how the country obtaining adequacy would have performed had</w:t>
      </w:r>
      <w:r w:rsidR="00D5450B" w:rsidRPr="00633995">
        <w:rPr>
          <w:rFonts w:cs="CMU Serif"/>
        </w:rPr>
        <w:t xml:space="preserve"> it</w:t>
      </w:r>
      <w:r w:rsidR="000A45AD" w:rsidRPr="00633995">
        <w:rPr>
          <w:rFonts w:cs="CMU Serif"/>
        </w:rPr>
        <w:t xml:space="preserve"> never received adequacy status</w:t>
      </w:r>
      <w:r w:rsidR="002272C3" w:rsidRPr="00633995">
        <w:rPr>
          <w:rFonts w:cs="CMU Serif"/>
        </w:rPr>
        <w:t xml:space="preserve">. </w:t>
      </w:r>
      <w:r w:rsidR="002E4861">
        <w:rPr>
          <w:rFonts w:cs="CMU Serif"/>
        </w:rPr>
        <w:t>P</w:t>
      </w:r>
      <w:r w:rsidR="002272C3" w:rsidRPr="00633995">
        <w:rPr>
          <w:rFonts w:cs="CMU Serif"/>
        </w:rPr>
        <w:t xml:space="preserve">re-adequacy differences between </w:t>
      </w:r>
      <w:r w:rsidR="00B87580" w:rsidRPr="00633995">
        <w:rPr>
          <w:rFonts w:cs="CMU Serif"/>
        </w:rPr>
        <w:t xml:space="preserve">a </w:t>
      </w:r>
      <w:r w:rsidR="002272C3" w:rsidRPr="00633995">
        <w:rPr>
          <w:rFonts w:cs="CMU Serif"/>
        </w:rPr>
        <w:t>country</w:t>
      </w:r>
      <w:r w:rsidR="00722D6F" w:rsidRPr="00633995">
        <w:rPr>
          <w:rFonts w:cs="CMU Serif"/>
        </w:rPr>
        <w:t xml:space="preserve"> receiving adequacy</w:t>
      </w:r>
      <w:r w:rsidR="002272C3" w:rsidRPr="00633995">
        <w:rPr>
          <w:rFonts w:cs="CMU Serif"/>
        </w:rPr>
        <w:t xml:space="preserve"> and </w:t>
      </w:r>
      <w:r w:rsidR="00B87580" w:rsidRPr="00633995">
        <w:rPr>
          <w:rFonts w:cs="CMU Serif"/>
        </w:rPr>
        <w:t>a</w:t>
      </w:r>
      <w:r w:rsidR="002272C3" w:rsidRPr="00633995">
        <w:rPr>
          <w:rFonts w:cs="CMU Serif"/>
        </w:rPr>
        <w:t xml:space="preserve"> constructed counterfactual</w:t>
      </w:r>
      <w:r w:rsidR="002E4861">
        <w:rPr>
          <w:rFonts w:cs="CMU Serif"/>
        </w:rPr>
        <w:t xml:space="preserve"> are minimized </w:t>
      </w:r>
      <w:r w:rsidR="002272C3" w:rsidRPr="00633995">
        <w:rPr>
          <w:rFonts w:cs="CMU Serif"/>
        </w:rPr>
        <w:t xml:space="preserve">by aggregating the pool of potential </w:t>
      </w:r>
      <w:r w:rsidR="00B5241B" w:rsidRPr="00633995">
        <w:rPr>
          <w:rFonts w:cs="CMU Serif"/>
        </w:rPr>
        <w:t xml:space="preserve">untreated </w:t>
      </w:r>
      <w:r w:rsidR="002272C3" w:rsidRPr="00633995">
        <w:rPr>
          <w:rFonts w:cs="CMU Serif"/>
        </w:rPr>
        <w:t>control units</w:t>
      </w:r>
      <w:r w:rsidR="00B5241B" w:rsidRPr="00633995">
        <w:rPr>
          <w:rFonts w:cs="CMU Serif"/>
        </w:rPr>
        <w:t>,</w:t>
      </w:r>
      <w:r w:rsidR="002272C3" w:rsidRPr="00633995">
        <w:rPr>
          <w:rFonts w:cs="CMU Serif"/>
        </w:rPr>
        <w:t xml:space="preserve"> based on their individual performance with respect to both the outcome of interest (digital trade) and the variables used for matching purposes (Abadie </w:t>
      </w:r>
      <w:r w:rsidR="002272C3" w:rsidRPr="00633995">
        <w:rPr>
          <w:rFonts w:cs="CMU Serif"/>
          <w:i/>
          <w:iCs/>
        </w:rPr>
        <w:t>et al</w:t>
      </w:r>
      <w:r w:rsidR="002272C3" w:rsidRPr="00633995">
        <w:rPr>
          <w:rFonts w:cs="CMU Serif"/>
        </w:rPr>
        <w:t xml:space="preserve">., 2015). Provided a set of </w:t>
      </w:r>
      <w:r w:rsidR="00B5241B" w:rsidRPr="00633995">
        <w:rPr>
          <w:rFonts w:cs="CMU Serif"/>
        </w:rPr>
        <w:t>pseudo-</w:t>
      </w:r>
      <w:r w:rsidR="002272C3" w:rsidRPr="00633995">
        <w:rPr>
          <w:rFonts w:cs="CMU Serif"/>
        </w:rPr>
        <w:t xml:space="preserve">identifying assumptions hold, the difference between the treated and </w:t>
      </w:r>
      <w:r w:rsidR="00FE7545" w:rsidRPr="00633995">
        <w:rPr>
          <w:rFonts w:cs="CMU Serif"/>
        </w:rPr>
        <w:t xml:space="preserve">the </w:t>
      </w:r>
      <w:r w:rsidR="002272C3" w:rsidRPr="00633995">
        <w:rPr>
          <w:rFonts w:cs="CMU Serif"/>
        </w:rPr>
        <w:t>synthetic control in the post-adequacy period can be attributed to being granted adequacy.</w:t>
      </w:r>
      <w:r w:rsidR="002272C3" w:rsidRPr="00633995">
        <w:rPr>
          <w:rStyle w:val="FootnoteReference"/>
          <w:rFonts w:cs="CMU Serif"/>
        </w:rPr>
        <w:footnoteReference w:id="47"/>
      </w:r>
      <w:r w:rsidR="002272C3" w:rsidRPr="00633995">
        <w:rPr>
          <w:rFonts w:cs="CMU Serif"/>
        </w:rPr>
        <w:t xml:space="preserve"> </w:t>
      </w:r>
    </w:p>
    <w:p w14:paraId="7C1BEC36" w14:textId="5A1069CF" w:rsidR="00923F2A" w:rsidRPr="00633995" w:rsidRDefault="005C0ED4" w:rsidP="0011538D">
      <w:pPr>
        <w:jc w:val="both"/>
        <w:rPr>
          <w:rFonts w:cs="CMU Serif"/>
        </w:rPr>
      </w:pPr>
      <w:r>
        <w:lastRenderedPageBreak/>
        <w:t xml:space="preserve">Our objective here is twofold: first, to assess whether the effects of </w:t>
      </w:r>
      <w:r w:rsidR="00CE7A6C">
        <w:t>a</w:t>
      </w:r>
      <w:r>
        <w:t>dequacy decision</w:t>
      </w:r>
      <w:r w:rsidR="00784092">
        <w:t>s</w:t>
      </w:r>
      <w:r>
        <w:t xml:space="preserve"> are homogeneous irrespectively of the country that </w:t>
      </w:r>
      <w:r w:rsidR="0061448A">
        <w:t>benefits</w:t>
      </w:r>
      <w:r>
        <w:t xml:space="preserve"> such decision</w:t>
      </w:r>
      <w:r w:rsidR="00784092">
        <w:t>s</w:t>
      </w:r>
      <w:r w:rsidR="00CE7A6C">
        <w:t>; s</w:t>
      </w:r>
      <w:r>
        <w:t xml:space="preserve">econd, </w:t>
      </w:r>
      <w:r w:rsidR="00CE7A6C">
        <w:t xml:space="preserve">if </w:t>
      </w:r>
      <w:r>
        <w:t>the response is heterogeneous, to understand the pattern of response</w:t>
      </w:r>
      <w:r w:rsidR="00CE7A6C">
        <w:t>s</w:t>
      </w:r>
      <w:r>
        <w:t xml:space="preserve">. </w:t>
      </w:r>
      <w:r w:rsidR="00CE7A6C">
        <w:t>W</w:t>
      </w:r>
      <w:r w:rsidR="00B81EFE" w:rsidRPr="00633995">
        <w:rPr>
          <w:rFonts w:cs="CMU Serif"/>
        </w:rPr>
        <w:t>e consider three</w:t>
      </w:r>
      <w:r w:rsidR="00722D6F" w:rsidRPr="00633995">
        <w:rPr>
          <w:rFonts w:cs="CMU Serif"/>
        </w:rPr>
        <w:t xml:space="preserve"> </w:t>
      </w:r>
      <w:r w:rsidR="00B81EFE" w:rsidRPr="00633995">
        <w:rPr>
          <w:rFonts w:cs="CMU Serif"/>
        </w:rPr>
        <w:t>distinct adequacy decisions:</w:t>
      </w:r>
      <w:r w:rsidR="00722D6F" w:rsidRPr="00633995">
        <w:rPr>
          <w:rFonts w:cs="CMU Serif"/>
        </w:rPr>
        <w:t xml:space="preserve"> </w:t>
      </w:r>
      <w:r w:rsidR="00EA15FA">
        <w:rPr>
          <w:rFonts w:cs="CMU Serif"/>
        </w:rPr>
        <w:t xml:space="preserve">Argentina, </w:t>
      </w:r>
      <w:r w:rsidR="000313BB">
        <w:rPr>
          <w:rFonts w:cs="CMU Serif"/>
        </w:rPr>
        <w:t xml:space="preserve">Israel and </w:t>
      </w:r>
      <w:r w:rsidR="002272C3" w:rsidRPr="00633995">
        <w:rPr>
          <w:rFonts w:cs="CMU Serif"/>
        </w:rPr>
        <w:t>New Zealand</w:t>
      </w:r>
      <w:r w:rsidR="00DF368B">
        <w:rPr>
          <w:rFonts w:cs="CMU Serif"/>
        </w:rPr>
        <w:t>.</w:t>
      </w:r>
      <w:r w:rsidR="002272C3" w:rsidRPr="00633995">
        <w:rPr>
          <w:rFonts w:cs="CMU Serif"/>
        </w:rPr>
        <w:t xml:space="preserve"> </w:t>
      </w:r>
      <w:r w:rsidR="00CE7A6C">
        <w:rPr>
          <w:rFonts w:cs="CMU Serif"/>
        </w:rPr>
        <w:t>The</w:t>
      </w:r>
      <w:r w:rsidR="00DF368B">
        <w:rPr>
          <w:rFonts w:cs="CMU Serif"/>
        </w:rPr>
        <w:t xml:space="preserve"> motivation for focusing on these </w:t>
      </w:r>
      <w:r w:rsidR="00CE7A6C">
        <w:rPr>
          <w:rFonts w:cs="CMU Serif"/>
        </w:rPr>
        <w:t xml:space="preserve">three countries </w:t>
      </w:r>
      <w:r w:rsidR="00DF368B">
        <w:rPr>
          <w:rFonts w:cs="CMU Serif"/>
        </w:rPr>
        <w:t xml:space="preserve">is that they </w:t>
      </w:r>
      <w:r w:rsidR="00CE7A6C">
        <w:rPr>
          <w:rFonts w:cs="CMU Serif"/>
        </w:rPr>
        <w:t>obtained adequacy at different points in time (2003, 2011, and 2013 respectively)</w:t>
      </w:r>
      <w:r w:rsidR="00DF368B">
        <w:rPr>
          <w:rFonts w:cs="CMU Serif"/>
        </w:rPr>
        <w:t xml:space="preserve"> and are </w:t>
      </w:r>
      <w:r w:rsidR="00784092">
        <w:rPr>
          <w:rFonts w:cs="CMU Serif"/>
        </w:rPr>
        <w:t>locat</w:t>
      </w:r>
      <w:r w:rsidR="00CE7A6C">
        <w:rPr>
          <w:rFonts w:cs="CMU Serif"/>
        </w:rPr>
        <w:t>ed in different parts of the world</w:t>
      </w:r>
      <w:r w:rsidR="00DF368B">
        <w:rPr>
          <w:rFonts w:cs="CMU Serif"/>
        </w:rPr>
        <w:t xml:space="preserve">. Their </w:t>
      </w:r>
      <w:r w:rsidR="005247E9">
        <w:rPr>
          <w:rFonts w:cs="CMU Serif"/>
        </w:rPr>
        <w:t xml:space="preserve">geographic </w:t>
      </w:r>
      <w:r w:rsidR="00CE7A6C">
        <w:rPr>
          <w:rFonts w:cs="CMU Serif"/>
        </w:rPr>
        <w:t xml:space="preserve">dispersion </w:t>
      </w:r>
      <w:r w:rsidR="00DF368B">
        <w:rPr>
          <w:rFonts w:cs="CMU Serif"/>
        </w:rPr>
        <w:t xml:space="preserve">may drive </w:t>
      </w:r>
      <w:r w:rsidR="005247E9">
        <w:rPr>
          <w:rFonts w:cs="CMU Serif"/>
        </w:rPr>
        <w:t>idiosyncratic response</w:t>
      </w:r>
      <w:r w:rsidR="00CE7A6C">
        <w:rPr>
          <w:rFonts w:cs="CMU Serif"/>
        </w:rPr>
        <w:t>s</w:t>
      </w:r>
      <w:r w:rsidR="005247E9">
        <w:rPr>
          <w:rFonts w:cs="CMU Serif"/>
        </w:rPr>
        <w:t xml:space="preserve"> to an </w:t>
      </w:r>
      <w:r w:rsidR="00CE7A6C">
        <w:rPr>
          <w:rFonts w:cs="CMU Serif"/>
        </w:rPr>
        <w:t>a</w:t>
      </w:r>
      <w:r w:rsidR="005247E9">
        <w:rPr>
          <w:rFonts w:cs="CMU Serif"/>
        </w:rPr>
        <w:t>dequacy decision</w:t>
      </w:r>
      <w:r w:rsidR="00DF368B">
        <w:rPr>
          <w:rFonts w:cs="CMU Serif"/>
        </w:rPr>
        <w:t xml:space="preserve">, associated with </w:t>
      </w:r>
      <w:r w:rsidR="005247E9">
        <w:rPr>
          <w:rFonts w:cs="CMU Serif"/>
        </w:rPr>
        <w:t xml:space="preserve">a country’s integration </w:t>
      </w:r>
      <w:r w:rsidR="00DF368B">
        <w:rPr>
          <w:rFonts w:cs="CMU Serif"/>
        </w:rPr>
        <w:t xml:space="preserve">into </w:t>
      </w:r>
      <w:r w:rsidR="005247E9">
        <w:rPr>
          <w:rFonts w:cs="CMU Serif"/>
        </w:rPr>
        <w:t>different regional digital market</w:t>
      </w:r>
      <w:r w:rsidR="00DF368B">
        <w:rPr>
          <w:rFonts w:cs="CMU Serif"/>
        </w:rPr>
        <w:t>s</w:t>
      </w:r>
      <w:r w:rsidR="005247E9">
        <w:rPr>
          <w:rFonts w:cs="CMU Serif"/>
        </w:rPr>
        <w:t>.</w:t>
      </w:r>
      <w:r w:rsidR="00CE7A6C">
        <w:rPr>
          <w:rFonts w:cs="CMU Serif"/>
        </w:rPr>
        <w:t xml:space="preserve"> Each </w:t>
      </w:r>
      <w:r w:rsidR="00DF368B">
        <w:rPr>
          <w:rFonts w:cs="CMU Serif"/>
        </w:rPr>
        <w:t xml:space="preserve">of the three countries </w:t>
      </w:r>
      <w:r w:rsidR="00CE7A6C">
        <w:rPr>
          <w:rFonts w:cs="CMU Serif"/>
        </w:rPr>
        <w:t>also ha</w:t>
      </w:r>
      <w:r w:rsidR="00DF368B">
        <w:rPr>
          <w:rFonts w:cs="CMU Serif"/>
        </w:rPr>
        <w:t xml:space="preserve">ve </w:t>
      </w:r>
      <w:r w:rsidR="00CE7A6C">
        <w:rPr>
          <w:rFonts w:cs="CMU Serif"/>
        </w:rPr>
        <w:t xml:space="preserve">distinct features as regards digital trade. </w:t>
      </w:r>
      <w:r w:rsidR="002272C3" w:rsidRPr="00633995">
        <w:rPr>
          <w:rFonts w:cs="CMU Serif"/>
        </w:rPr>
        <w:t>Argentina</w:t>
      </w:r>
      <w:r w:rsidR="00DF368B">
        <w:rPr>
          <w:rFonts w:cs="CMU Serif"/>
        </w:rPr>
        <w:t xml:space="preserve">, a middle-income country, saw </w:t>
      </w:r>
      <w:r w:rsidR="002272C3" w:rsidRPr="00633995">
        <w:rPr>
          <w:rFonts w:cs="CMU Serif"/>
        </w:rPr>
        <w:t>digital</w:t>
      </w:r>
      <w:r w:rsidR="00CE7A6C">
        <w:rPr>
          <w:rFonts w:cs="CMU Serif"/>
        </w:rPr>
        <w:t xml:space="preserve"> exports</w:t>
      </w:r>
      <w:r w:rsidR="002272C3" w:rsidRPr="00633995">
        <w:rPr>
          <w:rFonts w:cs="CMU Serif"/>
        </w:rPr>
        <w:t xml:space="preserve"> expand substantially during the period of analysis.</w:t>
      </w:r>
      <w:r w:rsidR="00DF368B">
        <w:rPr>
          <w:rStyle w:val="FootnoteReference"/>
          <w:rFonts w:cs="CMU Serif"/>
        </w:rPr>
        <w:footnoteReference w:id="48"/>
      </w:r>
      <w:r w:rsidR="002272C3" w:rsidRPr="00633995">
        <w:rPr>
          <w:rFonts w:cs="CMU Serif"/>
        </w:rPr>
        <w:t xml:space="preserve"> </w:t>
      </w:r>
      <w:r w:rsidR="00611EFD" w:rsidRPr="00633995">
        <w:rPr>
          <w:rFonts w:cs="CMU Serif"/>
        </w:rPr>
        <w:t xml:space="preserve">Argentina </w:t>
      </w:r>
      <w:r w:rsidR="004D642E" w:rsidRPr="00633995">
        <w:rPr>
          <w:rFonts w:cs="CMU Serif"/>
        </w:rPr>
        <w:t>is</w:t>
      </w:r>
      <w:r w:rsidR="005247E9">
        <w:rPr>
          <w:rFonts w:cs="CMU Serif"/>
        </w:rPr>
        <w:t xml:space="preserve"> also</w:t>
      </w:r>
      <w:r w:rsidR="002272C3" w:rsidRPr="00633995">
        <w:rPr>
          <w:rFonts w:cs="CMU Serif"/>
        </w:rPr>
        <w:t xml:space="preserve"> </w:t>
      </w:r>
      <w:r w:rsidR="004D642E" w:rsidRPr="00633995">
        <w:rPr>
          <w:rFonts w:cs="CMU Serif"/>
        </w:rPr>
        <w:t xml:space="preserve">the only </w:t>
      </w:r>
      <w:r w:rsidR="002272C3" w:rsidRPr="00633995">
        <w:rPr>
          <w:rFonts w:cs="CMU Serif"/>
        </w:rPr>
        <w:t>Latin American Spanish speaking countr</w:t>
      </w:r>
      <w:r w:rsidR="004D642E" w:rsidRPr="00633995">
        <w:rPr>
          <w:rFonts w:cs="CMU Serif"/>
        </w:rPr>
        <w:t xml:space="preserve">y </w:t>
      </w:r>
      <w:r w:rsidR="002272C3" w:rsidRPr="00633995">
        <w:rPr>
          <w:rFonts w:cs="CMU Serif"/>
        </w:rPr>
        <w:t>with EU adequacy</w:t>
      </w:r>
      <w:r w:rsidR="00FE1FB8" w:rsidRPr="00633995">
        <w:rPr>
          <w:rFonts w:cs="CMU Serif"/>
        </w:rPr>
        <w:t xml:space="preserve"> in our sample</w:t>
      </w:r>
      <w:r w:rsidR="00267793">
        <w:rPr>
          <w:rFonts w:cs="CMU Serif"/>
        </w:rPr>
        <w:t xml:space="preserve"> and is located in the same time-zone as the US</w:t>
      </w:r>
      <w:r w:rsidR="004D642E" w:rsidRPr="00633995">
        <w:rPr>
          <w:rFonts w:cs="CMU Serif"/>
        </w:rPr>
        <w:t>.</w:t>
      </w:r>
      <w:r w:rsidR="002272C3" w:rsidRPr="00633995">
        <w:rPr>
          <w:rStyle w:val="FootnoteReference"/>
          <w:rFonts w:cs="CMU Serif"/>
        </w:rPr>
        <w:footnoteReference w:id="49"/>
      </w:r>
      <w:r w:rsidR="002272C3" w:rsidRPr="00633995">
        <w:rPr>
          <w:rFonts w:cs="CMU Serif"/>
        </w:rPr>
        <w:t xml:space="preserve"> </w:t>
      </w:r>
      <w:r w:rsidR="000313BB" w:rsidRPr="00633995">
        <w:rPr>
          <w:rFonts w:cs="CMU Serif"/>
        </w:rPr>
        <w:t xml:space="preserve">Israel </w:t>
      </w:r>
      <w:r w:rsidR="00DF368B">
        <w:rPr>
          <w:rFonts w:cs="CMU Serif"/>
        </w:rPr>
        <w:t xml:space="preserve">differs from the other countries </w:t>
      </w:r>
      <w:r w:rsidR="000313BB" w:rsidRPr="00633995">
        <w:rPr>
          <w:rFonts w:cs="CMU Serif"/>
        </w:rPr>
        <w:t>because of its relative</w:t>
      </w:r>
      <w:r w:rsidR="00CE7A6C">
        <w:rPr>
          <w:rFonts w:cs="CMU Serif"/>
        </w:rPr>
        <w:t>ly close</w:t>
      </w:r>
      <w:r w:rsidR="000313BB" w:rsidRPr="00633995">
        <w:rPr>
          <w:rFonts w:cs="CMU Serif"/>
        </w:rPr>
        <w:t xml:space="preserve"> geographic proximity to the EU</w:t>
      </w:r>
      <w:r w:rsidR="001C0902">
        <w:rPr>
          <w:rFonts w:cs="CMU Serif"/>
        </w:rPr>
        <w:t xml:space="preserve">, </w:t>
      </w:r>
      <w:r w:rsidR="000313BB" w:rsidRPr="00633995">
        <w:rPr>
          <w:rFonts w:cs="CMU Serif"/>
        </w:rPr>
        <w:t xml:space="preserve">strong </w:t>
      </w:r>
      <w:r w:rsidR="001C0902">
        <w:rPr>
          <w:rFonts w:cs="CMU Serif"/>
        </w:rPr>
        <w:t xml:space="preserve">comparative advantage in ICT/high tech industries that </w:t>
      </w:r>
      <w:r w:rsidR="00DF368B">
        <w:rPr>
          <w:rFonts w:cs="CMU Serif"/>
        </w:rPr>
        <w:t xml:space="preserve">rely on </w:t>
      </w:r>
      <w:r w:rsidR="001C0902">
        <w:rPr>
          <w:rFonts w:cs="CMU Serif"/>
        </w:rPr>
        <w:t xml:space="preserve">cross-border data flows, and deep </w:t>
      </w:r>
      <w:r w:rsidR="00CE7A6C">
        <w:rPr>
          <w:rFonts w:cs="CMU Serif"/>
        </w:rPr>
        <w:t xml:space="preserve">economic </w:t>
      </w:r>
      <w:r w:rsidR="000313BB" w:rsidRPr="00633995">
        <w:rPr>
          <w:rFonts w:cs="CMU Serif"/>
        </w:rPr>
        <w:t>ties with the US</w:t>
      </w:r>
      <w:r w:rsidR="005247E9">
        <w:rPr>
          <w:rFonts w:cs="CMU Serif"/>
        </w:rPr>
        <w:t xml:space="preserve">. </w:t>
      </w:r>
      <w:r w:rsidR="00DE6D6D">
        <w:rPr>
          <w:rFonts w:cs="CMU Serif"/>
        </w:rPr>
        <w:t xml:space="preserve">Finally, </w:t>
      </w:r>
      <w:r w:rsidR="002272C3" w:rsidRPr="00633995">
        <w:rPr>
          <w:rFonts w:cs="CMU Serif"/>
        </w:rPr>
        <w:t xml:space="preserve">New Zealand is </w:t>
      </w:r>
      <w:r w:rsidR="00DF368B">
        <w:rPr>
          <w:rFonts w:cs="CMU Serif"/>
        </w:rPr>
        <w:t xml:space="preserve">English-speaking, is among the most </w:t>
      </w:r>
      <w:r w:rsidR="00DE6D6D" w:rsidRPr="00633995">
        <w:rPr>
          <w:rFonts w:cs="CMU Serif"/>
        </w:rPr>
        <w:t>geographically remote</w:t>
      </w:r>
      <w:r w:rsidR="00DF368B">
        <w:rPr>
          <w:rFonts w:cs="CMU Serif"/>
        </w:rPr>
        <w:t xml:space="preserve"> countries</w:t>
      </w:r>
      <w:r w:rsidR="00DE6D6D">
        <w:rPr>
          <w:rFonts w:cs="CMU Serif"/>
        </w:rPr>
        <w:t xml:space="preserve">, </w:t>
      </w:r>
      <w:r w:rsidR="00DF368B">
        <w:rPr>
          <w:rFonts w:cs="CMU Serif"/>
        </w:rPr>
        <w:t xml:space="preserve">located in a </w:t>
      </w:r>
      <w:r w:rsidR="00DF368B" w:rsidRPr="00633995">
        <w:rPr>
          <w:rFonts w:cs="CMU Serif"/>
        </w:rPr>
        <w:t>time zone many hours ahead/behind the EU and US, the two largest digital services traders (</w:t>
      </w:r>
      <w:bookmarkStart w:id="2" w:name="_Hlk163154083"/>
      <w:r w:rsidR="00DF368B" w:rsidRPr="00633995">
        <w:rPr>
          <w:rFonts w:cs="CMU Serif"/>
        </w:rPr>
        <w:t>WTO, 2023</w:t>
      </w:r>
      <w:bookmarkEnd w:id="2"/>
      <w:r w:rsidR="00DF368B" w:rsidRPr="00633995">
        <w:rPr>
          <w:rFonts w:cs="CMU Serif"/>
        </w:rPr>
        <w:t>)</w:t>
      </w:r>
      <w:r w:rsidR="00DF368B">
        <w:rPr>
          <w:rFonts w:cs="CMU Serif"/>
        </w:rPr>
        <w:t xml:space="preserve"> and has </w:t>
      </w:r>
      <w:r w:rsidR="00DE6D6D">
        <w:rPr>
          <w:rFonts w:cs="CMU Serif"/>
        </w:rPr>
        <w:t>strong historic</w:t>
      </w:r>
      <w:r w:rsidR="00DF368B">
        <w:rPr>
          <w:rFonts w:cs="CMU Serif"/>
        </w:rPr>
        <w:t>al</w:t>
      </w:r>
      <w:r w:rsidR="00DE6D6D">
        <w:rPr>
          <w:rFonts w:cs="CMU Serif"/>
        </w:rPr>
        <w:t xml:space="preserve"> connections </w:t>
      </w:r>
      <w:r w:rsidR="00CE7A6C">
        <w:rPr>
          <w:rFonts w:cs="CMU Serif"/>
        </w:rPr>
        <w:t xml:space="preserve">to </w:t>
      </w:r>
      <w:r w:rsidR="00DE6D6D">
        <w:rPr>
          <w:rFonts w:cs="CMU Serif"/>
        </w:rPr>
        <w:t>Europe</w:t>
      </w:r>
      <w:r w:rsidR="00DF368B">
        <w:rPr>
          <w:rFonts w:cs="CMU Serif"/>
        </w:rPr>
        <w:t>.</w:t>
      </w:r>
      <w:r w:rsidR="002272C3" w:rsidRPr="00633995">
        <w:rPr>
          <w:rStyle w:val="FootnoteReference"/>
          <w:rFonts w:cs="CMU Serif"/>
        </w:rPr>
        <w:footnoteReference w:id="50"/>
      </w:r>
      <w:r w:rsidR="002272C3" w:rsidRPr="00633995">
        <w:rPr>
          <w:rFonts w:cs="CMU Serif"/>
        </w:rPr>
        <w:t xml:space="preserve"> </w:t>
      </w:r>
      <w:r w:rsidR="00DF368B">
        <w:rPr>
          <w:rFonts w:cs="CMU Serif"/>
        </w:rPr>
        <w:t xml:space="preserve"> </w:t>
      </w:r>
      <w:r w:rsidR="008A79C7">
        <w:rPr>
          <w:rFonts w:cs="CMU Serif"/>
        </w:rPr>
        <w:t xml:space="preserve">New Zealand’s </w:t>
      </w:r>
      <w:r w:rsidR="008A79C7" w:rsidRPr="008A79C7">
        <w:rPr>
          <w:rFonts w:cs="CMU Serif"/>
        </w:rPr>
        <w:t xml:space="preserve">remoteness </w:t>
      </w:r>
      <w:r w:rsidR="008A79C7">
        <w:rPr>
          <w:rFonts w:cs="CMU Serif"/>
        </w:rPr>
        <w:t xml:space="preserve">from </w:t>
      </w:r>
      <w:r w:rsidR="008A79C7" w:rsidRPr="008A79C7">
        <w:rPr>
          <w:rFonts w:cs="CMU Serif"/>
        </w:rPr>
        <w:t xml:space="preserve">the EU and all other </w:t>
      </w:r>
      <w:r w:rsidR="008A79C7">
        <w:rPr>
          <w:rFonts w:cs="CMU Serif"/>
        </w:rPr>
        <w:t xml:space="preserve">countries accorded </w:t>
      </w:r>
      <w:r w:rsidR="0032237D">
        <w:rPr>
          <w:rFonts w:cs="CMU Serif"/>
        </w:rPr>
        <w:t xml:space="preserve">EU </w:t>
      </w:r>
      <w:r w:rsidR="008A79C7">
        <w:rPr>
          <w:rFonts w:cs="CMU Serif"/>
        </w:rPr>
        <w:t>adequacy is salient in evaluating whether a</w:t>
      </w:r>
      <w:r w:rsidR="008A79C7" w:rsidRPr="008A79C7">
        <w:rPr>
          <w:rFonts w:cs="CMU Serif"/>
        </w:rPr>
        <w:t>dequacy is indeed effective in promoting digital trade and create</w:t>
      </w:r>
      <w:r w:rsidR="008A79C7">
        <w:rPr>
          <w:rFonts w:cs="CMU Serif"/>
        </w:rPr>
        <w:t>s</w:t>
      </w:r>
      <w:r w:rsidR="008A79C7" w:rsidRPr="008A79C7">
        <w:rPr>
          <w:rFonts w:cs="CMU Serif"/>
        </w:rPr>
        <w:t xml:space="preserve"> a club effect with other adequate partners, </w:t>
      </w:r>
      <w:r w:rsidR="008A79C7">
        <w:rPr>
          <w:rFonts w:cs="CMU Serif"/>
        </w:rPr>
        <w:t xml:space="preserve">notwithstanding </w:t>
      </w:r>
      <w:r w:rsidR="008B77DB">
        <w:rPr>
          <w:rFonts w:cs="CMU Serif"/>
        </w:rPr>
        <w:t xml:space="preserve">its remoteness </w:t>
      </w:r>
      <w:r w:rsidR="008A79C7" w:rsidRPr="008A79C7">
        <w:rPr>
          <w:rFonts w:cs="CMU Serif"/>
        </w:rPr>
        <w:t>compared to other adequate countries</w:t>
      </w:r>
      <w:r w:rsidR="008A79C7">
        <w:rPr>
          <w:rFonts w:cs="CMU Serif"/>
        </w:rPr>
        <w:t>.</w:t>
      </w:r>
    </w:p>
    <w:p w14:paraId="5E715414" w14:textId="6A052298" w:rsidR="0091133E" w:rsidRPr="00633995" w:rsidRDefault="00722D6F" w:rsidP="00607058">
      <w:pPr>
        <w:tabs>
          <w:tab w:val="left" w:pos="8198"/>
        </w:tabs>
        <w:jc w:val="both"/>
        <w:rPr>
          <w:b/>
          <w:bCs/>
        </w:rPr>
      </w:pPr>
      <w:r w:rsidRPr="00633995">
        <w:rPr>
          <w:b/>
          <w:bCs/>
        </w:rPr>
        <w:t>5</w:t>
      </w:r>
      <w:r w:rsidR="0091133E" w:rsidRPr="00633995">
        <w:rPr>
          <w:b/>
          <w:bCs/>
        </w:rPr>
        <w:t>.1 Methodology</w:t>
      </w:r>
      <w:r w:rsidR="00267793">
        <w:rPr>
          <w:b/>
          <w:bCs/>
        </w:rPr>
        <w:tab/>
      </w:r>
    </w:p>
    <w:p w14:paraId="0C1E0041" w14:textId="01DE2422" w:rsidR="002272C3" w:rsidRPr="00633995" w:rsidRDefault="00722D6F" w:rsidP="0011538D">
      <w:pPr>
        <w:jc w:val="both"/>
        <w:rPr>
          <w:rFonts w:cs="CMU Serif"/>
        </w:rPr>
      </w:pPr>
      <w:r w:rsidRPr="00633995">
        <w:rPr>
          <w:rFonts w:cs="CMU Serif"/>
        </w:rPr>
        <w:t>Following</w:t>
      </w:r>
      <w:r w:rsidR="002272C3" w:rsidRPr="00633995">
        <w:rPr>
          <w:rFonts w:cs="CMU Serif"/>
        </w:rPr>
        <w:t xml:space="preserve"> Hollingsworth and Wing (2022)</w:t>
      </w:r>
      <w:r w:rsidR="00B05B18" w:rsidRPr="00633995">
        <w:rPr>
          <w:rFonts w:cs="CMU Serif"/>
        </w:rPr>
        <w:t>,</w:t>
      </w:r>
      <w:r w:rsidR="002272C3" w:rsidRPr="00633995">
        <w:rPr>
          <w:rFonts w:cs="CMU Serif"/>
        </w:rPr>
        <w:t xml:space="preserve"> </w:t>
      </w:r>
      <w:r w:rsidRPr="00633995">
        <w:rPr>
          <w:rFonts w:cs="CMU Serif"/>
        </w:rPr>
        <w:t>we</w:t>
      </w:r>
      <w:r w:rsidR="002272C3" w:rsidRPr="00633995">
        <w:rPr>
          <w:rFonts w:cs="CMU Serif"/>
        </w:rPr>
        <w:t xml:space="preserve"> use a matching algorithm that relies on the Least Absolute Shrinkage and Selection Operator (Lasso) for the selection of the </w:t>
      </w:r>
      <w:r w:rsidR="00BE2374" w:rsidRPr="00633995">
        <w:rPr>
          <w:rFonts w:cs="CMU Serif"/>
        </w:rPr>
        <w:t xml:space="preserve">optimal </w:t>
      </w:r>
      <w:r w:rsidR="002272C3" w:rsidRPr="00633995">
        <w:rPr>
          <w:rFonts w:cs="CMU Serif"/>
        </w:rPr>
        <w:t xml:space="preserve">mix of matching variables and pre-adequacy lags for the dependent variable. The synthetic control  estimator of the </w:t>
      </w:r>
      <w:r w:rsidR="00531B3A" w:rsidRPr="00633995">
        <w:rPr>
          <w:rFonts w:cs="CMU Serif"/>
        </w:rPr>
        <w:t>Average Treatment E</w:t>
      </w:r>
      <w:r w:rsidR="002272C3" w:rsidRPr="00633995">
        <w:rPr>
          <w:rFonts w:cs="CMU Serif"/>
        </w:rPr>
        <w:t>ffect</w:t>
      </w:r>
      <w:r w:rsidR="00531B3A" w:rsidRPr="00633995">
        <w:rPr>
          <w:rFonts w:cs="CMU Serif"/>
        </w:rPr>
        <w:t xml:space="preserve"> on the Treated (ATT)</w:t>
      </w:r>
      <w:r w:rsidR="002272C3" w:rsidRPr="00633995">
        <w:rPr>
          <w:rFonts w:cs="CMU Serif"/>
        </w:rPr>
        <w:t xml:space="preserve"> of adequacy, </w:t>
      </w:r>
      <m:oMath>
        <m:acc>
          <m:accPr>
            <m:ctrlPr>
              <w:rPr>
                <w:rFonts w:ascii="Cambria Math" w:hAnsi="Cambria Math" w:cs="CMU Serif"/>
                <w:i/>
              </w:rPr>
            </m:ctrlPr>
          </m:accPr>
          <m:e>
            <m:sSub>
              <m:sSubPr>
                <m:ctrlPr>
                  <w:rPr>
                    <w:rFonts w:ascii="Cambria Math" w:hAnsi="Cambria Math" w:cs="CMU Serif"/>
                    <w:i/>
                  </w:rPr>
                </m:ctrlPr>
              </m:sSubPr>
              <m:e>
                <m:r>
                  <w:rPr>
                    <w:rFonts w:ascii="Cambria Math" w:hAnsi="Cambria Math" w:cs="CMU Serif"/>
                  </w:rPr>
                  <m:t>β</m:t>
                </m:r>
              </m:e>
              <m:sub>
                <m:r>
                  <w:rPr>
                    <w:rFonts w:ascii="Cambria Math" w:hAnsi="Cambria Math" w:cs="CMU Serif"/>
                  </w:rPr>
                  <m:t>st</m:t>
                </m:r>
              </m:sub>
            </m:sSub>
          </m:e>
        </m:acc>
      </m:oMath>
      <w:r w:rsidR="002272C3" w:rsidRPr="00633995">
        <w:rPr>
          <w:rFonts w:eastAsiaTheme="minorEastAsia" w:cs="CMU Serif"/>
        </w:rPr>
        <w:t>,</w:t>
      </w:r>
      <w:r w:rsidR="002272C3" w:rsidRPr="00633995">
        <w:rPr>
          <w:rFonts w:cs="CMU Serif"/>
        </w:rPr>
        <w:t xml:space="preserve"> can be </w:t>
      </w:r>
      <w:r w:rsidR="00BE2374" w:rsidRPr="00633995">
        <w:rPr>
          <w:rFonts w:cs="CMU Serif"/>
        </w:rPr>
        <w:t xml:space="preserve">described </w:t>
      </w:r>
      <w:r w:rsidR="002272C3" w:rsidRPr="00633995">
        <w:rPr>
          <w:rFonts w:cs="CMU Serif"/>
        </w:rPr>
        <w:t>as follows:</w:t>
      </w:r>
    </w:p>
    <w:p w14:paraId="75FC7A3A" w14:textId="2200863E" w:rsidR="002272C3" w:rsidRPr="00633995" w:rsidRDefault="002272C3" w:rsidP="0011538D">
      <w:pPr>
        <w:jc w:val="both"/>
        <w:rPr>
          <w:rFonts w:cs="CMU Serif"/>
        </w:rPr>
      </w:pPr>
      <w:r w:rsidRPr="00633995">
        <w:rPr>
          <w:rFonts w:eastAsiaTheme="minorEastAsia" w:cs="CMU Serif"/>
        </w:rPr>
        <w:tab/>
      </w:r>
      <w:r w:rsidRPr="00633995">
        <w:rPr>
          <w:rFonts w:eastAsiaTheme="minorEastAsia" w:cs="CMU Serif"/>
        </w:rPr>
        <w:tab/>
      </w:r>
      <w:r w:rsidRPr="00633995">
        <w:rPr>
          <w:rFonts w:eastAsiaTheme="minorEastAsia" w:cs="CMU Serif"/>
        </w:rPr>
        <w:tab/>
      </w:r>
      <w:r w:rsidRPr="00633995">
        <w:rPr>
          <w:rFonts w:eastAsiaTheme="minorEastAsia" w:cs="CMU Serif"/>
        </w:rPr>
        <w:tab/>
      </w:r>
      <m:oMath>
        <m:acc>
          <m:accPr>
            <m:ctrlPr>
              <w:rPr>
                <w:rFonts w:ascii="Cambria Math" w:hAnsi="Cambria Math" w:cs="CMU Serif"/>
                <w:i/>
              </w:rPr>
            </m:ctrlPr>
          </m:accPr>
          <m:e>
            <m:sSub>
              <m:sSubPr>
                <m:ctrlPr>
                  <w:rPr>
                    <w:rFonts w:ascii="Cambria Math" w:hAnsi="Cambria Math" w:cs="CMU Serif"/>
                    <w:i/>
                  </w:rPr>
                </m:ctrlPr>
              </m:sSubPr>
              <m:e>
                <m:r>
                  <w:rPr>
                    <w:rFonts w:ascii="Cambria Math" w:hAnsi="Cambria Math" w:cs="CMU Serif"/>
                  </w:rPr>
                  <m:t>β</m:t>
                </m:r>
              </m:e>
              <m:sub>
                <m:r>
                  <w:rPr>
                    <w:rFonts w:ascii="Cambria Math" w:hAnsi="Cambria Math" w:cs="CMU Serif"/>
                  </w:rPr>
                  <m:t>st</m:t>
                </m:r>
              </m:sub>
            </m:sSub>
          </m:e>
        </m:acc>
        <m:r>
          <w:rPr>
            <w:rFonts w:ascii="Cambria Math" w:hAnsi="Cambria Math" w:cs="CMU Serif"/>
          </w:rPr>
          <m:t>=</m:t>
        </m:r>
        <m:sSub>
          <m:sSubPr>
            <m:ctrlPr>
              <w:rPr>
                <w:rFonts w:ascii="Cambria Math" w:hAnsi="Cambria Math" w:cs="CMU Serif"/>
                <w:i/>
              </w:rPr>
            </m:ctrlPr>
          </m:sSubPr>
          <m:e>
            <m:r>
              <w:rPr>
                <w:rFonts w:ascii="Cambria Math" w:hAnsi="Cambria Math" w:cs="CMU Serif"/>
              </w:rPr>
              <m:t>Y</m:t>
            </m:r>
          </m:e>
          <m:sub>
            <m:r>
              <w:rPr>
                <w:rFonts w:ascii="Cambria Math" w:hAnsi="Cambria Math" w:cs="CMU Serif"/>
              </w:rPr>
              <m:t>0t'</m:t>
            </m:r>
          </m:sub>
        </m:sSub>
        <m:r>
          <w:rPr>
            <w:rFonts w:ascii="Cambria Math" w:hAnsi="Cambria Math" w:cs="CMU Serif"/>
          </w:rPr>
          <m:t>-</m:t>
        </m:r>
        <m:sSubSup>
          <m:sSubSupPr>
            <m:ctrlPr>
              <w:rPr>
                <w:rFonts w:ascii="Cambria Math" w:hAnsi="Cambria Math" w:cs="CMU Serif"/>
                <w:i/>
              </w:rPr>
            </m:ctrlPr>
          </m:sSubSupPr>
          <m:e>
            <m:r>
              <w:rPr>
                <w:rFonts w:ascii="Cambria Math" w:hAnsi="Cambria Math" w:cs="CMU Serif"/>
              </w:rPr>
              <m:t>Y</m:t>
            </m:r>
          </m:e>
          <m:sub>
            <m:r>
              <w:rPr>
                <w:rFonts w:ascii="Cambria Math" w:hAnsi="Cambria Math" w:cs="CMU Serif"/>
              </w:rPr>
              <m:t>t</m:t>
            </m:r>
          </m:sub>
          <m:sup>
            <m:r>
              <w:rPr>
                <w:rFonts w:ascii="Cambria Math" w:hAnsi="Cambria Math" w:cs="CMU Serif"/>
              </w:rPr>
              <m:t>*</m:t>
            </m:r>
          </m:sup>
        </m:sSubSup>
        <m:r>
          <w:rPr>
            <w:rFonts w:ascii="Cambria Math" w:hAnsi="Cambria Math" w:cs="CMU Serif"/>
          </w:rPr>
          <m:t>=</m:t>
        </m:r>
        <m:sSub>
          <m:sSubPr>
            <m:ctrlPr>
              <w:rPr>
                <w:rFonts w:ascii="Cambria Math" w:hAnsi="Cambria Math" w:cs="CMU Serif"/>
                <w:i/>
              </w:rPr>
            </m:ctrlPr>
          </m:sSubPr>
          <m:e>
            <m:r>
              <w:rPr>
                <w:rFonts w:ascii="Cambria Math" w:hAnsi="Cambria Math" w:cs="CMU Serif"/>
              </w:rPr>
              <m:t>Y</m:t>
            </m:r>
          </m:e>
          <m:sub>
            <m:r>
              <w:rPr>
                <w:rFonts w:ascii="Cambria Math" w:hAnsi="Cambria Math" w:cs="CMU Serif"/>
              </w:rPr>
              <m:t>0</m:t>
            </m:r>
            <m:sSup>
              <m:sSupPr>
                <m:ctrlPr>
                  <w:rPr>
                    <w:rFonts w:ascii="Cambria Math" w:hAnsi="Cambria Math" w:cs="CMU Serif"/>
                    <w:i/>
                  </w:rPr>
                </m:ctrlPr>
              </m:sSupPr>
              <m:e>
                <m:r>
                  <w:rPr>
                    <w:rFonts w:ascii="Cambria Math" w:hAnsi="Cambria Math" w:cs="CMU Serif"/>
                  </w:rPr>
                  <m:t>t</m:t>
                </m:r>
              </m:e>
              <m:sup>
                <m:r>
                  <w:rPr>
                    <w:rFonts w:ascii="Cambria Math" w:hAnsi="Cambria Math" w:cs="CMU Serif"/>
                  </w:rPr>
                  <m:t>'</m:t>
                </m:r>
              </m:sup>
            </m:sSup>
          </m:sub>
        </m:sSub>
        <m:r>
          <w:rPr>
            <w:rFonts w:ascii="Cambria Math" w:hAnsi="Cambria Math" w:cs="CMU Serif"/>
          </w:rPr>
          <m:t>(1)-</m:t>
        </m:r>
        <m:nary>
          <m:naryPr>
            <m:chr m:val="∑"/>
            <m:limLoc m:val="undOvr"/>
            <m:ctrlPr>
              <w:rPr>
                <w:rFonts w:ascii="Cambria Math" w:eastAsiaTheme="minorEastAsia" w:hAnsi="Cambria Math" w:cs="CMU Serif"/>
                <w:i/>
              </w:rPr>
            </m:ctrlPr>
          </m:naryPr>
          <m:sub>
            <m:r>
              <w:rPr>
                <w:rFonts w:ascii="Cambria Math" w:eastAsiaTheme="minorEastAsia" w:hAnsi="Cambria Math" w:cs="CMU Serif"/>
              </w:rPr>
              <m:t>s=1</m:t>
            </m:r>
          </m:sub>
          <m:sup>
            <m:r>
              <w:rPr>
                <w:rFonts w:ascii="Cambria Math" w:eastAsiaTheme="minorEastAsia" w:hAnsi="Cambria Math" w:cs="CMU Serif"/>
              </w:rPr>
              <m:t>S</m:t>
            </m:r>
          </m:sup>
          <m:e>
            <m:sSub>
              <m:sSubPr>
                <m:ctrlPr>
                  <w:rPr>
                    <w:rFonts w:ascii="Cambria Math" w:eastAsiaTheme="minorEastAsia" w:hAnsi="Cambria Math" w:cs="CMU Serif"/>
                    <w:i/>
                  </w:rPr>
                </m:ctrlPr>
              </m:sSubPr>
              <m:e>
                <m:r>
                  <w:rPr>
                    <w:rFonts w:ascii="Cambria Math" w:eastAsiaTheme="minorEastAsia" w:hAnsi="Cambria Math" w:cs="CMU Serif"/>
                  </w:rPr>
                  <m:t>Y</m:t>
                </m:r>
              </m:e>
              <m:sub>
                <m:r>
                  <w:rPr>
                    <w:rFonts w:ascii="Cambria Math" w:eastAsiaTheme="minorEastAsia" w:hAnsi="Cambria Math" w:cs="CMU Serif"/>
                  </w:rPr>
                  <m:t>st'</m:t>
                </m:r>
              </m:sub>
            </m:sSub>
            <m:sSub>
              <m:sSubPr>
                <m:ctrlPr>
                  <w:rPr>
                    <w:rFonts w:ascii="Cambria Math" w:eastAsiaTheme="minorEastAsia" w:hAnsi="Cambria Math" w:cs="CMU Serif"/>
                    <w:i/>
                  </w:rPr>
                </m:ctrlPr>
              </m:sSubPr>
              <m:e>
                <m:r>
                  <w:rPr>
                    <w:rFonts w:ascii="Cambria Math" w:eastAsiaTheme="minorEastAsia" w:hAnsi="Cambria Math" w:cs="CMU Serif"/>
                  </w:rPr>
                  <m:t>π</m:t>
                </m:r>
              </m:e>
              <m:sub>
                <m:r>
                  <w:rPr>
                    <w:rFonts w:ascii="Cambria Math" w:eastAsiaTheme="minorEastAsia" w:hAnsi="Cambria Math" w:cs="CMU Serif"/>
                  </w:rPr>
                  <m:t>s</m:t>
                </m:r>
              </m:sub>
            </m:sSub>
            <m:r>
              <w:rPr>
                <w:rFonts w:ascii="Cambria Math" w:eastAsiaTheme="minorEastAsia" w:hAnsi="Cambria Math" w:cs="CMU Serif"/>
              </w:rPr>
              <m:t xml:space="preserve"> </m:t>
            </m:r>
          </m:e>
        </m:nary>
      </m:oMath>
      <w:r w:rsidRPr="00633995">
        <w:rPr>
          <w:rFonts w:eastAsiaTheme="minorEastAsia" w:cs="CMU Serif"/>
        </w:rPr>
        <w:tab/>
      </w:r>
      <w:r w:rsidRPr="00633995">
        <w:rPr>
          <w:rFonts w:eastAsiaTheme="minorEastAsia" w:cs="CMU Serif"/>
        </w:rPr>
        <w:tab/>
      </w:r>
      <w:r w:rsidR="00C0779A" w:rsidRPr="00633995">
        <w:rPr>
          <w:rFonts w:eastAsiaTheme="minorEastAsia" w:cs="CMU Serif"/>
        </w:rPr>
        <w:t>(</w:t>
      </w:r>
      <w:r w:rsidR="00FB1FAB">
        <w:rPr>
          <w:rFonts w:eastAsiaTheme="minorEastAsia" w:cs="CMU Serif"/>
        </w:rPr>
        <w:t>6</w:t>
      </w:r>
      <w:r w:rsidRPr="00633995">
        <w:rPr>
          <w:rFonts w:eastAsiaTheme="minorEastAsia" w:cs="CMU Serif"/>
        </w:rPr>
        <w:t>)</w:t>
      </w:r>
    </w:p>
    <w:p w14:paraId="71EA013F" w14:textId="5653C50B" w:rsidR="002272C3" w:rsidRPr="00633995" w:rsidRDefault="002272C3" w:rsidP="0011538D">
      <w:pPr>
        <w:jc w:val="both"/>
        <w:rPr>
          <w:rFonts w:eastAsiaTheme="minorEastAsia" w:cs="CMU Serif"/>
        </w:rPr>
      </w:pPr>
      <w:r w:rsidRPr="00633995">
        <w:rPr>
          <w:rFonts w:cs="CMU Serif"/>
        </w:rPr>
        <w:lastRenderedPageBreak/>
        <w:t xml:space="preserve">where </w:t>
      </w:r>
      <m:oMath>
        <m:sSubSup>
          <m:sSubSupPr>
            <m:ctrlPr>
              <w:rPr>
                <w:rFonts w:ascii="Cambria Math" w:hAnsi="Cambria Math" w:cs="CMU Serif"/>
                <w:i/>
              </w:rPr>
            </m:ctrlPr>
          </m:sSubSupPr>
          <m:e>
            <m:r>
              <w:rPr>
                <w:rFonts w:ascii="Cambria Math" w:hAnsi="Cambria Math" w:cs="CMU Serif"/>
              </w:rPr>
              <m:t>Y</m:t>
            </m:r>
          </m:e>
          <m:sub>
            <m:r>
              <w:rPr>
                <w:rFonts w:ascii="Cambria Math" w:hAnsi="Cambria Math" w:cs="CMU Serif"/>
              </w:rPr>
              <m:t>t</m:t>
            </m:r>
          </m:sub>
          <m:sup>
            <m:r>
              <w:rPr>
                <w:rFonts w:ascii="Cambria Math" w:hAnsi="Cambria Math" w:cs="CMU Serif"/>
              </w:rPr>
              <m:t>*</m:t>
            </m:r>
          </m:sup>
        </m:sSubSup>
        <m:r>
          <w:rPr>
            <w:rFonts w:ascii="Cambria Math" w:hAnsi="Cambria Math" w:cs="CMU Serif"/>
          </w:rPr>
          <m:t>=</m:t>
        </m:r>
        <m:nary>
          <m:naryPr>
            <m:chr m:val="∑"/>
            <m:limLoc m:val="undOvr"/>
            <m:ctrlPr>
              <w:rPr>
                <w:rFonts w:ascii="Cambria Math" w:eastAsiaTheme="minorEastAsia" w:hAnsi="Cambria Math" w:cs="CMU Serif"/>
                <w:i/>
              </w:rPr>
            </m:ctrlPr>
          </m:naryPr>
          <m:sub>
            <m:r>
              <w:rPr>
                <w:rFonts w:ascii="Cambria Math" w:eastAsiaTheme="minorEastAsia" w:hAnsi="Cambria Math" w:cs="CMU Serif"/>
              </w:rPr>
              <m:t>s=1</m:t>
            </m:r>
          </m:sub>
          <m:sup>
            <m:r>
              <w:rPr>
                <w:rFonts w:ascii="Cambria Math" w:eastAsiaTheme="minorEastAsia" w:hAnsi="Cambria Math" w:cs="CMU Serif"/>
              </w:rPr>
              <m:t>S</m:t>
            </m:r>
          </m:sup>
          <m:e>
            <m:sSub>
              <m:sSubPr>
                <m:ctrlPr>
                  <w:rPr>
                    <w:rFonts w:ascii="Cambria Math" w:eastAsiaTheme="minorEastAsia" w:hAnsi="Cambria Math" w:cs="CMU Serif"/>
                    <w:i/>
                  </w:rPr>
                </m:ctrlPr>
              </m:sSubPr>
              <m:e>
                <m:r>
                  <w:rPr>
                    <w:rFonts w:ascii="Cambria Math" w:eastAsiaTheme="minorEastAsia" w:hAnsi="Cambria Math" w:cs="CMU Serif"/>
                  </w:rPr>
                  <m:t>Y</m:t>
                </m:r>
              </m:e>
              <m:sub>
                <m:r>
                  <w:rPr>
                    <w:rFonts w:ascii="Cambria Math" w:eastAsiaTheme="minorEastAsia" w:hAnsi="Cambria Math" w:cs="CMU Serif"/>
                  </w:rPr>
                  <m:t>st'</m:t>
                </m:r>
              </m:sub>
            </m:sSub>
            <m:sSub>
              <m:sSubPr>
                <m:ctrlPr>
                  <w:rPr>
                    <w:rFonts w:ascii="Cambria Math" w:eastAsiaTheme="minorEastAsia" w:hAnsi="Cambria Math" w:cs="CMU Serif"/>
                    <w:i/>
                  </w:rPr>
                </m:ctrlPr>
              </m:sSubPr>
              <m:e>
                <m:r>
                  <w:rPr>
                    <w:rFonts w:ascii="Cambria Math" w:eastAsiaTheme="minorEastAsia" w:hAnsi="Cambria Math" w:cs="CMU Serif"/>
                  </w:rPr>
                  <m:t>π</m:t>
                </m:r>
              </m:e>
              <m:sub>
                <m:r>
                  <w:rPr>
                    <w:rFonts w:ascii="Cambria Math" w:eastAsiaTheme="minorEastAsia" w:hAnsi="Cambria Math" w:cs="CMU Serif"/>
                  </w:rPr>
                  <m:t>s</m:t>
                </m:r>
              </m:sub>
            </m:sSub>
            <m:r>
              <w:rPr>
                <w:rFonts w:ascii="Cambria Math" w:eastAsiaTheme="minorEastAsia" w:hAnsi="Cambria Math" w:cs="CMU Serif"/>
              </w:rPr>
              <m:t xml:space="preserve"> </m:t>
            </m:r>
          </m:e>
        </m:nary>
      </m:oMath>
      <w:r w:rsidRPr="00633995">
        <w:rPr>
          <w:rFonts w:eastAsiaTheme="minorEastAsia" w:cs="CMU Serif"/>
        </w:rPr>
        <w:t xml:space="preserve">is a weighted combination of control units and </w:t>
      </w:r>
      <m:oMath>
        <m:sSub>
          <m:sSubPr>
            <m:ctrlPr>
              <w:rPr>
                <w:rFonts w:ascii="Cambria Math" w:hAnsi="Cambria Math" w:cs="CMU Serif"/>
                <w:i/>
              </w:rPr>
            </m:ctrlPr>
          </m:sSubPr>
          <m:e>
            <m:r>
              <w:rPr>
                <w:rFonts w:ascii="Cambria Math" w:hAnsi="Cambria Math" w:cs="CMU Serif"/>
              </w:rPr>
              <m:t>Y</m:t>
            </m:r>
          </m:e>
          <m:sub>
            <m:r>
              <w:rPr>
                <w:rFonts w:ascii="Cambria Math" w:hAnsi="Cambria Math" w:cs="CMU Serif"/>
              </w:rPr>
              <m:t>0</m:t>
            </m:r>
            <m:sSup>
              <m:sSupPr>
                <m:ctrlPr>
                  <w:rPr>
                    <w:rFonts w:ascii="Cambria Math" w:hAnsi="Cambria Math" w:cs="CMU Serif"/>
                    <w:i/>
                  </w:rPr>
                </m:ctrlPr>
              </m:sSupPr>
              <m:e>
                <m:r>
                  <w:rPr>
                    <w:rFonts w:ascii="Cambria Math" w:hAnsi="Cambria Math" w:cs="CMU Serif"/>
                  </w:rPr>
                  <m:t>t</m:t>
                </m:r>
              </m:e>
              <m:sup>
                <m:r>
                  <w:rPr>
                    <w:rFonts w:ascii="Cambria Math" w:hAnsi="Cambria Math" w:cs="CMU Serif"/>
                  </w:rPr>
                  <m:t>'</m:t>
                </m:r>
              </m:sup>
            </m:sSup>
          </m:sub>
        </m:sSub>
        <m:r>
          <w:rPr>
            <w:rFonts w:ascii="Cambria Math" w:hAnsi="Cambria Math" w:cs="CMU Serif"/>
          </w:rPr>
          <m:t>(1)</m:t>
        </m:r>
      </m:oMath>
      <w:r w:rsidRPr="00633995">
        <w:rPr>
          <w:rFonts w:eastAsiaTheme="minorEastAsia" w:cs="CMU Serif"/>
        </w:rPr>
        <w:t xml:space="preserve"> is the post-adequacy performance of a “treated” country (Argentina</w:t>
      </w:r>
      <w:r w:rsidR="00BE2374" w:rsidRPr="00633995">
        <w:rPr>
          <w:rFonts w:eastAsiaTheme="minorEastAsia" w:cs="CMU Serif"/>
        </w:rPr>
        <w:t xml:space="preserve">, </w:t>
      </w:r>
      <w:r w:rsidR="007865EB" w:rsidRPr="00633995">
        <w:rPr>
          <w:rFonts w:eastAsiaTheme="minorEastAsia" w:cs="CMU Serif"/>
        </w:rPr>
        <w:t xml:space="preserve">Israel </w:t>
      </w:r>
      <w:r w:rsidR="00BE2374" w:rsidRPr="00633995">
        <w:rPr>
          <w:rFonts w:eastAsiaTheme="minorEastAsia" w:cs="CMU Serif"/>
        </w:rPr>
        <w:t>or</w:t>
      </w:r>
      <w:r w:rsidR="007865EB" w:rsidRPr="007865EB">
        <w:rPr>
          <w:rFonts w:eastAsiaTheme="minorEastAsia" w:cs="CMU Serif"/>
        </w:rPr>
        <w:t xml:space="preserve"> </w:t>
      </w:r>
      <w:r w:rsidR="007865EB" w:rsidRPr="00633995">
        <w:rPr>
          <w:rFonts w:eastAsiaTheme="minorEastAsia" w:cs="CMU Serif"/>
        </w:rPr>
        <w:t>New Zealand</w:t>
      </w:r>
      <w:r w:rsidRPr="00633995">
        <w:rPr>
          <w:rFonts w:eastAsiaTheme="minorEastAsia" w:cs="CMU Serif"/>
        </w:rPr>
        <w:t>) with respect to the outcome of interest.</w:t>
      </w:r>
      <w:r w:rsidRPr="00633995">
        <w:rPr>
          <w:rStyle w:val="FootnoteReference"/>
          <w:rFonts w:eastAsiaTheme="minorEastAsia" w:cs="CMU Serif"/>
        </w:rPr>
        <w:footnoteReference w:id="51"/>
      </w:r>
      <w:r w:rsidRPr="00633995">
        <w:rPr>
          <w:rFonts w:eastAsiaTheme="minorEastAsia" w:cs="CMU Serif"/>
        </w:rPr>
        <w:t xml:space="preserve"> The parameter </w:t>
      </w:r>
      <m:oMath>
        <m:sSub>
          <m:sSubPr>
            <m:ctrlPr>
              <w:rPr>
                <w:rFonts w:ascii="Cambria Math" w:eastAsiaTheme="minorEastAsia" w:hAnsi="Cambria Math" w:cs="CMU Serif"/>
                <w:i/>
              </w:rPr>
            </m:ctrlPr>
          </m:sSubPr>
          <m:e>
            <m:r>
              <w:rPr>
                <w:rFonts w:ascii="Cambria Math" w:eastAsiaTheme="minorEastAsia" w:hAnsi="Cambria Math" w:cs="CMU Serif"/>
              </w:rPr>
              <m:t>π</m:t>
            </m:r>
          </m:e>
          <m:sub>
            <m:r>
              <w:rPr>
                <w:rFonts w:ascii="Cambria Math" w:eastAsiaTheme="minorEastAsia" w:hAnsi="Cambria Math" w:cs="CMU Serif"/>
              </w:rPr>
              <m:t>s</m:t>
            </m:r>
          </m:sub>
        </m:sSub>
      </m:oMath>
      <w:r w:rsidRPr="00633995">
        <w:rPr>
          <w:rFonts w:eastAsiaTheme="minorEastAsia" w:cs="CMU Serif"/>
        </w:rPr>
        <w:t xml:space="preserve"> is the weight attached to each country in the donor pool</w:t>
      </w:r>
      <w:r w:rsidR="006874D3" w:rsidRPr="00633995">
        <w:rPr>
          <w:rFonts w:eastAsiaTheme="minorEastAsia" w:cs="CMU Serif"/>
        </w:rPr>
        <w:t xml:space="preserve">, and </w:t>
      </w:r>
      <w:r w:rsidRPr="00633995">
        <w:rPr>
          <w:rFonts w:eastAsiaTheme="minorEastAsia" w:cs="CMU Serif"/>
        </w:rPr>
        <w:t>captur</w:t>
      </w:r>
      <w:r w:rsidR="006874D3" w:rsidRPr="00633995">
        <w:rPr>
          <w:rFonts w:eastAsiaTheme="minorEastAsia" w:cs="CMU Serif"/>
        </w:rPr>
        <w:t>es</w:t>
      </w:r>
      <w:r w:rsidRPr="00633995">
        <w:rPr>
          <w:rFonts w:eastAsiaTheme="minorEastAsia" w:cs="CMU Serif"/>
        </w:rPr>
        <w:t xml:space="preserve"> the similarity of a potential control country to the one of interest</w:t>
      </w:r>
      <w:r w:rsidR="00033466" w:rsidRPr="00633995">
        <w:rPr>
          <w:rFonts w:eastAsiaTheme="minorEastAsia" w:cs="CMU Serif"/>
        </w:rPr>
        <w:t xml:space="preserve">. This in turn </w:t>
      </w:r>
      <w:r w:rsidRPr="00633995">
        <w:rPr>
          <w:rFonts w:eastAsiaTheme="minorEastAsia" w:cs="CMU Serif"/>
        </w:rPr>
        <w:t>depends on the set of matching variables considered and their trends in the pre-adequacy period.</w:t>
      </w:r>
      <w:r w:rsidR="006874D3" w:rsidRPr="00633995">
        <w:rPr>
          <w:rFonts w:eastAsiaTheme="minorEastAsia" w:cs="CMU Serif"/>
        </w:rPr>
        <w:t xml:space="preserve"> The pool of potential controls (donor pool)</w:t>
      </w:r>
      <w:r w:rsidR="00F20287" w:rsidRPr="00633995">
        <w:rPr>
          <w:rFonts w:eastAsiaTheme="minorEastAsia" w:cs="CMU Serif"/>
        </w:rPr>
        <w:t xml:space="preserve"> for each case study</w:t>
      </w:r>
      <w:r w:rsidR="006874D3" w:rsidRPr="00633995">
        <w:rPr>
          <w:rFonts w:eastAsiaTheme="minorEastAsia" w:cs="CMU Serif"/>
        </w:rPr>
        <w:t xml:space="preserve"> is </w:t>
      </w:r>
      <w:r w:rsidR="00F20287" w:rsidRPr="00633995">
        <w:rPr>
          <w:rFonts w:eastAsiaTheme="minorEastAsia" w:cs="CMU Serif"/>
        </w:rPr>
        <w:t>restricted</w:t>
      </w:r>
      <w:r w:rsidR="006874D3" w:rsidRPr="00633995">
        <w:rPr>
          <w:rFonts w:eastAsiaTheme="minorEastAsia" w:cs="CMU Serif"/>
        </w:rPr>
        <w:t xml:space="preserve"> as follows:</w:t>
      </w:r>
      <w:r w:rsidRPr="00633995">
        <w:rPr>
          <w:rFonts w:eastAsiaTheme="minorEastAsia" w:cs="CMU Serif"/>
        </w:rPr>
        <w:t xml:space="preserve"> </w:t>
      </w:r>
      <w:r w:rsidR="006874D3" w:rsidRPr="00633995">
        <w:rPr>
          <w:rFonts w:eastAsiaTheme="minorEastAsia" w:cs="CMU Serif"/>
        </w:rPr>
        <w:t>f</w:t>
      </w:r>
      <w:r w:rsidRPr="00633995">
        <w:rPr>
          <w:rFonts w:eastAsiaTheme="minorEastAsia" w:cs="CMU Serif"/>
        </w:rPr>
        <w:t xml:space="preserve">or Argentina, </w:t>
      </w:r>
      <w:r w:rsidR="00033466" w:rsidRPr="00633995">
        <w:rPr>
          <w:rFonts w:eastAsiaTheme="minorEastAsia" w:cs="CMU Serif"/>
        </w:rPr>
        <w:t xml:space="preserve">we </w:t>
      </w:r>
      <w:r w:rsidR="00F20287" w:rsidRPr="00633995">
        <w:rPr>
          <w:rFonts w:eastAsiaTheme="minorEastAsia" w:cs="CMU Serif"/>
        </w:rPr>
        <w:t xml:space="preserve">only consider other </w:t>
      </w:r>
      <w:r w:rsidRPr="00633995">
        <w:rPr>
          <w:rFonts w:eastAsiaTheme="minorEastAsia" w:cs="CMU Serif"/>
        </w:rPr>
        <w:t xml:space="preserve">Spanish speaking countries in Latin America; for New Zealand, </w:t>
      </w:r>
      <w:r w:rsidR="00F20287" w:rsidRPr="00633995">
        <w:rPr>
          <w:rFonts w:eastAsiaTheme="minorEastAsia" w:cs="CMU Serif"/>
        </w:rPr>
        <w:t>we consider</w:t>
      </w:r>
      <w:r w:rsidR="006874D3" w:rsidRPr="00633995">
        <w:rPr>
          <w:rFonts w:eastAsiaTheme="minorEastAsia" w:cs="CMU Serif"/>
        </w:rPr>
        <w:t xml:space="preserve"> </w:t>
      </w:r>
      <w:r w:rsidRPr="00633995">
        <w:rPr>
          <w:rFonts w:eastAsiaTheme="minorEastAsia" w:cs="CMU Serif"/>
        </w:rPr>
        <w:t xml:space="preserve">all English-speaking countries in the Indo-Pacific </w:t>
      </w:r>
      <w:r w:rsidR="00033466" w:rsidRPr="00633995">
        <w:rPr>
          <w:rFonts w:eastAsiaTheme="minorEastAsia" w:cs="CMU Serif"/>
        </w:rPr>
        <w:t>found</w:t>
      </w:r>
      <w:r w:rsidR="0073037D" w:rsidRPr="00633995">
        <w:rPr>
          <w:rFonts w:eastAsiaTheme="minorEastAsia" w:cs="CMU Serif"/>
        </w:rPr>
        <w:t xml:space="preserve"> in</w:t>
      </w:r>
      <w:r w:rsidR="00033466" w:rsidRPr="00633995">
        <w:rPr>
          <w:rFonts w:eastAsiaTheme="minorEastAsia" w:cs="CMU Serif"/>
        </w:rPr>
        <w:t xml:space="preserve"> </w:t>
      </w:r>
      <w:r w:rsidRPr="00633995">
        <w:rPr>
          <w:rFonts w:eastAsiaTheme="minorEastAsia" w:cs="CMU Serif"/>
        </w:rPr>
        <w:t>TiVA, excluding the US and Canada given that both were granted adequacy and are</w:t>
      </w:r>
      <w:r w:rsidR="00F20287" w:rsidRPr="00633995">
        <w:rPr>
          <w:rFonts w:eastAsiaTheme="minorEastAsia" w:cs="CMU Serif"/>
        </w:rPr>
        <w:t xml:space="preserve"> located</w:t>
      </w:r>
      <w:r w:rsidRPr="00633995">
        <w:rPr>
          <w:rFonts w:eastAsiaTheme="minorEastAsia" w:cs="CMU Serif"/>
        </w:rPr>
        <w:t xml:space="preserve"> in a very different time zone</w:t>
      </w:r>
      <w:r w:rsidR="006874D3" w:rsidRPr="00633995">
        <w:rPr>
          <w:rFonts w:eastAsiaTheme="minorEastAsia" w:cs="CMU Serif"/>
        </w:rPr>
        <w:t xml:space="preserve">; for Israel, </w:t>
      </w:r>
      <w:r w:rsidR="0089665B" w:rsidRPr="00633995">
        <w:rPr>
          <w:rFonts w:eastAsiaTheme="minorEastAsia" w:cs="CMU Serif"/>
        </w:rPr>
        <w:t>we</w:t>
      </w:r>
      <w:r w:rsidR="006874D3" w:rsidRPr="00633995">
        <w:rPr>
          <w:rFonts w:eastAsiaTheme="minorEastAsia" w:cs="CMU Serif"/>
        </w:rPr>
        <w:t xml:space="preserve"> cover all English speaking countries in the dataset, irrespectively of the time-zone and location</w:t>
      </w:r>
      <w:r w:rsidR="00033466" w:rsidRPr="00633995">
        <w:rPr>
          <w:rFonts w:eastAsiaTheme="minorEastAsia" w:cs="CMU Serif"/>
        </w:rPr>
        <w:t xml:space="preserve">, </w:t>
      </w:r>
      <w:r w:rsidR="00EF3F35" w:rsidRPr="00633995">
        <w:rPr>
          <w:rFonts w:eastAsiaTheme="minorEastAsia" w:cs="CMU Serif"/>
        </w:rPr>
        <w:t>excluding the US and Canada</w:t>
      </w:r>
      <w:r w:rsidRPr="00633995">
        <w:rPr>
          <w:rFonts w:eastAsiaTheme="minorEastAsia" w:cs="CMU Serif"/>
        </w:rPr>
        <w:t>.</w:t>
      </w:r>
      <w:r w:rsidRPr="00633995">
        <w:rPr>
          <w:rStyle w:val="FootnoteReference"/>
          <w:rFonts w:eastAsiaTheme="minorEastAsia" w:cs="CMU Serif"/>
        </w:rPr>
        <w:footnoteReference w:id="52"/>
      </w:r>
      <w:r w:rsidRPr="00633995">
        <w:rPr>
          <w:rFonts w:eastAsiaTheme="minorEastAsia" w:cs="CMU Serif"/>
        </w:rPr>
        <w:t xml:space="preserve"> </w:t>
      </w:r>
    </w:p>
    <w:p w14:paraId="393EC998" w14:textId="5E570B04" w:rsidR="002272C3" w:rsidRPr="00633995" w:rsidRDefault="002272C3" w:rsidP="0011538D">
      <w:pPr>
        <w:jc w:val="both"/>
        <w:rPr>
          <w:rFonts w:eastAsiaTheme="minorEastAsia" w:cs="CMU Serif"/>
        </w:rPr>
      </w:pPr>
      <w:r w:rsidRPr="00633995">
        <w:rPr>
          <w:rFonts w:eastAsiaTheme="minorEastAsia" w:cs="CMU Serif"/>
        </w:rPr>
        <w:t>To illustrate the role of the matching variables, the estimator can be rewritten as</w:t>
      </w:r>
      <w:r w:rsidR="006F0998">
        <w:rPr>
          <w:rFonts w:eastAsiaTheme="minorEastAsia" w:cs="CMU Serif"/>
        </w:rPr>
        <w:t>:</w:t>
      </w:r>
    </w:p>
    <w:p w14:paraId="38C8A1DD" w14:textId="466E3E27" w:rsidR="002272C3" w:rsidRPr="00633995" w:rsidRDefault="002272C3" w:rsidP="0011538D">
      <w:pPr>
        <w:jc w:val="both"/>
        <w:rPr>
          <w:rFonts w:eastAsiaTheme="minorEastAsia" w:cs="CMU Serif"/>
        </w:rPr>
      </w:pPr>
      <w:r w:rsidRPr="00633995">
        <w:rPr>
          <w:rFonts w:eastAsiaTheme="minorEastAsia" w:cs="CMU Serif"/>
        </w:rPr>
        <w:tab/>
      </w:r>
      <w:r w:rsidRPr="00633995">
        <w:rPr>
          <w:rFonts w:eastAsiaTheme="minorEastAsia" w:cs="CMU Serif"/>
        </w:rPr>
        <w:tab/>
      </w:r>
      <m:oMath>
        <m:acc>
          <m:accPr>
            <m:ctrlPr>
              <w:rPr>
                <w:rFonts w:ascii="Cambria Math" w:hAnsi="Cambria Math" w:cs="CMU Serif"/>
                <w:i/>
              </w:rPr>
            </m:ctrlPr>
          </m:accPr>
          <m:e>
            <m:sSub>
              <m:sSubPr>
                <m:ctrlPr>
                  <w:rPr>
                    <w:rFonts w:ascii="Cambria Math" w:hAnsi="Cambria Math" w:cs="CMU Serif"/>
                    <w:i/>
                  </w:rPr>
                </m:ctrlPr>
              </m:sSubPr>
              <m:e>
                <m:r>
                  <w:rPr>
                    <w:rFonts w:ascii="Cambria Math" w:hAnsi="Cambria Math" w:cs="CMU Serif"/>
                  </w:rPr>
                  <m:t>β</m:t>
                </m:r>
              </m:e>
              <m:sub>
                <m:r>
                  <w:rPr>
                    <w:rFonts w:ascii="Cambria Math" w:hAnsi="Cambria Math" w:cs="CMU Serif"/>
                  </w:rPr>
                  <m:t>st</m:t>
                </m:r>
              </m:sub>
            </m:sSub>
          </m:e>
        </m:acc>
        <m:r>
          <w:rPr>
            <w:rFonts w:ascii="Cambria Math" w:eastAsiaTheme="minorEastAsia" w:hAnsi="Cambria Math" w:cs="CMU Serif"/>
          </w:rPr>
          <m:t>=</m:t>
        </m:r>
        <m:sSub>
          <m:sSubPr>
            <m:ctrlPr>
              <w:rPr>
                <w:rFonts w:ascii="Cambria Math" w:eastAsiaTheme="minorEastAsia" w:hAnsi="Cambria Math" w:cs="CMU Serif"/>
                <w:i/>
              </w:rPr>
            </m:ctrlPr>
          </m:sSubPr>
          <m:e>
            <m:r>
              <w:rPr>
                <w:rFonts w:ascii="Cambria Math" w:eastAsiaTheme="minorEastAsia" w:hAnsi="Cambria Math" w:cs="CMU Serif"/>
              </w:rPr>
              <m:t>argmin</m:t>
            </m:r>
          </m:e>
          <m:sub>
            <m:r>
              <w:rPr>
                <w:rFonts w:ascii="Cambria Math" w:eastAsiaTheme="minorEastAsia" w:hAnsi="Cambria Math" w:cs="CMU Serif"/>
              </w:rPr>
              <m:t>β</m:t>
            </m:r>
          </m:sub>
        </m:sSub>
        <m:d>
          <m:dPr>
            <m:begChr m:val="‖"/>
            <m:endChr m:val="‖"/>
            <m:ctrlPr>
              <w:rPr>
                <w:rFonts w:ascii="Cambria Math" w:eastAsiaTheme="minorEastAsia" w:hAnsi="Cambria Math" w:cs="CMU Serif"/>
                <w:i/>
              </w:rPr>
            </m:ctrlPr>
          </m:dPr>
          <m:e>
            <m:sSubSup>
              <m:sSubSupPr>
                <m:ctrlPr>
                  <w:rPr>
                    <w:rFonts w:ascii="Cambria Math" w:eastAsiaTheme="minorEastAsia" w:hAnsi="Cambria Math" w:cs="CMU Serif"/>
                    <w:i/>
                  </w:rPr>
                </m:ctrlPr>
              </m:sSubSupPr>
              <m:e>
                <m:r>
                  <w:rPr>
                    <w:rFonts w:ascii="Cambria Math" w:eastAsiaTheme="minorEastAsia" w:hAnsi="Cambria Math" w:cs="CMU Serif"/>
                  </w:rPr>
                  <m:t>X</m:t>
                </m:r>
              </m:e>
              <m:sub>
                <m:r>
                  <w:rPr>
                    <w:rFonts w:ascii="Cambria Math" w:eastAsiaTheme="minorEastAsia" w:hAnsi="Cambria Math" w:cs="CMU Serif"/>
                  </w:rPr>
                  <m:t>T</m:t>
                </m:r>
              </m:sub>
              <m:sup>
                <m:r>
                  <w:rPr>
                    <w:rFonts w:ascii="Cambria Math" w:eastAsiaTheme="minorEastAsia" w:hAnsi="Cambria Math" w:cs="CMU Serif"/>
                  </w:rPr>
                  <m:t>pre</m:t>
                </m:r>
              </m:sup>
            </m:sSubSup>
            <m:r>
              <w:rPr>
                <w:rFonts w:ascii="Cambria Math" w:eastAsiaTheme="minorEastAsia" w:hAnsi="Cambria Math" w:cs="CMU Serif"/>
              </w:rPr>
              <m:t>-β</m:t>
            </m:r>
            <m:sSubSup>
              <m:sSubSupPr>
                <m:ctrlPr>
                  <w:rPr>
                    <w:rFonts w:ascii="Cambria Math" w:eastAsiaTheme="minorEastAsia" w:hAnsi="Cambria Math" w:cs="CMU Serif"/>
                    <w:i/>
                  </w:rPr>
                </m:ctrlPr>
              </m:sSubSupPr>
              <m:e>
                <m:r>
                  <w:rPr>
                    <w:rFonts w:ascii="Cambria Math" w:eastAsiaTheme="minorEastAsia" w:hAnsi="Cambria Math" w:cs="CMU Serif"/>
                  </w:rPr>
                  <m:t>X</m:t>
                </m:r>
              </m:e>
              <m:sub>
                <m:r>
                  <w:rPr>
                    <w:rFonts w:ascii="Cambria Math" w:eastAsiaTheme="minorEastAsia" w:hAnsi="Cambria Math" w:cs="CMU Serif"/>
                  </w:rPr>
                  <m:t>S</m:t>
                </m:r>
              </m:sub>
              <m:sup>
                <m:r>
                  <w:rPr>
                    <w:rFonts w:ascii="Cambria Math" w:eastAsiaTheme="minorEastAsia" w:hAnsi="Cambria Math" w:cs="CMU Serif"/>
                  </w:rPr>
                  <m:t>pre</m:t>
                </m:r>
              </m:sup>
            </m:sSubSup>
          </m:e>
        </m:d>
        <m:r>
          <w:rPr>
            <w:rFonts w:ascii="Cambria Math" w:eastAsiaTheme="minorEastAsia" w:hAnsi="Cambria Math" w:cs="CMU Serif"/>
          </w:rPr>
          <m:t xml:space="preserve">= </m:t>
        </m:r>
        <m:rad>
          <m:radPr>
            <m:degHide m:val="1"/>
            <m:ctrlPr>
              <w:rPr>
                <w:rFonts w:ascii="Cambria Math" w:eastAsiaTheme="minorEastAsia" w:hAnsi="Cambria Math" w:cs="CMU Serif"/>
                <w:i/>
              </w:rPr>
            </m:ctrlPr>
          </m:radPr>
          <m:deg/>
          <m:e>
            <m:nary>
              <m:naryPr>
                <m:chr m:val="∑"/>
                <m:limLoc m:val="undOvr"/>
                <m:supHide m:val="1"/>
                <m:ctrlPr>
                  <w:rPr>
                    <w:rFonts w:ascii="Cambria Math" w:eastAsiaTheme="minorEastAsia" w:hAnsi="Cambria Math" w:cs="CMU Serif"/>
                    <w:i/>
                  </w:rPr>
                </m:ctrlPr>
              </m:naryPr>
              <m:sub>
                <m:r>
                  <w:rPr>
                    <w:rFonts w:ascii="Cambria Math" w:eastAsiaTheme="minorEastAsia" w:hAnsi="Cambria Math" w:cs="CMU Serif"/>
                  </w:rPr>
                  <m:t>p</m:t>
                </m:r>
              </m:sub>
              <m:sup/>
              <m:e>
                <m:d>
                  <m:dPr>
                    <m:ctrlPr>
                      <w:rPr>
                        <w:rFonts w:ascii="Cambria Math" w:eastAsiaTheme="minorEastAsia" w:hAnsi="Cambria Math" w:cs="CMU Serif"/>
                        <w:i/>
                      </w:rPr>
                    </m:ctrlPr>
                  </m:dPr>
                  <m:e>
                    <m:sSubSup>
                      <m:sSubSupPr>
                        <m:ctrlPr>
                          <w:rPr>
                            <w:rFonts w:ascii="Cambria Math" w:eastAsiaTheme="minorEastAsia" w:hAnsi="Cambria Math" w:cs="CMU Serif"/>
                            <w:i/>
                          </w:rPr>
                        </m:ctrlPr>
                      </m:sSubSupPr>
                      <m:e>
                        <m:r>
                          <w:rPr>
                            <w:rFonts w:ascii="Cambria Math" w:eastAsiaTheme="minorEastAsia" w:hAnsi="Cambria Math" w:cs="CMU Serif"/>
                          </w:rPr>
                          <m:t>X</m:t>
                        </m:r>
                      </m:e>
                      <m:sub>
                        <m:r>
                          <w:rPr>
                            <w:rFonts w:ascii="Cambria Math" w:eastAsiaTheme="minorEastAsia" w:hAnsi="Cambria Math" w:cs="CMU Serif"/>
                          </w:rPr>
                          <m:t>t,p</m:t>
                        </m:r>
                      </m:sub>
                      <m:sup>
                        <m:r>
                          <w:rPr>
                            <w:rFonts w:ascii="Cambria Math" w:eastAsiaTheme="minorEastAsia" w:hAnsi="Cambria Math" w:cs="CMU Serif"/>
                          </w:rPr>
                          <m:t>pre</m:t>
                        </m:r>
                      </m:sup>
                    </m:sSubSup>
                    <m:r>
                      <w:rPr>
                        <w:rFonts w:ascii="Cambria Math" w:eastAsiaTheme="minorEastAsia" w:hAnsi="Cambria Math" w:cs="CMU Serif"/>
                      </w:rPr>
                      <m:t>-</m:t>
                    </m:r>
                    <m:nary>
                      <m:naryPr>
                        <m:chr m:val="∑"/>
                        <m:limLoc m:val="undOvr"/>
                        <m:supHide m:val="1"/>
                        <m:ctrlPr>
                          <w:rPr>
                            <w:rFonts w:ascii="Cambria Math" w:eastAsiaTheme="minorEastAsia" w:hAnsi="Cambria Math" w:cs="CMU Serif"/>
                            <w:i/>
                          </w:rPr>
                        </m:ctrlPr>
                      </m:naryPr>
                      <m:sub>
                        <m:r>
                          <w:rPr>
                            <w:rFonts w:ascii="Cambria Math" w:eastAsiaTheme="minorEastAsia" w:hAnsi="Cambria Math" w:cs="CMU Serif"/>
                          </w:rPr>
                          <m:t>i∈S</m:t>
                        </m:r>
                      </m:sub>
                      <m:sup/>
                      <m:e>
                        <m:sSub>
                          <m:sSubPr>
                            <m:ctrlPr>
                              <w:rPr>
                                <w:rFonts w:ascii="Cambria Math" w:eastAsiaTheme="minorEastAsia" w:hAnsi="Cambria Math" w:cs="CMU Serif"/>
                                <w:i/>
                              </w:rPr>
                            </m:ctrlPr>
                          </m:sSubPr>
                          <m:e>
                            <m:r>
                              <w:rPr>
                                <w:rFonts w:ascii="Cambria Math" w:eastAsiaTheme="minorEastAsia" w:hAnsi="Cambria Math" w:cs="CMU Serif"/>
                              </w:rPr>
                              <m:t>β</m:t>
                            </m:r>
                          </m:e>
                          <m:sub>
                            <m:r>
                              <w:rPr>
                                <w:rFonts w:ascii="Cambria Math" w:eastAsiaTheme="minorEastAsia" w:hAnsi="Cambria Math" w:cs="CMU Serif"/>
                              </w:rPr>
                              <m:t>p</m:t>
                            </m:r>
                          </m:sub>
                        </m:sSub>
                        <m:r>
                          <w:rPr>
                            <w:rFonts w:ascii="Cambria Math" w:eastAsiaTheme="minorEastAsia" w:hAnsi="Cambria Math" w:cs="CMU Serif"/>
                          </w:rPr>
                          <m:t xml:space="preserve"> </m:t>
                        </m:r>
                        <m:sSubSup>
                          <m:sSubSupPr>
                            <m:ctrlPr>
                              <w:rPr>
                                <w:rFonts w:ascii="Cambria Math" w:eastAsiaTheme="minorEastAsia" w:hAnsi="Cambria Math" w:cs="CMU Serif"/>
                                <w:i/>
                              </w:rPr>
                            </m:ctrlPr>
                          </m:sSubSupPr>
                          <m:e>
                            <m:r>
                              <w:rPr>
                                <w:rFonts w:ascii="Cambria Math" w:eastAsiaTheme="minorEastAsia" w:hAnsi="Cambria Math" w:cs="CMU Serif"/>
                              </w:rPr>
                              <m:t>X</m:t>
                            </m:r>
                          </m:e>
                          <m:sub>
                            <m:r>
                              <w:rPr>
                                <w:rFonts w:ascii="Cambria Math" w:eastAsiaTheme="minorEastAsia" w:hAnsi="Cambria Math" w:cs="CMU Serif"/>
                              </w:rPr>
                              <m:t>S,p</m:t>
                            </m:r>
                          </m:sub>
                          <m:sup>
                            <m:r>
                              <w:rPr>
                                <w:rFonts w:ascii="Cambria Math" w:eastAsiaTheme="minorEastAsia" w:hAnsi="Cambria Math" w:cs="CMU Serif"/>
                              </w:rPr>
                              <m:t>pre</m:t>
                            </m:r>
                          </m:sup>
                        </m:sSubSup>
                      </m:e>
                    </m:nary>
                  </m:e>
                </m:d>
              </m:e>
            </m:nary>
          </m:e>
        </m:rad>
      </m:oMath>
      <w:r w:rsidRPr="00633995">
        <w:rPr>
          <w:rFonts w:eastAsiaTheme="minorEastAsia" w:cs="CMU Serif"/>
        </w:rPr>
        <w:tab/>
      </w:r>
      <w:r w:rsidR="00C0779A" w:rsidRPr="00633995">
        <w:rPr>
          <w:rFonts w:eastAsiaTheme="minorEastAsia" w:cs="CMU Serif"/>
        </w:rPr>
        <w:t xml:space="preserve"> </w:t>
      </w:r>
      <w:r w:rsidRPr="00633995">
        <w:rPr>
          <w:rFonts w:eastAsiaTheme="minorEastAsia" w:cs="CMU Serif"/>
        </w:rPr>
        <w:t>(</w:t>
      </w:r>
      <w:r w:rsidR="00FB1FAB">
        <w:rPr>
          <w:rFonts w:eastAsiaTheme="minorEastAsia" w:cs="CMU Serif"/>
        </w:rPr>
        <w:t>7</w:t>
      </w:r>
      <w:r w:rsidRPr="00633995">
        <w:rPr>
          <w:rFonts w:eastAsiaTheme="minorEastAsia" w:cs="CMU Serif"/>
        </w:rPr>
        <w:t>)</w:t>
      </w:r>
    </w:p>
    <w:p w14:paraId="03F6665E" w14:textId="7F5602F2" w:rsidR="002272C3" w:rsidRPr="00633995" w:rsidRDefault="002272C3" w:rsidP="0011538D">
      <w:pPr>
        <w:jc w:val="both"/>
        <w:rPr>
          <w:rFonts w:eastAsiaTheme="minorEastAsia" w:cs="CMU Serif"/>
        </w:rPr>
      </w:pPr>
      <w:r w:rsidRPr="00633995">
        <w:rPr>
          <w:rFonts w:eastAsiaTheme="minorEastAsia" w:cs="CMU Serif"/>
        </w:rPr>
        <w:t>i.e. as an optimization problem minimizing the distance between all the observable characteristics of the control units (</w:t>
      </w:r>
      <m:oMath>
        <m:sSub>
          <m:sSubPr>
            <m:ctrlPr>
              <w:rPr>
                <w:rFonts w:ascii="Cambria Math" w:eastAsiaTheme="minorEastAsia" w:hAnsi="Cambria Math" w:cs="CMU Serif"/>
                <w:i/>
              </w:rPr>
            </m:ctrlPr>
          </m:sSubPr>
          <m:e>
            <m:r>
              <w:rPr>
                <w:rFonts w:ascii="Cambria Math" w:eastAsiaTheme="minorEastAsia" w:hAnsi="Cambria Math" w:cs="CMU Serif"/>
              </w:rPr>
              <m:t>X</m:t>
            </m:r>
          </m:e>
          <m:sub>
            <m:r>
              <w:rPr>
                <w:rFonts w:ascii="Cambria Math" w:eastAsiaTheme="minorEastAsia" w:hAnsi="Cambria Math" w:cs="CMU Serif"/>
              </w:rPr>
              <m:t>S</m:t>
            </m:r>
          </m:sub>
        </m:sSub>
        <m:r>
          <w:rPr>
            <w:rFonts w:ascii="Cambria Math" w:eastAsiaTheme="minorEastAsia" w:hAnsi="Cambria Math" w:cs="CMU Serif"/>
          </w:rPr>
          <m:t xml:space="preserve">,  S=1, …, S) </m:t>
        </m:r>
      </m:oMath>
      <w:r w:rsidRPr="00633995">
        <w:rPr>
          <w:rFonts w:eastAsiaTheme="minorEastAsia" w:cs="CMU Serif"/>
        </w:rPr>
        <w:t>and the country obtaining adequacy (</w:t>
      </w:r>
      <m:oMath>
        <m:sSub>
          <m:sSubPr>
            <m:ctrlPr>
              <w:rPr>
                <w:rFonts w:ascii="Cambria Math" w:eastAsiaTheme="minorEastAsia" w:hAnsi="Cambria Math" w:cs="CMU Serif"/>
                <w:i/>
              </w:rPr>
            </m:ctrlPr>
          </m:sSubPr>
          <m:e>
            <m:r>
              <w:rPr>
                <w:rFonts w:ascii="Cambria Math" w:eastAsiaTheme="minorEastAsia" w:hAnsi="Cambria Math" w:cs="CMU Serif"/>
              </w:rPr>
              <m:t>X</m:t>
            </m:r>
          </m:e>
          <m:sub>
            <m:r>
              <w:rPr>
                <w:rFonts w:ascii="Cambria Math" w:eastAsiaTheme="minorEastAsia" w:hAnsi="Cambria Math" w:cs="CMU Serif"/>
              </w:rPr>
              <m:t>T</m:t>
            </m:r>
          </m:sub>
        </m:sSub>
      </m:oMath>
      <w:r w:rsidRPr="00633995">
        <w:rPr>
          <w:rFonts w:eastAsiaTheme="minorEastAsia" w:cs="CMU Serif"/>
        </w:rPr>
        <w:t>).</w:t>
      </w:r>
      <w:r w:rsidRPr="00633995">
        <w:rPr>
          <w:rStyle w:val="FootnoteReference"/>
          <w:rFonts w:eastAsiaTheme="minorEastAsia" w:cs="CMU Serif"/>
        </w:rPr>
        <w:footnoteReference w:id="53"/>
      </w:r>
      <w:r w:rsidR="00EF3F35" w:rsidRPr="00633995">
        <w:rPr>
          <w:rFonts w:eastAsiaTheme="minorEastAsia" w:cs="CMU Serif"/>
        </w:rPr>
        <w:t xml:space="preserve"> </w:t>
      </w:r>
      <w:r w:rsidR="0089665B" w:rsidRPr="00633995">
        <w:rPr>
          <w:rFonts w:eastAsiaTheme="minorEastAsia" w:cs="CMU Serif"/>
        </w:rPr>
        <w:t xml:space="preserve">Consistent with the empirical literature, our </w:t>
      </w:r>
      <w:r w:rsidR="00EF3F35" w:rsidRPr="00633995">
        <w:rPr>
          <w:rFonts w:eastAsiaTheme="minorEastAsia" w:cs="CMU Serif"/>
        </w:rPr>
        <w:t xml:space="preserve">matching variables </w:t>
      </w:r>
      <w:r w:rsidRPr="00633995">
        <w:rPr>
          <w:rFonts w:eastAsiaTheme="minorEastAsia" w:cs="CMU Serif"/>
        </w:rPr>
        <w:t xml:space="preserve">include </w:t>
      </w:r>
      <w:r w:rsidR="00EF3F35" w:rsidRPr="00633995">
        <w:rPr>
          <w:rFonts w:eastAsiaTheme="minorEastAsia" w:cs="CMU Serif"/>
        </w:rPr>
        <w:t xml:space="preserve">different </w:t>
      </w:r>
      <w:r w:rsidR="0089665B" w:rsidRPr="00633995">
        <w:rPr>
          <w:rFonts w:eastAsiaTheme="minorEastAsia" w:cs="CMU Serif"/>
        </w:rPr>
        <w:t>lags</w:t>
      </w:r>
      <w:r w:rsidR="00EF3F35" w:rsidRPr="00633995">
        <w:rPr>
          <w:rFonts w:eastAsiaTheme="minorEastAsia" w:cs="CMU Serif"/>
        </w:rPr>
        <w:t xml:space="preserve"> of our dependent variable (</w:t>
      </w:r>
      <w:r w:rsidRPr="00633995">
        <w:rPr>
          <w:rFonts w:eastAsiaTheme="minorEastAsia" w:cs="CMU Serif"/>
        </w:rPr>
        <w:t>pre-adequacy digital trade in logs)</w:t>
      </w:r>
      <w:r w:rsidR="00EF3F35" w:rsidRPr="00633995">
        <w:rPr>
          <w:rFonts w:eastAsiaTheme="minorEastAsia" w:cs="CMU Serif"/>
        </w:rPr>
        <w:t>,</w:t>
      </w:r>
      <w:r w:rsidRPr="00633995">
        <w:rPr>
          <w:rFonts w:eastAsiaTheme="minorEastAsia" w:cs="CMU Serif"/>
        </w:rPr>
        <w:t xml:space="preserve"> total trade (</w:t>
      </w:r>
      <w:r w:rsidR="00EF3F35" w:rsidRPr="00633995">
        <w:rPr>
          <w:rFonts w:eastAsiaTheme="minorEastAsia" w:cs="CMU Serif"/>
        </w:rPr>
        <w:t xml:space="preserve">all three </w:t>
      </w:r>
      <w:r w:rsidR="00DA5FFC" w:rsidRPr="00633995">
        <w:rPr>
          <w:rFonts w:eastAsiaTheme="minorEastAsia" w:cs="CMU Serif"/>
        </w:rPr>
        <w:t>variables</w:t>
      </w:r>
      <w:r w:rsidR="00EF3F35" w:rsidRPr="00633995">
        <w:rPr>
          <w:rFonts w:eastAsiaTheme="minorEastAsia" w:cs="CMU Serif"/>
        </w:rPr>
        <w:t xml:space="preserve"> </w:t>
      </w:r>
      <w:r w:rsidRPr="00633995">
        <w:rPr>
          <w:rFonts w:eastAsiaTheme="minorEastAsia" w:cs="CMU Serif"/>
        </w:rPr>
        <w:t>in logs), the ratio of digital trade on total trade, per capita GDP (in logs), plus a set of country-specific fixed effects to absorb all country-specific characteristics</w:t>
      </w:r>
      <w:r w:rsidR="00DA5FFC" w:rsidRPr="00633995">
        <w:rPr>
          <w:rFonts w:eastAsiaTheme="minorEastAsia" w:cs="CMU Serif"/>
        </w:rPr>
        <w:t xml:space="preserve">, </w:t>
      </w:r>
      <w:r w:rsidRPr="00633995">
        <w:rPr>
          <w:rFonts w:eastAsiaTheme="minorEastAsia" w:cs="CMU Serif"/>
        </w:rPr>
        <w:t>such as time zone and geographic location</w:t>
      </w:r>
      <w:r w:rsidR="00DA5FFC" w:rsidRPr="00633995">
        <w:rPr>
          <w:rFonts w:eastAsiaTheme="minorEastAsia" w:cs="CMU Serif"/>
        </w:rPr>
        <w:t xml:space="preserve">, </w:t>
      </w:r>
      <w:r w:rsidRPr="00633995">
        <w:rPr>
          <w:rFonts w:eastAsiaTheme="minorEastAsia" w:cs="CMU Serif"/>
        </w:rPr>
        <w:t xml:space="preserve">that do not vary over time. </w:t>
      </w:r>
    </w:p>
    <w:p w14:paraId="37909C08" w14:textId="084B9453" w:rsidR="00F27401" w:rsidRPr="00633995" w:rsidRDefault="00075A93" w:rsidP="0011538D">
      <w:pPr>
        <w:jc w:val="both"/>
        <w:rPr>
          <w:b/>
          <w:bCs/>
        </w:rPr>
      </w:pPr>
      <w:r w:rsidRPr="00633995">
        <w:rPr>
          <w:b/>
          <w:bCs/>
        </w:rPr>
        <w:t>5</w:t>
      </w:r>
      <w:r w:rsidR="00F27401" w:rsidRPr="00633995">
        <w:rPr>
          <w:b/>
          <w:bCs/>
        </w:rPr>
        <w:t>.2</w:t>
      </w:r>
      <w:r w:rsidRPr="00633995">
        <w:rPr>
          <w:b/>
          <w:bCs/>
        </w:rPr>
        <w:t xml:space="preserve"> S</w:t>
      </w:r>
      <w:r w:rsidR="00A723F1">
        <w:rPr>
          <w:b/>
          <w:bCs/>
        </w:rPr>
        <w:t>ynthetic control</w:t>
      </w:r>
      <w:r w:rsidRPr="00633995">
        <w:rPr>
          <w:b/>
          <w:bCs/>
        </w:rPr>
        <w:t xml:space="preserve"> estimates</w:t>
      </w:r>
    </w:p>
    <w:p w14:paraId="55941DE5" w14:textId="0E8D3C3E" w:rsidR="00370E0D" w:rsidRPr="00633995" w:rsidRDefault="00234BD7" w:rsidP="0011538D">
      <w:pPr>
        <w:jc w:val="both"/>
        <w:rPr>
          <w:rFonts w:eastAsiaTheme="minorEastAsia" w:cs="CMU Serif"/>
        </w:rPr>
      </w:pPr>
      <w:r w:rsidRPr="00633995">
        <w:rPr>
          <w:rFonts w:eastAsiaTheme="minorEastAsia" w:cs="CMU Serif"/>
        </w:rPr>
        <w:t>W</w:t>
      </w:r>
      <w:r w:rsidR="00474078" w:rsidRPr="00633995">
        <w:rPr>
          <w:rFonts w:eastAsiaTheme="minorEastAsia" w:cs="CMU Serif"/>
        </w:rPr>
        <w:t xml:space="preserve">e estimate the effect of adequacy on digital trade </w:t>
      </w:r>
      <w:r w:rsidR="000833FF">
        <w:rPr>
          <w:rFonts w:eastAsiaTheme="minorEastAsia" w:cs="CMU Serif"/>
        </w:rPr>
        <w:t xml:space="preserve">using our preferred narrow </w:t>
      </w:r>
      <w:r w:rsidR="00474078" w:rsidRPr="00633995">
        <w:rPr>
          <w:rFonts w:eastAsiaTheme="minorEastAsia" w:cs="CMU Serif"/>
        </w:rPr>
        <w:t>definition of digital trade. Results for the three countries are reported in Figures 4</w:t>
      </w:r>
      <w:r w:rsidR="00FE45EC">
        <w:rPr>
          <w:rFonts w:eastAsiaTheme="minorEastAsia" w:cs="CMU Serif"/>
        </w:rPr>
        <w:t>-</w:t>
      </w:r>
      <w:r w:rsidR="00474078" w:rsidRPr="00633995">
        <w:rPr>
          <w:rFonts w:eastAsiaTheme="minorEastAsia" w:cs="CMU Serif"/>
        </w:rPr>
        <w:t xml:space="preserve">6. </w:t>
      </w:r>
      <w:r w:rsidR="00B851D0" w:rsidRPr="00633995">
        <w:rPr>
          <w:rFonts w:eastAsiaTheme="minorEastAsia" w:cs="CMU Serif"/>
        </w:rPr>
        <w:t>Each panel compares the performance of the country</w:t>
      </w:r>
      <w:r w:rsidR="000552AF" w:rsidRPr="00633995">
        <w:rPr>
          <w:rFonts w:eastAsiaTheme="minorEastAsia" w:cs="CMU Serif"/>
        </w:rPr>
        <w:t xml:space="preserve"> </w:t>
      </w:r>
      <w:r w:rsidR="00474078" w:rsidRPr="00633995">
        <w:rPr>
          <w:rFonts w:eastAsiaTheme="minorEastAsia" w:cs="CMU Serif"/>
        </w:rPr>
        <w:t xml:space="preserve">of interest </w:t>
      </w:r>
      <w:r w:rsidR="00B851D0" w:rsidRPr="00633995">
        <w:rPr>
          <w:rFonts w:eastAsiaTheme="minorEastAsia" w:cs="CMU Serif"/>
        </w:rPr>
        <w:t xml:space="preserve">(the solid line labelled “real”) with that of its synthetic control (the dashed line) with respect to digital trade. The year </w:t>
      </w:r>
      <w:r w:rsidR="00FB4D78" w:rsidRPr="00633995">
        <w:rPr>
          <w:rFonts w:eastAsiaTheme="minorEastAsia" w:cs="CMU Serif"/>
        </w:rPr>
        <w:t xml:space="preserve">the </w:t>
      </w:r>
      <w:r w:rsidR="00B851D0" w:rsidRPr="00633995">
        <w:rPr>
          <w:rFonts w:eastAsiaTheme="minorEastAsia" w:cs="CMU Serif"/>
        </w:rPr>
        <w:t xml:space="preserve">adequacy </w:t>
      </w:r>
      <w:r w:rsidR="00FB4D78" w:rsidRPr="00633995">
        <w:rPr>
          <w:rFonts w:eastAsiaTheme="minorEastAsia" w:cs="CMU Serif"/>
        </w:rPr>
        <w:t xml:space="preserve">decision </w:t>
      </w:r>
      <w:r w:rsidR="00B851D0" w:rsidRPr="00633995">
        <w:rPr>
          <w:rFonts w:eastAsiaTheme="minorEastAsia" w:cs="CMU Serif"/>
        </w:rPr>
        <w:t xml:space="preserve">was granted </w:t>
      </w:r>
      <w:r w:rsidR="00474078" w:rsidRPr="00633995">
        <w:rPr>
          <w:rFonts w:eastAsiaTheme="minorEastAsia" w:cs="CMU Serif"/>
        </w:rPr>
        <w:t xml:space="preserve">by the EU </w:t>
      </w:r>
      <w:r w:rsidR="00B851D0" w:rsidRPr="00633995">
        <w:rPr>
          <w:rFonts w:eastAsiaTheme="minorEastAsia" w:cs="CMU Serif"/>
        </w:rPr>
        <w:t>is indicated by the vertical dashed line</w:t>
      </w:r>
      <w:r w:rsidR="00474078" w:rsidRPr="00633995">
        <w:rPr>
          <w:rFonts w:eastAsiaTheme="minorEastAsia" w:cs="CMU Serif"/>
        </w:rPr>
        <w:t xml:space="preserve">: </w:t>
      </w:r>
      <w:r w:rsidR="00B851D0" w:rsidRPr="00633995">
        <w:rPr>
          <w:rFonts w:eastAsiaTheme="minorEastAsia" w:cs="CMU Serif"/>
        </w:rPr>
        <w:t>2003</w:t>
      </w:r>
      <w:r w:rsidR="00524361" w:rsidRPr="00633995">
        <w:rPr>
          <w:rFonts w:eastAsiaTheme="minorEastAsia" w:cs="CMU Serif"/>
        </w:rPr>
        <w:t xml:space="preserve"> for Argentina</w:t>
      </w:r>
      <w:r w:rsidR="00B851D0" w:rsidRPr="00633995">
        <w:rPr>
          <w:rFonts w:eastAsiaTheme="minorEastAsia" w:cs="CMU Serif"/>
        </w:rPr>
        <w:t>, 2013</w:t>
      </w:r>
      <w:r w:rsidR="00524361" w:rsidRPr="00633995">
        <w:rPr>
          <w:rFonts w:eastAsiaTheme="minorEastAsia" w:cs="CMU Serif"/>
        </w:rPr>
        <w:t xml:space="preserve"> for New Zealand</w:t>
      </w:r>
      <w:r w:rsidR="00B851D0" w:rsidRPr="00633995">
        <w:rPr>
          <w:rFonts w:eastAsiaTheme="minorEastAsia" w:cs="CMU Serif"/>
        </w:rPr>
        <w:t xml:space="preserve">, and 2011 for Israel. </w:t>
      </w:r>
      <w:r w:rsidR="002272C3" w:rsidRPr="00633995">
        <w:rPr>
          <w:rFonts w:eastAsiaTheme="minorEastAsia" w:cs="CMU Serif"/>
        </w:rPr>
        <w:t xml:space="preserve">Panel A </w:t>
      </w:r>
      <w:r w:rsidR="00474078" w:rsidRPr="00633995">
        <w:rPr>
          <w:rFonts w:eastAsiaTheme="minorEastAsia" w:cs="CMU Serif"/>
        </w:rPr>
        <w:t xml:space="preserve">of each figure </w:t>
      </w:r>
      <w:r w:rsidR="002272C3" w:rsidRPr="00633995">
        <w:rPr>
          <w:rFonts w:eastAsiaTheme="minorEastAsia" w:cs="CMU Serif"/>
        </w:rPr>
        <w:t xml:space="preserve">reports results for digital trade </w:t>
      </w:r>
      <w:r w:rsidR="00474078" w:rsidRPr="00633995">
        <w:rPr>
          <w:rFonts w:eastAsiaTheme="minorEastAsia" w:cs="CMU Serif"/>
        </w:rPr>
        <w:t xml:space="preserve">with </w:t>
      </w:r>
      <w:r w:rsidR="002272C3" w:rsidRPr="00633995">
        <w:rPr>
          <w:rFonts w:eastAsiaTheme="minorEastAsia" w:cs="CMU Serif"/>
        </w:rPr>
        <w:t xml:space="preserve">all partners irrespective of whether they have been granted adequacy; Panel B restricts the dependent variable to </w:t>
      </w:r>
      <w:r w:rsidR="00B065DC" w:rsidRPr="00633995">
        <w:rPr>
          <w:rFonts w:eastAsiaTheme="minorEastAsia" w:cs="CMU Serif"/>
        </w:rPr>
        <w:t xml:space="preserve">digital </w:t>
      </w:r>
      <w:r w:rsidR="002272C3" w:rsidRPr="00633995">
        <w:rPr>
          <w:rFonts w:eastAsiaTheme="minorEastAsia" w:cs="CMU Serif"/>
        </w:rPr>
        <w:t xml:space="preserve">trade with other countries granted adequacy by the EU; Panel C reports results for digital trade with the US; </w:t>
      </w:r>
      <w:r w:rsidR="00E60438" w:rsidRPr="00633995">
        <w:rPr>
          <w:rFonts w:eastAsiaTheme="minorEastAsia" w:cs="CMU Serif"/>
        </w:rPr>
        <w:t xml:space="preserve">and finally </w:t>
      </w:r>
      <w:r w:rsidR="002272C3" w:rsidRPr="00633995">
        <w:rPr>
          <w:rFonts w:eastAsiaTheme="minorEastAsia" w:cs="CMU Serif"/>
        </w:rPr>
        <w:t>Panel D reports results for</w:t>
      </w:r>
      <w:r w:rsidR="00B065DC" w:rsidRPr="00633995">
        <w:rPr>
          <w:rFonts w:eastAsiaTheme="minorEastAsia" w:cs="CMU Serif"/>
        </w:rPr>
        <w:t xml:space="preserve"> digital</w:t>
      </w:r>
      <w:r w:rsidR="002272C3" w:rsidRPr="00633995">
        <w:rPr>
          <w:rFonts w:eastAsiaTheme="minorEastAsia" w:cs="CMU Serif"/>
        </w:rPr>
        <w:t xml:space="preserve"> trade with </w:t>
      </w:r>
      <w:r w:rsidR="00474078" w:rsidRPr="00633995">
        <w:rPr>
          <w:rFonts w:eastAsiaTheme="minorEastAsia" w:cs="CMU Serif"/>
        </w:rPr>
        <w:t>other adequa</w:t>
      </w:r>
      <w:r w:rsidR="0073037D" w:rsidRPr="00633995">
        <w:rPr>
          <w:rFonts w:eastAsiaTheme="minorEastAsia" w:cs="CMU Serif"/>
        </w:rPr>
        <w:t>te countries</w:t>
      </w:r>
      <w:r w:rsidR="008806C0" w:rsidRPr="00633995">
        <w:rPr>
          <w:rFonts w:eastAsiaTheme="minorEastAsia" w:cs="CMU Serif"/>
        </w:rPr>
        <w:t xml:space="preserve">, excluding the </w:t>
      </w:r>
      <w:r w:rsidR="002272C3" w:rsidRPr="00633995">
        <w:rPr>
          <w:rFonts w:eastAsiaTheme="minorEastAsia" w:cs="CMU Serif"/>
        </w:rPr>
        <w:t>US.</w:t>
      </w:r>
      <w:r w:rsidR="00524361" w:rsidRPr="00633995">
        <w:rPr>
          <w:rFonts w:eastAsiaTheme="minorEastAsia" w:cs="CMU Serif"/>
        </w:rPr>
        <w:t xml:space="preserve"> Panels B-D</w:t>
      </w:r>
      <w:r w:rsidR="00E43230" w:rsidRPr="00633995">
        <w:rPr>
          <w:rFonts w:eastAsiaTheme="minorEastAsia" w:cs="CMU Serif"/>
        </w:rPr>
        <w:t xml:space="preserve"> allow </w:t>
      </w:r>
      <w:r w:rsidR="002905B1">
        <w:rPr>
          <w:rFonts w:eastAsiaTheme="minorEastAsia" w:cs="CMU Serif"/>
        </w:rPr>
        <w:t xml:space="preserve">an assessment </w:t>
      </w:r>
      <w:r w:rsidR="0061448A">
        <w:rPr>
          <w:rFonts w:eastAsiaTheme="minorEastAsia" w:cs="CMU Serif"/>
        </w:rPr>
        <w:t xml:space="preserve">of </w:t>
      </w:r>
      <w:r w:rsidR="0061448A" w:rsidRPr="00633995">
        <w:rPr>
          <w:rFonts w:eastAsiaTheme="minorEastAsia" w:cs="CMU Serif"/>
        </w:rPr>
        <w:t>heterogeneity</w:t>
      </w:r>
      <w:r w:rsidR="00E43230" w:rsidRPr="00633995">
        <w:rPr>
          <w:rFonts w:eastAsiaTheme="minorEastAsia" w:cs="CMU Serif"/>
        </w:rPr>
        <w:t xml:space="preserve"> </w:t>
      </w:r>
      <w:r w:rsidR="006F0998">
        <w:rPr>
          <w:rFonts w:eastAsiaTheme="minorEastAsia" w:cs="CMU Serif"/>
        </w:rPr>
        <w:t xml:space="preserve">of </w:t>
      </w:r>
      <w:r w:rsidR="00E43230" w:rsidRPr="00633995">
        <w:rPr>
          <w:rFonts w:eastAsiaTheme="minorEastAsia" w:cs="CMU Serif"/>
        </w:rPr>
        <w:t xml:space="preserve">the </w:t>
      </w:r>
      <w:r w:rsidR="00262702" w:rsidRPr="00633995">
        <w:rPr>
          <w:rFonts w:eastAsiaTheme="minorEastAsia" w:cs="CMU Serif"/>
        </w:rPr>
        <w:t>club</w:t>
      </w:r>
      <w:r w:rsidR="00E43230" w:rsidRPr="00633995">
        <w:rPr>
          <w:rFonts w:eastAsiaTheme="minorEastAsia" w:cs="CMU Serif"/>
        </w:rPr>
        <w:t xml:space="preserve"> effect </w:t>
      </w:r>
      <w:r w:rsidR="00474078" w:rsidRPr="00633995">
        <w:rPr>
          <w:rFonts w:eastAsiaTheme="minorEastAsia" w:cs="CMU Serif"/>
        </w:rPr>
        <w:t xml:space="preserve">found in </w:t>
      </w:r>
      <w:r w:rsidR="00E43230" w:rsidRPr="00633995">
        <w:rPr>
          <w:rFonts w:eastAsiaTheme="minorEastAsia" w:cs="CMU Serif"/>
        </w:rPr>
        <w:t xml:space="preserve">the gravity </w:t>
      </w:r>
      <w:r w:rsidR="00474078" w:rsidRPr="00633995">
        <w:rPr>
          <w:rFonts w:eastAsiaTheme="minorEastAsia" w:cs="CMU Serif"/>
        </w:rPr>
        <w:t>results</w:t>
      </w:r>
      <w:r w:rsidR="00B851D0" w:rsidRPr="00633995">
        <w:rPr>
          <w:rFonts w:eastAsiaTheme="minorEastAsia" w:cs="CMU Serif"/>
        </w:rPr>
        <w:t xml:space="preserve">. </w:t>
      </w:r>
    </w:p>
    <w:p w14:paraId="0F7D895A" w14:textId="5A0D26B1" w:rsidR="000A45AD" w:rsidRPr="00633995" w:rsidRDefault="00B851D0" w:rsidP="0011538D">
      <w:pPr>
        <w:jc w:val="both"/>
        <w:rPr>
          <w:rFonts w:eastAsiaTheme="minorEastAsia" w:cs="CMU Serif"/>
        </w:rPr>
      </w:pPr>
      <w:r w:rsidRPr="00633995">
        <w:rPr>
          <w:rFonts w:eastAsiaTheme="minorEastAsia" w:cs="CMU Serif"/>
        </w:rPr>
        <w:t xml:space="preserve">In addition to the stacked plots for each of the four scenarios defined above, </w:t>
      </w:r>
      <w:r w:rsidR="009E7E68" w:rsidRPr="00633995">
        <w:rPr>
          <w:rFonts w:eastAsiaTheme="minorEastAsia" w:cs="CMU Serif"/>
        </w:rPr>
        <w:t>we</w:t>
      </w:r>
      <w:r w:rsidR="00BD04EC" w:rsidRPr="00633995">
        <w:rPr>
          <w:rFonts w:eastAsiaTheme="minorEastAsia" w:cs="CMU Serif"/>
        </w:rPr>
        <w:t xml:space="preserve"> report </w:t>
      </w:r>
      <w:r w:rsidRPr="00633995">
        <w:rPr>
          <w:rFonts w:eastAsiaTheme="minorEastAsia" w:cs="CMU Serif"/>
        </w:rPr>
        <w:t>the related “spaghetti plot</w:t>
      </w:r>
      <w:r w:rsidR="00BD04EC" w:rsidRPr="00633995">
        <w:rPr>
          <w:rFonts w:eastAsiaTheme="minorEastAsia" w:cs="CMU Serif"/>
        </w:rPr>
        <w:t>s</w:t>
      </w:r>
      <w:r w:rsidRPr="00633995">
        <w:rPr>
          <w:rFonts w:eastAsiaTheme="minorEastAsia" w:cs="CMU Serif"/>
        </w:rPr>
        <w:t>”</w:t>
      </w:r>
      <w:r w:rsidR="009E7E68" w:rsidRPr="00633995">
        <w:rPr>
          <w:rFonts w:eastAsiaTheme="minorEastAsia" w:cs="CMU Serif"/>
        </w:rPr>
        <w:t xml:space="preserve"> in </w:t>
      </w:r>
      <w:r w:rsidR="00ED3D2E" w:rsidRPr="00633995">
        <w:rPr>
          <w:rFonts w:eastAsiaTheme="minorEastAsia" w:cs="CMU Serif"/>
        </w:rPr>
        <w:t>F</w:t>
      </w:r>
      <w:r w:rsidR="009E7E68" w:rsidRPr="00633995">
        <w:rPr>
          <w:rFonts w:eastAsiaTheme="minorEastAsia" w:cs="CMU Serif"/>
        </w:rPr>
        <w:t xml:space="preserve">igures </w:t>
      </w:r>
      <w:r w:rsidR="00AF7313">
        <w:rPr>
          <w:rFonts w:eastAsiaTheme="minorEastAsia" w:cs="CMU Serif"/>
        </w:rPr>
        <w:t>C1</w:t>
      </w:r>
      <w:r w:rsidR="008806C0" w:rsidRPr="00633995">
        <w:rPr>
          <w:rFonts w:eastAsiaTheme="minorEastAsia" w:cs="CMU Serif"/>
        </w:rPr>
        <w:t>-</w:t>
      </w:r>
      <w:r w:rsidR="00AF7313">
        <w:rPr>
          <w:rFonts w:eastAsiaTheme="minorEastAsia" w:cs="CMU Serif"/>
        </w:rPr>
        <w:t>C3</w:t>
      </w:r>
      <w:r w:rsidR="00B251D1" w:rsidRPr="00B251D1">
        <w:rPr>
          <w:rFonts w:eastAsiaTheme="minorEastAsia" w:cs="CMU Serif"/>
        </w:rPr>
        <w:t xml:space="preserve"> </w:t>
      </w:r>
      <w:r w:rsidR="00B251D1">
        <w:rPr>
          <w:rFonts w:eastAsiaTheme="minorEastAsia" w:cs="CMU Serif"/>
        </w:rPr>
        <w:t xml:space="preserve">in </w:t>
      </w:r>
      <w:r w:rsidR="00B251D1" w:rsidRPr="00633995">
        <w:rPr>
          <w:rFonts w:eastAsiaTheme="minorEastAsia" w:cs="CMU Serif"/>
        </w:rPr>
        <w:t>Appendix</w:t>
      </w:r>
      <w:r w:rsidR="00B251D1">
        <w:rPr>
          <w:rFonts w:eastAsiaTheme="minorEastAsia" w:cs="CMU Serif"/>
        </w:rPr>
        <w:t xml:space="preserve"> C</w:t>
      </w:r>
      <w:r w:rsidR="009E7E68" w:rsidRPr="00633995">
        <w:rPr>
          <w:rFonts w:eastAsiaTheme="minorEastAsia" w:cs="CMU Serif"/>
        </w:rPr>
        <w:t>. The</w:t>
      </w:r>
      <w:r w:rsidR="002905B1">
        <w:rPr>
          <w:rFonts w:eastAsiaTheme="minorEastAsia" w:cs="CMU Serif"/>
        </w:rPr>
        <w:t>se</w:t>
      </w:r>
      <w:r w:rsidR="009E7E68" w:rsidRPr="00633995">
        <w:rPr>
          <w:rFonts w:eastAsiaTheme="minorEastAsia" w:cs="CMU Serif"/>
        </w:rPr>
        <w:t xml:space="preserve"> additional results refer to</w:t>
      </w:r>
      <w:r w:rsidR="0071088A" w:rsidRPr="00633995">
        <w:rPr>
          <w:rFonts w:eastAsiaTheme="minorEastAsia" w:cs="CMU Serif"/>
        </w:rPr>
        <w:t xml:space="preserve"> the</w:t>
      </w:r>
      <w:r w:rsidRPr="00633995">
        <w:rPr>
          <w:rFonts w:eastAsiaTheme="minorEastAsia" w:cs="CMU Serif"/>
        </w:rPr>
        <w:t xml:space="preserve"> in-space placebo tests obtained by randomly assigning adequacy to any of the potential control units in each of the three case studies discussed. </w:t>
      </w:r>
      <w:r w:rsidR="009E7E68" w:rsidRPr="00633995">
        <w:rPr>
          <w:rFonts w:eastAsiaTheme="minorEastAsia" w:cs="CMU Serif"/>
        </w:rPr>
        <w:t>The</w:t>
      </w:r>
      <w:r w:rsidRPr="00633995">
        <w:rPr>
          <w:rFonts w:eastAsiaTheme="minorEastAsia" w:cs="CMU Serif"/>
        </w:rPr>
        <w:t xml:space="preserve"> additional </w:t>
      </w:r>
      <w:r w:rsidR="009E7E68" w:rsidRPr="00633995">
        <w:rPr>
          <w:rFonts w:eastAsiaTheme="minorEastAsia" w:cs="CMU Serif"/>
        </w:rPr>
        <w:t xml:space="preserve">plots </w:t>
      </w:r>
      <w:r w:rsidR="002905B1">
        <w:rPr>
          <w:rFonts w:eastAsiaTheme="minorEastAsia" w:cs="CMU Serif"/>
        </w:rPr>
        <w:t xml:space="preserve">provide </w:t>
      </w:r>
      <w:r w:rsidR="009E7E68" w:rsidRPr="00633995">
        <w:rPr>
          <w:rFonts w:eastAsiaTheme="minorEastAsia" w:cs="CMU Serif"/>
        </w:rPr>
        <w:t xml:space="preserve">a basic form of </w:t>
      </w:r>
      <w:r w:rsidR="003015B3" w:rsidRPr="00633995">
        <w:rPr>
          <w:rFonts w:eastAsiaTheme="minorEastAsia" w:cs="CMU Serif"/>
        </w:rPr>
        <w:t>robustness and</w:t>
      </w:r>
      <w:r w:rsidR="009E7E68" w:rsidRPr="00633995">
        <w:rPr>
          <w:rFonts w:eastAsiaTheme="minorEastAsia" w:cs="CMU Serif"/>
        </w:rPr>
        <w:t xml:space="preserve"> </w:t>
      </w:r>
      <w:r w:rsidR="002905B1">
        <w:rPr>
          <w:rFonts w:eastAsiaTheme="minorEastAsia" w:cs="CMU Serif"/>
        </w:rPr>
        <w:t xml:space="preserve">support the conclusion </w:t>
      </w:r>
      <w:r w:rsidRPr="00633995">
        <w:rPr>
          <w:rFonts w:eastAsiaTheme="minorEastAsia" w:cs="CMU Serif"/>
        </w:rPr>
        <w:t xml:space="preserve">that the effects identified can be attributed to adequacy and not to </w:t>
      </w:r>
      <w:r w:rsidRPr="00633995">
        <w:rPr>
          <w:rFonts w:eastAsiaTheme="minorEastAsia" w:cs="CMU Serif"/>
        </w:rPr>
        <w:lastRenderedPageBreak/>
        <w:t>any country</w:t>
      </w:r>
      <w:r w:rsidR="003C418D" w:rsidRPr="00633995">
        <w:rPr>
          <w:rFonts w:eastAsiaTheme="minorEastAsia" w:cs="CMU Serif"/>
        </w:rPr>
        <w:t>-</w:t>
      </w:r>
      <w:r w:rsidRPr="00633995">
        <w:rPr>
          <w:rFonts w:eastAsiaTheme="minorEastAsia" w:cs="CMU Serif"/>
        </w:rPr>
        <w:t>specific trend</w:t>
      </w:r>
      <w:r w:rsidR="00524361" w:rsidRPr="00633995">
        <w:rPr>
          <w:rFonts w:eastAsiaTheme="minorEastAsia" w:cs="CMU Serif"/>
        </w:rPr>
        <w:t xml:space="preserve">. </w:t>
      </w:r>
      <w:r w:rsidR="00022B1B" w:rsidRPr="00633995">
        <w:rPr>
          <w:rFonts w:eastAsiaTheme="minorEastAsia" w:cs="CMU Serif"/>
        </w:rPr>
        <w:t>Appendix</w:t>
      </w:r>
      <w:r w:rsidR="009E7E68" w:rsidRPr="00633995">
        <w:rPr>
          <w:rFonts w:eastAsiaTheme="minorEastAsia" w:cs="CMU Serif"/>
        </w:rPr>
        <w:t xml:space="preserve"> Table</w:t>
      </w:r>
      <w:r w:rsidR="00AF7313">
        <w:rPr>
          <w:rFonts w:eastAsiaTheme="minorEastAsia" w:cs="CMU Serif"/>
        </w:rPr>
        <w:t xml:space="preserve"> C1</w:t>
      </w:r>
      <w:r w:rsidR="00BF19B1" w:rsidRPr="00633995">
        <w:rPr>
          <w:rFonts w:eastAsiaTheme="minorEastAsia" w:cs="CMU Serif"/>
        </w:rPr>
        <w:t xml:space="preserve"> </w:t>
      </w:r>
      <w:r w:rsidR="009E7E68" w:rsidRPr="00633995">
        <w:rPr>
          <w:rFonts w:eastAsiaTheme="minorEastAsia" w:cs="CMU Serif"/>
        </w:rPr>
        <w:t xml:space="preserve">reports all the </w:t>
      </w:r>
      <w:r w:rsidR="00A0353D" w:rsidRPr="00633995">
        <w:rPr>
          <w:rFonts w:eastAsiaTheme="minorEastAsia" w:cs="CMU Serif"/>
        </w:rPr>
        <w:t>estimated ATTs</w:t>
      </w:r>
      <w:r w:rsidR="00524361" w:rsidRPr="00633995">
        <w:rPr>
          <w:rFonts w:eastAsiaTheme="minorEastAsia" w:cs="CMU Serif"/>
        </w:rPr>
        <w:t xml:space="preserve"> and </w:t>
      </w:r>
      <w:r w:rsidR="00A0353D" w:rsidRPr="00633995">
        <w:rPr>
          <w:rFonts w:eastAsiaTheme="minorEastAsia" w:cs="CMU Serif"/>
        </w:rPr>
        <w:t>the related</w:t>
      </w:r>
      <w:r w:rsidR="00BC14A6" w:rsidRPr="00633995">
        <w:rPr>
          <w:rFonts w:eastAsiaTheme="minorEastAsia" w:cs="CMU Serif"/>
        </w:rPr>
        <w:t xml:space="preserve"> root mean square errors</w:t>
      </w:r>
      <w:r w:rsidR="00663AFB">
        <w:rPr>
          <w:rFonts w:eastAsiaTheme="minorEastAsia" w:cs="CMU Serif"/>
        </w:rPr>
        <w:t>,</w:t>
      </w:r>
      <w:r w:rsidR="00A0353D" w:rsidRPr="00633995">
        <w:rPr>
          <w:rFonts w:eastAsiaTheme="minorEastAsia" w:cs="CMU Serif"/>
        </w:rPr>
        <w:t xml:space="preserve"> </w:t>
      </w:r>
      <w:r w:rsidR="00524361" w:rsidRPr="00633995">
        <w:rPr>
          <w:rFonts w:eastAsiaTheme="minorEastAsia" w:cs="CMU Serif"/>
        </w:rPr>
        <w:t xml:space="preserve">as well as </w:t>
      </w:r>
      <w:r w:rsidR="00A0353D" w:rsidRPr="00633995">
        <w:rPr>
          <w:rFonts w:eastAsiaTheme="minorEastAsia" w:cs="CMU Serif"/>
        </w:rPr>
        <w:t>their robustness according to the placebo test.</w:t>
      </w:r>
    </w:p>
    <w:p w14:paraId="1E8E8871" w14:textId="40D26561" w:rsidR="004F38F6" w:rsidRPr="00633995" w:rsidRDefault="004F38F6" w:rsidP="00513BF1">
      <w:pPr>
        <w:spacing w:before="240"/>
        <w:jc w:val="both"/>
        <w:rPr>
          <w:rFonts w:cs="CMU Serif"/>
          <w:b/>
          <w:bCs/>
        </w:rPr>
      </w:pPr>
      <w:r w:rsidRPr="00633995">
        <w:rPr>
          <w:rFonts w:cs="CMU Serif"/>
          <w:b/>
          <w:bCs/>
        </w:rPr>
        <w:t xml:space="preserve">Figure 4: </w:t>
      </w:r>
      <w:r w:rsidR="008B6053" w:rsidRPr="00633995">
        <w:rPr>
          <w:rFonts w:cs="CMU Serif"/>
          <w:b/>
          <w:bCs/>
        </w:rPr>
        <w:t>S</w:t>
      </w:r>
      <w:r w:rsidR="00A723F1">
        <w:rPr>
          <w:rFonts w:cs="CMU Serif"/>
          <w:b/>
          <w:bCs/>
        </w:rPr>
        <w:t xml:space="preserve">ynthetic control </w:t>
      </w:r>
      <w:r w:rsidR="008B6053" w:rsidRPr="00633995">
        <w:rPr>
          <w:rFonts w:cs="CMU Serif"/>
          <w:b/>
          <w:bCs/>
        </w:rPr>
        <w:t>estimates</w:t>
      </w:r>
      <w:r w:rsidR="00A723F1">
        <w:rPr>
          <w:rFonts w:cs="CMU Serif"/>
          <w:b/>
          <w:bCs/>
        </w:rPr>
        <w:t>:</w:t>
      </w:r>
      <w:r w:rsidR="008B6053" w:rsidRPr="00633995">
        <w:rPr>
          <w:rFonts w:cs="CMU Serif"/>
          <w:b/>
          <w:bCs/>
        </w:rPr>
        <w:t xml:space="preserve"> </w:t>
      </w:r>
      <w:r w:rsidRPr="00633995">
        <w:rPr>
          <w:rFonts w:cs="CMU Serif"/>
          <w:b/>
          <w:bCs/>
        </w:rPr>
        <w:t>Argentina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A6C48" w:rsidRPr="00633995" w14:paraId="6569BCAD" w14:textId="77777777" w:rsidTr="00B932CD">
        <w:trPr>
          <w:jc w:val="center"/>
        </w:trPr>
        <w:tc>
          <w:tcPr>
            <w:tcW w:w="4508" w:type="dxa"/>
          </w:tcPr>
          <w:p w14:paraId="292D1844" w14:textId="2FD76B65" w:rsidR="00AA6C48" w:rsidRPr="00633995" w:rsidRDefault="00AA6C48" w:rsidP="0011538D">
            <w:pPr>
              <w:jc w:val="both"/>
              <w:rPr>
                <w:rFonts w:cs="CMU Serif"/>
                <w:sz w:val="20"/>
                <w:szCs w:val="20"/>
              </w:rPr>
            </w:pPr>
            <w:r w:rsidRPr="00633995">
              <w:t>A: Total digital trade</w:t>
            </w:r>
          </w:p>
        </w:tc>
        <w:tc>
          <w:tcPr>
            <w:tcW w:w="4508" w:type="dxa"/>
          </w:tcPr>
          <w:p w14:paraId="4208C491" w14:textId="3F0C8860" w:rsidR="00AA6C48" w:rsidRPr="00633995" w:rsidRDefault="00AA6C48" w:rsidP="0011538D">
            <w:pPr>
              <w:jc w:val="both"/>
              <w:rPr>
                <w:rFonts w:cs="CMU Serif"/>
                <w:sz w:val="20"/>
                <w:szCs w:val="20"/>
              </w:rPr>
            </w:pPr>
            <w:r w:rsidRPr="00633995">
              <w:t xml:space="preserve">B: Digital trade </w:t>
            </w:r>
            <w:r w:rsidR="006478A0" w:rsidRPr="00633995">
              <w:t>with</w:t>
            </w:r>
            <w:r w:rsidRPr="00633995">
              <w:t xml:space="preserve"> adequate countries</w:t>
            </w:r>
          </w:p>
        </w:tc>
      </w:tr>
      <w:tr w:rsidR="00AA6C48" w:rsidRPr="00633995" w14:paraId="6197C624" w14:textId="77777777" w:rsidTr="00B932CD">
        <w:trPr>
          <w:jc w:val="center"/>
        </w:trPr>
        <w:tc>
          <w:tcPr>
            <w:tcW w:w="4508" w:type="dxa"/>
          </w:tcPr>
          <w:p w14:paraId="2478160F" w14:textId="6C8B6C59" w:rsidR="00AA6C48" w:rsidRPr="00633995" w:rsidRDefault="00AA6C48" w:rsidP="0011538D">
            <w:pPr>
              <w:jc w:val="both"/>
              <w:rPr>
                <w:rFonts w:cs="CMU Serif"/>
                <w:sz w:val="20"/>
                <w:szCs w:val="20"/>
              </w:rPr>
            </w:pPr>
            <w:r w:rsidRPr="00513BF1">
              <w:rPr>
                <w:noProof/>
                <w14:ligatures w14:val="standardContextual"/>
              </w:rPr>
              <w:drawing>
                <wp:inline distT="0" distB="0" distL="0" distR="0" wp14:anchorId="3BC88F9D" wp14:editId="44F59CE2">
                  <wp:extent cx="2430126" cy="1620000"/>
                  <wp:effectExtent l="0" t="0" r="0" b="5715"/>
                  <wp:docPr id="5881569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156914" name="Immagine 5881569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c>
          <w:tcPr>
            <w:tcW w:w="4508" w:type="dxa"/>
          </w:tcPr>
          <w:p w14:paraId="2DF315CB" w14:textId="643B43B4" w:rsidR="00AA6C48" w:rsidRPr="00633995" w:rsidRDefault="00AA6C48" w:rsidP="0011538D">
            <w:pPr>
              <w:jc w:val="both"/>
              <w:rPr>
                <w:rFonts w:cs="CMU Serif"/>
                <w:sz w:val="20"/>
                <w:szCs w:val="20"/>
              </w:rPr>
            </w:pPr>
            <w:r w:rsidRPr="00513BF1">
              <w:rPr>
                <w:noProof/>
                <w14:ligatures w14:val="standardContextual"/>
              </w:rPr>
              <w:drawing>
                <wp:inline distT="0" distB="0" distL="0" distR="0" wp14:anchorId="50A139BD" wp14:editId="6531DCEF">
                  <wp:extent cx="2430126" cy="1620000"/>
                  <wp:effectExtent l="0" t="0" r="0" b="5715"/>
                  <wp:docPr id="110288559" name="Immagine 3"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8559" name="Immagine 3" descr="Immagine che contiene testo, diagramma, linea, Diagramma&#10;&#10;Descrizione generat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r>
      <w:tr w:rsidR="00AA6C48" w:rsidRPr="00633995" w14:paraId="6BD844BB" w14:textId="77777777" w:rsidTr="00B932CD">
        <w:trPr>
          <w:jc w:val="center"/>
        </w:trPr>
        <w:tc>
          <w:tcPr>
            <w:tcW w:w="4508" w:type="dxa"/>
          </w:tcPr>
          <w:p w14:paraId="1699322A" w14:textId="14D01B8E" w:rsidR="00AA6C48" w:rsidRPr="00633995" w:rsidRDefault="00AA6C48" w:rsidP="0011538D">
            <w:pPr>
              <w:jc w:val="both"/>
              <w:rPr>
                <w:rFonts w:cs="CMU Serif"/>
                <w:sz w:val="20"/>
                <w:szCs w:val="20"/>
              </w:rPr>
            </w:pPr>
            <w:r w:rsidRPr="00633995">
              <w:t>C: Digital trade</w:t>
            </w:r>
            <w:r w:rsidR="00A16F0A" w:rsidRPr="00633995">
              <w:t xml:space="preserve"> with</w:t>
            </w:r>
            <w:r w:rsidRPr="00633995">
              <w:t xml:space="preserve"> the US</w:t>
            </w:r>
          </w:p>
        </w:tc>
        <w:tc>
          <w:tcPr>
            <w:tcW w:w="4508" w:type="dxa"/>
          </w:tcPr>
          <w:p w14:paraId="0E263BFE" w14:textId="2619AA27" w:rsidR="00AA6C48" w:rsidRPr="00633995" w:rsidRDefault="00335726" w:rsidP="0011538D">
            <w:pPr>
              <w:jc w:val="both"/>
              <w:rPr>
                <w:rFonts w:cs="CMU Serif"/>
                <w:sz w:val="20"/>
                <w:szCs w:val="20"/>
              </w:rPr>
            </w:pPr>
            <w:r w:rsidRPr="00633995">
              <w:t xml:space="preserve">D: Digital trade </w:t>
            </w:r>
            <w:r w:rsidR="00A16F0A" w:rsidRPr="00633995">
              <w:t xml:space="preserve">with </w:t>
            </w:r>
            <w:r w:rsidRPr="00633995">
              <w:t>adequate (excl. the US)</w:t>
            </w:r>
          </w:p>
        </w:tc>
      </w:tr>
      <w:tr w:rsidR="00AA6C48" w:rsidRPr="00633995" w14:paraId="44D76A04" w14:textId="77777777" w:rsidTr="00B932CD">
        <w:trPr>
          <w:jc w:val="center"/>
        </w:trPr>
        <w:tc>
          <w:tcPr>
            <w:tcW w:w="4508" w:type="dxa"/>
          </w:tcPr>
          <w:p w14:paraId="62D1A262" w14:textId="6E441A2F" w:rsidR="00AA6C48" w:rsidRPr="00633995" w:rsidRDefault="00AA6C48" w:rsidP="0011538D">
            <w:pPr>
              <w:jc w:val="both"/>
              <w:rPr>
                <w:rFonts w:cs="CMU Serif"/>
                <w:sz w:val="20"/>
                <w:szCs w:val="20"/>
              </w:rPr>
            </w:pPr>
            <w:r w:rsidRPr="00513BF1">
              <w:rPr>
                <w:noProof/>
                <w14:ligatures w14:val="standardContextual"/>
              </w:rPr>
              <w:drawing>
                <wp:inline distT="0" distB="0" distL="0" distR="0" wp14:anchorId="45AD5E2E" wp14:editId="48A46134">
                  <wp:extent cx="2430126" cy="1620000"/>
                  <wp:effectExtent l="0" t="0" r="0" b="5715"/>
                  <wp:docPr id="848127303" name="Immagine 5" descr="Immagine che contiene diagramma, testo, Diagramm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127303" name="Immagine 5" descr="Immagine che contiene diagramma, testo, Diagramma, linea&#10;&#10;Descrizione generat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c>
          <w:tcPr>
            <w:tcW w:w="4508" w:type="dxa"/>
          </w:tcPr>
          <w:p w14:paraId="1F4F6B63" w14:textId="5A7C1D84" w:rsidR="00AA6C48" w:rsidRPr="00633995" w:rsidRDefault="00AA6C48" w:rsidP="0011538D">
            <w:pPr>
              <w:jc w:val="both"/>
              <w:rPr>
                <w:rFonts w:cs="CMU Serif"/>
                <w:sz w:val="20"/>
                <w:szCs w:val="20"/>
              </w:rPr>
            </w:pPr>
            <w:r w:rsidRPr="00513BF1">
              <w:rPr>
                <w:noProof/>
                <w14:ligatures w14:val="standardContextual"/>
              </w:rPr>
              <w:drawing>
                <wp:inline distT="0" distB="0" distL="0" distR="0" wp14:anchorId="66854983" wp14:editId="3FFC2F03">
                  <wp:extent cx="2430126" cy="1620000"/>
                  <wp:effectExtent l="0" t="0" r="0" b="5715"/>
                  <wp:docPr id="1605808676" name="Immagine 7"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08676" name="Immagine 7" descr="Immagine che contiene testo, diagramma, linea, Diagramma&#10;&#10;Descrizione generata automa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r>
    </w:tbl>
    <w:p w14:paraId="212D8207" w14:textId="77777777" w:rsidR="00D77CDD" w:rsidRPr="00633995" w:rsidRDefault="00D77CDD" w:rsidP="00D77CDD">
      <w:pPr>
        <w:jc w:val="both"/>
        <w:rPr>
          <w:rFonts w:cs="CMU Serif"/>
          <w:sz w:val="20"/>
          <w:szCs w:val="20"/>
        </w:rPr>
      </w:pPr>
      <w:r w:rsidRPr="00633995">
        <w:rPr>
          <w:rFonts w:cs="CMU Serif"/>
          <w:sz w:val="20"/>
          <w:szCs w:val="20"/>
        </w:rPr>
        <w:t xml:space="preserve">Note: </w:t>
      </w:r>
      <w:r>
        <w:rPr>
          <w:rFonts w:cs="CMU Serif"/>
          <w:sz w:val="20"/>
          <w:szCs w:val="20"/>
        </w:rPr>
        <w:t>O</w:t>
      </w:r>
      <w:r w:rsidRPr="00633995">
        <w:rPr>
          <w:rFonts w:cs="CMU Serif"/>
          <w:sz w:val="20"/>
          <w:szCs w:val="20"/>
        </w:rPr>
        <w:t xml:space="preserve">utcome variable is </w:t>
      </w:r>
      <w:r>
        <w:rPr>
          <w:rFonts w:cs="CMU Serif"/>
          <w:sz w:val="20"/>
          <w:szCs w:val="20"/>
        </w:rPr>
        <w:t xml:space="preserve">the narrow definition of </w:t>
      </w:r>
      <w:r w:rsidRPr="00633995">
        <w:rPr>
          <w:rFonts w:cs="CMU Serif"/>
          <w:sz w:val="20"/>
          <w:szCs w:val="20"/>
        </w:rPr>
        <w:t xml:space="preserve">digital trade as </w:t>
      </w:r>
      <w:r>
        <w:rPr>
          <w:rFonts w:cs="CMU Serif"/>
          <w:sz w:val="20"/>
          <w:szCs w:val="20"/>
        </w:rPr>
        <w:t xml:space="preserve">defined </w:t>
      </w:r>
      <w:r w:rsidRPr="00633995">
        <w:rPr>
          <w:rFonts w:cs="CMU Serif"/>
          <w:sz w:val="20"/>
          <w:szCs w:val="20"/>
        </w:rPr>
        <w:t>in Appendix Table A</w:t>
      </w:r>
      <w:r>
        <w:rPr>
          <w:rFonts w:cs="CMU Serif"/>
          <w:sz w:val="20"/>
          <w:szCs w:val="20"/>
        </w:rPr>
        <w:t>5</w:t>
      </w:r>
      <w:r w:rsidRPr="00633995">
        <w:rPr>
          <w:rFonts w:cs="CMU Serif"/>
          <w:sz w:val="20"/>
          <w:szCs w:val="20"/>
        </w:rPr>
        <w:t>.</w:t>
      </w:r>
    </w:p>
    <w:p w14:paraId="60FE0334" w14:textId="2D2EA797" w:rsidR="00A10357" w:rsidRPr="00633995" w:rsidRDefault="00A10357" w:rsidP="00607058">
      <w:pPr>
        <w:spacing w:before="360"/>
        <w:rPr>
          <w:rFonts w:cs="CMU Serif"/>
          <w:b/>
          <w:bCs/>
        </w:rPr>
      </w:pPr>
      <w:r w:rsidRPr="00633995">
        <w:rPr>
          <w:rFonts w:cs="CMU Serif"/>
          <w:b/>
          <w:bCs/>
        </w:rPr>
        <w:t xml:space="preserve">Figure 5: </w:t>
      </w:r>
      <w:r w:rsidR="00A723F1" w:rsidRPr="00633995">
        <w:rPr>
          <w:rFonts w:cs="CMU Serif"/>
          <w:b/>
          <w:bCs/>
        </w:rPr>
        <w:t>S</w:t>
      </w:r>
      <w:r w:rsidR="00A723F1">
        <w:rPr>
          <w:rFonts w:cs="CMU Serif"/>
          <w:b/>
          <w:bCs/>
        </w:rPr>
        <w:t xml:space="preserve">ynthetic control </w:t>
      </w:r>
      <w:r w:rsidR="00A723F1" w:rsidRPr="00633995">
        <w:rPr>
          <w:rFonts w:cs="CMU Serif"/>
          <w:b/>
          <w:bCs/>
        </w:rPr>
        <w:t>estimates</w:t>
      </w:r>
      <w:r w:rsidR="00A723F1">
        <w:rPr>
          <w:rFonts w:cs="CMU Serif"/>
          <w:b/>
          <w:bCs/>
        </w:rPr>
        <w:t>:</w:t>
      </w:r>
      <w:r w:rsidR="00A723F1" w:rsidRPr="00633995">
        <w:rPr>
          <w:rFonts w:cs="CMU Serif"/>
          <w:b/>
          <w:bCs/>
        </w:rPr>
        <w:t xml:space="preserve"> </w:t>
      </w:r>
      <w:r w:rsidRPr="00633995">
        <w:rPr>
          <w:rFonts w:cs="CMU Serif"/>
          <w:b/>
          <w:bCs/>
        </w:rPr>
        <w:t>New Zealand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10357" w:rsidRPr="00633995" w14:paraId="4C6CCF92" w14:textId="77777777" w:rsidTr="00B932CD">
        <w:trPr>
          <w:jc w:val="center"/>
        </w:trPr>
        <w:tc>
          <w:tcPr>
            <w:tcW w:w="4508" w:type="dxa"/>
          </w:tcPr>
          <w:p w14:paraId="0BCDD73B" w14:textId="77777777" w:rsidR="00A10357" w:rsidRPr="00633995" w:rsidRDefault="00A10357" w:rsidP="0011538D">
            <w:pPr>
              <w:jc w:val="both"/>
              <w:rPr>
                <w:rFonts w:cs="CMU Serif"/>
                <w:sz w:val="20"/>
                <w:szCs w:val="20"/>
              </w:rPr>
            </w:pPr>
            <w:r w:rsidRPr="00633995">
              <w:t>A: Total digital trade</w:t>
            </w:r>
          </w:p>
        </w:tc>
        <w:tc>
          <w:tcPr>
            <w:tcW w:w="4508" w:type="dxa"/>
          </w:tcPr>
          <w:p w14:paraId="72C6B724" w14:textId="5A84E6CB" w:rsidR="00A10357" w:rsidRPr="00633995" w:rsidRDefault="00A10357" w:rsidP="0011538D">
            <w:pPr>
              <w:jc w:val="both"/>
              <w:rPr>
                <w:rFonts w:cs="CMU Serif"/>
                <w:sz w:val="20"/>
                <w:szCs w:val="20"/>
              </w:rPr>
            </w:pPr>
            <w:r w:rsidRPr="00633995">
              <w:t xml:space="preserve">B: Digital trade </w:t>
            </w:r>
            <w:r w:rsidR="006478A0" w:rsidRPr="00633995">
              <w:t xml:space="preserve">with </w:t>
            </w:r>
            <w:r w:rsidRPr="00633995">
              <w:t>adequate countries</w:t>
            </w:r>
          </w:p>
        </w:tc>
      </w:tr>
      <w:tr w:rsidR="00A10357" w:rsidRPr="00633995" w14:paraId="3F63FFCA" w14:textId="77777777" w:rsidTr="00B932CD">
        <w:trPr>
          <w:jc w:val="center"/>
        </w:trPr>
        <w:tc>
          <w:tcPr>
            <w:tcW w:w="4508" w:type="dxa"/>
          </w:tcPr>
          <w:p w14:paraId="0563F8AC" w14:textId="09947861" w:rsidR="00A10357" w:rsidRPr="00633995" w:rsidRDefault="00A10357" w:rsidP="0011538D">
            <w:pPr>
              <w:jc w:val="both"/>
              <w:rPr>
                <w:rFonts w:cs="CMU Serif"/>
                <w:sz w:val="20"/>
                <w:szCs w:val="20"/>
              </w:rPr>
            </w:pPr>
            <w:r w:rsidRPr="00513BF1">
              <w:rPr>
                <w:noProof/>
                <w14:ligatures w14:val="standardContextual"/>
              </w:rPr>
              <w:drawing>
                <wp:inline distT="0" distB="0" distL="0" distR="0" wp14:anchorId="1FDACE7F" wp14:editId="63E414BB">
                  <wp:extent cx="2430000" cy="1619916"/>
                  <wp:effectExtent l="0" t="0" r="0" b="5715"/>
                  <wp:docPr id="465031392" name="Immagine 9" descr="Immagine che contiene testo, diagramma, Diagramm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031392" name="Immagine 9" descr="Immagine che contiene testo, diagramma, Diagramma, linea&#10;&#10;Descrizione generata automa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30000" cy="1619916"/>
                          </a:xfrm>
                          <a:prstGeom prst="rect">
                            <a:avLst/>
                          </a:prstGeom>
                        </pic:spPr>
                      </pic:pic>
                    </a:graphicData>
                  </a:graphic>
                </wp:inline>
              </w:drawing>
            </w:r>
          </w:p>
        </w:tc>
        <w:tc>
          <w:tcPr>
            <w:tcW w:w="4508" w:type="dxa"/>
          </w:tcPr>
          <w:p w14:paraId="67478FC9" w14:textId="2D1E7BA1" w:rsidR="00A10357" w:rsidRPr="00633995" w:rsidRDefault="00A10357" w:rsidP="0011538D">
            <w:pPr>
              <w:jc w:val="both"/>
              <w:rPr>
                <w:rFonts w:cs="CMU Serif"/>
                <w:sz w:val="20"/>
                <w:szCs w:val="20"/>
              </w:rPr>
            </w:pPr>
            <w:r w:rsidRPr="00513BF1">
              <w:rPr>
                <w:noProof/>
                <w14:ligatures w14:val="standardContextual"/>
              </w:rPr>
              <w:drawing>
                <wp:inline distT="0" distB="0" distL="0" distR="0" wp14:anchorId="0579A00A" wp14:editId="45A4F1FB">
                  <wp:extent cx="2430126" cy="1620000"/>
                  <wp:effectExtent l="0" t="0" r="0" b="5715"/>
                  <wp:docPr id="151900569" name="Immagine 11"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00569" name="Immagine 11" descr="Immagine che contiene testo, diagramma, linea, Diagramma&#10;&#10;Descrizione generata automa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r>
      <w:tr w:rsidR="00A10357" w:rsidRPr="00633995" w14:paraId="47040CE8" w14:textId="77777777" w:rsidTr="00B932CD">
        <w:trPr>
          <w:jc w:val="center"/>
        </w:trPr>
        <w:tc>
          <w:tcPr>
            <w:tcW w:w="4508" w:type="dxa"/>
          </w:tcPr>
          <w:p w14:paraId="7A58C631" w14:textId="1BE228D3" w:rsidR="00A10357" w:rsidRPr="00633995" w:rsidRDefault="00A10357" w:rsidP="0011538D">
            <w:pPr>
              <w:jc w:val="both"/>
              <w:rPr>
                <w:rFonts w:cs="CMU Serif"/>
                <w:sz w:val="20"/>
                <w:szCs w:val="20"/>
              </w:rPr>
            </w:pPr>
            <w:r w:rsidRPr="00633995">
              <w:t xml:space="preserve">C: Digital trade </w:t>
            </w:r>
            <w:r w:rsidR="00A16F0A" w:rsidRPr="00633995">
              <w:t>with</w:t>
            </w:r>
            <w:r w:rsidRPr="00633995">
              <w:t xml:space="preserve"> the US</w:t>
            </w:r>
          </w:p>
        </w:tc>
        <w:tc>
          <w:tcPr>
            <w:tcW w:w="4508" w:type="dxa"/>
          </w:tcPr>
          <w:p w14:paraId="3AB82F86" w14:textId="1927F800" w:rsidR="00A10357" w:rsidRPr="00633995" w:rsidRDefault="00335726" w:rsidP="0011538D">
            <w:pPr>
              <w:jc w:val="both"/>
              <w:rPr>
                <w:rFonts w:cs="CMU Serif"/>
                <w:sz w:val="20"/>
                <w:szCs w:val="20"/>
              </w:rPr>
            </w:pPr>
            <w:r w:rsidRPr="00633995">
              <w:t xml:space="preserve">D: Digital trade </w:t>
            </w:r>
            <w:r w:rsidR="00A16F0A" w:rsidRPr="00633995">
              <w:t xml:space="preserve">with </w:t>
            </w:r>
            <w:r w:rsidRPr="00633995">
              <w:t>adequate (excl. the US)</w:t>
            </w:r>
          </w:p>
        </w:tc>
      </w:tr>
      <w:tr w:rsidR="00A10357" w:rsidRPr="00633995" w14:paraId="4C5FCA05" w14:textId="77777777" w:rsidTr="00B932CD">
        <w:trPr>
          <w:jc w:val="center"/>
        </w:trPr>
        <w:tc>
          <w:tcPr>
            <w:tcW w:w="4508" w:type="dxa"/>
          </w:tcPr>
          <w:p w14:paraId="01700956" w14:textId="1AE41EF0" w:rsidR="00A10357" w:rsidRPr="00633995" w:rsidRDefault="00A10357" w:rsidP="0011538D">
            <w:pPr>
              <w:jc w:val="both"/>
              <w:rPr>
                <w:rFonts w:cs="CMU Serif"/>
                <w:sz w:val="20"/>
                <w:szCs w:val="20"/>
              </w:rPr>
            </w:pPr>
            <w:r w:rsidRPr="00513BF1">
              <w:rPr>
                <w:noProof/>
                <w14:ligatures w14:val="standardContextual"/>
              </w:rPr>
              <w:drawing>
                <wp:inline distT="0" distB="0" distL="0" distR="0" wp14:anchorId="3C83A26C" wp14:editId="0E6EA462">
                  <wp:extent cx="2430000" cy="1619916"/>
                  <wp:effectExtent l="0" t="0" r="0" b="5715"/>
                  <wp:docPr id="2068019433" name="Immagine 12"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019433" name="Immagine 12" descr="Immagine che contiene testo, diagramma, linea, Diagramma&#10;&#10;Descrizione generata automa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30000" cy="1619916"/>
                          </a:xfrm>
                          <a:prstGeom prst="rect">
                            <a:avLst/>
                          </a:prstGeom>
                        </pic:spPr>
                      </pic:pic>
                    </a:graphicData>
                  </a:graphic>
                </wp:inline>
              </w:drawing>
            </w:r>
          </w:p>
        </w:tc>
        <w:tc>
          <w:tcPr>
            <w:tcW w:w="4508" w:type="dxa"/>
          </w:tcPr>
          <w:p w14:paraId="4222CEAE" w14:textId="237A6BD5" w:rsidR="00A10357" w:rsidRPr="00633995" w:rsidRDefault="00A10357" w:rsidP="0011538D">
            <w:pPr>
              <w:jc w:val="both"/>
              <w:rPr>
                <w:rFonts w:cs="CMU Serif"/>
                <w:sz w:val="20"/>
                <w:szCs w:val="20"/>
              </w:rPr>
            </w:pPr>
            <w:r w:rsidRPr="00513BF1">
              <w:rPr>
                <w:noProof/>
                <w14:ligatures w14:val="standardContextual"/>
              </w:rPr>
              <w:drawing>
                <wp:inline distT="0" distB="0" distL="0" distR="0" wp14:anchorId="2A877FCE" wp14:editId="3B718E58">
                  <wp:extent cx="2430126" cy="1620000"/>
                  <wp:effectExtent l="0" t="0" r="0" b="5715"/>
                  <wp:docPr id="235346118" name="Immagine 13"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46118" name="Immagine 13" descr="Immagine che contiene testo, diagramma, linea, Diagramma&#10;&#10;Descrizione generata automa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r>
    </w:tbl>
    <w:p w14:paraId="7AFED3CB" w14:textId="77777777" w:rsidR="00D77CDD" w:rsidRPr="00633995" w:rsidRDefault="00D77CDD" w:rsidP="00D77CDD">
      <w:pPr>
        <w:jc w:val="both"/>
        <w:rPr>
          <w:rFonts w:cs="CMU Serif"/>
          <w:sz w:val="20"/>
          <w:szCs w:val="20"/>
        </w:rPr>
      </w:pPr>
      <w:r w:rsidRPr="00633995">
        <w:rPr>
          <w:rFonts w:cs="CMU Serif"/>
          <w:sz w:val="20"/>
          <w:szCs w:val="20"/>
        </w:rPr>
        <w:t xml:space="preserve">Note: </w:t>
      </w:r>
      <w:r>
        <w:rPr>
          <w:rFonts w:cs="CMU Serif"/>
          <w:sz w:val="20"/>
          <w:szCs w:val="20"/>
        </w:rPr>
        <w:t>O</w:t>
      </w:r>
      <w:r w:rsidRPr="00633995">
        <w:rPr>
          <w:rFonts w:cs="CMU Serif"/>
          <w:sz w:val="20"/>
          <w:szCs w:val="20"/>
        </w:rPr>
        <w:t xml:space="preserve">utcome variable is </w:t>
      </w:r>
      <w:r>
        <w:rPr>
          <w:rFonts w:cs="CMU Serif"/>
          <w:sz w:val="20"/>
          <w:szCs w:val="20"/>
        </w:rPr>
        <w:t xml:space="preserve">the narrow definition of </w:t>
      </w:r>
      <w:r w:rsidRPr="00633995">
        <w:rPr>
          <w:rFonts w:cs="CMU Serif"/>
          <w:sz w:val="20"/>
          <w:szCs w:val="20"/>
        </w:rPr>
        <w:t xml:space="preserve">digital trade as </w:t>
      </w:r>
      <w:r>
        <w:rPr>
          <w:rFonts w:cs="CMU Serif"/>
          <w:sz w:val="20"/>
          <w:szCs w:val="20"/>
        </w:rPr>
        <w:t xml:space="preserve">defined </w:t>
      </w:r>
      <w:r w:rsidRPr="00633995">
        <w:rPr>
          <w:rFonts w:cs="CMU Serif"/>
          <w:sz w:val="20"/>
          <w:szCs w:val="20"/>
        </w:rPr>
        <w:t>in Appendix Table A</w:t>
      </w:r>
      <w:r>
        <w:rPr>
          <w:rFonts w:cs="CMU Serif"/>
          <w:sz w:val="20"/>
          <w:szCs w:val="20"/>
        </w:rPr>
        <w:t>5</w:t>
      </w:r>
      <w:r w:rsidRPr="00633995">
        <w:rPr>
          <w:rFonts w:cs="CMU Serif"/>
          <w:sz w:val="20"/>
          <w:szCs w:val="20"/>
        </w:rPr>
        <w:t>.</w:t>
      </w:r>
    </w:p>
    <w:p w14:paraId="5473DFDF" w14:textId="52B18D47" w:rsidR="00A10357" w:rsidRPr="00633995" w:rsidRDefault="00A10357" w:rsidP="00607058">
      <w:pPr>
        <w:spacing w:before="360"/>
        <w:jc w:val="both"/>
        <w:rPr>
          <w:rFonts w:cs="CMU Serif"/>
          <w:b/>
          <w:bCs/>
        </w:rPr>
      </w:pPr>
      <w:r w:rsidRPr="00633995">
        <w:rPr>
          <w:rFonts w:cs="CMU Serif"/>
          <w:b/>
          <w:bCs/>
        </w:rPr>
        <w:lastRenderedPageBreak/>
        <w:t xml:space="preserve">Figure 6: </w:t>
      </w:r>
      <w:r w:rsidR="00A723F1" w:rsidRPr="00633995">
        <w:rPr>
          <w:rFonts w:cs="CMU Serif"/>
          <w:b/>
          <w:bCs/>
        </w:rPr>
        <w:t>S</w:t>
      </w:r>
      <w:r w:rsidR="00A723F1">
        <w:rPr>
          <w:rFonts w:cs="CMU Serif"/>
          <w:b/>
          <w:bCs/>
        </w:rPr>
        <w:t xml:space="preserve">ynthetic control </w:t>
      </w:r>
      <w:r w:rsidR="00A723F1" w:rsidRPr="00633995">
        <w:rPr>
          <w:rFonts w:cs="CMU Serif"/>
          <w:b/>
          <w:bCs/>
        </w:rPr>
        <w:t>estimates</w:t>
      </w:r>
      <w:r w:rsidR="00A723F1">
        <w:rPr>
          <w:rFonts w:cs="CMU Serif"/>
          <w:b/>
          <w:bCs/>
        </w:rPr>
        <w:t>:</w:t>
      </w:r>
      <w:r w:rsidR="00A723F1" w:rsidRPr="00633995">
        <w:rPr>
          <w:rFonts w:cs="CMU Serif"/>
          <w:b/>
          <w:bCs/>
        </w:rPr>
        <w:t xml:space="preserve"> </w:t>
      </w:r>
      <w:r w:rsidR="005F0F4C" w:rsidRPr="00633995">
        <w:rPr>
          <w:rFonts w:cs="CMU Serif"/>
          <w:b/>
          <w:bCs/>
        </w:rPr>
        <w:t>Israel</w:t>
      </w:r>
      <w:r w:rsidR="00FA063E" w:rsidRPr="00633995">
        <w:rPr>
          <w:rFonts w:cs="CMU Serif"/>
          <w:b/>
          <w:bCs/>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10357" w:rsidRPr="00633995" w14:paraId="20E251B5" w14:textId="77777777" w:rsidTr="00B932CD">
        <w:trPr>
          <w:jc w:val="center"/>
        </w:trPr>
        <w:tc>
          <w:tcPr>
            <w:tcW w:w="4508" w:type="dxa"/>
          </w:tcPr>
          <w:p w14:paraId="7C605A94" w14:textId="77777777" w:rsidR="00A10357" w:rsidRPr="00633995" w:rsidRDefault="00A10357" w:rsidP="0011538D">
            <w:pPr>
              <w:jc w:val="both"/>
              <w:rPr>
                <w:rFonts w:cs="CMU Serif"/>
                <w:sz w:val="20"/>
                <w:szCs w:val="20"/>
              </w:rPr>
            </w:pPr>
            <w:r w:rsidRPr="00633995">
              <w:t>A: Total digital trade</w:t>
            </w:r>
          </w:p>
        </w:tc>
        <w:tc>
          <w:tcPr>
            <w:tcW w:w="4508" w:type="dxa"/>
          </w:tcPr>
          <w:p w14:paraId="177FE78A" w14:textId="26737AD5" w:rsidR="00A10357" w:rsidRPr="00633995" w:rsidRDefault="00A10357" w:rsidP="0011538D">
            <w:pPr>
              <w:jc w:val="both"/>
              <w:rPr>
                <w:rFonts w:cs="CMU Serif"/>
                <w:sz w:val="20"/>
                <w:szCs w:val="20"/>
              </w:rPr>
            </w:pPr>
            <w:r w:rsidRPr="00633995">
              <w:t>B: Digital trade</w:t>
            </w:r>
            <w:r w:rsidR="006478A0" w:rsidRPr="00633995">
              <w:t xml:space="preserve"> with</w:t>
            </w:r>
            <w:r w:rsidRPr="00633995">
              <w:t xml:space="preserve"> adequate countries</w:t>
            </w:r>
          </w:p>
        </w:tc>
      </w:tr>
      <w:tr w:rsidR="00A10357" w:rsidRPr="00633995" w14:paraId="1B4BE870" w14:textId="77777777" w:rsidTr="00B932CD">
        <w:trPr>
          <w:jc w:val="center"/>
        </w:trPr>
        <w:tc>
          <w:tcPr>
            <w:tcW w:w="4508" w:type="dxa"/>
          </w:tcPr>
          <w:p w14:paraId="2565458D" w14:textId="6B5A2514" w:rsidR="00A10357" w:rsidRPr="00633995" w:rsidRDefault="00A10357" w:rsidP="0011538D">
            <w:pPr>
              <w:jc w:val="both"/>
              <w:rPr>
                <w:rFonts w:cs="CMU Serif"/>
                <w:sz w:val="20"/>
                <w:szCs w:val="20"/>
              </w:rPr>
            </w:pPr>
            <w:r w:rsidRPr="00513BF1">
              <w:rPr>
                <w:noProof/>
                <w14:ligatures w14:val="standardContextual"/>
              </w:rPr>
              <w:drawing>
                <wp:inline distT="0" distB="0" distL="0" distR="0" wp14:anchorId="7C4D5D22" wp14:editId="426F1B27">
                  <wp:extent cx="2430000" cy="1619916"/>
                  <wp:effectExtent l="0" t="0" r="0" b="5715"/>
                  <wp:docPr id="1464018815" name="Immagine 17" descr="Immagine che contiene testo, diagramma, Diagramm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018815" name="Immagine 17" descr="Immagine che contiene testo, diagramma, Diagramma, linea&#10;&#10;Descrizione generata automaticament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30000" cy="1619916"/>
                          </a:xfrm>
                          <a:prstGeom prst="rect">
                            <a:avLst/>
                          </a:prstGeom>
                        </pic:spPr>
                      </pic:pic>
                    </a:graphicData>
                  </a:graphic>
                </wp:inline>
              </w:drawing>
            </w:r>
          </w:p>
        </w:tc>
        <w:tc>
          <w:tcPr>
            <w:tcW w:w="4508" w:type="dxa"/>
          </w:tcPr>
          <w:p w14:paraId="3929FFED" w14:textId="56CFC29E" w:rsidR="00A10357" w:rsidRPr="00633995" w:rsidRDefault="00A10357" w:rsidP="0011538D">
            <w:pPr>
              <w:jc w:val="both"/>
              <w:rPr>
                <w:rFonts w:cs="CMU Serif"/>
                <w:sz w:val="20"/>
                <w:szCs w:val="20"/>
              </w:rPr>
            </w:pPr>
            <w:r w:rsidRPr="00513BF1">
              <w:rPr>
                <w:noProof/>
                <w14:ligatures w14:val="standardContextual"/>
              </w:rPr>
              <w:drawing>
                <wp:inline distT="0" distB="0" distL="0" distR="0" wp14:anchorId="7B6A146A" wp14:editId="46BFAD7B">
                  <wp:extent cx="2430126" cy="1620000"/>
                  <wp:effectExtent l="0" t="0" r="0" b="5715"/>
                  <wp:docPr id="1594004213" name="Immagine 18" descr="Immagine che contiene testo, linea, diagramm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04213" name="Immagine 18" descr="Immagine che contiene testo, linea, diagramma, Diagramma&#10;&#10;Descrizione generata automaticament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r>
      <w:tr w:rsidR="00A10357" w:rsidRPr="00633995" w14:paraId="0EBA4DFD" w14:textId="77777777" w:rsidTr="00B932CD">
        <w:trPr>
          <w:jc w:val="center"/>
        </w:trPr>
        <w:tc>
          <w:tcPr>
            <w:tcW w:w="4508" w:type="dxa"/>
          </w:tcPr>
          <w:p w14:paraId="4A20D326" w14:textId="0FC2CDCB" w:rsidR="00A10357" w:rsidRPr="00633995" w:rsidRDefault="00A10357" w:rsidP="0011538D">
            <w:pPr>
              <w:jc w:val="both"/>
              <w:rPr>
                <w:rFonts w:cs="CMU Serif"/>
                <w:sz w:val="20"/>
                <w:szCs w:val="20"/>
              </w:rPr>
            </w:pPr>
            <w:r w:rsidRPr="00633995">
              <w:t>C: Digital trade</w:t>
            </w:r>
            <w:r w:rsidR="00A16F0A" w:rsidRPr="00633995">
              <w:t xml:space="preserve"> with</w:t>
            </w:r>
            <w:r w:rsidRPr="00633995">
              <w:t xml:space="preserve"> the US</w:t>
            </w:r>
          </w:p>
        </w:tc>
        <w:tc>
          <w:tcPr>
            <w:tcW w:w="4508" w:type="dxa"/>
          </w:tcPr>
          <w:p w14:paraId="68513710" w14:textId="06380247" w:rsidR="00A10357" w:rsidRPr="00633995" w:rsidRDefault="00A10357" w:rsidP="0011538D">
            <w:pPr>
              <w:jc w:val="both"/>
              <w:rPr>
                <w:rFonts w:cs="CMU Serif"/>
                <w:sz w:val="20"/>
                <w:szCs w:val="20"/>
              </w:rPr>
            </w:pPr>
            <w:r w:rsidRPr="00633995">
              <w:t>D: Digital trade</w:t>
            </w:r>
            <w:r w:rsidR="00335726" w:rsidRPr="00633995">
              <w:t xml:space="preserve"> </w:t>
            </w:r>
            <w:r w:rsidR="006478A0" w:rsidRPr="00633995">
              <w:t xml:space="preserve">with </w:t>
            </w:r>
            <w:r w:rsidR="00335726" w:rsidRPr="00633995">
              <w:t>adequate</w:t>
            </w:r>
            <w:r w:rsidRPr="00633995">
              <w:t xml:space="preserve"> </w:t>
            </w:r>
            <w:r w:rsidR="00335726" w:rsidRPr="00633995">
              <w:t>(</w:t>
            </w:r>
            <w:r w:rsidRPr="00633995">
              <w:t>excl</w:t>
            </w:r>
            <w:r w:rsidR="00335726" w:rsidRPr="00633995">
              <w:t>.</w:t>
            </w:r>
            <w:r w:rsidRPr="00633995">
              <w:t xml:space="preserve"> the US</w:t>
            </w:r>
            <w:r w:rsidR="00335726" w:rsidRPr="00633995">
              <w:t>)</w:t>
            </w:r>
          </w:p>
        </w:tc>
      </w:tr>
      <w:tr w:rsidR="00A10357" w:rsidRPr="00633995" w14:paraId="1C30AD2E" w14:textId="77777777" w:rsidTr="00B932CD">
        <w:trPr>
          <w:jc w:val="center"/>
        </w:trPr>
        <w:tc>
          <w:tcPr>
            <w:tcW w:w="4508" w:type="dxa"/>
          </w:tcPr>
          <w:p w14:paraId="1C4E88FA" w14:textId="7D268ABC" w:rsidR="00A10357" w:rsidRPr="00633995" w:rsidRDefault="00A10357" w:rsidP="0011538D">
            <w:pPr>
              <w:jc w:val="both"/>
              <w:rPr>
                <w:rFonts w:cs="CMU Serif"/>
                <w:sz w:val="20"/>
                <w:szCs w:val="20"/>
              </w:rPr>
            </w:pPr>
            <w:r w:rsidRPr="00513BF1">
              <w:rPr>
                <w:noProof/>
                <w14:ligatures w14:val="standardContextual"/>
              </w:rPr>
              <w:drawing>
                <wp:inline distT="0" distB="0" distL="0" distR="0" wp14:anchorId="4AA53E77" wp14:editId="2DEBB65C">
                  <wp:extent cx="2430126" cy="1620000"/>
                  <wp:effectExtent l="0" t="0" r="0" b="5715"/>
                  <wp:docPr id="940663595" name="Immagine 19"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63595" name="Immagine 19" descr="Immagine che contiene testo, diagramma, linea, Diagramma&#10;&#10;Descrizione generata automaticament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c>
          <w:tcPr>
            <w:tcW w:w="4508" w:type="dxa"/>
          </w:tcPr>
          <w:p w14:paraId="0BE99CCA" w14:textId="5E0DD376" w:rsidR="00A10357" w:rsidRPr="00633995" w:rsidRDefault="00A10357" w:rsidP="0011538D">
            <w:pPr>
              <w:jc w:val="both"/>
              <w:rPr>
                <w:rFonts w:cs="CMU Serif"/>
                <w:sz w:val="20"/>
                <w:szCs w:val="20"/>
              </w:rPr>
            </w:pPr>
            <w:r w:rsidRPr="00513BF1">
              <w:rPr>
                <w:noProof/>
                <w14:ligatures w14:val="standardContextual"/>
              </w:rPr>
              <w:drawing>
                <wp:inline distT="0" distB="0" distL="0" distR="0" wp14:anchorId="53763746" wp14:editId="1927FB98">
                  <wp:extent cx="2430126" cy="1620000"/>
                  <wp:effectExtent l="0" t="0" r="0" b="5715"/>
                  <wp:docPr id="1311252187" name="Immagine 20" descr="Immagine che contiene testo, linea, diagramm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252187" name="Immagine 20" descr="Immagine che contiene testo, linea, diagramma, Diagramma&#10;&#10;Descrizione generata automaticament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r>
    </w:tbl>
    <w:p w14:paraId="647DECA1" w14:textId="7542FF92" w:rsidR="00984D7D" w:rsidRDefault="00D77CDD">
      <w:pPr>
        <w:rPr>
          <w:rFonts w:cs="CMU Serif"/>
          <w:sz w:val="20"/>
          <w:szCs w:val="20"/>
        </w:rPr>
      </w:pPr>
      <w:r w:rsidRPr="00633995">
        <w:rPr>
          <w:rFonts w:cs="CMU Serif"/>
          <w:sz w:val="20"/>
          <w:szCs w:val="20"/>
        </w:rPr>
        <w:t xml:space="preserve">Note: </w:t>
      </w:r>
      <w:r>
        <w:rPr>
          <w:rFonts w:cs="CMU Serif"/>
          <w:sz w:val="20"/>
          <w:szCs w:val="20"/>
        </w:rPr>
        <w:t>O</w:t>
      </w:r>
      <w:r w:rsidRPr="00633995">
        <w:rPr>
          <w:rFonts w:cs="CMU Serif"/>
          <w:sz w:val="20"/>
          <w:szCs w:val="20"/>
        </w:rPr>
        <w:t xml:space="preserve">utcome variable is </w:t>
      </w:r>
      <w:r>
        <w:rPr>
          <w:rFonts w:cs="CMU Serif"/>
          <w:sz w:val="20"/>
          <w:szCs w:val="20"/>
        </w:rPr>
        <w:t xml:space="preserve">the narrow definition of </w:t>
      </w:r>
      <w:r w:rsidRPr="00633995">
        <w:rPr>
          <w:rFonts w:cs="CMU Serif"/>
          <w:sz w:val="20"/>
          <w:szCs w:val="20"/>
        </w:rPr>
        <w:t xml:space="preserve">digital trade as </w:t>
      </w:r>
      <w:r>
        <w:rPr>
          <w:rFonts w:cs="CMU Serif"/>
          <w:sz w:val="20"/>
          <w:szCs w:val="20"/>
        </w:rPr>
        <w:t xml:space="preserve">defined </w:t>
      </w:r>
      <w:r w:rsidRPr="00633995">
        <w:rPr>
          <w:rFonts w:cs="CMU Serif"/>
          <w:sz w:val="20"/>
          <w:szCs w:val="20"/>
        </w:rPr>
        <w:t>in Appendix Table A</w:t>
      </w:r>
      <w:r>
        <w:rPr>
          <w:rFonts w:cs="CMU Serif"/>
          <w:sz w:val="20"/>
          <w:szCs w:val="20"/>
        </w:rPr>
        <w:t>5</w:t>
      </w:r>
      <w:r w:rsidRPr="00633995">
        <w:rPr>
          <w:rFonts w:cs="CMU Serif"/>
          <w:sz w:val="20"/>
          <w:szCs w:val="20"/>
        </w:rPr>
        <w:t>.</w:t>
      </w:r>
    </w:p>
    <w:p w14:paraId="4F0A8ACA" w14:textId="77777777" w:rsidR="00056FBE" w:rsidRDefault="00056FBE" w:rsidP="00056FBE">
      <w:pPr>
        <w:jc w:val="both"/>
        <w:rPr>
          <w:rFonts w:cs="CMU Serif"/>
        </w:rPr>
      </w:pPr>
      <w:r w:rsidRPr="00633995">
        <w:rPr>
          <w:rFonts w:cs="CMU Serif"/>
        </w:rPr>
        <w:t xml:space="preserve">The plots in Figures 4-6 are largely consistent with our gravity estimates, revealing that adequacy matters for digital trade. The three cases also highlight the prevalence of heterogeneity, reflected in the large differences in the estimated effects across the four scenarios. </w:t>
      </w:r>
      <w:r w:rsidRPr="00604F53">
        <w:rPr>
          <w:rFonts w:cs="CMU Serif"/>
        </w:rPr>
        <w:t>The synthetic control exercise</w:t>
      </w:r>
      <w:r>
        <w:rPr>
          <w:rFonts w:cs="CMU Serif"/>
        </w:rPr>
        <w:t>s</w:t>
      </w:r>
      <w:r w:rsidRPr="00604F53">
        <w:rPr>
          <w:rFonts w:cs="CMU Serif"/>
        </w:rPr>
        <w:t xml:space="preserve"> for A</w:t>
      </w:r>
      <w:r>
        <w:rPr>
          <w:rFonts w:cs="CMU Serif"/>
        </w:rPr>
        <w:t>rgentina</w:t>
      </w:r>
      <w:r w:rsidRPr="00604F53">
        <w:rPr>
          <w:rFonts w:cs="CMU Serif"/>
        </w:rPr>
        <w:t xml:space="preserve"> (Figures 4) and N</w:t>
      </w:r>
      <w:r>
        <w:rPr>
          <w:rFonts w:cs="CMU Serif"/>
        </w:rPr>
        <w:t xml:space="preserve">ew </w:t>
      </w:r>
      <w:r w:rsidRPr="00604F53">
        <w:rPr>
          <w:rFonts w:cs="CMU Serif"/>
        </w:rPr>
        <w:t>Z</w:t>
      </w:r>
      <w:r>
        <w:rPr>
          <w:rFonts w:cs="CMU Serif"/>
        </w:rPr>
        <w:t>ealand</w:t>
      </w:r>
      <w:r w:rsidRPr="00604F53">
        <w:rPr>
          <w:rFonts w:cs="CMU Serif"/>
        </w:rPr>
        <w:t xml:space="preserve"> (Figure 5) </w:t>
      </w:r>
      <w:r>
        <w:rPr>
          <w:rFonts w:cs="CMU Serif"/>
        </w:rPr>
        <w:t xml:space="preserve">indicate </w:t>
      </w:r>
      <w:r w:rsidRPr="00604F53">
        <w:rPr>
          <w:rFonts w:cs="CMU Serif"/>
        </w:rPr>
        <w:t>that while adequacy status did not increase their overall digital trade volumes compared to the counterfactual scenario</w:t>
      </w:r>
      <w:r>
        <w:rPr>
          <w:rFonts w:cs="CMU Serif"/>
        </w:rPr>
        <w:t xml:space="preserve"> (Panel A)</w:t>
      </w:r>
      <w:r w:rsidRPr="00604F53">
        <w:rPr>
          <w:rFonts w:cs="CMU Serif"/>
        </w:rPr>
        <w:t xml:space="preserve">, it reshaped their trading patterns. </w:t>
      </w:r>
    </w:p>
    <w:p w14:paraId="627B4830" w14:textId="4592381B" w:rsidR="00056FBE" w:rsidRDefault="00056FBE" w:rsidP="00056FBE">
      <w:pPr>
        <w:jc w:val="both"/>
      </w:pPr>
      <w:r w:rsidRPr="00633995">
        <w:rPr>
          <w:rFonts w:cs="CMU Serif"/>
        </w:rPr>
        <w:t>The estimates for Argentina in Figure 4 suggest</w:t>
      </w:r>
      <w:r>
        <w:rPr>
          <w:rFonts w:cs="CMU Serif"/>
        </w:rPr>
        <w:t xml:space="preserve"> that receiving</w:t>
      </w:r>
      <w:r w:rsidRPr="00633995">
        <w:rPr>
          <w:rFonts w:cs="CMU Serif"/>
        </w:rPr>
        <w:t xml:space="preserve"> </w:t>
      </w:r>
      <w:r>
        <w:rPr>
          <w:rFonts w:cs="CMU Serif"/>
        </w:rPr>
        <w:t>adequacy</w:t>
      </w:r>
      <w:r w:rsidRPr="00633995">
        <w:rPr>
          <w:rFonts w:cs="CMU Serif"/>
        </w:rPr>
        <w:t xml:space="preserve"> </w:t>
      </w:r>
      <w:r>
        <w:rPr>
          <w:rFonts w:cs="CMU Serif"/>
        </w:rPr>
        <w:t>did not expand total digital trade compared to the counterfactual scenario, i.e.</w:t>
      </w:r>
      <w:r w:rsidRPr="00633995">
        <w:rPr>
          <w:rFonts w:cs="CMU Serif"/>
        </w:rPr>
        <w:t xml:space="preserve"> absent the adequacy decision</w:t>
      </w:r>
      <w:r>
        <w:rPr>
          <w:rFonts w:cs="CMU Serif"/>
        </w:rPr>
        <w:t xml:space="preserve">, but Argentina’s </w:t>
      </w:r>
      <w:r w:rsidRPr="00633995">
        <w:rPr>
          <w:rFonts w:cs="CMU Serif"/>
        </w:rPr>
        <w:t>digital trade</w:t>
      </w:r>
      <w:r>
        <w:rPr>
          <w:rFonts w:cs="CMU Serif"/>
        </w:rPr>
        <w:t xml:space="preserve"> with adequate countries</w:t>
      </w:r>
      <w:r w:rsidRPr="00633995">
        <w:rPr>
          <w:rFonts w:cs="CMU Serif"/>
        </w:rPr>
        <w:t xml:space="preserve"> </w:t>
      </w:r>
      <w:r>
        <w:rPr>
          <w:rFonts w:cs="CMU Serif"/>
        </w:rPr>
        <w:t xml:space="preserve">other than the US (Argentina’s main digital trade partner) </w:t>
      </w:r>
      <w:r w:rsidRPr="00633995">
        <w:rPr>
          <w:rFonts w:cs="CMU Serif"/>
        </w:rPr>
        <w:t>continuously increased following the adequacy decision</w:t>
      </w:r>
      <w:r>
        <w:rPr>
          <w:rFonts w:cs="CMU Serif"/>
        </w:rPr>
        <w:t xml:space="preserve">, suggesting </w:t>
      </w:r>
      <w:r w:rsidRPr="00633995">
        <w:rPr>
          <w:rFonts w:cs="CMU Serif"/>
        </w:rPr>
        <w:t xml:space="preserve">potential trade diversion from the US to the EU and </w:t>
      </w:r>
      <w:r>
        <w:rPr>
          <w:rFonts w:cs="CMU Serif"/>
        </w:rPr>
        <w:t xml:space="preserve">other </w:t>
      </w:r>
      <w:r w:rsidRPr="00633995">
        <w:rPr>
          <w:rFonts w:cs="CMU Serif"/>
        </w:rPr>
        <w:t>adequate countries.</w:t>
      </w:r>
      <w:r w:rsidRPr="00633995">
        <w:rPr>
          <w:rStyle w:val="FootnoteReference"/>
          <w:rFonts w:cs="CMU Serif"/>
        </w:rPr>
        <w:footnoteReference w:id="54"/>
      </w:r>
      <w:r w:rsidRPr="00633995">
        <w:rPr>
          <w:rFonts w:cs="CMU Serif"/>
        </w:rPr>
        <w:t xml:space="preserve"> </w:t>
      </w:r>
      <w:r>
        <w:rPr>
          <w:rFonts w:cs="CMU Serif"/>
        </w:rPr>
        <w:t>This is consistent with t</w:t>
      </w:r>
      <w:r w:rsidRPr="00633995">
        <w:rPr>
          <w:rFonts w:cs="CMU Serif"/>
        </w:rPr>
        <w:t xml:space="preserve">he synthetic counterfactual </w:t>
      </w:r>
      <w:r>
        <w:rPr>
          <w:rFonts w:cs="CMU Serif"/>
        </w:rPr>
        <w:t>in Panels B and C, which</w:t>
      </w:r>
      <w:r w:rsidRPr="00633995">
        <w:rPr>
          <w:rFonts w:cs="CMU Serif"/>
        </w:rPr>
        <w:t xml:space="preserve"> </w:t>
      </w:r>
      <w:r>
        <w:rPr>
          <w:rFonts w:cs="CMU Serif"/>
        </w:rPr>
        <w:t>initially increased before respectively declining (</w:t>
      </w:r>
      <w:r w:rsidR="00C517EC">
        <w:rPr>
          <w:rFonts w:cs="CMU Serif"/>
        </w:rPr>
        <w:t xml:space="preserve">Panel </w:t>
      </w:r>
      <w:r>
        <w:rPr>
          <w:rFonts w:cs="CMU Serif"/>
        </w:rPr>
        <w:t>B) or stabilizing (</w:t>
      </w:r>
      <w:r w:rsidR="00C517EC">
        <w:rPr>
          <w:rFonts w:cs="CMU Serif"/>
        </w:rPr>
        <w:t xml:space="preserve">Panel </w:t>
      </w:r>
      <w:r>
        <w:rPr>
          <w:rFonts w:cs="CMU Serif"/>
        </w:rPr>
        <w:t>C)</w:t>
      </w:r>
      <w:r w:rsidRPr="00633995">
        <w:rPr>
          <w:rFonts w:cs="CMU Serif"/>
        </w:rPr>
        <w:t xml:space="preserve">. The estimates for New Zealand in Figure 5 reveal a </w:t>
      </w:r>
      <w:r>
        <w:rPr>
          <w:rFonts w:cs="CMU Serif"/>
        </w:rPr>
        <w:t xml:space="preserve">different </w:t>
      </w:r>
      <w:r w:rsidRPr="00633995">
        <w:rPr>
          <w:rFonts w:cs="CMU Serif"/>
        </w:rPr>
        <w:t xml:space="preserve">pattern. Digital trade only marginally increases relative to the donor pool (Panel A), while we find a larger increase in trade with countries </w:t>
      </w:r>
      <w:r>
        <w:rPr>
          <w:rFonts w:cs="CMU Serif"/>
        </w:rPr>
        <w:t xml:space="preserve">accorded </w:t>
      </w:r>
      <w:r w:rsidRPr="00633995">
        <w:rPr>
          <w:rFonts w:cs="CMU Serif"/>
        </w:rPr>
        <w:t xml:space="preserve">adequacy </w:t>
      </w:r>
      <w:r w:rsidRPr="00633995">
        <w:rPr>
          <w:rFonts w:cs="CMU Serif"/>
          <w:i/>
          <w:iCs/>
        </w:rPr>
        <w:t>other</w:t>
      </w:r>
      <w:r w:rsidRPr="00633995">
        <w:rPr>
          <w:rFonts w:cs="CMU Serif"/>
        </w:rPr>
        <w:t xml:space="preserve"> than the US and trade with the US. </w:t>
      </w:r>
      <w:r>
        <w:rPr>
          <w:rFonts w:cs="CMU Serif"/>
        </w:rPr>
        <w:t>Finally, t</w:t>
      </w:r>
      <w:r w:rsidRPr="00633995">
        <w:rPr>
          <w:rFonts w:cs="CMU Serif"/>
        </w:rPr>
        <w:t xml:space="preserve">he case of Israel </w:t>
      </w:r>
      <w:r w:rsidR="00557511">
        <w:rPr>
          <w:rFonts w:cs="CMU Serif"/>
        </w:rPr>
        <w:t xml:space="preserve">in </w:t>
      </w:r>
      <w:r w:rsidR="00557511" w:rsidRPr="00633995">
        <w:rPr>
          <w:rFonts w:cs="CMU Serif"/>
        </w:rPr>
        <w:t>Figure 6</w:t>
      </w:r>
      <w:r w:rsidR="00557511">
        <w:rPr>
          <w:rFonts w:cs="CMU Serif"/>
        </w:rPr>
        <w:t xml:space="preserve"> </w:t>
      </w:r>
      <w:r w:rsidRPr="00633995">
        <w:rPr>
          <w:rFonts w:cs="CMU Serif"/>
        </w:rPr>
        <w:t>is most clearcut, with significant increases in digital trade across all four scenarios following adequacy</w:t>
      </w:r>
      <w:r w:rsidRPr="00633995">
        <w:t>.</w:t>
      </w:r>
      <w:r w:rsidRPr="00633995">
        <w:rPr>
          <w:rStyle w:val="FootnoteReference"/>
          <w:rFonts w:cs="CMU Serif"/>
        </w:rPr>
        <w:footnoteReference w:id="55"/>
      </w:r>
    </w:p>
    <w:p w14:paraId="2E8D4D5A" w14:textId="77777777" w:rsidR="00056FBE" w:rsidRPr="00633995" w:rsidRDefault="00056FBE" w:rsidP="00056FBE">
      <w:pPr>
        <w:jc w:val="both"/>
        <w:rPr>
          <w:rFonts w:cs="CMU Serif"/>
        </w:rPr>
      </w:pPr>
      <w:r>
        <w:rPr>
          <w:rFonts w:cs="CMU Serif"/>
        </w:rPr>
        <w:t>Overall, t</w:t>
      </w:r>
      <w:r w:rsidRPr="005E57B8">
        <w:rPr>
          <w:rFonts w:cs="CMU Serif"/>
        </w:rPr>
        <w:t>he case studies</w:t>
      </w:r>
      <w:r>
        <w:rPr>
          <w:rFonts w:cs="CMU Serif"/>
        </w:rPr>
        <w:t xml:space="preserve"> for Argentina and New Zealand</w:t>
      </w:r>
      <w:r w:rsidRPr="005E57B8">
        <w:rPr>
          <w:rFonts w:cs="CMU Serif"/>
        </w:rPr>
        <w:t xml:space="preserve"> </w:t>
      </w:r>
      <w:r>
        <w:rPr>
          <w:rFonts w:cs="CMU Serif"/>
        </w:rPr>
        <w:t xml:space="preserve">indicate that </w:t>
      </w:r>
      <w:r w:rsidRPr="005E57B8">
        <w:rPr>
          <w:rFonts w:cs="CMU Serif"/>
        </w:rPr>
        <w:t xml:space="preserve">adequacy </w:t>
      </w:r>
      <w:r>
        <w:rPr>
          <w:rFonts w:cs="CMU Serif"/>
        </w:rPr>
        <w:t xml:space="preserve">was associated with </w:t>
      </w:r>
      <w:r w:rsidRPr="005E57B8">
        <w:rPr>
          <w:rFonts w:cs="CMU Serif"/>
        </w:rPr>
        <w:t xml:space="preserve">a reallocation of digital trade flows, with both countries substantially </w:t>
      </w:r>
      <w:r>
        <w:rPr>
          <w:rFonts w:cs="CMU Serif"/>
        </w:rPr>
        <w:t xml:space="preserve">increasing </w:t>
      </w:r>
      <w:r w:rsidRPr="005E57B8">
        <w:rPr>
          <w:rFonts w:cs="CMU Serif"/>
        </w:rPr>
        <w:t xml:space="preserve">digital trade </w:t>
      </w:r>
      <w:r w:rsidRPr="005E57B8">
        <w:rPr>
          <w:rFonts w:cs="CMU Serif"/>
        </w:rPr>
        <w:lastRenderedPageBreak/>
        <w:t xml:space="preserve">with the EU and with other </w:t>
      </w:r>
      <w:r>
        <w:rPr>
          <w:rFonts w:cs="CMU Serif"/>
        </w:rPr>
        <w:t xml:space="preserve">adequate </w:t>
      </w:r>
      <w:r w:rsidRPr="005E57B8">
        <w:rPr>
          <w:rFonts w:cs="CMU Serif"/>
        </w:rPr>
        <w:t xml:space="preserve">countries </w:t>
      </w:r>
      <w:r>
        <w:rPr>
          <w:rFonts w:cs="CMU Serif"/>
        </w:rPr>
        <w:t xml:space="preserve">as compared </w:t>
      </w:r>
      <w:r w:rsidRPr="005E57B8">
        <w:rPr>
          <w:rFonts w:cs="CMU Serif"/>
        </w:rPr>
        <w:t xml:space="preserve">to the counterfactual. This contrasts with </w:t>
      </w:r>
      <w:r>
        <w:rPr>
          <w:rFonts w:cs="CMU Serif"/>
        </w:rPr>
        <w:t>Israel</w:t>
      </w:r>
      <w:r w:rsidRPr="005E57B8">
        <w:rPr>
          <w:rFonts w:cs="CMU Serif"/>
        </w:rPr>
        <w:t xml:space="preserve">, where </w:t>
      </w:r>
      <w:r>
        <w:rPr>
          <w:rFonts w:cs="CMU Serif"/>
        </w:rPr>
        <w:t xml:space="preserve">the </w:t>
      </w:r>
      <w:r w:rsidRPr="005E57B8">
        <w:rPr>
          <w:rFonts w:cs="CMU Serif"/>
        </w:rPr>
        <w:t>synthetic control exercise</w:t>
      </w:r>
      <w:r>
        <w:rPr>
          <w:rFonts w:cs="CMU Serif"/>
        </w:rPr>
        <w:t xml:space="preserve"> indicates that </w:t>
      </w:r>
      <w:r w:rsidRPr="005E57B8">
        <w:rPr>
          <w:rFonts w:cs="CMU Serif"/>
        </w:rPr>
        <w:t>adequacy not only redirected existing trade but generated new digital trade growth overall. T</w:t>
      </w:r>
      <w:r>
        <w:rPr>
          <w:rFonts w:cs="CMU Serif"/>
        </w:rPr>
        <w:t>aken together, t</w:t>
      </w:r>
      <w:r w:rsidRPr="005E57B8">
        <w:rPr>
          <w:rFonts w:cs="CMU Serif"/>
        </w:rPr>
        <w:t xml:space="preserve">hese findings suggest </w:t>
      </w:r>
      <w:r>
        <w:rPr>
          <w:rFonts w:cs="CMU Serif"/>
        </w:rPr>
        <w:t xml:space="preserve">that </w:t>
      </w:r>
      <w:r w:rsidRPr="005E57B8">
        <w:rPr>
          <w:rFonts w:cs="CMU Serif"/>
        </w:rPr>
        <w:t xml:space="preserve">adequacy decisions affect </w:t>
      </w:r>
      <w:r>
        <w:rPr>
          <w:rFonts w:cs="CMU Serif"/>
        </w:rPr>
        <w:t xml:space="preserve">digital </w:t>
      </w:r>
      <w:r w:rsidRPr="005E57B8">
        <w:rPr>
          <w:rFonts w:cs="CMU Serif"/>
        </w:rPr>
        <w:t>trade</w:t>
      </w:r>
      <w:r>
        <w:rPr>
          <w:rFonts w:cs="CMU Serif"/>
        </w:rPr>
        <w:t xml:space="preserve"> heterogeneously</w:t>
      </w:r>
      <w:r w:rsidRPr="005E57B8">
        <w:rPr>
          <w:rFonts w:cs="CMU Serif"/>
        </w:rPr>
        <w:t>.</w:t>
      </w:r>
      <w:r>
        <w:rPr>
          <w:rFonts w:cs="CMU Serif"/>
        </w:rPr>
        <w:t xml:space="preserve"> </w:t>
      </w:r>
      <w:r>
        <w:t>More broadly, the r</w:t>
      </w:r>
      <w:r w:rsidRPr="00633995">
        <w:t>esults</w:t>
      </w:r>
      <w:r>
        <w:t xml:space="preserve"> </w:t>
      </w:r>
      <w:r w:rsidRPr="00633995">
        <w:t xml:space="preserve">align with the gravity-based estimates, </w:t>
      </w:r>
      <w:r>
        <w:t xml:space="preserve">indicating </w:t>
      </w:r>
      <w:r w:rsidRPr="00633995">
        <w:t>a strong positive effect of club membership on digital trade between adequate countries</w:t>
      </w:r>
      <w:r>
        <w:t xml:space="preserve">, while the </w:t>
      </w:r>
      <w:r w:rsidRPr="00633995">
        <w:t xml:space="preserve">limited but positive impact of adequacy decisions on digital trade overall, suggest that the average effect in our aggregate </w:t>
      </w:r>
      <w:r>
        <w:t xml:space="preserve">gravity </w:t>
      </w:r>
      <w:r w:rsidRPr="00633995">
        <w:t xml:space="preserve">estimates masks significant differences in how each adequate country responds. </w:t>
      </w:r>
    </w:p>
    <w:p w14:paraId="68E9BCF0" w14:textId="06CABE9E" w:rsidR="00893587" w:rsidRPr="00633995" w:rsidRDefault="00CF4D2E" w:rsidP="0011538D">
      <w:pPr>
        <w:pStyle w:val="ListParagraph"/>
        <w:numPr>
          <w:ilvl w:val="0"/>
          <w:numId w:val="1"/>
        </w:numPr>
        <w:spacing w:before="360" w:after="120" w:line="240" w:lineRule="auto"/>
        <w:contextualSpacing w:val="0"/>
        <w:jc w:val="both"/>
        <w:rPr>
          <w:b/>
          <w:bCs/>
        </w:rPr>
      </w:pPr>
      <w:r w:rsidRPr="00633995">
        <w:rPr>
          <w:b/>
          <w:bCs/>
        </w:rPr>
        <w:t>Conclusion</w:t>
      </w:r>
    </w:p>
    <w:p w14:paraId="05A25FB4" w14:textId="5B4CCAF9" w:rsidR="00D910E1" w:rsidRPr="00633995" w:rsidRDefault="00AB401E" w:rsidP="0011538D">
      <w:pPr>
        <w:jc w:val="both"/>
      </w:pPr>
      <w:r w:rsidRPr="00633995">
        <w:t xml:space="preserve">Regulation of cross-border data flows and </w:t>
      </w:r>
      <w:r w:rsidR="00D910E1" w:rsidRPr="00633995">
        <w:t xml:space="preserve">differences </w:t>
      </w:r>
      <w:r w:rsidRPr="00633995">
        <w:t xml:space="preserve">in national regulatory regimes </w:t>
      </w:r>
      <w:r w:rsidR="00D910E1" w:rsidRPr="00633995">
        <w:t xml:space="preserve">generates </w:t>
      </w:r>
      <w:r w:rsidRPr="00633995">
        <w:t xml:space="preserve">costs </w:t>
      </w:r>
      <w:r w:rsidR="00984D7D">
        <w:t xml:space="preserve">for </w:t>
      </w:r>
      <w:r w:rsidRPr="00633995">
        <w:t xml:space="preserve">firms that engage in </w:t>
      </w:r>
      <w:r w:rsidR="007D49B5" w:rsidRPr="00633995">
        <w:t xml:space="preserve">digital </w:t>
      </w:r>
      <w:r w:rsidRPr="00633995">
        <w:t xml:space="preserve">trade. Recognition agreements are one potential instrument to reduce such costs. </w:t>
      </w:r>
      <w:r w:rsidR="00D910E1" w:rsidRPr="00633995">
        <w:t xml:space="preserve">Our baseline model shows that the aggregate volume of digital trade, both narrowly and broadly defined, is positively associated with an adequacy framework being in place for the US. If instead we adopt a pooled </w:t>
      </w:r>
      <w:r w:rsidR="004D465E">
        <w:t xml:space="preserve">gravity regression approach </w:t>
      </w:r>
      <w:r w:rsidR="00D910E1" w:rsidRPr="00633995">
        <w:t>across all sectors, we f</w:t>
      </w:r>
      <w:r w:rsidR="00EB72AD" w:rsidRPr="00633995">
        <w:t>i</w:t>
      </w:r>
      <w:r w:rsidR="00D910E1" w:rsidRPr="00633995">
        <w:t>nd that digital exports fared better compared to non-digital exports for non-US</w:t>
      </w:r>
      <w:r w:rsidR="004D465E">
        <w:t xml:space="preserve">, </w:t>
      </w:r>
      <w:r w:rsidR="00D910E1" w:rsidRPr="00633995">
        <w:t>i.e., regular adequacy</w:t>
      </w:r>
      <w:r w:rsidR="004D465E">
        <w:t xml:space="preserve"> </w:t>
      </w:r>
      <w:r w:rsidR="00D910E1" w:rsidRPr="00633995">
        <w:t xml:space="preserve">decisions. When refining our </w:t>
      </w:r>
      <w:r w:rsidR="004D465E">
        <w:t xml:space="preserve">approach to defining </w:t>
      </w:r>
      <w:r w:rsidR="00D910E1" w:rsidRPr="00633995">
        <w:t>digital trade based on the data intensity of sectors, we find that all adequacy decisions are positively associated with trade in data intensive sectors.</w:t>
      </w:r>
    </w:p>
    <w:p w14:paraId="70A3A346" w14:textId="5ED16B7D" w:rsidR="00EB72AD" w:rsidRPr="00633995" w:rsidRDefault="004D465E" w:rsidP="0011538D">
      <w:pPr>
        <w:jc w:val="both"/>
      </w:pPr>
      <w:r>
        <w:t>D</w:t>
      </w:r>
      <w:r w:rsidRPr="00633995">
        <w:t xml:space="preserve">epending on </w:t>
      </w:r>
      <w:r>
        <w:t xml:space="preserve">the </w:t>
      </w:r>
      <w:r w:rsidRPr="00633995">
        <w:t>estimation approach and definition of digital trade</w:t>
      </w:r>
      <w:r>
        <w:t xml:space="preserve">, adequacy determinations </w:t>
      </w:r>
      <w:r w:rsidR="00BD4BAB" w:rsidRPr="00633995">
        <w:t xml:space="preserve">are associated with </w:t>
      </w:r>
      <w:r w:rsidR="006F51CD">
        <w:t xml:space="preserve">increases in </w:t>
      </w:r>
      <w:r>
        <w:t xml:space="preserve">bilateral </w:t>
      </w:r>
      <w:r w:rsidR="00BD4BAB" w:rsidRPr="00633995">
        <w:t xml:space="preserve">digital trade on the order of </w:t>
      </w:r>
      <w:r>
        <w:t>7</w:t>
      </w:r>
      <w:r w:rsidR="00AB401E" w:rsidRPr="00633995">
        <w:t xml:space="preserve"> to </w:t>
      </w:r>
      <w:r>
        <w:t>9</w:t>
      </w:r>
      <w:r w:rsidR="00AB401E" w:rsidRPr="00633995">
        <w:t xml:space="preserve"> percent</w:t>
      </w:r>
      <w:r>
        <w:t>, and a similar magnitude for digital trade between countries with adequacy status.</w:t>
      </w:r>
      <w:r w:rsidR="00BD4BAB" w:rsidRPr="00633995">
        <w:t xml:space="preserve"> </w:t>
      </w:r>
      <w:r>
        <w:t xml:space="preserve">Thus, there are </w:t>
      </w:r>
      <w:r w:rsidR="00D910E1" w:rsidRPr="00633995">
        <w:t xml:space="preserve">nontrivial </w:t>
      </w:r>
      <w:r>
        <w:t xml:space="preserve">trade </w:t>
      </w:r>
      <w:r w:rsidR="00D910E1" w:rsidRPr="00633995">
        <w:t>benefits associated with obtaining adequacy</w:t>
      </w:r>
      <w:r>
        <w:t>, both in terms of direct trade and in terms of</w:t>
      </w:r>
      <w:r w:rsidR="00D910E1" w:rsidRPr="00633995">
        <w:t xml:space="preserve"> accompanying ‘club benefits’. The averages mask significant heterogeneity at the country level, but in a</w:t>
      </w:r>
      <w:r w:rsidR="0010757F" w:rsidRPr="00633995">
        <w:t>ll</w:t>
      </w:r>
      <w:r w:rsidR="007D49B5" w:rsidRPr="00633995">
        <w:t xml:space="preserve"> </w:t>
      </w:r>
      <w:r w:rsidR="00D910E1" w:rsidRPr="00633995">
        <w:t xml:space="preserve">of </w:t>
      </w:r>
      <w:r w:rsidR="00296E66">
        <w:t xml:space="preserve">the </w:t>
      </w:r>
      <w:r w:rsidR="00D910E1" w:rsidRPr="00633995">
        <w:t xml:space="preserve">estimation approaches </w:t>
      </w:r>
      <w:r w:rsidR="00E33CB7">
        <w:t xml:space="preserve">adequacy </w:t>
      </w:r>
      <w:r w:rsidR="007D49B5" w:rsidRPr="00633995">
        <w:t>support</w:t>
      </w:r>
      <w:r w:rsidR="00E33CB7">
        <w:t xml:space="preserve">s growth in </w:t>
      </w:r>
      <w:r w:rsidR="007D49B5" w:rsidRPr="00633995">
        <w:t xml:space="preserve">digital trade among the club of adequate countries. </w:t>
      </w:r>
    </w:p>
    <w:p w14:paraId="56F4553D" w14:textId="5465ED45" w:rsidR="00F853FA" w:rsidRPr="00633995" w:rsidRDefault="00F853FA" w:rsidP="0011538D">
      <w:pPr>
        <w:jc w:val="both"/>
      </w:pPr>
      <w:r w:rsidRPr="00633995">
        <w:t xml:space="preserve">The gravity results suggest countries with adequacy decisions exhibit greater digital trade among each other conditional on there being a cross-border data framework for the US, although the synthetic control analysis indicates that the club effect of adequacy extends to other </w:t>
      </w:r>
      <w:r w:rsidR="00D910E1" w:rsidRPr="00633995">
        <w:t>members of</w:t>
      </w:r>
      <w:r w:rsidRPr="00633995">
        <w:t xml:space="preserve"> </w:t>
      </w:r>
      <w:r w:rsidR="00D910E1" w:rsidRPr="00633995">
        <w:t xml:space="preserve">the </w:t>
      </w:r>
      <w:r w:rsidRPr="00633995">
        <w:t xml:space="preserve">adequacy </w:t>
      </w:r>
      <w:r w:rsidR="00D910E1" w:rsidRPr="00633995">
        <w:t>club</w:t>
      </w:r>
      <w:r w:rsidRPr="00633995">
        <w:t>.</w:t>
      </w:r>
      <w:r w:rsidR="00E85D3D" w:rsidRPr="00633995">
        <w:t xml:space="preserve"> A possible explanation of these findings is that US companies are best equipped to take advantage of adequacy decisions, as they have the capacity to adjust their supply chains and exploit the benefits offered by being part of the club</w:t>
      </w:r>
      <w:r w:rsidR="008B77DB">
        <w:t xml:space="preserve">. </w:t>
      </w:r>
      <w:r w:rsidR="00E85D3D" w:rsidRPr="00633995">
        <w:t xml:space="preserve"> </w:t>
      </w:r>
    </w:p>
    <w:p w14:paraId="39DBC650" w14:textId="5783C09D" w:rsidR="00192426" w:rsidRPr="00633995" w:rsidRDefault="00D910E1" w:rsidP="0011538D">
      <w:pPr>
        <w:jc w:val="both"/>
      </w:pPr>
      <w:r w:rsidRPr="00633995">
        <w:t xml:space="preserve">Data constraints precluded inclusion of </w:t>
      </w:r>
      <w:r w:rsidR="00021C3D" w:rsidRPr="00633995">
        <w:t xml:space="preserve">adequacy decisions </w:t>
      </w:r>
      <w:r w:rsidR="008B0209" w:rsidRPr="00633995">
        <w:t xml:space="preserve">agreed </w:t>
      </w:r>
      <w:r w:rsidR="00F853FA" w:rsidRPr="00633995">
        <w:t>after 2020</w:t>
      </w:r>
      <w:r w:rsidR="00021C3D" w:rsidRPr="00633995">
        <w:t xml:space="preserve">. </w:t>
      </w:r>
      <w:r w:rsidR="008B0209" w:rsidRPr="00633995">
        <w:t xml:space="preserve">Assessing the impacts of </w:t>
      </w:r>
      <w:r w:rsidR="00E85D3D" w:rsidRPr="00633995">
        <w:t>more recent</w:t>
      </w:r>
      <w:r w:rsidR="008B0209" w:rsidRPr="00633995">
        <w:t xml:space="preserve"> arrangements is presently not possible because insufficient time has passed to generate the required trade </w:t>
      </w:r>
      <w:r w:rsidR="00C0779A" w:rsidRPr="00633995">
        <w:t xml:space="preserve">and trade in value added </w:t>
      </w:r>
      <w:r w:rsidR="008B0209" w:rsidRPr="00633995">
        <w:t xml:space="preserve">data. </w:t>
      </w:r>
      <w:r w:rsidR="00A115FF" w:rsidRPr="00633995">
        <w:t xml:space="preserve">Future research will be important to </w:t>
      </w:r>
      <w:r w:rsidR="00021C3D" w:rsidRPr="00633995">
        <w:t xml:space="preserve">deepen understanding of </w:t>
      </w:r>
      <w:r w:rsidR="00A115FF" w:rsidRPr="00633995">
        <w:t>the economic implications of adequacy decisions</w:t>
      </w:r>
      <w:r w:rsidR="00021C3D" w:rsidRPr="00633995">
        <w:t xml:space="preserve"> and their benefits to the countries that are able to join the EU adequacy club.</w:t>
      </w:r>
    </w:p>
    <w:p w14:paraId="20B75997" w14:textId="3726021A" w:rsidR="0046347F" w:rsidRPr="00633995" w:rsidRDefault="0046347F" w:rsidP="00607058">
      <w:pPr>
        <w:spacing w:after="120" w:line="240" w:lineRule="auto"/>
        <w:jc w:val="both"/>
        <w:rPr>
          <w:b/>
          <w:bCs/>
        </w:rPr>
      </w:pPr>
      <w:r w:rsidRPr="00633995">
        <w:rPr>
          <w:b/>
          <w:bCs/>
        </w:rPr>
        <w:t>References</w:t>
      </w:r>
    </w:p>
    <w:p w14:paraId="5A30EA50" w14:textId="41441FF1" w:rsidR="005D2898" w:rsidRPr="00633995" w:rsidRDefault="005D2898" w:rsidP="0011538D">
      <w:pPr>
        <w:spacing w:after="0" w:line="240" w:lineRule="auto"/>
        <w:ind w:left="720" w:hanging="720"/>
        <w:jc w:val="both"/>
        <w:rPr>
          <w:rFonts w:cs="CMU Serif"/>
        </w:rPr>
      </w:pPr>
      <w:r w:rsidRPr="00633995">
        <w:rPr>
          <w:rFonts w:cs="CMU Serif"/>
        </w:rPr>
        <w:t>Abadie, A. (2005) Semiparametric difference-in-differences estimators</w:t>
      </w:r>
      <w:r w:rsidR="003B5BB5">
        <w:rPr>
          <w:rFonts w:cs="CMU Serif"/>
        </w:rPr>
        <w:t>,</w:t>
      </w:r>
      <w:r w:rsidRPr="00633995">
        <w:rPr>
          <w:rFonts w:cs="CMU Serif"/>
        </w:rPr>
        <w:t> </w:t>
      </w:r>
      <w:r w:rsidR="00747BF8" w:rsidRPr="00604F53">
        <w:rPr>
          <w:rFonts w:cs="CMU Serif"/>
          <w:i/>
          <w:iCs/>
        </w:rPr>
        <w:t>R</w:t>
      </w:r>
      <w:r w:rsidRPr="00604F53">
        <w:rPr>
          <w:rFonts w:cs="CMU Serif"/>
          <w:i/>
          <w:iCs/>
        </w:rPr>
        <w:t xml:space="preserve">eview of </w:t>
      </w:r>
      <w:r w:rsidR="00747BF8" w:rsidRPr="00604F53">
        <w:rPr>
          <w:rFonts w:cs="CMU Serif"/>
          <w:i/>
          <w:iCs/>
        </w:rPr>
        <w:t>E</w:t>
      </w:r>
      <w:r w:rsidRPr="00604F53">
        <w:rPr>
          <w:rFonts w:cs="CMU Serif"/>
          <w:i/>
          <w:iCs/>
        </w:rPr>
        <w:t xml:space="preserve">conomic </w:t>
      </w:r>
      <w:r w:rsidR="00747BF8" w:rsidRPr="00604F53">
        <w:rPr>
          <w:rFonts w:cs="CMU Serif"/>
          <w:i/>
          <w:iCs/>
        </w:rPr>
        <w:t>S</w:t>
      </w:r>
      <w:r w:rsidRPr="00604F53">
        <w:rPr>
          <w:rFonts w:cs="CMU Serif"/>
          <w:i/>
          <w:iCs/>
        </w:rPr>
        <w:t>tudies</w:t>
      </w:r>
      <w:r w:rsidRPr="00747BF8">
        <w:rPr>
          <w:rFonts w:cs="CMU Serif"/>
        </w:rPr>
        <w:t>, </w:t>
      </w:r>
      <w:r w:rsidRPr="00633995">
        <w:rPr>
          <w:rFonts w:cs="CMU Serif"/>
        </w:rPr>
        <w:t xml:space="preserve">72(1), 1-19. </w:t>
      </w:r>
    </w:p>
    <w:p w14:paraId="19BCEAEA" w14:textId="22D1803A" w:rsidR="007D0704" w:rsidRPr="00633995" w:rsidRDefault="007D0704" w:rsidP="0011538D">
      <w:pPr>
        <w:spacing w:after="0" w:line="240" w:lineRule="auto"/>
        <w:ind w:left="720" w:hanging="720"/>
        <w:jc w:val="both"/>
        <w:rPr>
          <w:rFonts w:cs="CMU Serif"/>
        </w:rPr>
      </w:pPr>
      <w:r w:rsidRPr="00633995">
        <w:rPr>
          <w:rFonts w:cs="CMU Serif"/>
        </w:rPr>
        <w:t xml:space="preserve">Abadie, A. (2021) Using Synthetic Controls: Feasibility, Data Requirements, and Methodological Aspects, </w:t>
      </w:r>
      <w:r w:rsidRPr="00604F53">
        <w:rPr>
          <w:rFonts w:cs="CMU Serif"/>
          <w:i/>
          <w:iCs/>
        </w:rPr>
        <w:t>Journal of Economic Literature</w:t>
      </w:r>
      <w:r w:rsidRPr="00633995">
        <w:rPr>
          <w:rFonts w:cs="CMU Serif"/>
        </w:rPr>
        <w:t xml:space="preserve">, </w:t>
      </w:r>
      <w:r w:rsidR="0095548C" w:rsidRPr="00633995">
        <w:rPr>
          <w:rFonts w:cs="CMU Serif"/>
        </w:rPr>
        <w:t xml:space="preserve">59(2), </w:t>
      </w:r>
      <w:r w:rsidRPr="00633995">
        <w:rPr>
          <w:rFonts w:cs="CMU Serif"/>
        </w:rPr>
        <w:t xml:space="preserve">391-425. </w:t>
      </w:r>
    </w:p>
    <w:p w14:paraId="7F8CE414" w14:textId="32741A12" w:rsidR="007D0704" w:rsidRPr="00633995" w:rsidRDefault="007D0704" w:rsidP="0011538D">
      <w:pPr>
        <w:spacing w:after="0" w:line="240" w:lineRule="auto"/>
        <w:ind w:left="720" w:hanging="720"/>
        <w:jc w:val="both"/>
        <w:rPr>
          <w:rFonts w:cs="CMU Serif"/>
        </w:rPr>
      </w:pPr>
      <w:r w:rsidRPr="00633995">
        <w:rPr>
          <w:rFonts w:cs="CMU Serif"/>
        </w:rPr>
        <w:t xml:space="preserve">Abadie, A., A. Diamond and J. Hainmueller (2015) Comparative Politics and the Synthetic Control Method, </w:t>
      </w:r>
      <w:r w:rsidRPr="00604F53">
        <w:rPr>
          <w:rFonts w:cs="CMU Serif"/>
          <w:i/>
          <w:iCs/>
        </w:rPr>
        <w:t>American Journal of Political Science</w:t>
      </w:r>
      <w:r w:rsidRPr="00633995">
        <w:rPr>
          <w:rFonts w:cs="CMU Serif"/>
        </w:rPr>
        <w:t>, 59</w:t>
      </w:r>
      <w:r w:rsidR="0095548C" w:rsidRPr="00633995">
        <w:rPr>
          <w:rFonts w:cs="CMU Serif"/>
        </w:rPr>
        <w:t>(</w:t>
      </w:r>
      <w:r w:rsidRPr="00633995">
        <w:rPr>
          <w:rFonts w:cs="CMU Serif"/>
        </w:rPr>
        <w:t>2</w:t>
      </w:r>
      <w:r w:rsidR="0095548C" w:rsidRPr="00633995">
        <w:rPr>
          <w:rFonts w:cs="CMU Serif"/>
        </w:rPr>
        <w:t>)</w:t>
      </w:r>
      <w:r w:rsidRPr="00633995">
        <w:rPr>
          <w:rFonts w:cs="CMU Serif"/>
        </w:rPr>
        <w:t xml:space="preserve">, 495-510. </w:t>
      </w:r>
    </w:p>
    <w:p w14:paraId="5B16C1A2" w14:textId="3D2BDEE4" w:rsidR="007D0704" w:rsidRPr="00633995" w:rsidRDefault="007D0704" w:rsidP="0011538D">
      <w:pPr>
        <w:spacing w:after="0" w:line="240" w:lineRule="auto"/>
        <w:ind w:left="720" w:hanging="720"/>
        <w:jc w:val="both"/>
        <w:rPr>
          <w:rFonts w:cs="Arial"/>
          <w:shd w:val="clear" w:color="auto" w:fill="FFFFFF"/>
        </w:rPr>
      </w:pPr>
      <w:r w:rsidRPr="00633995">
        <w:rPr>
          <w:rFonts w:cs="Arial"/>
          <w:shd w:val="clear" w:color="auto" w:fill="FFFFFF"/>
        </w:rPr>
        <w:lastRenderedPageBreak/>
        <w:t>Acquisti, A., C. Taylor and</w:t>
      </w:r>
      <w:r w:rsidR="00237DD5" w:rsidRPr="00633995">
        <w:rPr>
          <w:rFonts w:cs="Arial"/>
          <w:shd w:val="clear" w:color="auto" w:fill="FFFFFF"/>
        </w:rPr>
        <w:t xml:space="preserve"> L.</w:t>
      </w:r>
      <w:r w:rsidRPr="00633995">
        <w:rPr>
          <w:rFonts w:cs="Arial"/>
          <w:shd w:val="clear" w:color="auto" w:fill="FFFFFF"/>
        </w:rPr>
        <w:t xml:space="preserve"> Wagman (2016) The Economics of Privacy, </w:t>
      </w:r>
      <w:r w:rsidRPr="00604F53">
        <w:rPr>
          <w:rFonts w:cs="Arial"/>
          <w:i/>
          <w:iCs/>
          <w:shd w:val="clear" w:color="auto" w:fill="FFFFFF"/>
        </w:rPr>
        <w:t xml:space="preserve">Journal of </w:t>
      </w:r>
      <w:r w:rsidR="00747BF8" w:rsidRPr="00604F53">
        <w:rPr>
          <w:rFonts w:cs="Arial"/>
          <w:i/>
          <w:iCs/>
          <w:shd w:val="clear" w:color="auto" w:fill="FFFFFF"/>
        </w:rPr>
        <w:t>E</w:t>
      </w:r>
      <w:r w:rsidRPr="00604F53">
        <w:rPr>
          <w:rFonts w:cs="Arial"/>
          <w:i/>
          <w:iCs/>
          <w:shd w:val="clear" w:color="auto" w:fill="FFFFFF"/>
        </w:rPr>
        <w:t>conomic Literature</w:t>
      </w:r>
      <w:r w:rsidRPr="00633995">
        <w:rPr>
          <w:rFonts w:cs="Arial"/>
          <w:shd w:val="clear" w:color="auto" w:fill="FFFFFF"/>
        </w:rPr>
        <w:t>, 54</w:t>
      </w:r>
      <w:r w:rsidR="0095548C" w:rsidRPr="00633995">
        <w:rPr>
          <w:rFonts w:cs="Arial"/>
          <w:shd w:val="clear" w:color="auto" w:fill="FFFFFF"/>
        </w:rPr>
        <w:t>(</w:t>
      </w:r>
      <w:r w:rsidRPr="00633995">
        <w:rPr>
          <w:rFonts w:cs="Arial"/>
          <w:shd w:val="clear" w:color="auto" w:fill="FFFFFF"/>
        </w:rPr>
        <w:t>2</w:t>
      </w:r>
      <w:r w:rsidR="0095548C" w:rsidRPr="00633995">
        <w:rPr>
          <w:rFonts w:cs="Arial"/>
          <w:shd w:val="clear" w:color="auto" w:fill="FFFFFF"/>
        </w:rPr>
        <w:t>)</w:t>
      </w:r>
      <w:r w:rsidRPr="00633995">
        <w:rPr>
          <w:rFonts w:cs="Arial"/>
          <w:shd w:val="clear" w:color="auto" w:fill="FFFFFF"/>
        </w:rPr>
        <w:t>, 442-92.</w:t>
      </w:r>
    </w:p>
    <w:p w14:paraId="790C7A04" w14:textId="086A966B" w:rsidR="00EF6117" w:rsidRDefault="00EF6117" w:rsidP="0011538D">
      <w:pPr>
        <w:spacing w:after="0" w:line="240" w:lineRule="auto"/>
        <w:ind w:left="720" w:hanging="720"/>
        <w:jc w:val="both"/>
      </w:pPr>
      <w:r w:rsidRPr="00EF6117">
        <w:t xml:space="preserve">Anderson, J. (2011) The gravity model. </w:t>
      </w:r>
      <w:r w:rsidRPr="00EF6117">
        <w:rPr>
          <w:i/>
          <w:iCs/>
        </w:rPr>
        <w:t>Annu</w:t>
      </w:r>
      <w:r w:rsidRPr="00EF6117">
        <w:rPr>
          <w:i/>
          <w:iCs/>
        </w:rPr>
        <w:t>al</w:t>
      </w:r>
      <w:r w:rsidRPr="00EF6117">
        <w:rPr>
          <w:i/>
          <w:iCs/>
        </w:rPr>
        <w:t xml:space="preserve"> Rev</w:t>
      </w:r>
      <w:r w:rsidRPr="00EF6117">
        <w:rPr>
          <w:i/>
          <w:iCs/>
        </w:rPr>
        <w:t xml:space="preserve">iew of </w:t>
      </w:r>
      <w:r w:rsidRPr="00EF6117">
        <w:rPr>
          <w:i/>
          <w:iCs/>
        </w:rPr>
        <w:t>Econ</w:t>
      </w:r>
      <w:r w:rsidRPr="00EF6117">
        <w:rPr>
          <w:i/>
          <w:iCs/>
        </w:rPr>
        <w:t>omics</w:t>
      </w:r>
      <w:r w:rsidRPr="00EF6117">
        <w:t>, 3(1), 133-60.</w:t>
      </w:r>
    </w:p>
    <w:p w14:paraId="130F5320" w14:textId="07F910F7" w:rsidR="007D0704" w:rsidRPr="00633995" w:rsidRDefault="007D0704" w:rsidP="0011538D">
      <w:pPr>
        <w:spacing w:after="0" w:line="240" w:lineRule="auto"/>
        <w:ind w:left="720" w:hanging="720"/>
        <w:jc w:val="both"/>
      </w:pPr>
      <w:r w:rsidRPr="00633995">
        <w:t>Anderson, J</w:t>
      </w:r>
      <w:r w:rsidR="00237DD5" w:rsidRPr="00633995">
        <w:t>.</w:t>
      </w:r>
      <w:r w:rsidRPr="00633995">
        <w:t xml:space="preserve">, I. Borchert, A. Mattoo and Y. Yotov (2018) Dark Costs, Missing Data: Shedding Some Light on Services Trade, </w:t>
      </w:r>
      <w:r w:rsidRPr="00604F53">
        <w:rPr>
          <w:i/>
          <w:iCs/>
        </w:rPr>
        <w:t>European Economic Review</w:t>
      </w:r>
      <w:r w:rsidRPr="00633995">
        <w:t xml:space="preserve">, 105(C), </w:t>
      </w:r>
      <w:r w:rsidR="0095548C" w:rsidRPr="00633995">
        <w:t>1</w:t>
      </w:r>
      <w:r w:rsidRPr="00633995">
        <w:t>93-214.</w:t>
      </w:r>
    </w:p>
    <w:p w14:paraId="3C10F694" w14:textId="79E8A2DD" w:rsidR="007D0704" w:rsidRPr="00633995" w:rsidRDefault="007D0704" w:rsidP="0011538D">
      <w:pPr>
        <w:spacing w:after="0" w:line="240" w:lineRule="auto"/>
        <w:ind w:left="720" w:hanging="720"/>
        <w:jc w:val="both"/>
      </w:pPr>
      <w:r w:rsidRPr="00633995">
        <w:t xml:space="preserve">Aridor, G., </w:t>
      </w:r>
      <w:r w:rsidR="00237DD5" w:rsidRPr="00633995">
        <w:t>Y.</w:t>
      </w:r>
      <w:r w:rsidR="00237DD5" w:rsidRPr="00633995">
        <w:rPr>
          <w:rFonts w:ascii="Cambria Math" w:hAnsi="Cambria Math" w:cs="Cambria Math"/>
        </w:rPr>
        <w:t xml:space="preserve"> </w:t>
      </w:r>
      <w:r w:rsidR="00237DD5" w:rsidRPr="00633995">
        <w:t xml:space="preserve">K. </w:t>
      </w:r>
      <w:r w:rsidRPr="00633995">
        <w:t xml:space="preserve">Che and </w:t>
      </w:r>
      <w:r w:rsidR="00237DD5" w:rsidRPr="00633995">
        <w:t xml:space="preserve">T. </w:t>
      </w:r>
      <w:r w:rsidRPr="00633995">
        <w:t>Salz</w:t>
      </w:r>
      <w:r w:rsidR="00237DD5" w:rsidRPr="00633995">
        <w:t xml:space="preserve"> </w:t>
      </w:r>
      <w:r w:rsidRPr="00633995">
        <w:t xml:space="preserve">(2023) The Effect of Privacy Regulation on the Data Industry: Empirical Evidence from GDPR, </w:t>
      </w:r>
      <w:r w:rsidRPr="00604F53">
        <w:rPr>
          <w:i/>
          <w:iCs/>
        </w:rPr>
        <w:t>RAND Journal of Economics</w:t>
      </w:r>
      <w:r w:rsidRPr="00633995">
        <w:t>, 54</w:t>
      </w:r>
      <w:r w:rsidR="0095548C" w:rsidRPr="00633995">
        <w:t>(</w:t>
      </w:r>
      <w:r w:rsidRPr="00633995">
        <w:t>4</w:t>
      </w:r>
      <w:r w:rsidR="0095548C" w:rsidRPr="00633995">
        <w:t>)</w:t>
      </w:r>
      <w:r w:rsidRPr="00633995">
        <w:t>, 6952-7730.</w:t>
      </w:r>
    </w:p>
    <w:p w14:paraId="71D0520C" w14:textId="14AF8C2E" w:rsidR="007D0704" w:rsidRPr="00633995" w:rsidRDefault="007D0704" w:rsidP="0011538D">
      <w:pPr>
        <w:spacing w:after="0" w:line="240" w:lineRule="auto"/>
        <w:ind w:left="720" w:hanging="720"/>
        <w:jc w:val="both"/>
      </w:pPr>
      <w:r w:rsidRPr="00633995">
        <w:t>Ariu, A.</w:t>
      </w:r>
      <w:r w:rsidR="00237DD5" w:rsidRPr="00633995">
        <w:t>,</w:t>
      </w:r>
      <w:r w:rsidRPr="00633995">
        <w:t xml:space="preserve"> H. Breinlich, G. Corcos and G. Mion (2019) </w:t>
      </w:r>
      <w:r w:rsidRPr="00513BF1">
        <w:t xml:space="preserve">The Interconnections Between Services and Goods Trade at the Firm-level, </w:t>
      </w:r>
      <w:r w:rsidRPr="00604F53">
        <w:rPr>
          <w:i/>
          <w:iCs/>
        </w:rPr>
        <w:t>Journal of International Economics</w:t>
      </w:r>
      <w:r w:rsidRPr="00513BF1">
        <w:t xml:space="preserve">, 116, 173-88. </w:t>
      </w:r>
    </w:p>
    <w:p w14:paraId="35B39CE4" w14:textId="74EB751F" w:rsidR="00727D7D" w:rsidRDefault="00727D7D" w:rsidP="00727D7D">
      <w:pPr>
        <w:spacing w:after="0" w:line="240" w:lineRule="auto"/>
        <w:ind w:left="720" w:hanging="720"/>
        <w:jc w:val="both"/>
      </w:pPr>
      <w:r w:rsidRPr="00F955B0">
        <w:t xml:space="preserve">Arkolakis, C., </w:t>
      </w:r>
      <w:r>
        <w:t xml:space="preserve">A. </w:t>
      </w:r>
      <w:r w:rsidRPr="00F955B0">
        <w:t>Costinot</w:t>
      </w:r>
      <w:r>
        <w:t xml:space="preserve"> and A.</w:t>
      </w:r>
      <w:r w:rsidRPr="00F955B0">
        <w:t xml:space="preserve"> Rodríguez-Clare (2012) New trade models, same old gains?. </w:t>
      </w:r>
      <w:r w:rsidRPr="00F955B0">
        <w:rPr>
          <w:i/>
          <w:iCs/>
        </w:rPr>
        <w:t>American Economic Review</w:t>
      </w:r>
      <w:r w:rsidRPr="00F955B0">
        <w:t>, 102(1), 94-130.</w:t>
      </w:r>
    </w:p>
    <w:p w14:paraId="04966A94" w14:textId="302CFC1B" w:rsidR="007D0704" w:rsidRPr="00633995" w:rsidRDefault="007D0704" w:rsidP="0011538D">
      <w:pPr>
        <w:spacing w:after="0" w:line="240" w:lineRule="auto"/>
        <w:ind w:left="720" w:hanging="720"/>
        <w:jc w:val="both"/>
      </w:pPr>
      <w:r w:rsidRPr="00633995">
        <w:t xml:space="preserve">Baier, S. L. and J. H. Bergstrand (2007) Do Free Trade Agreements Actually Increase Members’ International Trade? </w:t>
      </w:r>
      <w:r w:rsidRPr="00604F53">
        <w:rPr>
          <w:i/>
          <w:iCs/>
        </w:rPr>
        <w:t>Journal of International Economics</w:t>
      </w:r>
      <w:r w:rsidRPr="00633995">
        <w:t>, 71</w:t>
      </w:r>
      <w:r w:rsidR="00B60FBA">
        <w:t>(1)</w:t>
      </w:r>
      <w:r w:rsidRPr="00633995">
        <w:t>, 72-95.</w:t>
      </w:r>
    </w:p>
    <w:p w14:paraId="198375D4" w14:textId="4A11A2C8" w:rsidR="007D0704" w:rsidRPr="00633995" w:rsidRDefault="007D0704" w:rsidP="0011538D">
      <w:pPr>
        <w:spacing w:after="0" w:line="240" w:lineRule="auto"/>
        <w:ind w:left="720" w:hanging="720"/>
        <w:jc w:val="both"/>
      </w:pPr>
      <w:r w:rsidRPr="00633995">
        <w:t xml:space="preserve">Bento, P. and D. Restuccia (2021) On Average Establishment Size Across Sectors and Countries, </w:t>
      </w:r>
      <w:r w:rsidRPr="00604F53">
        <w:rPr>
          <w:i/>
          <w:iCs/>
        </w:rPr>
        <w:t>Journal of Monetary Economics</w:t>
      </w:r>
      <w:r w:rsidRPr="00633995">
        <w:t>, 117(C), 220-242.</w:t>
      </w:r>
    </w:p>
    <w:p w14:paraId="634BF31F" w14:textId="2DA1777D" w:rsidR="007D0704" w:rsidRPr="00633995" w:rsidRDefault="007D0704" w:rsidP="0011538D">
      <w:pPr>
        <w:spacing w:after="0" w:line="240" w:lineRule="auto"/>
        <w:ind w:left="720" w:hanging="720"/>
        <w:jc w:val="both"/>
      </w:pPr>
      <w:r w:rsidRPr="00633995">
        <w:t xml:space="preserve">Bentzen, H.B., H. Kvammen Olav and G. Ursin (2023) Maximizing the GDPR Potential for Data Transfers: First in Europe, </w:t>
      </w:r>
      <w:r w:rsidRPr="00604F53">
        <w:rPr>
          <w:i/>
          <w:iCs/>
        </w:rPr>
        <w:t>The Lancet Regional Health Europe</w:t>
      </w:r>
      <w:r w:rsidRPr="00633995">
        <w:t xml:space="preserve">, 27, 1-4. </w:t>
      </w:r>
    </w:p>
    <w:p w14:paraId="73BAD36F" w14:textId="2C02F919" w:rsidR="007D0704" w:rsidRPr="00633995" w:rsidRDefault="007D0704" w:rsidP="0011538D">
      <w:pPr>
        <w:spacing w:after="0" w:line="240" w:lineRule="auto"/>
        <w:ind w:left="720" w:hanging="720"/>
        <w:jc w:val="both"/>
      </w:pPr>
      <w:r w:rsidRPr="00633995">
        <w:t xml:space="preserve">Bergstrand, J., M. Larch and Y. Yotov (2015) Economic Integration Agreements, Border Effects, and Distance Elasticities in the Gravity Equation, </w:t>
      </w:r>
      <w:r w:rsidRPr="00604F53">
        <w:rPr>
          <w:i/>
          <w:iCs/>
        </w:rPr>
        <w:t>European Ec</w:t>
      </w:r>
      <w:r w:rsidR="00B60FBA">
        <w:rPr>
          <w:i/>
          <w:iCs/>
        </w:rPr>
        <w:t>onomic</w:t>
      </w:r>
      <w:r w:rsidRPr="00604F53">
        <w:rPr>
          <w:i/>
          <w:iCs/>
        </w:rPr>
        <w:t xml:space="preserve"> Review</w:t>
      </w:r>
      <w:r w:rsidRPr="00633995">
        <w:t>, 78, 307-27.</w:t>
      </w:r>
    </w:p>
    <w:p w14:paraId="0A7E45EA" w14:textId="395D99FC" w:rsidR="009D4C1F" w:rsidRDefault="009D4C1F" w:rsidP="00E33CB7">
      <w:pPr>
        <w:spacing w:after="0" w:line="240" w:lineRule="auto"/>
        <w:ind w:left="720" w:hanging="720"/>
        <w:jc w:val="both"/>
      </w:pPr>
      <w:r w:rsidRPr="009D4C1F">
        <w:t>Borchert, I., Larch, M., Shikher, S., and Yotov, Y. (2022), The International Trade and Production Database for Estimation - Release 2 (ITPD-E-R02)</w:t>
      </w:r>
      <w:r w:rsidR="00B60FBA">
        <w:t>.</w:t>
      </w:r>
      <w:r w:rsidRPr="009D4C1F">
        <w:t xml:space="preserve"> USITC Working Paper 2022–07–A.</w:t>
      </w:r>
    </w:p>
    <w:p w14:paraId="18C5CE7C" w14:textId="2CB3D850" w:rsidR="00E33CB7" w:rsidRDefault="00E33CB7" w:rsidP="00E33CB7">
      <w:pPr>
        <w:spacing w:after="0" w:line="240" w:lineRule="auto"/>
        <w:ind w:left="720" w:hanging="720"/>
        <w:jc w:val="both"/>
      </w:pPr>
      <w:r w:rsidRPr="008F3E90">
        <w:t>Borusyak</w:t>
      </w:r>
      <w:r>
        <w:t>, K.,</w:t>
      </w:r>
      <w:r w:rsidRPr="008F3E90">
        <w:t xml:space="preserve"> P</w:t>
      </w:r>
      <w:r>
        <w:t xml:space="preserve">. </w:t>
      </w:r>
      <w:r w:rsidRPr="008F3E90">
        <w:t xml:space="preserve">Hull </w:t>
      </w:r>
      <w:r>
        <w:t>and</w:t>
      </w:r>
      <w:r w:rsidRPr="008F3E90">
        <w:t xml:space="preserve"> X</w:t>
      </w:r>
      <w:r>
        <w:t>.</w:t>
      </w:r>
      <w:r w:rsidRPr="008F3E90">
        <w:t xml:space="preserve"> Jaravel</w:t>
      </w:r>
      <w:r>
        <w:t xml:space="preserve"> (</w:t>
      </w:r>
      <w:r w:rsidRPr="008F3E90">
        <w:t>2024</w:t>
      </w:r>
      <w:r>
        <w:t xml:space="preserve">), </w:t>
      </w:r>
      <w:r w:rsidRPr="008F3E90">
        <w:t>A Practical Guide to Shift-Share Instruments</w:t>
      </w:r>
      <w:r>
        <w:t>,</w:t>
      </w:r>
      <w:r w:rsidRPr="008F3E90">
        <w:t> NBER Working Paper 33236.</w:t>
      </w:r>
    </w:p>
    <w:p w14:paraId="1D9A3F9C" w14:textId="2983E422" w:rsidR="007D0704" w:rsidRPr="00633995" w:rsidRDefault="007D0704" w:rsidP="0011538D">
      <w:pPr>
        <w:spacing w:after="0" w:line="240" w:lineRule="auto"/>
        <w:ind w:left="720" w:hanging="720"/>
        <w:jc w:val="both"/>
      </w:pPr>
      <w:r w:rsidRPr="00633995">
        <w:t xml:space="preserve">Breinlich, H. and C. Criscuolo (2011) International Trade in Services: A Portrait of Importers and Exporters, </w:t>
      </w:r>
      <w:r w:rsidRPr="00604F53">
        <w:rPr>
          <w:i/>
          <w:iCs/>
        </w:rPr>
        <w:t>Journal of International Economics</w:t>
      </w:r>
      <w:r w:rsidRPr="00633995">
        <w:t>, 84</w:t>
      </w:r>
      <w:r w:rsidR="0095548C" w:rsidRPr="00633995">
        <w:t>(</w:t>
      </w:r>
      <w:r w:rsidRPr="00633995">
        <w:t>2</w:t>
      </w:r>
      <w:r w:rsidR="0095548C" w:rsidRPr="00633995">
        <w:t>)</w:t>
      </w:r>
      <w:r w:rsidRPr="00633995">
        <w:t>, 188-206.</w:t>
      </w:r>
    </w:p>
    <w:p w14:paraId="3DC861BE" w14:textId="2AE2AE91" w:rsidR="00C5035C" w:rsidRPr="00513BF1" w:rsidRDefault="00C5035C" w:rsidP="0011538D">
      <w:pPr>
        <w:spacing w:after="0" w:line="240" w:lineRule="auto"/>
        <w:ind w:left="720" w:hanging="720"/>
        <w:jc w:val="both"/>
      </w:pPr>
      <w:r w:rsidRPr="00513BF1">
        <w:t xml:space="preserve">Burri, M. and R. Polanco (2020) </w:t>
      </w:r>
      <w:r w:rsidRPr="00633995">
        <w:t>Digital trade provisions in preferential trade agreements: introducing a new dataset</w:t>
      </w:r>
      <w:r w:rsidRPr="00604F53">
        <w:rPr>
          <w:i/>
          <w:iCs/>
        </w:rPr>
        <w:t xml:space="preserve">. Journal of </w:t>
      </w:r>
      <w:r w:rsidR="00823CFE">
        <w:rPr>
          <w:i/>
          <w:iCs/>
        </w:rPr>
        <w:t>I</w:t>
      </w:r>
      <w:r w:rsidRPr="00604F53">
        <w:rPr>
          <w:i/>
          <w:iCs/>
        </w:rPr>
        <w:t xml:space="preserve">nternational </w:t>
      </w:r>
      <w:r w:rsidR="00823CFE">
        <w:rPr>
          <w:i/>
          <w:iCs/>
        </w:rPr>
        <w:t>E</w:t>
      </w:r>
      <w:r w:rsidRPr="00604F53">
        <w:rPr>
          <w:i/>
          <w:iCs/>
        </w:rPr>
        <w:t xml:space="preserve">conomic </w:t>
      </w:r>
      <w:r w:rsidR="00823CFE">
        <w:rPr>
          <w:i/>
          <w:iCs/>
        </w:rPr>
        <w:t>L</w:t>
      </w:r>
      <w:r w:rsidRPr="00604F53">
        <w:rPr>
          <w:i/>
          <w:iCs/>
        </w:rPr>
        <w:t>aw</w:t>
      </w:r>
      <w:r w:rsidRPr="00633995">
        <w:t>, 23(1), 187-220.</w:t>
      </w:r>
    </w:p>
    <w:p w14:paraId="71F51C46" w14:textId="287579A4" w:rsidR="007D0704" w:rsidRPr="00513BF1" w:rsidRDefault="007D0704" w:rsidP="0011538D">
      <w:pPr>
        <w:spacing w:after="0" w:line="240" w:lineRule="auto"/>
        <w:ind w:left="720" w:hanging="720"/>
        <w:jc w:val="both"/>
      </w:pPr>
      <w:r w:rsidRPr="00513BF1">
        <w:t xml:space="preserve">Business Europe, Digital Europe, ERT and ACEA (2020) Schrems II: Impact Survey Report, Brussels.  </w:t>
      </w:r>
    </w:p>
    <w:p w14:paraId="65686BBC" w14:textId="7CD33CBF" w:rsidR="007D0704" w:rsidRPr="00633995" w:rsidRDefault="007D0704" w:rsidP="0011538D">
      <w:pPr>
        <w:spacing w:after="0" w:line="240" w:lineRule="auto"/>
        <w:ind w:left="720" w:hanging="720"/>
        <w:jc w:val="both"/>
      </w:pPr>
      <w:r w:rsidRPr="00633995">
        <w:t xml:space="preserve">Cheng, I. and H. J. Wall (2005) Controlling for Heterogeneity in Gravity Models of Trade and Integration, </w:t>
      </w:r>
      <w:r w:rsidRPr="00604F53">
        <w:rPr>
          <w:i/>
          <w:iCs/>
        </w:rPr>
        <w:t>Federal Reserve Bank of St. Louis Review</w:t>
      </w:r>
      <w:r w:rsidRPr="00633995">
        <w:t>, 87, 49-64.</w:t>
      </w:r>
    </w:p>
    <w:p w14:paraId="71F9F05F" w14:textId="63D438BB" w:rsidR="007D0704" w:rsidRPr="00513BF1" w:rsidRDefault="007D0704" w:rsidP="0011538D">
      <w:pPr>
        <w:spacing w:after="0" w:line="240" w:lineRule="auto"/>
        <w:ind w:left="720" w:hanging="720"/>
        <w:jc w:val="both"/>
      </w:pPr>
      <w:r w:rsidRPr="00513BF1">
        <w:t>Chivot, E. and N</w:t>
      </w:r>
      <w:r w:rsidR="0069400B" w:rsidRPr="00513BF1">
        <w:t>.</w:t>
      </w:r>
      <w:r w:rsidRPr="00513BF1">
        <w:t xml:space="preserve"> Cory (2020) Response to European Commission Consultation on Transfers of Personal Data to Third Countries and Cooperation Between Data Protection Authorities, I</w:t>
      </w:r>
      <w:r w:rsidR="00A57CEC" w:rsidRPr="00A57CEC">
        <w:t>nformation Technology &amp; Innovation Foundation</w:t>
      </w:r>
      <w:r w:rsidR="00A57CEC">
        <w:t>,</w:t>
      </w:r>
      <w:r w:rsidRPr="00513BF1">
        <w:t xml:space="preserve"> Washington DC. </w:t>
      </w:r>
    </w:p>
    <w:p w14:paraId="1C876DFE" w14:textId="3DA8A321" w:rsidR="007D0704" w:rsidRPr="00633995" w:rsidRDefault="007D0704" w:rsidP="0011538D">
      <w:pPr>
        <w:spacing w:after="0" w:line="240" w:lineRule="auto"/>
        <w:ind w:left="720" w:hanging="720"/>
        <w:jc w:val="both"/>
      </w:pPr>
      <w:r w:rsidRPr="00633995">
        <w:t>Ciccone, A.</w:t>
      </w:r>
      <w:r w:rsidR="00F53672">
        <w:t xml:space="preserve"> </w:t>
      </w:r>
      <w:r w:rsidRPr="00633995">
        <w:t xml:space="preserve">and E. Papaioannou (2023) Estimating Cross-industry Cross-country Interaction Models using Benchmark Industry Characteristics, </w:t>
      </w:r>
      <w:r w:rsidRPr="00604F53">
        <w:rPr>
          <w:i/>
          <w:iCs/>
        </w:rPr>
        <w:t>Economic Journal</w:t>
      </w:r>
      <w:r w:rsidRPr="00633995">
        <w:t>, 133</w:t>
      </w:r>
      <w:r w:rsidR="005D2898" w:rsidRPr="00633995">
        <w:t>(</w:t>
      </w:r>
      <w:r w:rsidRPr="00633995">
        <w:t>649</w:t>
      </w:r>
      <w:r w:rsidR="005D2898" w:rsidRPr="00633995">
        <w:t>)</w:t>
      </w:r>
      <w:r w:rsidRPr="00633995">
        <w:t>, 130-58.</w:t>
      </w:r>
    </w:p>
    <w:p w14:paraId="64BE6FD5" w14:textId="29CF5231" w:rsidR="007D0704" w:rsidRPr="00633995" w:rsidRDefault="00D95DD7" w:rsidP="0011538D">
      <w:pPr>
        <w:spacing w:after="0" w:line="240" w:lineRule="auto"/>
        <w:ind w:left="720" w:hanging="720"/>
        <w:jc w:val="both"/>
        <w:rPr>
          <w:rFonts w:cs="Arial"/>
          <w:shd w:val="clear" w:color="auto" w:fill="FFFFFF"/>
        </w:rPr>
      </w:pPr>
      <w:r w:rsidRPr="00633995">
        <w:rPr>
          <w:rFonts w:cs="Arial"/>
          <w:shd w:val="clear" w:color="auto" w:fill="FFFFFF"/>
        </w:rPr>
        <w:t>Cory, N., D. Castro and E. Dick</w:t>
      </w:r>
      <w:r w:rsidR="007D0704" w:rsidRPr="00633995">
        <w:rPr>
          <w:rFonts w:cs="Arial"/>
          <w:shd w:val="clear" w:color="auto" w:fill="FFFFFF"/>
        </w:rPr>
        <w:t xml:space="preserve"> (2020) The Role and Value of Standard Contractual Clauses in EU-US digital trade, Information Technology and Innovation Foundation, Washington DC.</w:t>
      </w:r>
    </w:p>
    <w:p w14:paraId="52F0C9ED" w14:textId="2989893B" w:rsidR="00A413FF" w:rsidRPr="00633995" w:rsidRDefault="00A413FF" w:rsidP="0011538D">
      <w:pPr>
        <w:spacing w:after="0" w:line="240" w:lineRule="auto"/>
        <w:ind w:left="720" w:hanging="720"/>
        <w:jc w:val="both"/>
      </w:pPr>
      <w:r w:rsidRPr="00633995">
        <w:t xml:space="preserve">Davis, C. 2023. </w:t>
      </w:r>
      <w:r w:rsidRPr="00604F53">
        <w:rPr>
          <w:i/>
          <w:iCs/>
        </w:rPr>
        <w:t>Discriminatory Clubs: The Geopolitics of International Organizations</w:t>
      </w:r>
      <w:r w:rsidRPr="00633995">
        <w:t>.</w:t>
      </w:r>
      <w:r w:rsidR="00425C46" w:rsidRPr="00633995">
        <w:t xml:space="preserve"> Princeton University Press.</w:t>
      </w:r>
    </w:p>
    <w:p w14:paraId="653EC8BD" w14:textId="761D0109" w:rsidR="00B564DC" w:rsidRPr="00633995" w:rsidRDefault="002B6873" w:rsidP="0011538D">
      <w:pPr>
        <w:spacing w:after="0" w:line="240" w:lineRule="auto"/>
        <w:ind w:left="720" w:hanging="720"/>
        <w:jc w:val="both"/>
      </w:pPr>
      <w:r w:rsidRPr="00633995">
        <w:t>De Brito, A., C. Kauffmann and J. Pelkmans (2016). The contribution of mutual recognition to international regulatory co-operation. OECD.</w:t>
      </w:r>
    </w:p>
    <w:p w14:paraId="7CA8DE74" w14:textId="2C80D381" w:rsidR="008D4FA6" w:rsidRPr="00633995" w:rsidRDefault="008D4FA6" w:rsidP="0011538D">
      <w:pPr>
        <w:spacing w:after="0" w:line="240" w:lineRule="auto"/>
        <w:ind w:left="720" w:hanging="720"/>
        <w:jc w:val="both"/>
      </w:pPr>
      <w:r w:rsidRPr="00633995">
        <w:t xml:space="preserve">European Commission (2017) Communication from the Commission to the European Parliament and the Council - Exchanging and Protecting Personal Data in a Globalised World. COM (2017) 7 final, Brussels. </w:t>
      </w:r>
    </w:p>
    <w:p w14:paraId="7AA71C5E" w14:textId="480E39F2" w:rsidR="007D21D1" w:rsidRPr="00633995" w:rsidRDefault="007D21D1" w:rsidP="0011538D">
      <w:pPr>
        <w:spacing w:after="0" w:line="240" w:lineRule="auto"/>
        <w:ind w:left="720" w:hanging="720"/>
        <w:jc w:val="both"/>
      </w:pPr>
      <w:r w:rsidRPr="00633995">
        <w:t>European Commission</w:t>
      </w:r>
      <w:r w:rsidR="008D4FA6" w:rsidRPr="00633995">
        <w:t xml:space="preserve"> (</w:t>
      </w:r>
      <w:r w:rsidRPr="00633995">
        <w:t>2023</w:t>
      </w:r>
      <w:r w:rsidR="008D4FA6" w:rsidRPr="00633995">
        <w:t>)</w:t>
      </w:r>
      <w:r w:rsidRPr="00633995">
        <w:t xml:space="preserve"> Adequacy decision for the EU-US Data Privacy Framework. </w:t>
      </w:r>
      <w:r w:rsidR="00103E98">
        <w:t xml:space="preserve">Document </w:t>
      </w:r>
      <w:r w:rsidR="00B4770A" w:rsidRPr="00633995">
        <w:t>C(2023)4745 final</w:t>
      </w:r>
      <w:r w:rsidR="008D4FA6" w:rsidRPr="00633995">
        <w:t>, Brussels.</w:t>
      </w:r>
    </w:p>
    <w:p w14:paraId="36CF776A" w14:textId="64D1C125" w:rsidR="00CE59A9" w:rsidRPr="00633995" w:rsidRDefault="00CE59A9" w:rsidP="0011538D">
      <w:pPr>
        <w:spacing w:after="0" w:line="240" w:lineRule="auto"/>
        <w:ind w:left="720" w:hanging="720"/>
        <w:jc w:val="both"/>
      </w:pPr>
      <w:r w:rsidRPr="00633995">
        <w:t>Egger, P. and M. Larch (2008) Interdependent preferential trade agreement memberships: An empirical analysis. </w:t>
      </w:r>
      <w:r w:rsidRPr="00604F53">
        <w:rPr>
          <w:i/>
          <w:iCs/>
        </w:rPr>
        <w:t>Journal of international Economics</w:t>
      </w:r>
      <w:r w:rsidRPr="00633995">
        <w:t>, 76(2), 384-99.</w:t>
      </w:r>
    </w:p>
    <w:p w14:paraId="2401381F" w14:textId="5DEB862D" w:rsidR="007D0704" w:rsidRPr="00633995" w:rsidRDefault="007D0704" w:rsidP="0011538D">
      <w:pPr>
        <w:spacing w:after="0" w:line="240" w:lineRule="auto"/>
        <w:ind w:left="720" w:hanging="720"/>
        <w:jc w:val="both"/>
      </w:pPr>
      <w:r w:rsidRPr="00633995">
        <w:lastRenderedPageBreak/>
        <w:t xml:space="preserve">Egger, P. and </w:t>
      </w:r>
      <w:r w:rsidR="00C5035C" w:rsidRPr="00633995">
        <w:t xml:space="preserve">F. </w:t>
      </w:r>
      <w:r w:rsidRPr="00633995">
        <w:t xml:space="preserve">Tarlea (2015) Multi-way Clustering Estimation of Standard Errors in Gravity Models, </w:t>
      </w:r>
      <w:r w:rsidRPr="00604F53">
        <w:rPr>
          <w:i/>
          <w:iCs/>
        </w:rPr>
        <w:t>Economics Letters</w:t>
      </w:r>
      <w:r w:rsidRPr="00633995">
        <w:t>, 134, 144–47.</w:t>
      </w:r>
    </w:p>
    <w:p w14:paraId="032E5F34" w14:textId="4D694F3A" w:rsidR="007D0704" w:rsidRPr="00633995" w:rsidRDefault="007D0704" w:rsidP="0011538D">
      <w:pPr>
        <w:spacing w:after="0" w:line="240" w:lineRule="auto"/>
        <w:ind w:left="720" w:hanging="720"/>
        <w:jc w:val="both"/>
      </w:pPr>
      <w:r w:rsidRPr="00633995">
        <w:t>Ferracane</w:t>
      </w:r>
      <w:r w:rsidR="00237DD5" w:rsidRPr="00633995">
        <w:t>,</w:t>
      </w:r>
      <w:r w:rsidRPr="00633995">
        <w:t xml:space="preserve"> M. and E. van der Marel (2021) Do Data Policy Restrictions Inhibit Trade in </w:t>
      </w:r>
      <w:r w:rsidR="00B7719F" w:rsidRPr="00633995">
        <w:t>Services?</w:t>
      </w:r>
      <w:r w:rsidRPr="00633995">
        <w:t xml:space="preserve"> </w:t>
      </w:r>
      <w:r w:rsidRPr="00604F53">
        <w:rPr>
          <w:i/>
          <w:iCs/>
        </w:rPr>
        <w:t>Review of World Economics</w:t>
      </w:r>
      <w:r w:rsidRPr="00633995">
        <w:t>, 157</w:t>
      </w:r>
      <w:r w:rsidR="0095548C" w:rsidRPr="00633995">
        <w:t>(</w:t>
      </w:r>
      <w:r w:rsidRPr="00633995">
        <w:t>4</w:t>
      </w:r>
      <w:r w:rsidR="0095548C" w:rsidRPr="00633995">
        <w:t xml:space="preserve">), </w:t>
      </w:r>
      <w:r w:rsidRPr="00633995">
        <w:t>727-76.</w:t>
      </w:r>
    </w:p>
    <w:p w14:paraId="059C0C75" w14:textId="7AF131B2" w:rsidR="007D0704" w:rsidRPr="00633995" w:rsidRDefault="007D0704" w:rsidP="0011538D">
      <w:pPr>
        <w:spacing w:after="0" w:line="240" w:lineRule="auto"/>
        <w:ind w:left="720" w:hanging="720"/>
        <w:jc w:val="both"/>
      </w:pPr>
      <w:r w:rsidRPr="00633995">
        <w:t xml:space="preserve">French, S. and T. Zylkin (2024) The Effects of Free Trade Agreements on Product-level Trade, </w:t>
      </w:r>
      <w:r w:rsidRPr="00604F53">
        <w:rPr>
          <w:i/>
          <w:iCs/>
        </w:rPr>
        <w:t>European Economic Review</w:t>
      </w:r>
      <w:r w:rsidRPr="00633995">
        <w:t>, 162</w:t>
      </w:r>
      <w:r w:rsidR="0095548C" w:rsidRPr="00633995">
        <w:t>, 104673</w:t>
      </w:r>
      <w:r w:rsidRPr="00633995">
        <w:t xml:space="preserve">. </w:t>
      </w:r>
    </w:p>
    <w:p w14:paraId="4E96973B" w14:textId="3B82B680" w:rsidR="007D0704" w:rsidRPr="00633995" w:rsidRDefault="007D0704" w:rsidP="0011538D">
      <w:pPr>
        <w:spacing w:after="0" w:line="240" w:lineRule="auto"/>
        <w:ind w:left="720" w:hanging="720"/>
        <w:jc w:val="both"/>
      </w:pPr>
      <w:r w:rsidRPr="00633995">
        <w:t xml:space="preserve">Frey, C.B. and G. Presidente (2024) Privacy Regulation and Firm Performance: Estimating the GDPR Effect Globally, </w:t>
      </w:r>
      <w:r w:rsidRPr="00604F53">
        <w:rPr>
          <w:i/>
          <w:iCs/>
        </w:rPr>
        <w:t>Economic Inquiry</w:t>
      </w:r>
      <w:r w:rsidRPr="00633995">
        <w:t>, 62</w:t>
      </w:r>
      <w:r w:rsidR="0095548C" w:rsidRPr="00633995">
        <w:t xml:space="preserve">(3), </w:t>
      </w:r>
      <w:r w:rsidRPr="00633995">
        <w:t>1074-89.</w:t>
      </w:r>
    </w:p>
    <w:p w14:paraId="572869AB" w14:textId="606898E8" w:rsidR="00AC72B2" w:rsidRPr="00633995" w:rsidRDefault="00AC72B2" w:rsidP="0011538D">
      <w:pPr>
        <w:spacing w:after="0" w:line="240" w:lineRule="auto"/>
        <w:ind w:left="720" w:hanging="720"/>
        <w:jc w:val="both"/>
      </w:pPr>
      <w:r w:rsidRPr="00633995">
        <w:t xml:space="preserve">Gnutzmann-Mkrtchyan, A. </w:t>
      </w:r>
      <w:r w:rsidR="004A4357" w:rsidRPr="00633995">
        <w:t>and C.</w:t>
      </w:r>
      <w:r w:rsidRPr="00633995">
        <w:t xml:space="preserve"> Henn (2018) Peeling </w:t>
      </w:r>
      <w:r w:rsidR="004A4357" w:rsidRPr="00633995">
        <w:t>A</w:t>
      </w:r>
      <w:r w:rsidRPr="00633995">
        <w:t xml:space="preserve">way the </w:t>
      </w:r>
      <w:r w:rsidR="004A4357" w:rsidRPr="00633995">
        <w:t>L</w:t>
      </w:r>
      <w:r w:rsidRPr="00633995">
        <w:t xml:space="preserve">ayers: Impacts of </w:t>
      </w:r>
      <w:r w:rsidR="004A4357" w:rsidRPr="00633995">
        <w:t>D</w:t>
      </w:r>
      <w:r w:rsidRPr="00633995">
        <w:t xml:space="preserve">urable </w:t>
      </w:r>
      <w:r w:rsidR="004A4357" w:rsidRPr="00633995">
        <w:t>T</w:t>
      </w:r>
      <w:r w:rsidRPr="00633995">
        <w:t xml:space="preserve">ariff </w:t>
      </w:r>
      <w:r w:rsidR="004A4357" w:rsidRPr="00633995">
        <w:t>E</w:t>
      </w:r>
      <w:r w:rsidRPr="00633995">
        <w:t>limination</w:t>
      </w:r>
      <w:r w:rsidR="004A4357" w:rsidRPr="00633995">
        <w:t>,</w:t>
      </w:r>
      <w:r w:rsidRPr="00633995">
        <w:t xml:space="preserve"> </w:t>
      </w:r>
      <w:r w:rsidRPr="00604F53">
        <w:rPr>
          <w:i/>
          <w:iCs/>
        </w:rPr>
        <w:t>Journal of International Economics</w:t>
      </w:r>
      <w:r w:rsidRPr="00633995">
        <w:t>, 115</w:t>
      </w:r>
      <w:r w:rsidR="0095548C" w:rsidRPr="00633995">
        <w:t xml:space="preserve">, </w:t>
      </w:r>
      <w:r w:rsidRPr="00633995">
        <w:t>259-76.</w:t>
      </w:r>
    </w:p>
    <w:p w14:paraId="34CB0D0B" w14:textId="72CCB11D" w:rsidR="007D0704" w:rsidRPr="00633995" w:rsidRDefault="007D0704" w:rsidP="0011538D">
      <w:pPr>
        <w:spacing w:after="0" w:line="240" w:lineRule="auto"/>
        <w:ind w:left="720" w:hanging="720"/>
        <w:jc w:val="both"/>
      </w:pPr>
      <w:r w:rsidRPr="00633995">
        <w:t xml:space="preserve">Goldberg, S., G. Johnson, and S. Shriver (2023) Regulating Privacy Online: An Economic Evaluation of the GDPR, </w:t>
      </w:r>
      <w:r w:rsidRPr="00604F53">
        <w:rPr>
          <w:i/>
          <w:iCs/>
        </w:rPr>
        <w:t>American Economic Journal: Economic Policy</w:t>
      </w:r>
      <w:r w:rsidRPr="00633995">
        <w:t>, 16</w:t>
      </w:r>
      <w:r w:rsidR="003E2FED" w:rsidRPr="00633995">
        <w:t>(1), 3</w:t>
      </w:r>
      <w:r w:rsidRPr="00633995">
        <w:t>25-58.</w:t>
      </w:r>
    </w:p>
    <w:p w14:paraId="6CC0297A" w14:textId="0220712A" w:rsidR="007D0704" w:rsidRPr="00633995" w:rsidRDefault="007D0704" w:rsidP="0011538D">
      <w:pPr>
        <w:spacing w:after="0" w:line="240" w:lineRule="auto"/>
        <w:ind w:left="720" w:hanging="720"/>
        <w:jc w:val="both"/>
      </w:pPr>
      <w:r w:rsidRPr="00633995">
        <w:t>Goldfarb</w:t>
      </w:r>
      <w:r w:rsidR="00237DD5" w:rsidRPr="00633995">
        <w:t>,</w:t>
      </w:r>
      <w:r w:rsidRPr="00633995">
        <w:t xml:space="preserve"> A. and D. Trefler (2018) AI and International Trade, NBER Working Paper No. 24254</w:t>
      </w:r>
      <w:r w:rsidR="00E571B3" w:rsidRPr="008F3E90">
        <w:t>.</w:t>
      </w:r>
    </w:p>
    <w:p w14:paraId="2F3FED5E" w14:textId="09CF1FD5" w:rsidR="009E0A11" w:rsidRPr="00633995" w:rsidRDefault="009E0A11" w:rsidP="0011538D">
      <w:pPr>
        <w:spacing w:after="0" w:line="240" w:lineRule="auto"/>
        <w:ind w:left="720" w:hanging="720"/>
        <w:jc w:val="both"/>
      </w:pPr>
      <w:r w:rsidRPr="00633995">
        <w:t xml:space="preserve">Gurevich, T. </w:t>
      </w:r>
      <w:r w:rsidR="00237DD5" w:rsidRPr="00633995">
        <w:t>and P.</w:t>
      </w:r>
      <w:r w:rsidRPr="00633995">
        <w:t xml:space="preserve"> Herman (2018) The dynamic gravity dataset: 1948-2016. USITC Office of Economics Working Paper 2018-02-A.</w:t>
      </w:r>
    </w:p>
    <w:p w14:paraId="7B988729" w14:textId="31A20657" w:rsidR="007D0704" w:rsidRPr="00633995" w:rsidRDefault="007D0704" w:rsidP="0011538D">
      <w:pPr>
        <w:spacing w:after="0" w:line="240" w:lineRule="auto"/>
        <w:ind w:left="720" w:hanging="720"/>
        <w:jc w:val="both"/>
      </w:pPr>
      <w:r w:rsidRPr="00633995">
        <w:t xml:space="preserve">Head, K. and T. Mayer (2014) Gravity Equations: Workhorse, Toolkit, and Cookbook, Handbook of International Economics, in: G. Gopinath, E. Helpman, K., and K. Rogoff (eds.), </w:t>
      </w:r>
      <w:r w:rsidRPr="00604F53">
        <w:rPr>
          <w:i/>
          <w:iCs/>
        </w:rPr>
        <w:t>Handbook of International Economics</w:t>
      </w:r>
      <w:r w:rsidRPr="00633995">
        <w:t xml:space="preserve">, Volume 4, 131-95. </w:t>
      </w:r>
    </w:p>
    <w:p w14:paraId="25862D54" w14:textId="02D19F7A" w:rsidR="007D0704" w:rsidRPr="00633995" w:rsidRDefault="007D0704" w:rsidP="0011538D">
      <w:pPr>
        <w:spacing w:after="0" w:line="240" w:lineRule="auto"/>
        <w:ind w:left="720" w:hanging="720"/>
        <w:jc w:val="both"/>
        <w:rPr>
          <w:rFonts w:cs="CMU Serif"/>
        </w:rPr>
      </w:pPr>
      <w:r w:rsidRPr="00633995">
        <w:rPr>
          <w:rFonts w:cs="CMU Serif"/>
        </w:rPr>
        <w:t xml:space="preserve">Head, K., T. Mayer and J. Ries (2009) How Remote is the Offshoring Threat? </w:t>
      </w:r>
      <w:r w:rsidRPr="00604F53">
        <w:rPr>
          <w:rFonts w:cs="CMU Serif"/>
          <w:i/>
          <w:iCs/>
        </w:rPr>
        <w:t>European Economic Review</w:t>
      </w:r>
      <w:r w:rsidRPr="00633995">
        <w:rPr>
          <w:rFonts w:cs="CMU Serif"/>
        </w:rPr>
        <w:t>, 53</w:t>
      </w:r>
      <w:r w:rsidR="00163057" w:rsidRPr="00633995">
        <w:rPr>
          <w:rFonts w:cs="CMU Serif"/>
        </w:rPr>
        <w:t>(</w:t>
      </w:r>
      <w:r w:rsidRPr="00633995">
        <w:rPr>
          <w:rFonts w:cs="CMU Serif"/>
        </w:rPr>
        <w:t>4</w:t>
      </w:r>
      <w:r w:rsidR="00163057" w:rsidRPr="00633995">
        <w:rPr>
          <w:rFonts w:cs="CMU Serif"/>
        </w:rPr>
        <w:t>)</w:t>
      </w:r>
      <w:r w:rsidRPr="00633995">
        <w:rPr>
          <w:rFonts w:cs="CMU Serif"/>
        </w:rPr>
        <w:t>, 429-444.</w:t>
      </w:r>
    </w:p>
    <w:p w14:paraId="2785A5B1" w14:textId="3128B842" w:rsidR="007D0704" w:rsidRPr="00633995" w:rsidRDefault="007D0704" w:rsidP="0011538D">
      <w:pPr>
        <w:spacing w:after="0" w:line="240" w:lineRule="auto"/>
        <w:ind w:left="720" w:hanging="720"/>
        <w:jc w:val="both"/>
        <w:rPr>
          <w:rFonts w:cs="CMU Serif"/>
        </w:rPr>
      </w:pPr>
      <w:r w:rsidRPr="00633995">
        <w:rPr>
          <w:rFonts w:cs="CMU Serif"/>
        </w:rPr>
        <w:t xml:space="preserve">Hollingsworth, A. and C. Wing (2022) Tactics for Design and Inference in Synthetic Control Studies: An Applied Example using High-dimensional Data, At: 10.31235/osf.io/fc9xt. </w:t>
      </w:r>
    </w:p>
    <w:p w14:paraId="2EEC7BA0" w14:textId="13DB3A8E" w:rsidR="007857D9" w:rsidRPr="00633995" w:rsidRDefault="007857D9" w:rsidP="0011538D">
      <w:pPr>
        <w:spacing w:after="0" w:line="240" w:lineRule="auto"/>
        <w:ind w:left="720" w:hanging="720"/>
        <w:jc w:val="both"/>
      </w:pPr>
      <w:r w:rsidRPr="00633995">
        <w:t>IMF, OECD, UNCTAD and</w:t>
      </w:r>
      <w:r w:rsidR="007D625E">
        <w:t xml:space="preserve"> </w:t>
      </w:r>
      <w:r w:rsidRPr="00633995">
        <w:t xml:space="preserve">WTO (2023) </w:t>
      </w:r>
      <w:r w:rsidRPr="00604F53">
        <w:rPr>
          <w:i/>
          <w:iCs/>
        </w:rPr>
        <w:t>Handbook on Measuring Digital Trade</w:t>
      </w:r>
      <w:r w:rsidR="007D625E">
        <w:t>.</w:t>
      </w:r>
      <w:r w:rsidRPr="00633995">
        <w:t xml:space="preserve"> Geneva: WTO.</w:t>
      </w:r>
      <w:r w:rsidRPr="00633995" w:rsidDel="007857D9">
        <w:t xml:space="preserve"> </w:t>
      </w:r>
    </w:p>
    <w:p w14:paraId="6FE7F3DF" w14:textId="06B3A0D7" w:rsidR="00991ABE" w:rsidRDefault="0048285C" w:rsidP="0011538D">
      <w:pPr>
        <w:spacing w:after="0" w:line="240" w:lineRule="auto"/>
        <w:ind w:left="720" w:hanging="720"/>
        <w:jc w:val="both"/>
      </w:pPr>
      <w:r w:rsidRPr="0048285C">
        <w:t>Larch</w:t>
      </w:r>
      <w:r w:rsidR="001926D7">
        <w:t>, M.,</w:t>
      </w:r>
      <w:r w:rsidRPr="0048285C">
        <w:t xml:space="preserve"> J</w:t>
      </w:r>
      <w:r w:rsidR="001926D7">
        <w:t>.</w:t>
      </w:r>
      <w:r w:rsidRPr="0048285C">
        <w:t xml:space="preserve"> Wanner</w:t>
      </w:r>
      <w:r w:rsidR="001926D7">
        <w:t>,</w:t>
      </w:r>
      <w:r w:rsidRPr="0048285C">
        <w:t xml:space="preserve"> Y</w:t>
      </w:r>
      <w:r w:rsidR="001926D7">
        <w:t>.</w:t>
      </w:r>
      <w:r w:rsidRPr="0048285C">
        <w:t xml:space="preserve"> Yotov</w:t>
      </w:r>
      <w:r w:rsidR="001926D7">
        <w:t xml:space="preserve"> and</w:t>
      </w:r>
      <w:r w:rsidRPr="0048285C">
        <w:t xml:space="preserve"> T</w:t>
      </w:r>
      <w:r w:rsidR="001926D7">
        <w:t>.</w:t>
      </w:r>
      <w:r w:rsidRPr="0048285C">
        <w:t xml:space="preserve"> Zylkin</w:t>
      </w:r>
      <w:r w:rsidR="001926D7">
        <w:t xml:space="preserve"> (</w:t>
      </w:r>
      <w:r w:rsidRPr="0048285C">
        <w:t>2019</w:t>
      </w:r>
      <w:r w:rsidR="001926D7">
        <w:t>)</w:t>
      </w:r>
      <w:r w:rsidRPr="0048285C">
        <w:t xml:space="preserve"> Currency Unions and Trade: A </w:t>
      </w:r>
      <w:r w:rsidR="00B7719F" w:rsidRPr="0048285C">
        <w:t>PPML Re</w:t>
      </w:r>
      <w:r w:rsidR="00B7719F" w:rsidRPr="0048285C">
        <w:rPr>
          <w:rFonts w:ascii="Cambria Math" w:hAnsi="Cambria Math" w:cs="Cambria Math"/>
        </w:rPr>
        <w:t>assessment</w:t>
      </w:r>
      <w:r w:rsidRPr="0048285C">
        <w:t xml:space="preserve"> with High</w:t>
      </w:r>
      <w:r w:rsidRPr="0048285C">
        <w:rPr>
          <w:rFonts w:ascii="Cambria Math" w:hAnsi="Cambria Math" w:cs="Cambria Math"/>
        </w:rPr>
        <w:t>‐</w:t>
      </w:r>
      <w:r w:rsidRPr="0048285C">
        <w:t xml:space="preserve">dimensional Fixed Effects, </w:t>
      </w:r>
      <w:r w:rsidRPr="00604F53">
        <w:rPr>
          <w:i/>
          <w:iCs/>
        </w:rPr>
        <w:t>Oxford Bulletin of Economics and Statistics</w:t>
      </w:r>
      <w:r w:rsidRPr="0048285C">
        <w:t xml:space="preserve">, </w:t>
      </w:r>
      <w:r w:rsidR="001926D7">
        <w:t>V</w:t>
      </w:r>
      <w:r w:rsidRPr="0048285C">
        <w:t>ol. 81(3), 487-510</w:t>
      </w:r>
      <w:r w:rsidR="00726F1F">
        <w:t>.</w:t>
      </w:r>
    </w:p>
    <w:p w14:paraId="63FAE6E3" w14:textId="5A2FDE5B" w:rsidR="007D0704" w:rsidRPr="00633995" w:rsidRDefault="007D0704" w:rsidP="0011538D">
      <w:pPr>
        <w:spacing w:after="0" w:line="240" w:lineRule="auto"/>
        <w:ind w:left="720" w:hanging="720"/>
        <w:jc w:val="both"/>
      </w:pPr>
      <w:r w:rsidRPr="00633995">
        <w:t xml:space="preserve">Ma, S., Y. Shen and C. Fang (2023) Can Data Flow Provisions Facilitate Trade in Goods and Services? </w:t>
      </w:r>
      <w:r w:rsidRPr="00604F53">
        <w:rPr>
          <w:i/>
          <w:iCs/>
        </w:rPr>
        <w:t>Journal of International Trade &amp; Economic Development</w:t>
      </w:r>
      <w:r w:rsidRPr="00633995">
        <w:t>, 33</w:t>
      </w:r>
      <w:r w:rsidR="000F42F7" w:rsidRPr="00633995">
        <w:t>(</w:t>
      </w:r>
      <w:r w:rsidRPr="00633995">
        <w:t>3</w:t>
      </w:r>
      <w:r w:rsidR="000F42F7" w:rsidRPr="00633995">
        <w:t>)</w:t>
      </w:r>
      <w:r w:rsidRPr="00633995">
        <w:t>, 343-68.</w:t>
      </w:r>
    </w:p>
    <w:p w14:paraId="6BB70B22" w14:textId="79723FF7" w:rsidR="007D0704" w:rsidRPr="00633995" w:rsidRDefault="007D0704" w:rsidP="0011538D">
      <w:pPr>
        <w:spacing w:after="0" w:line="240" w:lineRule="auto"/>
        <w:ind w:left="720" w:hanging="720"/>
        <w:jc w:val="both"/>
      </w:pPr>
      <w:bookmarkStart w:id="3" w:name="Ciccone"/>
      <w:r w:rsidRPr="00633995">
        <w:t xml:space="preserve">Rajan, R. and L. Zingales (1998) Financial Dependence and Growth, </w:t>
      </w:r>
      <w:r w:rsidRPr="00604F53">
        <w:rPr>
          <w:i/>
          <w:iCs/>
        </w:rPr>
        <w:t>American Economic Review</w:t>
      </w:r>
      <w:r w:rsidRPr="00633995">
        <w:t>, 88</w:t>
      </w:r>
      <w:r w:rsidR="000F42F7" w:rsidRPr="00633995">
        <w:t>(3)</w:t>
      </w:r>
      <w:r w:rsidRPr="00633995">
        <w:t>, 559-86.</w:t>
      </w:r>
    </w:p>
    <w:p w14:paraId="47796D69" w14:textId="77777777" w:rsidR="0069400B" w:rsidRPr="00633995" w:rsidRDefault="0069400B" w:rsidP="0011538D">
      <w:pPr>
        <w:spacing w:after="0" w:line="240" w:lineRule="auto"/>
        <w:ind w:left="720" w:hanging="720"/>
        <w:jc w:val="both"/>
      </w:pPr>
      <w:r w:rsidRPr="00633995">
        <w:t xml:space="preserve">Reverdy, C. (2023) Estimating the General Equilibrium Effects of Services Trade Liberalization, </w:t>
      </w:r>
      <w:r w:rsidRPr="00604F53">
        <w:rPr>
          <w:i/>
          <w:iCs/>
        </w:rPr>
        <w:t>Review of International Economics</w:t>
      </w:r>
      <w:r w:rsidRPr="00633995">
        <w:t>, 31(2), 493-521.</w:t>
      </w:r>
    </w:p>
    <w:p w14:paraId="6833118F" w14:textId="1B8BC3E2" w:rsidR="007D0704" w:rsidRPr="00633995" w:rsidRDefault="007D0704" w:rsidP="0011538D">
      <w:pPr>
        <w:spacing w:after="0" w:line="240" w:lineRule="auto"/>
        <w:ind w:left="720" w:hanging="720"/>
        <w:jc w:val="both"/>
      </w:pPr>
      <w:r w:rsidRPr="00633995">
        <w:t xml:space="preserve">Saluste, M. (2021) Adequacy Decisions: An Opportunity for Regulatory Cooperation on Data Protection? RESPECT Working Paper, European University Institute. </w:t>
      </w:r>
    </w:p>
    <w:p w14:paraId="0A357EAF" w14:textId="2F0CF10D" w:rsidR="007D0704" w:rsidRPr="00633995" w:rsidRDefault="007D0704" w:rsidP="0011538D">
      <w:pPr>
        <w:spacing w:after="0" w:line="240" w:lineRule="auto"/>
        <w:ind w:left="720" w:hanging="720"/>
        <w:jc w:val="both"/>
      </w:pPr>
      <w:r w:rsidRPr="00633995">
        <w:t>Santos Silva</w:t>
      </w:r>
      <w:r w:rsidR="00680365" w:rsidRPr="00633995">
        <w:t>,</w:t>
      </w:r>
      <w:r w:rsidRPr="00633995">
        <w:t xml:space="preserve"> J. and S. Tenreyro (2006) The Log of Gravity, </w:t>
      </w:r>
      <w:r w:rsidRPr="00604F53">
        <w:rPr>
          <w:i/>
          <w:iCs/>
        </w:rPr>
        <w:t>The Review of Economics and Statistics</w:t>
      </w:r>
      <w:r w:rsidRPr="00633995">
        <w:t>, 88</w:t>
      </w:r>
      <w:r w:rsidR="000F42F7" w:rsidRPr="00633995">
        <w:t>(</w:t>
      </w:r>
      <w:r w:rsidRPr="00633995">
        <w:t>4</w:t>
      </w:r>
      <w:r w:rsidR="000F42F7" w:rsidRPr="00633995">
        <w:t>)</w:t>
      </w:r>
      <w:r w:rsidRPr="00633995">
        <w:t>, 641-58</w:t>
      </w:r>
      <w:r w:rsidR="00F53672">
        <w:t>.</w:t>
      </w:r>
    </w:p>
    <w:p w14:paraId="3A4DAE50" w14:textId="4B7DC7B9" w:rsidR="007D0704" w:rsidRPr="00633995" w:rsidRDefault="007D0704" w:rsidP="0011538D">
      <w:pPr>
        <w:spacing w:after="0" w:line="240" w:lineRule="auto"/>
        <w:ind w:left="720" w:hanging="720"/>
        <w:jc w:val="both"/>
        <w:rPr>
          <w:rFonts w:cs="Arial"/>
          <w:shd w:val="clear" w:color="auto" w:fill="FFFFFF"/>
        </w:rPr>
      </w:pPr>
      <w:r w:rsidRPr="00633995">
        <w:rPr>
          <w:rFonts w:cs="Arial"/>
          <w:shd w:val="clear" w:color="auto" w:fill="FFFFFF"/>
        </w:rPr>
        <w:t xml:space="preserve">Spiezia, V., and J. Tscheke (2020) International Agreements on Cross-border Data Flows and International Trade: A statistical analysis, OECD </w:t>
      </w:r>
      <w:r w:rsidR="00DF79A1">
        <w:rPr>
          <w:rFonts w:cs="Arial"/>
          <w:shd w:val="clear" w:color="auto" w:fill="FFFFFF"/>
        </w:rPr>
        <w:t xml:space="preserve">STI </w:t>
      </w:r>
      <w:r w:rsidRPr="00633995">
        <w:rPr>
          <w:rFonts w:cs="Arial"/>
          <w:shd w:val="clear" w:color="auto" w:fill="FFFFFF"/>
        </w:rPr>
        <w:t xml:space="preserve">Working Paper 2020/09. </w:t>
      </w:r>
    </w:p>
    <w:p w14:paraId="02DE4F9C" w14:textId="77777777" w:rsidR="005F2E44" w:rsidRDefault="007D0704" w:rsidP="005F2E44">
      <w:pPr>
        <w:spacing w:after="0" w:line="240" w:lineRule="auto"/>
        <w:ind w:left="720" w:hanging="720"/>
        <w:jc w:val="both"/>
      </w:pPr>
      <w:r w:rsidRPr="00633995">
        <w:t xml:space="preserve">Sun, R. and D. Trefler (2023) The Impact of AI and Cross-Border Data Regulation on International Trade in Digital Services: A Large Language Model, NBER Working Paper No. 31925. </w:t>
      </w:r>
    </w:p>
    <w:p w14:paraId="0FBE4E8F" w14:textId="4A92F56E" w:rsidR="005F2E44" w:rsidRPr="005F2E44" w:rsidRDefault="005F2E44" w:rsidP="005F2E44">
      <w:pPr>
        <w:spacing w:after="0" w:line="240" w:lineRule="auto"/>
        <w:ind w:left="720" w:hanging="720"/>
        <w:jc w:val="both"/>
      </w:pPr>
      <w:r w:rsidRPr="005F2E44">
        <w:rPr>
          <w:rFonts w:cs="Arial"/>
          <w:color w:val="000000"/>
        </w:rPr>
        <w:t>Wooldridge, J. M. (2023). Simple approaches to nonlinear difference-in-differences with panel data.</w:t>
      </w:r>
      <w:r w:rsidRPr="00E8173C">
        <w:rPr>
          <w:rFonts w:cs="Arial"/>
          <w:i/>
          <w:iCs/>
          <w:color w:val="000000"/>
        </w:rPr>
        <w:t xml:space="preserve"> The Econometrics Journal, </w:t>
      </w:r>
      <w:r w:rsidRPr="005F2E44">
        <w:rPr>
          <w:rFonts w:cs="Arial"/>
          <w:color w:val="000000"/>
        </w:rPr>
        <w:t>26(3), C31-C66.</w:t>
      </w:r>
    </w:p>
    <w:p w14:paraId="24FA17C1" w14:textId="1D424E1B" w:rsidR="00D95DD7" w:rsidRPr="00633995" w:rsidRDefault="00253E2D" w:rsidP="0011538D">
      <w:pPr>
        <w:spacing w:after="0" w:line="240" w:lineRule="auto"/>
        <w:ind w:left="720" w:hanging="720"/>
        <w:jc w:val="both"/>
        <w:rPr>
          <w:rFonts w:cs="Arial"/>
          <w:shd w:val="clear" w:color="auto" w:fill="FFFFFF"/>
        </w:rPr>
      </w:pPr>
      <w:r>
        <w:rPr>
          <w:rFonts w:cs="Arial"/>
          <w:shd w:val="clear" w:color="auto" w:fill="FFFFFF"/>
        </w:rPr>
        <w:t>WTO (</w:t>
      </w:r>
      <w:r w:rsidR="00D95DD7" w:rsidRPr="00633995">
        <w:rPr>
          <w:rFonts w:cs="Arial"/>
          <w:shd w:val="clear" w:color="auto" w:fill="FFFFFF"/>
        </w:rPr>
        <w:t>World Trade Organization) (2023), Global Trade Outlook and Statistics, Geneva: WTO.</w:t>
      </w:r>
    </w:p>
    <w:p w14:paraId="3594A45D" w14:textId="6BECE881" w:rsidR="007D0704" w:rsidRPr="00633995" w:rsidRDefault="007D0704" w:rsidP="0011538D">
      <w:pPr>
        <w:spacing w:after="0" w:line="240" w:lineRule="auto"/>
        <w:ind w:left="720" w:hanging="720"/>
        <w:jc w:val="both"/>
        <w:rPr>
          <w:rFonts w:cs="Arial"/>
          <w:shd w:val="clear" w:color="auto" w:fill="FFFFFF"/>
        </w:rPr>
      </w:pPr>
      <w:r w:rsidRPr="00633995">
        <w:rPr>
          <w:rFonts w:cs="Arial"/>
          <w:shd w:val="clear" w:color="auto" w:fill="FFFFFF"/>
        </w:rPr>
        <w:t xml:space="preserve">Wu, J., Z. Luo and J. Wood (2023) How do Digital Trade Rules affect Global Value Chain Trade in Services? </w:t>
      </w:r>
      <w:r w:rsidR="000F42F7" w:rsidRPr="00604F53">
        <w:rPr>
          <w:rFonts w:cs="Arial"/>
          <w:i/>
          <w:iCs/>
          <w:shd w:val="clear" w:color="auto" w:fill="FFFFFF"/>
        </w:rPr>
        <w:t xml:space="preserve">The </w:t>
      </w:r>
      <w:r w:rsidRPr="00604F53">
        <w:rPr>
          <w:rFonts w:cs="Arial"/>
          <w:i/>
          <w:iCs/>
          <w:shd w:val="clear" w:color="auto" w:fill="FFFFFF"/>
        </w:rPr>
        <w:t>World Economy</w:t>
      </w:r>
      <w:r w:rsidRPr="00633995">
        <w:rPr>
          <w:rFonts w:cs="Arial"/>
          <w:shd w:val="clear" w:color="auto" w:fill="FFFFFF"/>
        </w:rPr>
        <w:t>, 46</w:t>
      </w:r>
      <w:r w:rsidR="000F42F7" w:rsidRPr="00633995">
        <w:rPr>
          <w:rFonts w:cs="Arial"/>
          <w:shd w:val="clear" w:color="auto" w:fill="FFFFFF"/>
        </w:rPr>
        <w:t>(</w:t>
      </w:r>
      <w:r w:rsidRPr="00633995">
        <w:rPr>
          <w:rFonts w:cs="Arial"/>
          <w:shd w:val="clear" w:color="auto" w:fill="FFFFFF"/>
        </w:rPr>
        <w:t>10</w:t>
      </w:r>
      <w:r w:rsidR="000F42F7" w:rsidRPr="00633995">
        <w:rPr>
          <w:rFonts w:cs="Arial"/>
          <w:shd w:val="clear" w:color="auto" w:fill="FFFFFF"/>
        </w:rPr>
        <w:t>)</w:t>
      </w:r>
      <w:r w:rsidRPr="00633995">
        <w:rPr>
          <w:rFonts w:cs="Arial"/>
          <w:shd w:val="clear" w:color="auto" w:fill="FFFFFF"/>
        </w:rPr>
        <w:t>, 3026-47.</w:t>
      </w:r>
    </w:p>
    <w:p w14:paraId="4513E30D" w14:textId="3774CB6A" w:rsidR="00966C3B" w:rsidRDefault="00966C3B" w:rsidP="00966C3B">
      <w:pPr>
        <w:spacing w:after="0" w:line="240" w:lineRule="auto"/>
        <w:ind w:left="720" w:hanging="720"/>
        <w:jc w:val="both"/>
        <w:rPr>
          <w:rFonts w:cs="Arial"/>
          <w:shd w:val="clear" w:color="auto" w:fill="FFFFFF"/>
        </w:rPr>
      </w:pPr>
      <w:r w:rsidRPr="00146EAF">
        <w:rPr>
          <w:rFonts w:cs="Arial"/>
          <w:shd w:val="clear" w:color="auto" w:fill="FFFFFF"/>
        </w:rPr>
        <w:t>Yotov, Y., R. Piermartini, J</w:t>
      </w:r>
      <w:r w:rsidRPr="006E6288">
        <w:rPr>
          <w:rFonts w:cs="Arial"/>
          <w:shd w:val="clear" w:color="auto" w:fill="FFFFFF"/>
        </w:rPr>
        <w:t xml:space="preserve">. </w:t>
      </w:r>
      <w:r w:rsidRPr="00146EAF">
        <w:rPr>
          <w:rFonts w:cs="Arial"/>
          <w:shd w:val="clear" w:color="auto" w:fill="FFFFFF"/>
        </w:rPr>
        <w:t>Monteiro</w:t>
      </w:r>
      <w:r>
        <w:rPr>
          <w:rFonts w:cs="Arial"/>
          <w:shd w:val="clear" w:color="auto" w:fill="FFFFFF"/>
        </w:rPr>
        <w:t xml:space="preserve"> and M. Larch (2016) </w:t>
      </w:r>
      <w:r w:rsidRPr="00604F53">
        <w:rPr>
          <w:rFonts w:cs="Arial"/>
          <w:i/>
          <w:iCs/>
          <w:shd w:val="clear" w:color="auto" w:fill="FFFFFF"/>
        </w:rPr>
        <w:t>An Advanced Guide to Trade Policy Analysis: The Structural Gravity Model</w:t>
      </w:r>
      <w:r>
        <w:rPr>
          <w:rFonts w:cs="Arial"/>
          <w:shd w:val="clear" w:color="auto" w:fill="FFFFFF"/>
        </w:rPr>
        <w:t>, Geneva: WTO.</w:t>
      </w:r>
    </w:p>
    <w:p w14:paraId="546589BD" w14:textId="7D91341C" w:rsidR="00966C3B" w:rsidRPr="00146EAF" w:rsidRDefault="00966C3B" w:rsidP="00D17E95">
      <w:pPr>
        <w:spacing w:after="0" w:line="240" w:lineRule="auto"/>
        <w:ind w:left="720" w:hanging="720"/>
        <w:jc w:val="both"/>
        <w:rPr>
          <w:rFonts w:cs="Arial"/>
          <w:shd w:val="clear" w:color="auto" w:fill="FFFFFF"/>
        </w:rPr>
      </w:pPr>
      <w:r w:rsidRPr="00604F53">
        <w:rPr>
          <w:rFonts w:cs="Arial"/>
          <w:shd w:val="clear" w:color="auto" w:fill="FFFFFF"/>
        </w:rPr>
        <w:t>Yoto</w:t>
      </w:r>
      <w:r w:rsidR="00D9542A">
        <w:rPr>
          <w:rFonts w:cs="Arial"/>
          <w:shd w:val="clear" w:color="auto" w:fill="FFFFFF"/>
        </w:rPr>
        <w:t xml:space="preserve">v, Y. </w:t>
      </w:r>
      <w:r w:rsidRPr="00604F53">
        <w:rPr>
          <w:rFonts w:cs="Arial"/>
          <w:shd w:val="clear" w:color="auto" w:fill="FFFFFF"/>
        </w:rPr>
        <w:t>(2024)</w:t>
      </w:r>
      <w:r w:rsidR="00C3515A">
        <w:rPr>
          <w:rFonts w:cs="Arial"/>
          <w:shd w:val="clear" w:color="auto" w:fill="FFFFFF"/>
        </w:rPr>
        <w:t xml:space="preserve"> </w:t>
      </w:r>
      <w:r w:rsidRPr="00604F53">
        <w:rPr>
          <w:rFonts w:cs="Arial"/>
          <w:shd w:val="clear" w:color="auto" w:fill="FFFFFF"/>
        </w:rPr>
        <w:t xml:space="preserve">The Evolution of Structural Gravity: The Workhorse Model of Trade,” </w:t>
      </w:r>
      <w:r w:rsidRPr="00604F53">
        <w:rPr>
          <w:rFonts w:cs="Arial"/>
          <w:i/>
          <w:iCs/>
          <w:shd w:val="clear" w:color="auto" w:fill="FFFFFF"/>
        </w:rPr>
        <w:t>Contemporary Economic Policy</w:t>
      </w:r>
      <w:r w:rsidRPr="00604F53">
        <w:rPr>
          <w:rFonts w:cs="Arial"/>
          <w:shd w:val="clear" w:color="auto" w:fill="FFFFFF"/>
        </w:rPr>
        <w:t xml:space="preserve"> 42(4), 578-603.</w:t>
      </w:r>
    </w:p>
    <w:bookmarkEnd w:id="3"/>
    <w:p w14:paraId="4CD6FF3D" w14:textId="21543783" w:rsidR="003234F5" w:rsidRPr="00633995" w:rsidRDefault="007D0704" w:rsidP="0011538D">
      <w:pPr>
        <w:spacing w:after="0" w:line="240" w:lineRule="auto"/>
        <w:ind w:left="720" w:hanging="720"/>
        <w:jc w:val="both"/>
      </w:pPr>
      <w:r w:rsidRPr="00633995">
        <w:t xml:space="preserve">Zuboff, </w:t>
      </w:r>
      <w:r w:rsidR="00680365" w:rsidRPr="00633995">
        <w:t xml:space="preserve">S. </w:t>
      </w:r>
      <w:r w:rsidRPr="00633995">
        <w:t>(2019) The Age of Surveillance Capitalism: The Fight for a Human Future at the New Frontier of Power, Public Affairs.</w:t>
      </w:r>
      <w:r w:rsidR="003234F5" w:rsidRPr="00633995">
        <w:br w:type="page"/>
      </w:r>
    </w:p>
    <w:p w14:paraId="13E27BCC" w14:textId="590C5D3F" w:rsidR="0062275D" w:rsidRPr="00633995" w:rsidRDefault="00022B1B" w:rsidP="00604F53">
      <w:pPr>
        <w:jc w:val="center"/>
        <w:rPr>
          <w:b/>
          <w:bCs/>
        </w:rPr>
      </w:pPr>
      <w:r w:rsidRPr="00633995">
        <w:rPr>
          <w:b/>
          <w:bCs/>
        </w:rPr>
        <w:lastRenderedPageBreak/>
        <w:t>Appendix</w:t>
      </w:r>
      <w:r w:rsidR="003B63D7">
        <w:rPr>
          <w:b/>
          <w:bCs/>
        </w:rPr>
        <w:t xml:space="preserve"> A: </w:t>
      </w:r>
      <w:r w:rsidR="000C372A">
        <w:rPr>
          <w:b/>
          <w:bCs/>
        </w:rPr>
        <w:t>Descriptive and additional explanatory tables</w:t>
      </w:r>
    </w:p>
    <w:p w14:paraId="3E17BB5B" w14:textId="77777777" w:rsidR="0043717A" w:rsidRDefault="0043717A" w:rsidP="0011538D">
      <w:pPr>
        <w:jc w:val="both"/>
        <w:rPr>
          <w:b/>
          <w:bCs/>
        </w:rPr>
      </w:pPr>
    </w:p>
    <w:p w14:paraId="0DFA2009" w14:textId="325D3DC7" w:rsidR="0062275D" w:rsidRPr="00633995" w:rsidRDefault="00022B1B" w:rsidP="0011538D">
      <w:pPr>
        <w:jc w:val="both"/>
        <w:rPr>
          <w:b/>
          <w:bCs/>
        </w:rPr>
      </w:pPr>
      <w:r w:rsidRPr="00633995">
        <w:rPr>
          <w:b/>
          <w:bCs/>
        </w:rPr>
        <w:t>Appendix</w:t>
      </w:r>
      <w:r w:rsidR="0062275D" w:rsidRPr="00633995">
        <w:rPr>
          <w:b/>
          <w:bCs/>
        </w:rPr>
        <w:t xml:space="preserve"> Table </w:t>
      </w:r>
      <w:r w:rsidR="00753DC9" w:rsidRPr="00633995">
        <w:rPr>
          <w:b/>
          <w:bCs/>
        </w:rPr>
        <w:t>A</w:t>
      </w:r>
      <w:r w:rsidR="0062275D" w:rsidRPr="00633995">
        <w:rPr>
          <w:b/>
          <w:bCs/>
        </w:rPr>
        <w:t>1: Adequacy decisions, 2000 – 202</w:t>
      </w:r>
      <w:r w:rsidR="00D218E9" w:rsidRPr="00633995">
        <w:rPr>
          <w:b/>
          <w:bCs/>
        </w:rPr>
        <w:t>3</w:t>
      </w:r>
    </w:p>
    <w:tbl>
      <w:tblPr>
        <w:tblW w:w="5000" w:type="pct"/>
        <w:tblLayout w:type="fixed"/>
        <w:tblLook w:val="04A0" w:firstRow="1" w:lastRow="0" w:firstColumn="1" w:lastColumn="0" w:noHBand="0" w:noVBand="1"/>
      </w:tblPr>
      <w:tblGrid>
        <w:gridCol w:w="3921"/>
        <w:gridCol w:w="870"/>
        <w:gridCol w:w="2296"/>
        <w:gridCol w:w="1939"/>
      </w:tblGrid>
      <w:tr w:rsidR="0062275D" w:rsidRPr="00633995" w14:paraId="5403232B" w14:textId="77777777" w:rsidTr="00604F53">
        <w:trPr>
          <w:trHeight w:val="600"/>
        </w:trPr>
        <w:tc>
          <w:tcPr>
            <w:tcW w:w="2172" w:type="pct"/>
            <w:tcBorders>
              <w:top w:val="single" w:sz="4" w:space="0" w:color="auto"/>
              <w:left w:val="nil"/>
              <w:bottom w:val="single" w:sz="4" w:space="0" w:color="auto"/>
              <w:right w:val="nil"/>
            </w:tcBorders>
            <w:shd w:val="clear" w:color="auto" w:fill="auto"/>
            <w:noWrap/>
            <w:vAlign w:val="center"/>
            <w:hideMark/>
          </w:tcPr>
          <w:p w14:paraId="4FABA793" w14:textId="77777777" w:rsidR="0062275D" w:rsidRPr="00633995" w:rsidRDefault="0062275D" w:rsidP="0011538D">
            <w:pPr>
              <w:spacing w:after="0" w:line="240" w:lineRule="auto"/>
              <w:jc w:val="both"/>
              <w:rPr>
                <w:rFonts w:ascii="Aptos Narrow" w:eastAsia="Times New Roman" w:hAnsi="Aptos Narrow" w:cs="Calibri"/>
                <w:b/>
                <w:bCs/>
                <w:color w:val="000000"/>
                <w:sz w:val="20"/>
                <w:szCs w:val="20"/>
                <w:lang w:eastAsia="en-GB"/>
              </w:rPr>
            </w:pPr>
            <w:r w:rsidRPr="00633995">
              <w:rPr>
                <w:rFonts w:ascii="Aptos Narrow" w:eastAsia="Times New Roman" w:hAnsi="Aptos Narrow" w:cs="Calibri"/>
                <w:b/>
                <w:bCs/>
                <w:color w:val="000000"/>
                <w:sz w:val="20"/>
                <w:szCs w:val="20"/>
                <w:lang w:eastAsia="en-GB"/>
              </w:rPr>
              <w:t>Adequacy agreement</w:t>
            </w:r>
          </w:p>
        </w:tc>
        <w:tc>
          <w:tcPr>
            <w:tcW w:w="482" w:type="pct"/>
            <w:tcBorders>
              <w:top w:val="single" w:sz="4" w:space="0" w:color="auto"/>
              <w:left w:val="nil"/>
              <w:bottom w:val="single" w:sz="4" w:space="0" w:color="auto"/>
              <w:right w:val="nil"/>
            </w:tcBorders>
            <w:shd w:val="clear" w:color="auto" w:fill="auto"/>
            <w:noWrap/>
            <w:vAlign w:val="center"/>
            <w:hideMark/>
          </w:tcPr>
          <w:p w14:paraId="074895FC" w14:textId="77777777" w:rsidR="0062275D" w:rsidRPr="00633995" w:rsidRDefault="0062275D" w:rsidP="0011538D">
            <w:pPr>
              <w:spacing w:after="0" w:line="240" w:lineRule="auto"/>
              <w:jc w:val="both"/>
              <w:rPr>
                <w:rFonts w:ascii="Aptos Narrow" w:eastAsia="Times New Roman" w:hAnsi="Aptos Narrow" w:cs="Calibri"/>
                <w:b/>
                <w:bCs/>
                <w:color w:val="000000"/>
                <w:sz w:val="20"/>
                <w:szCs w:val="20"/>
                <w:lang w:eastAsia="en-GB"/>
              </w:rPr>
            </w:pPr>
            <w:r w:rsidRPr="00633995">
              <w:rPr>
                <w:rFonts w:ascii="Aptos Narrow" w:eastAsia="Times New Roman" w:hAnsi="Aptos Narrow" w:cs="Calibri"/>
                <w:b/>
                <w:bCs/>
                <w:color w:val="000000"/>
                <w:sz w:val="20"/>
                <w:szCs w:val="20"/>
                <w:lang w:eastAsia="en-GB"/>
              </w:rPr>
              <w:t>Year</w:t>
            </w:r>
          </w:p>
        </w:tc>
        <w:tc>
          <w:tcPr>
            <w:tcW w:w="1272" w:type="pct"/>
            <w:tcBorders>
              <w:top w:val="single" w:sz="4" w:space="0" w:color="auto"/>
              <w:left w:val="nil"/>
              <w:bottom w:val="single" w:sz="4" w:space="0" w:color="auto"/>
              <w:right w:val="nil"/>
            </w:tcBorders>
            <w:vAlign w:val="center"/>
          </w:tcPr>
          <w:p w14:paraId="06AEA763" w14:textId="39D0078F" w:rsidR="0062275D" w:rsidRPr="00633995" w:rsidRDefault="0062275D" w:rsidP="00604F53">
            <w:pPr>
              <w:spacing w:after="0" w:line="240" w:lineRule="auto"/>
              <w:rPr>
                <w:rFonts w:ascii="Aptos Narrow" w:eastAsia="Times New Roman" w:hAnsi="Aptos Narrow" w:cs="Calibri"/>
                <w:b/>
                <w:bCs/>
                <w:color w:val="000000"/>
                <w:sz w:val="20"/>
                <w:szCs w:val="20"/>
                <w:lang w:eastAsia="en-GB"/>
              </w:rPr>
            </w:pPr>
            <w:r w:rsidRPr="00633995">
              <w:rPr>
                <w:rFonts w:ascii="Aptos Narrow" w:eastAsia="Times New Roman" w:hAnsi="Aptos Narrow" w:cs="Calibri"/>
                <w:b/>
                <w:bCs/>
                <w:color w:val="000000"/>
                <w:sz w:val="20"/>
                <w:szCs w:val="20"/>
                <w:lang w:eastAsia="en-GB"/>
              </w:rPr>
              <w:t>E</w:t>
            </w:r>
            <w:r w:rsidR="00FE37C7">
              <w:rPr>
                <w:rFonts w:ascii="Aptos Narrow" w:eastAsia="Times New Roman" w:hAnsi="Aptos Narrow" w:cs="Calibri"/>
                <w:b/>
                <w:bCs/>
                <w:color w:val="000000"/>
                <w:sz w:val="20"/>
                <w:szCs w:val="20"/>
                <w:lang w:eastAsia="en-GB"/>
              </w:rPr>
              <w:t xml:space="preserve">uropean Economic </w:t>
            </w:r>
            <w:r w:rsidR="00B7719F">
              <w:rPr>
                <w:rFonts w:ascii="Aptos Narrow" w:eastAsia="Times New Roman" w:hAnsi="Aptos Narrow" w:cs="Calibri"/>
                <w:b/>
                <w:bCs/>
                <w:color w:val="000000"/>
                <w:sz w:val="20"/>
                <w:szCs w:val="20"/>
                <w:lang w:eastAsia="en-GB"/>
              </w:rPr>
              <w:t xml:space="preserve">Area </w:t>
            </w:r>
            <w:r w:rsidR="00B7719F" w:rsidRPr="00633995">
              <w:rPr>
                <w:rFonts w:ascii="Aptos Narrow" w:eastAsia="Times New Roman" w:hAnsi="Aptos Narrow" w:cs="Calibri"/>
                <w:b/>
                <w:bCs/>
                <w:color w:val="000000"/>
                <w:sz w:val="20"/>
                <w:szCs w:val="20"/>
                <w:lang w:eastAsia="en-GB"/>
              </w:rPr>
              <w:t>relevance</w:t>
            </w:r>
          </w:p>
        </w:tc>
        <w:tc>
          <w:tcPr>
            <w:tcW w:w="1074" w:type="pct"/>
            <w:tcBorders>
              <w:top w:val="single" w:sz="4" w:space="0" w:color="auto"/>
              <w:left w:val="nil"/>
              <w:bottom w:val="single" w:sz="4" w:space="0" w:color="auto"/>
              <w:right w:val="nil"/>
            </w:tcBorders>
            <w:shd w:val="clear" w:color="auto" w:fill="auto"/>
            <w:noWrap/>
            <w:vAlign w:val="center"/>
            <w:hideMark/>
          </w:tcPr>
          <w:p w14:paraId="75583556" w14:textId="77777777" w:rsidR="0062275D" w:rsidRPr="00633995" w:rsidRDefault="0062275D" w:rsidP="00604F53">
            <w:pPr>
              <w:spacing w:after="0" w:line="240" w:lineRule="auto"/>
              <w:jc w:val="center"/>
              <w:rPr>
                <w:rFonts w:ascii="Aptos Narrow" w:eastAsia="Times New Roman" w:hAnsi="Aptos Narrow" w:cs="Calibri"/>
                <w:b/>
                <w:bCs/>
                <w:color w:val="000000"/>
                <w:sz w:val="20"/>
                <w:szCs w:val="20"/>
                <w:lang w:eastAsia="en-GB"/>
              </w:rPr>
            </w:pPr>
            <w:r w:rsidRPr="00633995">
              <w:rPr>
                <w:rFonts w:ascii="Aptos Narrow" w:eastAsia="Times New Roman" w:hAnsi="Aptos Narrow" w:cs="Calibri"/>
                <w:b/>
                <w:bCs/>
                <w:color w:val="000000"/>
                <w:sz w:val="20"/>
                <w:szCs w:val="20"/>
                <w:lang w:eastAsia="en-GB"/>
              </w:rPr>
              <w:t>Note</w:t>
            </w:r>
          </w:p>
        </w:tc>
      </w:tr>
      <w:tr w:rsidR="0062275D" w:rsidRPr="00633995" w14:paraId="68FBA7DF" w14:textId="77777777" w:rsidTr="00604F53">
        <w:trPr>
          <w:trHeight w:val="300"/>
        </w:trPr>
        <w:tc>
          <w:tcPr>
            <w:tcW w:w="2172" w:type="pct"/>
            <w:tcBorders>
              <w:top w:val="nil"/>
              <w:left w:val="nil"/>
              <w:bottom w:val="nil"/>
              <w:right w:val="nil"/>
            </w:tcBorders>
            <w:shd w:val="clear" w:color="auto" w:fill="auto"/>
            <w:noWrap/>
            <w:vAlign w:val="center"/>
            <w:hideMark/>
          </w:tcPr>
          <w:p w14:paraId="17691D70"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 - Switzerland</w:t>
            </w:r>
          </w:p>
        </w:tc>
        <w:tc>
          <w:tcPr>
            <w:tcW w:w="482" w:type="pct"/>
            <w:tcBorders>
              <w:top w:val="nil"/>
              <w:left w:val="nil"/>
              <w:bottom w:val="nil"/>
              <w:right w:val="nil"/>
            </w:tcBorders>
            <w:shd w:val="clear" w:color="auto" w:fill="auto"/>
            <w:noWrap/>
            <w:vAlign w:val="center"/>
            <w:hideMark/>
          </w:tcPr>
          <w:p w14:paraId="369B0BFC"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2000</w:t>
            </w:r>
          </w:p>
        </w:tc>
        <w:tc>
          <w:tcPr>
            <w:tcW w:w="1272" w:type="pct"/>
            <w:tcBorders>
              <w:top w:val="nil"/>
              <w:left w:val="nil"/>
              <w:bottom w:val="nil"/>
              <w:right w:val="nil"/>
            </w:tcBorders>
            <w:vAlign w:val="center"/>
          </w:tcPr>
          <w:p w14:paraId="75278228"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Yes</w:t>
            </w:r>
          </w:p>
        </w:tc>
        <w:tc>
          <w:tcPr>
            <w:tcW w:w="1074" w:type="pct"/>
            <w:tcBorders>
              <w:top w:val="nil"/>
              <w:left w:val="nil"/>
              <w:bottom w:val="nil"/>
              <w:right w:val="nil"/>
            </w:tcBorders>
            <w:shd w:val="clear" w:color="auto" w:fill="auto"/>
            <w:noWrap/>
            <w:vAlign w:val="center"/>
            <w:hideMark/>
          </w:tcPr>
          <w:p w14:paraId="07B940E8"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 </w:t>
            </w:r>
          </w:p>
        </w:tc>
      </w:tr>
      <w:tr w:rsidR="0062275D" w:rsidRPr="00633995" w14:paraId="1C842371" w14:textId="77777777" w:rsidTr="00604F53">
        <w:trPr>
          <w:trHeight w:val="300"/>
        </w:trPr>
        <w:tc>
          <w:tcPr>
            <w:tcW w:w="2172" w:type="pct"/>
            <w:tcBorders>
              <w:top w:val="nil"/>
              <w:left w:val="nil"/>
              <w:bottom w:val="nil"/>
              <w:right w:val="nil"/>
            </w:tcBorders>
            <w:shd w:val="clear" w:color="auto" w:fill="auto"/>
            <w:noWrap/>
            <w:vAlign w:val="center"/>
            <w:hideMark/>
          </w:tcPr>
          <w:p w14:paraId="1963FA91" w14:textId="579A9D26"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 - United States (S</w:t>
            </w:r>
            <w:r w:rsidR="00E2544A" w:rsidRPr="00633995">
              <w:rPr>
                <w:rFonts w:ascii="Aptos Narrow" w:eastAsia="Times New Roman" w:hAnsi="Aptos Narrow" w:cs="Calibri"/>
                <w:color w:val="000000"/>
                <w:sz w:val="20"/>
                <w:szCs w:val="20"/>
                <w:lang w:eastAsia="en-GB"/>
              </w:rPr>
              <w:t xml:space="preserve">afe </w:t>
            </w:r>
            <w:r w:rsidRPr="00633995">
              <w:rPr>
                <w:rFonts w:ascii="Aptos Narrow" w:eastAsia="Times New Roman" w:hAnsi="Aptos Narrow" w:cs="Calibri"/>
                <w:color w:val="000000"/>
                <w:sz w:val="20"/>
                <w:szCs w:val="20"/>
                <w:lang w:eastAsia="en-GB"/>
              </w:rPr>
              <w:t>H</w:t>
            </w:r>
            <w:r w:rsidR="00E2544A" w:rsidRPr="00633995">
              <w:rPr>
                <w:rFonts w:ascii="Aptos Narrow" w:eastAsia="Times New Roman" w:hAnsi="Aptos Narrow" w:cs="Calibri"/>
                <w:color w:val="000000"/>
                <w:sz w:val="20"/>
                <w:szCs w:val="20"/>
                <w:lang w:eastAsia="en-GB"/>
              </w:rPr>
              <w:t>arbor</w:t>
            </w:r>
            <w:r w:rsidRPr="00633995">
              <w:rPr>
                <w:rFonts w:ascii="Aptos Narrow" w:eastAsia="Times New Roman" w:hAnsi="Aptos Narrow" w:cs="Calibri"/>
                <w:color w:val="000000"/>
                <w:sz w:val="20"/>
                <w:szCs w:val="20"/>
                <w:lang w:eastAsia="en-GB"/>
              </w:rPr>
              <w:t>)</w:t>
            </w:r>
          </w:p>
        </w:tc>
        <w:tc>
          <w:tcPr>
            <w:tcW w:w="482" w:type="pct"/>
            <w:tcBorders>
              <w:top w:val="nil"/>
              <w:left w:val="nil"/>
              <w:bottom w:val="nil"/>
              <w:right w:val="nil"/>
            </w:tcBorders>
            <w:shd w:val="clear" w:color="auto" w:fill="auto"/>
            <w:noWrap/>
            <w:vAlign w:val="center"/>
            <w:hideMark/>
          </w:tcPr>
          <w:p w14:paraId="2B905D60"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2000</w:t>
            </w:r>
          </w:p>
        </w:tc>
        <w:tc>
          <w:tcPr>
            <w:tcW w:w="1272" w:type="pct"/>
            <w:tcBorders>
              <w:top w:val="nil"/>
              <w:left w:val="nil"/>
              <w:bottom w:val="nil"/>
              <w:right w:val="nil"/>
            </w:tcBorders>
            <w:vAlign w:val="center"/>
          </w:tcPr>
          <w:p w14:paraId="5C5AF767"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Yes</w:t>
            </w:r>
          </w:p>
        </w:tc>
        <w:tc>
          <w:tcPr>
            <w:tcW w:w="1074" w:type="pct"/>
            <w:tcBorders>
              <w:top w:val="nil"/>
              <w:left w:val="nil"/>
              <w:bottom w:val="nil"/>
              <w:right w:val="nil"/>
            </w:tcBorders>
            <w:shd w:val="clear" w:color="auto" w:fill="auto"/>
            <w:noWrap/>
            <w:vAlign w:val="center"/>
            <w:hideMark/>
          </w:tcPr>
          <w:p w14:paraId="28D207DB" w14:textId="28C33DBE" w:rsidR="0062275D" w:rsidRPr="00633995" w:rsidRDefault="00FE37C7" w:rsidP="00604F53">
            <w:pPr>
              <w:spacing w:after="0" w:line="240" w:lineRule="auto"/>
              <w:jc w:val="center"/>
              <w:rPr>
                <w:rFonts w:ascii="Aptos Narrow" w:eastAsia="Times New Roman" w:hAnsi="Aptos Narrow" w:cs="Calibri"/>
                <w:color w:val="000000"/>
                <w:sz w:val="20"/>
                <w:szCs w:val="20"/>
                <w:lang w:eastAsia="en-GB"/>
              </w:rPr>
            </w:pPr>
            <w:r>
              <w:rPr>
                <w:rFonts w:ascii="Aptos Narrow" w:eastAsia="Times New Roman" w:hAnsi="Aptos Narrow" w:cs="Calibri"/>
                <w:color w:val="000000"/>
                <w:sz w:val="20"/>
                <w:szCs w:val="20"/>
                <w:lang w:eastAsia="en-GB"/>
              </w:rPr>
              <w:t xml:space="preserve">Through </w:t>
            </w:r>
            <w:r w:rsidR="0062275D" w:rsidRPr="00633995">
              <w:rPr>
                <w:rFonts w:ascii="Aptos Narrow" w:eastAsia="Times New Roman" w:hAnsi="Aptos Narrow" w:cs="Calibri"/>
                <w:color w:val="000000"/>
                <w:sz w:val="20"/>
                <w:szCs w:val="20"/>
                <w:lang w:eastAsia="en-GB"/>
              </w:rPr>
              <w:t>2014 (repealed in 2015)</w:t>
            </w:r>
          </w:p>
        </w:tc>
      </w:tr>
      <w:tr w:rsidR="0062275D" w:rsidRPr="00633995" w14:paraId="2DFBF9FA" w14:textId="77777777" w:rsidTr="00604F53">
        <w:trPr>
          <w:trHeight w:val="300"/>
        </w:trPr>
        <w:tc>
          <w:tcPr>
            <w:tcW w:w="2172" w:type="pct"/>
            <w:tcBorders>
              <w:top w:val="nil"/>
              <w:left w:val="nil"/>
              <w:bottom w:val="nil"/>
              <w:right w:val="nil"/>
            </w:tcBorders>
            <w:shd w:val="clear" w:color="auto" w:fill="auto"/>
            <w:noWrap/>
            <w:vAlign w:val="center"/>
            <w:hideMark/>
          </w:tcPr>
          <w:p w14:paraId="14507973"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 - Canada</w:t>
            </w:r>
          </w:p>
        </w:tc>
        <w:tc>
          <w:tcPr>
            <w:tcW w:w="482" w:type="pct"/>
            <w:tcBorders>
              <w:top w:val="nil"/>
              <w:left w:val="nil"/>
              <w:bottom w:val="nil"/>
              <w:right w:val="nil"/>
            </w:tcBorders>
            <w:shd w:val="clear" w:color="auto" w:fill="auto"/>
            <w:noWrap/>
            <w:vAlign w:val="center"/>
            <w:hideMark/>
          </w:tcPr>
          <w:p w14:paraId="6E4FEA9F"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2002</w:t>
            </w:r>
          </w:p>
        </w:tc>
        <w:tc>
          <w:tcPr>
            <w:tcW w:w="1272" w:type="pct"/>
            <w:tcBorders>
              <w:top w:val="nil"/>
              <w:left w:val="nil"/>
              <w:bottom w:val="nil"/>
              <w:right w:val="nil"/>
            </w:tcBorders>
            <w:vAlign w:val="center"/>
          </w:tcPr>
          <w:p w14:paraId="0AE8B84C"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No</w:t>
            </w:r>
          </w:p>
        </w:tc>
        <w:tc>
          <w:tcPr>
            <w:tcW w:w="1074" w:type="pct"/>
            <w:tcBorders>
              <w:top w:val="nil"/>
              <w:left w:val="nil"/>
              <w:bottom w:val="nil"/>
              <w:right w:val="nil"/>
            </w:tcBorders>
            <w:shd w:val="clear" w:color="auto" w:fill="auto"/>
            <w:noWrap/>
            <w:vAlign w:val="center"/>
            <w:hideMark/>
          </w:tcPr>
          <w:p w14:paraId="1CF2E9B1"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20 Dec 2001</w:t>
            </w:r>
          </w:p>
        </w:tc>
      </w:tr>
      <w:tr w:rsidR="0062275D" w:rsidRPr="00633995" w14:paraId="02663647" w14:textId="77777777" w:rsidTr="00604F53">
        <w:trPr>
          <w:trHeight w:val="300"/>
        </w:trPr>
        <w:tc>
          <w:tcPr>
            <w:tcW w:w="2172" w:type="pct"/>
            <w:tcBorders>
              <w:top w:val="nil"/>
              <w:left w:val="nil"/>
              <w:bottom w:val="nil"/>
              <w:right w:val="nil"/>
            </w:tcBorders>
            <w:shd w:val="clear" w:color="auto" w:fill="auto"/>
            <w:noWrap/>
            <w:vAlign w:val="center"/>
            <w:hideMark/>
          </w:tcPr>
          <w:p w14:paraId="36B1BB05"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 - Argentina</w:t>
            </w:r>
          </w:p>
        </w:tc>
        <w:tc>
          <w:tcPr>
            <w:tcW w:w="482" w:type="pct"/>
            <w:tcBorders>
              <w:top w:val="nil"/>
              <w:left w:val="nil"/>
              <w:bottom w:val="nil"/>
              <w:right w:val="nil"/>
            </w:tcBorders>
            <w:shd w:val="clear" w:color="auto" w:fill="auto"/>
            <w:noWrap/>
            <w:vAlign w:val="center"/>
            <w:hideMark/>
          </w:tcPr>
          <w:p w14:paraId="5B60886E"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2003</w:t>
            </w:r>
          </w:p>
        </w:tc>
        <w:tc>
          <w:tcPr>
            <w:tcW w:w="1272" w:type="pct"/>
            <w:tcBorders>
              <w:top w:val="nil"/>
              <w:left w:val="nil"/>
              <w:bottom w:val="nil"/>
              <w:right w:val="nil"/>
            </w:tcBorders>
            <w:vAlign w:val="center"/>
          </w:tcPr>
          <w:p w14:paraId="215EC718"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Yes</w:t>
            </w:r>
          </w:p>
        </w:tc>
        <w:tc>
          <w:tcPr>
            <w:tcW w:w="1074" w:type="pct"/>
            <w:tcBorders>
              <w:top w:val="nil"/>
              <w:left w:val="nil"/>
              <w:bottom w:val="nil"/>
              <w:right w:val="nil"/>
            </w:tcBorders>
            <w:shd w:val="clear" w:color="auto" w:fill="auto"/>
            <w:noWrap/>
            <w:vAlign w:val="center"/>
            <w:hideMark/>
          </w:tcPr>
          <w:p w14:paraId="4C08A31C"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p>
        </w:tc>
      </w:tr>
      <w:tr w:rsidR="0062275D" w:rsidRPr="00633995" w14:paraId="28D0C11F" w14:textId="77777777" w:rsidTr="00604F53">
        <w:trPr>
          <w:trHeight w:val="300"/>
        </w:trPr>
        <w:tc>
          <w:tcPr>
            <w:tcW w:w="2172" w:type="pct"/>
            <w:tcBorders>
              <w:top w:val="nil"/>
              <w:left w:val="nil"/>
              <w:bottom w:val="nil"/>
              <w:right w:val="nil"/>
            </w:tcBorders>
            <w:shd w:val="clear" w:color="auto" w:fill="auto"/>
            <w:noWrap/>
            <w:vAlign w:val="center"/>
            <w:hideMark/>
          </w:tcPr>
          <w:p w14:paraId="263CF1C0"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 - Guernsey</w:t>
            </w:r>
          </w:p>
        </w:tc>
        <w:tc>
          <w:tcPr>
            <w:tcW w:w="482" w:type="pct"/>
            <w:tcBorders>
              <w:top w:val="nil"/>
              <w:left w:val="nil"/>
              <w:bottom w:val="nil"/>
              <w:right w:val="nil"/>
            </w:tcBorders>
            <w:shd w:val="clear" w:color="auto" w:fill="auto"/>
            <w:noWrap/>
            <w:vAlign w:val="center"/>
            <w:hideMark/>
          </w:tcPr>
          <w:p w14:paraId="0B130FD3"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2003</w:t>
            </w:r>
          </w:p>
        </w:tc>
        <w:tc>
          <w:tcPr>
            <w:tcW w:w="1272" w:type="pct"/>
            <w:tcBorders>
              <w:top w:val="nil"/>
              <w:left w:val="nil"/>
              <w:bottom w:val="nil"/>
              <w:right w:val="nil"/>
            </w:tcBorders>
            <w:vAlign w:val="center"/>
          </w:tcPr>
          <w:p w14:paraId="7552B730"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Yes</w:t>
            </w:r>
          </w:p>
        </w:tc>
        <w:tc>
          <w:tcPr>
            <w:tcW w:w="1074" w:type="pct"/>
            <w:tcBorders>
              <w:top w:val="nil"/>
              <w:left w:val="nil"/>
              <w:bottom w:val="nil"/>
              <w:right w:val="nil"/>
            </w:tcBorders>
            <w:shd w:val="clear" w:color="auto" w:fill="auto"/>
            <w:noWrap/>
            <w:vAlign w:val="center"/>
            <w:hideMark/>
          </w:tcPr>
          <w:p w14:paraId="014AACB8"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p>
        </w:tc>
      </w:tr>
      <w:tr w:rsidR="0062275D" w:rsidRPr="00633995" w14:paraId="34579A61" w14:textId="77777777" w:rsidTr="00604F53">
        <w:trPr>
          <w:trHeight w:val="300"/>
        </w:trPr>
        <w:tc>
          <w:tcPr>
            <w:tcW w:w="2172" w:type="pct"/>
            <w:tcBorders>
              <w:top w:val="nil"/>
              <w:left w:val="nil"/>
              <w:bottom w:val="nil"/>
              <w:right w:val="nil"/>
            </w:tcBorders>
            <w:shd w:val="clear" w:color="auto" w:fill="auto"/>
            <w:noWrap/>
            <w:vAlign w:val="center"/>
            <w:hideMark/>
          </w:tcPr>
          <w:p w14:paraId="6B8D9787"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 - Isle of Man</w:t>
            </w:r>
          </w:p>
        </w:tc>
        <w:tc>
          <w:tcPr>
            <w:tcW w:w="482" w:type="pct"/>
            <w:tcBorders>
              <w:top w:val="nil"/>
              <w:left w:val="nil"/>
              <w:bottom w:val="nil"/>
              <w:right w:val="nil"/>
            </w:tcBorders>
            <w:shd w:val="clear" w:color="auto" w:fill="auto"/>
            <w:noWrap/>
            <w:vAlign w:val="center"/>
            <w:hideMark/>
          </w:tcPr>
          <w:p w14:paraId="31FB1682"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2004</w:t>
            </w:r>
          </w:p>
        </w:tc>
        <w:tc>
          <w:tcPr>
            <w:tcW w:w="1272" w:type="pct"/>
            <w:tcBorders>
              <w:top w:val="nil"/>
              <w:left w:val="nil"/>
              <w:bottom w:val="nil"/>
              <w:right w:val="nil"/>
            </w:tcBorders>
            <w:vAlign w:val="center"/>
          </w:tcPr>
          <w:p w14:paraId="089B5039"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Yes</w:t>
            </w:r>
          </w:p>
        </w:tc>
        <w:tc>
          <w:tcPr>
            <w:tcW w:w="1074" w:type="pct"/>
            <w:tcBorders>
              <w:top w:val="nil"/>
              <w:left w:val="nil"/>
              <w:bottom w:val="nil"/>
              <w:right w:val="nil"/>
            </w:tcBorders>
            <w:shd w:val="clear" w:color="auto" w:fill="auto"/>
            <w:noWrap/>
            <w:vAlign w:val="center"/>
            <w:hideMark/>
          </w:tcPr>
          <w:p w14:paraId="496149C3"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p>
        </w:tc>
      </w:tr>
      <w:tr w:rsidR="0062275D" w:rsidRPr="00633995" w14:paraId="1A7C91CD" w14:textId="77777777" w:rsidTr="00604F53">
        <w:trPr>
          <w:trHeight w:val="300"/>
        </w:trPr>
        <w:tc>
          <w:tcPr>
            <w:tcW w:w="2172" w:type="pct"/>
            <w:tcBorders>
              <w:top w:val="nil"/>
              <w:left w:val="nil"/>
              <w:bottom w:val="nil"/>
              <w:right w:val="nil"/>
            </w:tcBorders>
            <w:shd w:val="clear" w:color="auto" w:fill="auto"/>
            <w:noWrap/>
            <w:vAlign w:val="center"/>
            <w:hideMark/>
          </w:tcPr>
          <w:p w14:paraId="1FCA3B3B"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 - Jersey</w:t>
            </w:r>
          </w:p>
        </w:tc>
        <w:tc>
          <w:tcPr>
            <w:tcW w:w="482" w:type="pct"/>
            <w:tcBorders>
              <w:top w:val="nil"/>
              <w:left w:val="nil"/>
              <w:bottom w:val="nil"/>
              <w:right w:val="nil"/>
            </w:tcBorders>
            <w:shd w:val="clear" w:color="auto" w:fill="auto"/>
            <w:noWrap/>
            <w:vAlign w:val="center"/>
            <w:hideMark/>
          </w:tcPr>
          <w:p w14:paraId="2C4EFE8E"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2008</w:t>
            </w:r>
          </w:p>
        </w:tc>
        <w:tc>
          <w:tcPr>
            <w:tcW w:w="1272" w:type="pct"/>
            <w:tcBorders>
              <w:top w:val="nil"/>
              <w:left w:val="nil"/>
              <w:bottom w:val="nil"/>
              <w:right w:val="nil"/>
            </w:tcBorders>
            <w:vAlign w:val="center"/>
          </w:tcPr>
          <w:p w14:paraId="6D88694C"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Yes</w:t>
            </w:r>
          </w:p>
        </w:tc>
        <w:tc>
          <w:tcPr>
            <w:tcW w:w="1074" w:type="pct"/>
            <w:tcBorders>
              <w:top w:val="nil"/>
              <w:left w:val="nil"/>
              <w:bottom w:val="nil"/>
              <w:right w:val="nil"/>
            </w:tcBorders>
            <w:shd w:val="clear" w:color="auto" w:fill="auto"/>
            <w:noWrap/>
            <w:vAlign w:val="center"/>
            <w:hideMark/>
          </w:tcPr>
          <w:p w14:paraId="253C6F0A"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p>
        </w:tc>
      </w:tr>
      <w:tr w:rsidR="0062275D" w:rsidRPr="00633995" w14:paraId="2B99CA14" w14:textId="77777777" w:rsidTr="00604F53">
        <w:trPr>
          <w:trHeight w:val="300"/>
        </w:trPr>
        <w:tc>
          <w:tcPr>
            <w:tcW w:w="2172" w:type="pct"/>
            <w:tcBorders>
              <w:top w:val="nil"/>
              <w:left w:val="nil"/>
              <w:bottom w:val="nil"/>
              <w:right w:val="nil"/>
            </w:tcBorders>
            <w:shd w:val="clear" w:color="auto" w:fill="auto"/>
            <w:noWrap/>
            <w:vAlign w:val="center"/>
            <w:hideMark/>
          </w:tcPr>
          <w:p w14:paraId="6C26D8F2"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 - Andorra</w:t>
            </w:r>
          </w:p>
        </w:tc>
        <w:tc>
          <w:tcPr>
            <w:tcW w:w="482" w:type="pct"/>
            <w:tcBorders>
              <w:top w:val="nil"/>
              <w:left w:val="nil"/>
              <w:bottom w:val="nil"/>
              <w:right w:val="nil"/>
            </w:tcBorders>
            <w:shd w:val="clear" w:color="auto" w:fill="auto"/>
            <w:noWrap/>
            <w:vAlign w:val="center"/>
            <w:hideMark/>
          </w:tcPr>
          <w:p w14:paraId="295D9B99"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2010</w:t>
            </w:r>
          </w:p>
        </w:tc>
        <w:tc>
          <w:tcPr>
            <w:tcW w:w="1272" w:type="pct"/>
            <w:tcBorders>
              <w:top w:val="nil"/>
              <w:left w:val="nil"/>
              <w:bottom w:val="nil"/>
              <w:right w:val="nil"/>
            </w:tcBorders>
            <w:vAlign w:val="center"/>
          </w:tcPr>
          <w:p w14:paraId="072714C7"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Yes</w:t>
            </w:r>
          </w:p>
        </w:tc>
        <w:tc>
          <w:tcPr>
            <w:tcW w:w="1074" w:type="pct"/>
            <w:tcBorders>
              <w:top w:val="nil"/>
              <w:left w:val="nil"/>
              <w:bottom w:val="nil"/>
              <w:right w:val="nil"/>
            </w:tcBorders>
            <w:shd w:val="clear" w:color="auto" w:fill="auto"/>
            <w:noWrap/>
            <w:vAlign w:val="center"/>
            <w:hideMark/>
          </w:tcPr>
          <w:p w14:paraId="0154C1C1"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p>
        </w:tc>
      </w:tr>
      <w:tr w:rsidR="0062275D" w:rsidRPr="00633995" w14:paraId="001CC808" w14:textId="77777777" w:rsidTr="00604F53">
        <w:trPr>
          <w:trHeight w:val="300"/>
        </w:trPr>
        <w:tc>
          <w:tcPr>
            <w:tcW w:w="2172" w:type="pct"/>
            <w:tcBorders>
              <w:top w:val="nil"/>
              <w:left w:val="nil"/>
              <w:bottom w:val="nil"/>
              <w:right w:val="nil"/>
            </w:tcBorders>
            <w:shd w:val="clear" w:color="auto" w:fill="auto"/>
            <w:noWrap/>
            <w:vAlign w:val="center"/>
            <w:hideMark/>
          </w:tcPr>
          <w:p w14:paraId="45EA2740"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 - Faroe Islands</w:t>
            </w:r>
          </w:p>
        </w:tc>
        <w:tc>
          <w:tcPr>
            <w:tcW w:w="482" w:type="pct"/>
            <w:tcBorders>
              <w:top w:val="nil"/>
              <w:left w:val="nil"/>
              <w:bottom w:val="nil"/>
              <w:right w:val="nil"/>
            </w:tcBorders>
            <w:shd w:val="clear" w:color="auto" w:fill="auto"/>
            <w:noWrap/>
            <w:vAlign w:val="center"/>
            <w:hideMark/>
          </w:tcPr>
          <w:p w14:paraId="42F09A41"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2010</w:t>
            </w:r>
          </w:p>
        </w:tc>
        <w:tc>
          <w:tcPr>
            <w:tcW w:w="1272" w:type="pct"/>
            <w:tcBorders>
              <w:top w:val="nil"/>
              <w:left w:val="nil"/>
              <w:bottom w:val="nil"/>
              <w:right w:val="nil"/>
            </w:tcBorders>
            <w:vAlign w:val="center"/>
          </w:tcPr>
          <w:p w14:paraId="235A833C"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Yes</w:t>
            </w:r>
          </w:p>
        </w:tc>
        <w:tc>
          <w:tcPr>
            <w:tcW w:w="1074" w:type="pct"/>
            <w:tcBorders>
              <w:top w:val="nil"/>
              <w:left w:val="nil"/>
              <w:bottom w:val="nil"/>
              <w:right w:val="nil"/>
            </w:tcBorders>
            <w:shd w:val="clear" w:color="auto" w:fill="auto"/>
            <w:noWrap/>
            <w:vAlign w:val="center"/>
            <w:hideMark/>
          </w:tcPr>
          <w:p w14:paraId="6269638B"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p>
        </w:tc>
      </w:tr>
      <w:tr w:rsidR="0062275D" w:rsidRPr="00633995" w14:paraId="5D829A76" w14:textId="77777777" w:rsidTr="00604F53">
        <w:trPr>
          <w:trHeight w:val="300"/>
        </w:trPr>
        <w:tc>
          <w:tcPr>
            <w:tcW w:w="2172" w:type="pct"/>
            <w:tcBorders>
              <w:top w:val="nil"/>
              <w:left w:val="nil"/>
              <w:bottom w:val="nil"/>
              <w:right w:val="nil"/>
            </w:tcBorders>
            <w:shd w:val="clear" w:color="auto" w:fill="auto"/>
            <w:noWrap/>
            <w:vAlign w:val="center"/>
            <w:hideMark/>
          </w:tcPr>
          <w:p w14:paraId="6B328A09"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 - Israel</w:t>
            </w:r>
          </w:p>
        </w:tc>
        <w:tc>
          <w:tcPr>
            <w:tcW w:w="482" w:type="pct"/>
            <w:tcBorders>
              <w:top w:val="nil"/>
              <w:left w:val="nil"/>
              <w:bottom w:val="nil"/>
              <w:right w:val="nil"/>
            </w:tcBorders>
            <w:shd w:val="clear" w:color="auto" w:fill="auto"/>
            <w:noWrap/>
            <w:vAlign w:val="center"/>
            <w:hideMark/>
          </w:tcPr>
          <w:p w14:paraId="0CE65EC7"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2011</w:t>
            </w:r>
          </w:p>
        </w:tc>
        <w:tc>
          <w:tcPr>
            <w:tcW w:w="1272" w:type="pct"/>
            <w:tcBorders>
              <w:top w:val="nil"/>
              <w:left w:val="nil"/>
              <w:bottom w:val="nil"/>
              <w:right w:val="nil"/>
            </w:tcBorders>
            <w:vAlign w:val="center"/>
          </w:tcPr>
          <w:p w14:paraId="7CCEC28B"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Yes</w:t>
            </w:r>
          </w:p>
        </w:tc>
        <w:tc>
          <w:tcPr>
            <w:tcW w:w="1074" w:type="pct"/>
            <w:tcBorders>
              <w:top w:val="nil"/>
              <w:left w:val="nil"/>
              <w:bottom w:val="nil"/>
              <w:right w:val="nil"/>
            </w:tcBorders>
            <w:shd w:val="clear" w:color="auto" w:fill="auto"/>
            <w:noWrap/>
            <w:vAlign w:val="center"/>
            <w:hideMark/>
          </w:tcPr>
          <w:p w14:paraId="230A4EED"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p>
        </w:tc>
      </w:tr>
      <w:tr w:rsidR="0062275D" w:rsidRPr="00633995" w14:paraId="6F1657E4" w14:textId="77777777" w:rsidTr="00604F53">
        <w:trPr>
          <w:trHeight w:val="300"/>
        </w:trPr>
        <w:tc>
          <w:tcPr>
            <w:tcW w:w="2172" w:type="pct"/>
            <w:tcBorders>
              <w:top w:val="nil"/>
              <w:left w:val="nil"/>
              <w:bottom w:val="nil"/>
              <w:right w:val="nil"/>
            </w:tcBorders>
            <w:shd w:val="clear" w:color="auto" w:fill="auto"/>
            <w:noWrap/>
            <w:vAlign w:val="center"/>
            <w:hideMark/>
          </w:tcPr>
          <w:p w14:paraId="766C7BD4"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 - Uruguay</w:t>
            </w:r>
          </w:p>
        </w:tc>
        <w:tc>
          <w:tcPr>
            <w:tcW w:w="482" w:type="pct"/>
            <w:tcBorders>
              <w:top w:val="nil"/>
              <w:left w:val="nil"/>
              <w:bottom w:val="nil"/>
              <w:right w:val="nil"/>
            </w:tcBorders>
            <w:shd w:val="clear" w:color="auto" w:fill="auto"/>
            <w:noWrap/>
            <w:vAlign w:val="center"/>
            <w:hideMark/>
          </w:tcPr>
          <w:p w14:paraId="3AD7617D"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2012</w:t>
            </w:r>
          </w:p>
        </w:tc>
        <w:tc>
          <w:tcPr>
            <w:tcW w:w="1272" w:type="pct"/>
            <w:tcBorders>
              <w:top w:val="nil"/>
              <w:left w:val="nil"/>
              <w:bottom w:val="nil"/>
              <w:right w:val="nil"/>
            </w:tcBorders>
            <w:vAlign w:val="center"/>
          </w:tcPr>
          <w:p w14:paraId="73C3BA6B"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Yes</w:t>
            </w:r>
          </w:p>
        </w:tc>
        <w:tc>
          <w:tcPr>
            <w:tcW w:w="1074" w:type="pct"/>
            <w:tcBorders>
              <w:top w:val="nil"/>
              <w:left w:val="nil"/>
              <w:bottom w:val="nil"/>
              <w:right w:val="nil"/>
            </w:tcBorders>
            <w:shd w:val="clear" w:color="auto" w:fill="auto"/>
            <w:noWrap/>
            <w:vAlign w:val="center"/>
            <w:hideMark/>
          </w:tcPr>
          <w:p w14:paraId="36D39C0C"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p>
        </w:tc>
      </w:tr>
      <w:tr w:rsidR="0062275D" w:rsidRPr="00633995" w14:paraId="7001FF83" w14:textId="77777777" w:rsidTr="00604F53">
        <w:trPr>
          <w:trHeight w:val="300"/>
        </w:trPr>
        <w:tc>
          <w:tcPr>
            <w:tcW w:w="2172" w:type="pct"/>
            <w:tcBorders>
              <w:top w:val="nil"/>
              <w:left w:val="nil"/>
              <w:bottom w:val="nil"/>
              <w:right w:val="nil"/>
            </w:tcBorders>
            <w:shd w:val="clear" w:color="auto" w:fill="auto"/>
            <w:noWrap/>
            <w:vAlign w:val="center"/>
            <w:hideMark/>
          </w:tcPr>
          <w:p w14:paraId="4736B65F"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 - New Zealand</w:t>
            </w:r>
          </w:p>
        </w:tc>
        <w:tc>
          <w:tcPr>
            <w:tcW w:w="482" w:type="pct"/>
            <w:tcBorders>
              <w:top w:val="nil"/>
              <w:left w:val="nil"/>
              <w:bottom w:val="nil"/>
              <w:right w:val="nil"/>
            </w:tcBorders>
            <w:shd w:val="clear" w:color="auto" w:fill="auto"/>
            <w:noWrap/>
            <w:vAlign w:val="center"/>
            <w:hideMark/>
          </w:tcPr>
          <w:p w14:paraId="18FF2DC2"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2013</w:t>
            </w:r>
          </w:p>
        </w:tc>
        <w:tc>
          <w:tcPr>
            <w:tcW w:w="1272" w:type="pct"/>
            <w:tcBorders>
              <w:top w:val="nil"/>
              <w:left w:val="nil"/>
              <w:bottom w:val="nil"/>
              <w:right w:val="nil"/>
            </w:tcBorders>
            <w:vAlign w:val="center"/>
          </w:tcPr>
          <w:p w14:paraId="108B3DC0"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Yes</w:t>
            </w:r>
          </w:p>
        </w:tc>
        <w:tc>
          <w:tcPr>
            <w:tcW w:w="1074" w:type="pct"/>
            <w:tcBorders>
              <w:top w:val="nil"/>
              <w:left w:val="nil"/>
              <w:bottom w:val="nil"/>
              <w:right w:val="nil"/>
            </w:tcBorders>
            <w:shd w:val="clear" w:color="auto" w:fill="auto"/>
            <w:noWrap/>
            <w:vAlign w:val="center"/>
            <w:hideMark/>
          </w:tcPr>
          <w:p w14:paraId="48CCB329"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19 Dec 2012</w:t>
            </w:r>
          </w:p>
        </w:tc>
      </w:tr>
      <w:tr w:rsidR="0062275D" w:rsidRPr="00633995" w14:paraId="3763B2C3" w14:textId="77777777" w:rsidTr="00604F53">
        <w:trPr>
          <w:trHeight w:val="300"/>
        </w:trPr>
        <w:tc>
          <w:tcPr>
            <w:tcW w:w="2172" w:type="pct"/>
            <w:tcBorders>
              <w:top w:val="nil"/>
              <w:left w:val="nil"/>
              <w:bottom w:val="nil"/>
              <w:right w:val="nil"/>
            </w:tcBorders>
            <w:shd w:val="clear" w:color="auto" w:fill="auto"/>
            <w:noWrap/>
            <w:vAlign w:val="center"/>
            <w:hideMark/>
          </w:tcPr>
          <w:p w14:paraId="17B439B5" w14:textId="7C5EFD0E"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 - United States (P</w:t>
            </w:r>
            <w:r w:rsidR="00E2544A" w:rsidRPr="00633995">
              <w:rPr>
                <w:rFonts w:ascii="Aptos Narrow" w:eastAsia="Times New Roman" w:hAnsi="Aptos Narrow" w:cs="Calibri"/>
                <w:color w:val="000000"/>
                <w:sz w:val="20"/>
                <w:szCs w:val="20"/>
                <w:lang w:eastAsia="en-GB"/>
              </w:rPr>
              <w:t xml:space="preserve">rivacy </w:t>
            </w:r>
            <w:r w:rsidRPr="00633995">
              <w:rPr>
                <w:rFonts w:ascii="Aptos Narrow" w:eastAsia="Times New Roman" w:hAnsi="Aptos Narrow" w:cs="Calibri"/>
                <w:color w:val="000000"/>
                <w:sz w:val="20"/>
                <w:szCs w:val="20"/>
                <w:lang w:eastAsia="en-GB"/>
              </w:rPr>
              <w:t>S</w:t>
            </w:r>
            <w:r w:rsidR="00E2544A" w:rsidRPr="00633995">
              <w:rPr>
                <w:rFonts w:ascii="Aptos Narrow" w:eastAsia="Times New Roman" w:hAnsi="Aptos Narrow" w:cs="Calibri"/>
                <w:color w:val="000000"/>
                <w:sz w:val="20"/>
                <w:szCs w:val="20"/>
                <w:lang w:eastAsia="en-GB"/>
              </w:rPr>
              <w:t>hield</w:t>
            </w:r>
            <w:r w:rsidRPr="00633995">
              <w:rPr>
                <w:rFonts w:ascii="Aptos Narrow" w:eastAsia="Times New Roman" w:hAnsi="Aptos Narrow" w:cs="Calibri"/>
                <w:color w:val="000000"/>
                <w:sz w:val="20"/>
                <w:szCs w:val="20"/>
                <w:lang w:eastAsia="en-GB"/>
              </w:rPr>
              <w:t>)</w:t>
            </w:r>
          </w:p>
        </w:tc>
        <w:tc>
          <w:tcPr>
            <w:tcW w:w="482" w:type="pct"/>
            <w:tcBorders>
              <w:top w:val="nil"/>
              <w:left w:val="nil"/>
              <w:bottom w:val="nil"/>
              <w:right w:val="nil"/>
            </w:tcBorders>
            <w:shd w:val="clear" w:color="auto" w:fill="auto"/>
            <w:noWrap/>
            <w:vAlign w:val="center"/>
            <w:hideMark/>
          </w:tcPr>
          <w:p w14:paraId="781684A1"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2016</w:t>
            </w:r>
          </w:p>
        </w:tc>
        <w:tc>
          <w:tcPr>
            <w:tcW w:w="1272" w:type="pct"/>
            <w:tcBorders>
              <w:top w:val="nil"/>
              <w:left w:val="nil"/>
              <w:bottom w:val="nil"/>
              <w:right w:val="nil"/>
            </w:tcBorders>
            <w:vAlign w:val="center"/>
          </w:tcPr>
          <w:p w14:paraId="12EB1751" w14:textId="77777777"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Yes</w:t>
            </w:r>
          </w:p>
        </w:tc>
        <w:tc>
          <w:tcPr>
            <w:tcW w:w="1074" w:type="pct"/>
            <w:tcBorders>
              <w:top w:val="nil"/>
              <w:left w:val="nil"/>
              <w:bottom w:val="nil"/>
              <w:right w:val="nil"/>
            </w:tcBorders>
            <w:shd w:val="clear" w:color="auto" w:fill="auto"/>
            <w:noWrap/>
            <w:vAlign w:val="center"/>
            <w:hideMark/>
          </w:tcPr>
          <w:p w14:paraId="5FEA3798" w14:textId="652465FB" w:rsidR="0062275D" w:rsidRPr="00633995" w:rsidRDefault="00FE37C7" w:rsidP="00604F53">
            <w:pPr>
              <w:spacing w:after="0" w:line="240" w:lineRule="auto"/>
              <w:jc w:val="center"/>
              <w:rPr>
                <w:rFonts w:ascii="Aptos Narrow" w:eastAsia="Times New Roman" w:hAnsi="Aptos Narrow" w:cs="Calibri"/>
                <w:color w:val="000000"/>
                <w:sz w:val="20"/>
                <w:szCs w:val="20"/>
                <w:lang w:eastAsia="en-GB"/>
              </w:rPr>
            </w:pPr>
            <w:r>
              <w:rPr>
                <w:rFonts w:ascii="Aptos Narrow" w:eastAsia="Times New Roman" w:hAnsi="Aptos Narrow" w:cs="Calibri"/>
                <w:color w:val="000000"/>
                <w:sz w:val="20"/>
                <w:szCs w:val="20"/>
                <w:lang w:eastAsia="en-GB"/>
              </w:rPr>
              <w:t xml:space="preserve">Through </w:t>
            </w:r>
            <w:r w:rsidR="0062275D" w:rsidRPr="00633995">
              <w:rPr>
                <w:rFonts w:ascii="Aptos Narrow" w:eastAsia="Times New Roman" w:hAnsi="Aptos Narrow" w:cs="Calibri"/>
                <w:color w:val="000000"/>
                <w:sz w:val="20"/>
                <w:szCs w:val="20"/>
                <w:lang w:eastAsia="en-GB"/>
              </w:rPr>
              <w:t>2019 (repealed in 2020)</w:t>
            </w:r>
          </w:p>
        </w:tc>
      </w:tr>
      <w:tr w:rsidR="0062275D" w:rsidRPr="00633995" w14:paraId="7A1B68A9" w14:textId="77777777" w:rsidTr="00604F53">
        <w:trPr>
          <w:trHeight w:val="300"/>
        </w:trPr>
        <w:tc>
          <w:tcPr>
            <w:tcW w:w="2172" w:type="pct"/>
            <w:tcBorders>
              <w:top w:val="nil"/>
              <w:left w:val="nil"/>
              <w:bottom w:val="nil"/>
              <w:right w:val="nil"/>
            </w:tcBorders>
            <w:shd w:val="clear" w:color="auto" w:fill="auto"/>
            <w:noWrap/>
            <w:vAlign w:val="center"/>
            <w:hideMark/>
          </w:tcPr>
          <w:p w14:paraId="38B9A441"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 - Japan</w:t>
            </w:r>
          </w:p>
        </w:tc>
        <w:tc>
          <w:tcPr>
            <w:tcW w:w="482" w:type="pct"/>
            <w:tcBorders>
              <w:top w:val="nil"/>
              <w:left w:val="nil"/>
              <w:bottom w:val="nil"/>
              <w:right w:val="nil"/>
            </w:tcBorders>
            <w:shd w:val="clear" w:color="auto" w:fill="auto"/>
            <w:noWrap/>
            <w:vAlign w:val="center"/>
            <w:hideMark/>
          </w:tcPr>
          <w:p w14:paraId="44DF1B1E"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2019</w:t>
            </w:r>
          </w:p>
        </w:tc>
        <w:tc>
          <w:tcPr>
            <w:tcW w:w="1272" w:type="pct"/>
            <w:tcBorders>
              <w:top w:val="nil"/>
              <w:left w:val="nil"/>
              <w:bottom w:val="nil"/>
              <w:right w:val="nil"/>
            </w:tcBorders>
            <w:vAlign w:val="center"/>
          </w:tcPr>
          <w:p w14:paraId="3E202F02" w14:textId="09B5F557" w:rsidR="0062275D" w:rsidRPr="00633995" w:rsidRDefault="008E7AF7" w:rsidP="00604F53">
            <w:pPr>
              <w:spacing w:after="0" w:line="240" w:lineRule="auto"/>
              <w:jc w:val="center"/>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Yes</w:t>
            </w:r>
          </w:p>
        </w:tc>
        <w:tc>
          <w:tcPr>
            <w:tcW w:w="1074" w:type="pct"/>
            <w:tcBorders>
              <w:top w:val="nil"/>
              <w:left w:val="nil"/>
              <w:bottom w:val="nil"/>
              <w:right w:val="nil"/>
            </w:tcBorders>
            <w:shd w:val="clear" w:color="auto" w:fill="auto"/>
            <w:noWrap/>
            <w:vAlign w:val="center"/>
            <w:hideMark/>
          </w:tcPr>
          <w:p w14:paraId="73B822C9" w14:textId="6588FF1D" w:rsidR="0062275D" w:rsidRPr="00633995" w:rsidRDefault="0062275D" w:rsidP="00604F53">
            <w:pPr>
              <w:spacing w:after="0" w:line="240" w:lineRule="auto"/>
              <w:jc w:val="center"/>
              <w:rPr>
                <w:rFonts w:ascii="Aptos Narrow" w:eastAsia="Times New Roman" w:hAnsi="Aptos Narrow" w:cs="Calibri"/>
                <w:color w:val="000000"/>
                <w:sz w:val="20"/>
                <w:szCs w:val="20"/>
                <w:lang w:eastAsia="en-GB"/>
              </w:rPr>
            </w:pPr>
          </w:p>
        </w:tc>
      </w:tr>
      <w:tr w:rsidR="0062275D" w:rsidRPr="00633995" w14:paraId="03D54765" w14:textId="77777777" w:rsidTr="00604F53">
        <w:trPr>
          <w:trHeight w:val="300"/>
        </w:trPr>
        <w:tc>
          <w:tcPr>
            <w:tcW w:w="2172" w:type="pct"/>
            <w:tcBorders>
              <w:top w:val="nil"/>
              <w:left w:val="nil"/>
              <w:bottom w:val="nil"/>
              <w:right w:val="nil"/>
            </w:tcBorders>
            <w:shd w:val="clear" w:color="auto" w:fill="auto"/>
            <w:noWrap/>
            <w:vAlign w:val="center"/>
          </w:tcPr>
          <w:p w14:paraId="088B0E1D"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 - UK</w:t>
            </w:r>
          </w:p>
        </w:tc>
        <w:tc>
          <w:tcPr>
            <w:tcW w:w="482" w:type="pct"/>
            <w:tcBorders>
              <w:top w:val="nil"/>
              <w:left w:val="nil"/>
              <w:bottom w:val="nil"/>
              <w:right w:val="nil"/>
            </w:tcBorders>
            <w:shd w:val="clear" w:color="auto" w:fill="auto"/>
            <w:noWrap/>
            <w:vAlign w:val="center"/>
          </w:tcPr>
          <w:p w14:paraId="59A9259B"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2021</w:t>
            </w:r>
          </w:p>
        </w:tc>
        <w:tc>
          <w:tcPr>
            <w:tcW w:w="1272" w:type="pct"/>
            <w:tcBorders>
              <w:top w:val="nil"/>
              <w:left w:val="nil"/>
              <w:bottom w:val="nil"/>
              <w:right w:val="nil"/>
            </w:tcBorders>
            <w:vAlign w:val="center"/>
          </w:tcPr>
          <w:p w14:paraId="4914988E" w14:textId="2491CC9F" w:rsidR="0062275D" w:rsidRPr="00633995" w:rsidRDefault="008E7AF7" w:rsidP="00604F53">
            <w:pPr>
              <w:spacing w:after="0" w:line="240" w:lineRule="auto"/>
              <w:jc w:val="center"/>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Yes</w:t>
            </w:r>
          </w:p>
        </w:tc>
        <w:tc>
          <w:tcPr>
            <w:tcW w:w="1074" w:type="pct"/>
            <w:tcBorders>
              <w:top w:val="nil"/>
              <w:left w:val="nil"/>
              <w:bottom w:val="nil"/>
              <w:right w:val="nil"/>
            </w:tcBorders>
            <w:shd w:val="clear" w:color="auto" w:fill="auto"/>
            <w:noWrap/>
            <w:vAlign w:val="center"/>
          </w:tcPr>
          <w:p w14:paraId="362D52FB"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p>
        </w:tc>
      </w:tr>
      <w:tr w:rsidR="0062275D" w:rsidRPr="00633995" w14:paraId="4791C69B" w14:textId="77777777" w:rsidTr="00604F53">
        <w:trPr>
          <w:trHeight w:val="300"/>
        </w:trPr>
        <w:tc>
          <w:tcPr>
            <w:tcW w:w="2172" w:type="pct"/>
            <w:tcBorders>
              <w:top w:val="nil"/>
              <w:left w:val="nil"/>
              <w:bottom w:val="nil"/>
              <w:right w:val="nil"/>
            </w:tcBorders>
            <w:shd w:val="clear" w:color="auto" w:fill="auto"/>
            <w:noWrap/>
            <w:vAlign w:val="center"/>
          </w:tcPr>
          <w:p w14:paraId="2820A9DC"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 - South Korea</w:t>
            </w:r>
          </w:p>
        </w:tc>
        <w:tc>
          <w:tcPr>
            <w:tcW w:w="482" w:type="pct"/>
            <w:tcBorders>
              <w:top w:val="nil"/>
              <w:left w:val="nil"/>
              <w:bottom w:val="nil"/>
              <w:right w:val="nil"/>
            </w:tcBorders>
            <w:shd w:val="clear" w:color="auto" w:fill="auto"/>
            <w:noWrap/>
            <w:vAlign w:val="center"/>
          </w:tcPr>
          <w:p w14:paraId="0821314B"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2021</w:t>
            </w:r>
          </w:p>
        </w:tc>
        <w:tc>
          <w:tcPr>
            <w:tcW w:w="1272" w:type="pct"/>
            <w:tcBorders>
              <w:top w:val="nil"/>
              <w:left w:val="nil"/>
              <w:bottom w:val="nil"/>
              <w:right w:val="nil"/>
            </w:tcBorders>
            <w:vAlign w:val="center"/>
          </w:tcPr>
          <w:p w14:paraId="7C6CD1F3" w14:textId="0863A437" w:rsidR="0062275D" w:rsidRPr="00633995" w:rsidRDefault="008E7AF7" w:rsidP="00604F53">
            <w:pPr>
              <w:spacing w:after="0" w:line="240" w:lineRule="auto"/>
              <w:jc w:val="center"/>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Yes</w:t>
            </w:r>
          </w:p>
        </w:tc>
        <w:tc>
          <w:tcPr>
            <w:tcW w:w="1074" w:type="pct"/>
            <w:tcBorders>
              <w:top w:val="nil"/>
              <w:left w:val="nil"/>
              <w:bottom w:val="nil"/>
              <w:right w:val="nil"/>
            </w:tcBorders>
            <w:shd w:val="clear" w:color="auto" w:fill="auto"/>
            <w:noWrap/>
            <w:vAlign w:val="center"/>
          </w:tcPr>
          <w:p w14:paraId="75BF50F5" w14:textId="77777777" w:rsidR="0062275D" w:rsidRPr="00633995" w:rsidRDefault="0062275D" w:rsidP="0011538D">
            <w:pPr>
              <w:spacing w:after="0" w:line="240" w:lineRule="auto"/>
              <w:jc w:val="both"/>
              <w:rPr>
                <w:rFonts w:ascii="Aptos Narrow" w:eastAsia="Times New Roman" w:hAnsi="Aptos Narrow" w:cs="Calibri"/>
                <w:color w:val="000000"/>
                <w:sz w:val="20"/>
                <w:szCs w:val="20"/>
                <w:lang w:eastAsia="en-GB"/>
              </w:rPr>
            </w:pPr>
          </w:p>
        </w:tc>
      </w:tr>
      <w:tr w:rsidR="00E2544A" w:rsidRPr="00633995" w14:paraId="7E500030" w14:textId="77777777" w:rsidTr="00604F53">
        <w:trPr>
          <w:trHeight w:val="300"/>
        </w:trPr>
        <w:tc>
          <w:tcPr>
            <w:tcW w:w="2172" w:type="pct"/>
            <w:tcBorders>
              <w:top w:val="nil"/>
              <w:left w:val="nil"/>
              <w:bottom w:val="single" w:sz="4" w:space="0" w:color="auto"/>
              <w:right w:val="nil"/>
            </w:tcBorders>
            <w:shd w:val="clear" w:color="auto" w:fill="auto"/>
            <w:noWrap/>
            <w:vAlign w:val="center"/>
          </w:tcPr>
          <w:p w14:paraId="47B9B1C2" w14:textId="5B50EF53" w:rsidR="00E2544A" w:rsidRPr="00633995" w:rsidRDefault="00E2544A"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 – United States (</w:t>
            </w:r>
            <w:r w:rsidR="00D218E9" w:rsidRPr="00513BF1">
              <w:rPr>
                <w:sz w:val="20"/>
                <w:szCs w:val="20"/>
              </w:rPr>
              <w:t>Data Privacy Framework)</w:t>
            </w:r>
          </w:p>
        </w:tc>
        <w:tc>
          <w:tcPr>
            <w:tcW w:w="482" w:type="pct"/>
            <w:tcBorders>
              <w:top w:val="nil"/>
              <w:left w:val="nil"/>
              <w:bottom w:val="single" w:sz="4" w:space="0" w:color="auto"/>
              <w:right w:val="nil"/>
            </w:tcBorders>
            <w:shd w:val="clear" w:color="auto" w:fill="auto"/>
            <w:noWrap/>
            <w:vAlign w:val="center"/>
          </w:tcPr>
          <w:p w14:paraId="39E54468" w14:textId="4432C83D" w:rsidR="00E2544A" w:rsidRPr="00633995" w:rsidRDefault="00E2544A"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202</w:t>
            </w:r>
            <w:r w:rsidR="00D218E9" w:rsidRPr="00633995">
              <w:rPr>
                <w:rFonts w:ascii="Aptos Narrow" w:eastAsia="Times New Roman" w:hAnsi="Aptos Narrow" w:cs="Calibri"/>
                <w:color w:val="000000"/>
                <w:sz w:val="20"/>
                <w:szCs w:val="20"/>
                <w:lang w:eastAsia="en-GB"/>
              </w:rPr>
              <w:t>3</w:t>
            </w:r>
          </w:p>
        </w:tc>
        <w:tc>
          <w:tcPr>
            <w:tcW w:w="1272" w:type="pct"/>
            <w:tcBorders>
              <w:top w:val="nil"/>
              <w:left w:val="nil"/>
              <w:bottom w:val="single" w:sz="4" w:space="0" w:color="auto"/>
              <w:right w:val="nil"/>
            </w:tcBorders>
            <w:vAlign w:val="center"/>
          </w:tcPr>
          <w:p w14:paraId="2B7E16F5" w14:textId="3823A7CE" w:rsidR="00E2544A" w:rsidRPr="00633995" w:rsidRDefault="00E2544A" w:rsidP="00604F53">
            <w:pPr>
              <w:spacing w:after="0" w:line="240" w:lineRule="auto"/>
              <w:jc w:val="center"/>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Yes</w:t>
            </w:r>
          </w:p>
        </w:tc>
        <w:tc>
          <w:tcPr>
            <w:tcW w:w="1074" w:type="pct"/>
            <w:tcBorders>
              <w:top w:val="nil"/>
              <w:left w:val="nil"/>
              <w:bottom w:val="single" w:sz="4" w:space="0" w:color="auto"/>
              <w:right w:val="nil"/>
            </w:tcBorders>
            <w:shd w:val="clear" w:color="auto" w:fill="auto"/>
            <w:noWrap/>
            <w:vAlign w:val="center"/>
          </w:tcPr>
          <w:p w14:paraId="1F43924B" w14:textId="77777777" w:rsidR="00E2544A" w:rsidRPr="00633995" w:rsidRDefault="00E2544A" w:rsidP="0011538D">
            <w:pPr>
              <w:spacing w:after="0" w:line="240" w:lineRule="auto"/>
              <w:jc w:val="both"/>
              <w:rPr>
                <w:rFonts w:ascii="Aptos Narrow" w:eastAsia="Times New Roman" w:hAnsi="Aptos Narrow" w:cs="Calibri"/>
                <w:color w:val="000000"/>
                <w:sz w:val="20"/>
                <w:szCs w:val="20"/>
                <w:lang w:eastAsia="en-GB"/>
              </w:rPr>
            </w:pPr>
          </w:p>
        </w:tc>
      </w:tr>
    </w:tbl>
    <w:p w14:paraId="3E7D0F09" w14:textId="77777777" w:rsidR="0062275D" w:rsidRDefault="0062275D" w:rsidP="0011538D">
      <w:pPr>
        <w:jc w:val="both"/>
      </w:pPr>
    </w:p>
    <w:p w14:paraId="431B303D" w14:textId="77777777" w:rsidR="00525EBC" w:rsidRDefault="00525EBC" w:rsidP="0011538D">
      <w:pPr>
        <w:jc w:val="both"/>
      </w:pPr>
    </w:p>
    <w:p w14:paraId="4524A43C" w14:textId="77777777" w:rsidR="00525EBC" w:rsidRPr="00633995" w:rsidRDefault="00525EBC" w:rsidP="0011538D">
      <w:pPr>
        <w:jc w:val="both"/>
      </w:pPr>
    </w:p>
    <w:p w14:paraId="0397ACBB" w14:textId="77777777" w:rsidR="00525EBC" w:rsidRPr="00633995" w:rsidRDefault="00525EBC" w:rsidP="00525EBC">
      <w:pPr>
        <w:spacing w:line="240" w:lineRule="auto"/>
        <w:jc w:val="both"/>
        <w:rPr>
          <w:b/>
          <w:bCs/>
        </w:rPr>
      </w:pPr>
      <w:bookmarkStart w:id="4" w:name="_Hlk194221350"/>
      <w:r w:rsidRPr="00633995">
        <w:rPr>
          <w:b/>
          <w:bCs/>
        </w:rPr>
        <w:t>Appendix Table A</w:t>
      </w:r>
      <w:r>
        <w:rPr>
          <w:b/>
          <w:bCs/>
        </w:rPr>
        <w:t>2</w:t>
      </w:r>
      <w:r w:rsidRPr="00633995">
        <w:rPr>
          <w:b/>
          <w:bCs/>
        </w:rPr>
        <w:t>: Share firms by sector and number of mentions of ICT goods notified under the EU-US Date Privacy Framework</w:t>
      </w:r>
    </w:p>
    <w:tbl>
      <w:tblPr>
        <w:tblW w:w="0" w:type="auto"/>
        <w:tblCellMar>
          <w:left w:w="70" w:type="dxa"/>
          <w:right w:w="70" w:type="dxa"/>
        </w:tblCellMar>
        <w:tblLook w:val="04A0" w:firstRow="1" w:lastRow="0" w:firstColumn="1" w:lastColumn="0" w:noHBand="0" w:noVBand="1"/>
      </w:tblPr>
      <w:tblGrid>
        <w:gridCol w:w="2939"/>
        <w:gridCol w:w="810"/>
        <w:gridCol w:w="750"/>
        <w:gridCol w:w="794"/>
        <w:gridCol w:w="1079"/>
        <w:gridCol w:w="673"/>
        <w:gridCol w:w="708"/>
        <w:gridCol w:w="1042"/>
      </w:tblGrid>
      <w:tr w:rsidR="00525EBC" w:rsidRPr="00633995" w14:paraId="0005B221" w14:textId="77777777" w:rsidTr="00BB4811">
        <w:trPr>
          <w:trHeight w:val="600"/>
        </w:trPr>
        <w:tc>
          <w:tcPr>
            <w:tcW w:w="0" w:type="auto"/>
            <w:tcBorders>
              <w:top w:val="single" w:sz="4" w:space="0" w:color="auto"/>
              <w:left w:val="nil"/>
              <w:bottom w:val="single" w:sz="4" w:space="0" w:color="auto"/>
              <w:right w:val="nil"/>
            </w:tcBorders>
            <w:shd w:val="clear" w:color="auto" w:fill="auto"/>
            <w:noWrap/>
            <w:hideMark/>
          </w:tcPr>
          <w:p w14:paraId="6CCA2AEB" w14:textId="77777777" w:rsidR="00525EBC" w:rsidRPr="00513BF1" w:rsidRDefault="00525EBC" w:rsidP="00BB4811">
            <w:pPr>
              <w:spacing w:after="0" w:line="240" w:lineRule="auto"/>
              <w:jc w:val="both"/>
              <w:rPr>
                <w:rFonts w:ascii="Aptos Narrow" w:eastAsia="Times New Roman" w:hAnsi="Aptos Narrow" w:cs="Calibri"/>
                <w:b/>
                <w:bCs/>
                <w:color w:val="000000"/>
                <w:sz w:val="20"/>
                <w:szCs w:val="20"/>
                <w:lang w:eastAsia="de-DE"/>
              </w:rPr>
            </w:pPr>
            <w:r w:rsidRPr="00513BF1">
              <w:rPr>
                <w:rFonts w:ascii="Aptos Narrow" w:eastAsia="Times New Roman" w:hAnsi="Aptos Narrow" w:cs="Calibri"/>
                <w:b/>
                <w:bCs/>
                <w:color w:val="000000"/>
                <w:sz w:val="20"/>
                <w:szCs w:val="20"/>
                <w:lang w:eastAsia="de-DE"/>
              </w:rPr>
              <w:t>Sector</w:t>
            </w:r>
          </w:p>
        </w:tc>
        <w:tc>
          <w:tcPr>
            <w:tcW w:w="0" w:type="auto"/>
            <w:tcBorders>
              <w:top w:val="single" w:sz="4" w:space="0" w:color="auto"/>
              <w:left w:val="nil"/>
              <w:bottom w:val="single" w:sz="4" w:space="0" w:color="auto"/>
              <w:right w:val="nil"/>
            </w:tcBorders>
            <w:shd w:val="clear" w:color="auto" w:fill="auto"/>
            <w:hideMark/>
          </w:tcPr>
          <w:p w14:paraId="22DD60ED" w14:textId="77777777" w:rsidR="00525EBC" w:rsidRPr="00513BF1" w:rsidRDefault="00525EBC" w:rsidP="00BB4811">
            <w:pPr>
              <w:spacing w:after="0" w:line="240" w:lineRule="auto"/>
              <w:jc w:val="both"/>
              <w:rPr>
                <w:rFonts w:ascii="Aptos Narrow" w:eastAsia="Times New Roman" w:hAnsi="Aptos Narrow" w:cs="Calibri"/>
                <w:b/>
                <w:bCs/>
                <w:color w:val="000000"/>
                <w:sz w:val="20"/>
                <w:szCs w:val="20"/>
                <w:lang w:eastAsia="de-DE"/>
              </w:rPr>
            </w:pPr>
            <w:r w:rsidRPr="00513BF1">
              <w:rPr>
                <w:rFonts w:ascii="Aptos Narrow" w:eastAsia="Times New Roman" w:hAnsi="Aptos Narrow" w:cs="Calibri"/>
                <w:b/>
                <w:bCs/>
                <w:color w:val="000000"/>
                <w:sz w:val="20"/>
                <w:szCs w:val="20"/>
                <w:lang w:eastAsia="de-DE"/>
              </w:rPr>
              <w:t>Number</w:t>
            </w:r>
          </w:p>
          <w:p w14:paraId="21DC18C6" w14:textId="77777777" w:rsidR="00525EBC" w:rsidRPr="00513BF1" w:rsidRDefault="00525EBC" w:rsidP="00BB4811">
            <w:pPr>
              <w:spacing w:after="0" w:line="240" w:lineRule="auto"/>
              <w:jc w:val="both"/>
              <w:rPr>
                <w:rFonts w:ascii="Aptos Narrow" w:eastAsia="Times New Roman" w:hAnsi="Aptos Narrow" w:cs="Calibri"/>
                <w:b/>
                <w:bCs/>
                <w:color w:val="000000"/>
                <w:sz w:val="20"/>
                <w:szCs w:val="20"/>
                <w:lang w:eastAsia="de-DE"/>
              </w:rPr>
            </w:pPr>
            <w:r w:rsidRPr="00513BF1">
              <w:rPr>
                <w:rFonts w:ascii="Aptos Narrow" w:eastAsia="Times New Roman" w:hAnsi="Aptos Narrow" w:cs="Calibri"/>
                <w:b/>
                <w:bCs/>
                <w:color w:val="000000"/>
                <w:sz w:val="20"/>
                <w:szCs w:val="20"/>
                <w:lang w:eastAsia="de-DE"/>
              </w:rPr>
              <w:t>Firms</w:t>
            </w:r>
          </w:p>
        </w:tc>
        <w:tc>
          <w:tcPr>
            <w:tcW w:w="0" w:type="auto"/>
            <w:tcBorders>
              <w:top w:val="single" w:sz="4" w:space="0" w:color="auto"/>
              <w:left w:val="nil"/>
              <w:bottom w:val="single" w:sz="4" w:space="0" w:color="auto"/>
              <w:right w:val="single" w:sz="4" w:space="0" w:color="auto"/>
            </w:tcBorders>
            <w:shd w:val="clear" w:color="auto" w:fill="auto"/>
            <w:hideMark/>
          </w:tcPr>
          <w:p w14:paraId="13AF3202" w14:textId="77777777" w:rsidR="00525EBC" w:rsidRPr="00513BF1" w:rsidRDefault="00525EBC" w:rsidP="00BB4811">
            <w:pPr>
              <w:spacing w:after="0" w:line="240" w:lineRule="auto"/>
              <w:jc w:val="both"/>
              <w:rPr>
                <w:rFonts w:ascii="Aptos Narrow" w:eastAsia="Times New Roman" w:hAnsi="Aptos Narrow" w:cs="Calibri"/>
                <w:b/>
                <w:bCs/>
                <w:color w:val="000000"/>
                <w:sz w:val="20"/>
                <w:szCs w:val="20"/>
                <w:lang w:eastAsia="de-DE"/>
              </w:rPr>
            </w:pPr>
            <w:r w:rsidRPr="00513BF1">
              <w:rPr>
                <w:rFonts w:ascii="Aptos Narrow" w:eastAsia="Times New Roman" w:hAnsi="Aptos Narrow" w:cs="Calibri"/>
                <w:b/>
                <w:bCs/>
                <w:color w:val="000000"/>
                <w:sz w:val="20"/>
                <w:szCs w:val="20"/>
                <w:lang w:eastAsia="de-DE"/>
              </w:rPr>
              <w:t xml:space="preserve">Share </w:t>
            </w:r>
          </w:p>
        </w:tc>
        <w:tc>
          <w:tcPr>
            <w:tcW w:w="0" w:type="auto"/>
            <w:tcBorders>
              <w:top w:val="single" w:sz="4" w:space="0" w:color="auto"/>
              <w:left w:val="nil"/>
              <w:bottom w:val="single" w:sz="4" w:space="0" w:color="auto"/>
              <w:right w:val="nil"/>
            </w:tcBorders>
            <w:shd w:val="clear" w:color="auto" w:fill="auto"/>
            <w:noWrap/>
            <w:hideMark/>
          </w:tcPr>
          <w:p w14:paraId="431E348B" w14:textId="77777777" w:rsidR="00525EBC" w:rsidRPr="00513BF1" w:rsidRDefault="00525EBC" w:rsidP="00BB4811">
            <w:pPr>
              <w:spacing w:after="0" w:line="240" w:lineRule="auto"/>
              <w:jc w:val="both"/>
              <w:rPr>
                <w:rFonts w:ascii="Aptos Narrow" w:eastAsia="Times New Roman" w:hAnsi="Aptos Narrow" w:cs="Calibri"/>
                <w:b/>
                <w:bCs/>
                <w:color w:val="000000"/>
                <w:sz w:val="20"/>
                <w:szCs w:val="20"/>
                <w:lang w:eastAsia="de-DE"/>
              </w:rPr>
            </w:pPr>
            <w:r w:rsidRPr="00513BF1">
              <w:rPr>
                <w:rFonts w:ascii="Aptos Narrow" w:eastAsia="Times New Roman" w:hAnsi="Aptos Narrow" w:cs="Calibri"/>
                <w:b/>
                <w:bCs/>
                <w:color w:val="000000"/>
                <w:sz w:val="20"/>
                <w:szCs w:val="20"/>
                <w:lang w:eastAsia="de-DE"/>
              </w:rPr>
              <w:t>Product</w:t>
            </w:r>
          </w:p>
        </w:tc>
        <w:tc>
          <w:tcPr>
            <w:tcW w:w="0" w:type="auto"/>
            <w:tcBorders>
              <w:top w:val="single" w:sz="4" w:space="0" w:color="auto"/>
              <w:left w:val="nil"/>
              <w:bottom w:val="single" w:sz="4" w:space="0" w:color="auto"/>
              <w:right w:val="nil"/>
            </w:tcBorders>
            <w:shd w:val="clear" w:color="auto" w:fill="auto"/>
            <w:noWrap/>
            <w:hideMark/>
          </w:tcPr>
          <w:p w14:paraId="78D28CB6" w14:textId="77777777" w:rsidR="00525EBC" w:rsidRPr="00513BF1" w:rsidRDefault="00525EBC" w:rsidP="00BB4811">
            <w:pPr>
              <w:spacing w:after="0" w:line="240" w:lineRule="auto"/>
              <w:jc w:val="both"/>
              <w:rPr>
                <w:rFonts w:ascii="Aptos Narrow" w:eastAsia="Times New Roman" w:hAnsi="Aptos Narrow" w:cs="Calibri"/>
                <w:b/>
                <w:bCs/>
                <w:color w:val="000000"/>
                <w:sz w:val="20"/>
                <w:szCs w:val="20"/>
                <w:lang w:eastAsia="de-DE"/>
              </w:rPr>
            </w:pPr>
            <w:r w:rsidRPr="00513BF1">
              <w:rPr>
                <w:rFonts w:ascii="Aptos Narrow" w:eastAsia="Times New Roman" w:hAnsi="Aptos Narrow" w:cs="Calibri"/>
                <w:b/>
                <w:bCs/>
                <w:color w:val="000000"/>
                <w:sz w:val="20"/>
                <w:szCs w:val="20"/>
                <w:lang w:eastAsia="de-DE"/>
              </w:rPr>
              <w:t>Electronics</w:t>
            </w:r>
          </w:p>
        </w:tc>
        <w:tc>
          <w:tcPr>
            <w:tcW w:w="0" w:type="auto"/>
            <w:tcBorders>
              <w:top w:val="single" w:sz="4" w:space="0" w:color="auto"/>
              <w:left w:val="nil"/>
              <w:bottom w:val="single" w:sz="4" w:space="0" w:color="auto"/>
              <w:right w:val="nil"/>
            </w:tcBorders>
            <w:shd w:val="clear" w:color="auto" w:fill="auto"/>
            <w:noWrap/>
            <w:hideMark/>
          </w:tcPr>
          <w:p w14:paraId="406D289D" w14:textId="77777777" w:rsidR="00525EBC" w:rsidRPr="00513BF1" w:rsidRDefault="00525EBC" w:rsidP="00BB4811">
            <w:pPr>
              <w:spacing w:after="0" w:line="240" w:lineRule="auto"/>
              <w:jc w:val="both"/>
              <w:rPr>
                <w:rFonts w:ascii="Aptos Narrow" w:eastAsia="Times New Roman" w:hAnsi="Aptos Narrow" w:cs="Calibri"/>
                <w:b/>
                <w:bCs/>
                <w:color w:val="000000"/>
                <w:sz w:val="20"/>
                <w:szCs w:val="20"/>
                <w:lang w:eastAsia="de-DE"/>
              </w:rPr>
            </w:pPr>
            <w:r w:rsidRPr="00513BF1">
              <w:rPr>
                <w:rFonts w:ascii="Aptos Narrow" w:eastAsia="Times New Roman" w:hAnsi="Aptos Narrow" w:cs="Calibri"/>
                <w:b/>
                <w:bCs/>
                <w:color w:val="000000"/>
                <w:sz w:val="20"/>
                <w:szCs w:val="20"/>
                <w:lang w:eastAsia="de-DE"/>
              </w:rPr>
              <w:t>Goods</w:t>
            </w:r>
          </w:p>
        </w:tc>
        <w:tc>
          <w:tcPr>
            <w:tcW w:w="0" w:type="auto"/>
            <w:tcBorders>
              <w:top w:val="single" w:sz="4" w:space="0" w:color="auto"/>
              <w:left w:val="nil"/>
              <w:bottom w:val="single" w:sz="4" w:space="0" w:color="auto"/>
              <w:right w:val="nil"/>
            </w:tcBorders>
            <w:shd w:val="clear" w:color="auto" w:fill="auto"/>
            <w:noWrap/>
            <w:hideMark/>
          </w:tcPr>
          <w:p w14:paraId="36BBEAAC" w14:textId="77777777" w:rsidR="00525EBC" w:rsidRPr="00513BF1" w:rsidRDefault="00525EBC" w:rsidP="00BB4811">
            <w:pPr>
              <w:spacing w:after="0" w:line="240" w:lineRule="auto"/>
              <w:jc w:val="both"/>
              <w:rPr>
                <w:rFonts w:ascii="Aptos Narrow" w:eastAsia="Times New Roman" w:hAnsi="Aptos Narrow" w:cs="Calibri"/>
                <w:b/>
                <w:bCs/>
                <w:color w:val="000000"/>
                <w:sz w:val="20"/>
                <w:szCs w:val="20"/>
                <w:lang w:eastAsia="de-DE"/>
              </w:rPr>
            </w:pPr>
            <w:r w:rsidRPr="00513BF1">
              <w:rPr>
                <w:rFonts w:ascii="Aptos Narrow" w:eastAsia="Times New Roman" w:hAnsi="Aptos Narrow" w:cs="Calibri"/>
                <w:b/>
                <w:bCs/>
                <w:color w:val="000000"/>
                <w:sz w:val="20"/>
                <w:szCs w:val="20"/>
                <w:lang w:eastAsia="de-DE"/>
              </w:rPr>
              <w:t>Device</w:t>
            </w:r>
          </w:p>
        </w:tc>
        <w:tc>
          <w:tcPr>
            <w:tcW w:w="0" w:type="auto"/>
            <w:tcBorders>
              <w:top w:val="single" w:sz="4" w:space="0" w:color="auto"/>
              <w:left w:val="nil"/>
              <w:bottom w:val="single" w:sz="4" w:space="0" w:color="auto"/>
              <w:right w:val="nil"/>
            </w:tcBorders>
            <w:shd w:val="clear" w:color="auto" w:fill="auto"/>
            <w:noWrap/>
            <w:hideMark/>
          </w:tcPr>
          <w:p w14:paraId="6226A7F1" w14:textId="77777777" w:rsidR="00525EBC" w:rsidRPr="00513BF1" w:rsidRDefault="00525EBC" w:rsidP="00BB4811">
            <w:pPr>
              <w:spacing w:after="0" w:line="240" w:lineRule="auto"/>
              <w:jc w:val="both"/>
              <w:rPr>
                <w:rFonts w:ascii="Aptos Narrow" w:eastAsia="Times New Roman" w:hAnsi="Aptos Narrow" w:cs="Calibri"/>
                <w:b/>
                <w:bCs/>
                <w:color w:val="000000"/>
                <w:sz w:val="20"/>
                <w:szCs w:val="20"/>
                <w:lang w:eastAsia="de-DE"/>
              </w:rPr>
            </w:pPr>
            <w:r w:rsidRPr="00513BF1">
              <w:rPr>
                <w:rFonts w:ascii="Aptos Narrow" w:eastAsia="Times New Roman" w:hAnsi="Aptos Narrow" w:cs="Calibri"/>
                <w:b/>
                <w:bCs/>
                <w:color w:val="000000"/>
                <w:sz w:val="20"/>
                <w:szCs w:val="20"/>
                <w:lang w:eastAsia="de-DE"/>
              </w:rPr>
              <w:t>Equipment</w:t>
            </w:r>
          </w:p>
        </w:tc>
      </w:tr>
      <w:tr w:rsidR="00525EBC" w:rsidRPr="00633995" w14:paraId="7C2446A6" w14:textId="77777777" w:rsidTr="00BB4811">
        <w:trPr>
          <w:trHeight w:val="300"/>
        </w:trPr>
        <w:tc>
          <w:tcPr>
            <w:tcW w:w="0" w:type="auto"/>
            <w:tcBorders>
              <w:top w:val="nil"/>
              <w:left w:val="nil"/>
              <w:bottom w:val="nil"/>
              <w:right w:val="nil"/>
            </w:tcBorders>
            <w:shd w:val="clear" w:color="auto" w:fill="auto"/>
            <w:noWrap/>
            <w:vAlign w:val="bottom"/>
            <w:hideMark/>
          </w:tcPr>
          <w:p w14:paraId="758F4CD7"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ICT</w:t>
            </w:r>
          </w:p>
        </w:tc>
        <w:tc>
          <w:tcPr>
            <w:tcW w:w="0" w:type="auto"/>
            <w:tcBorders>
              <w:top w:val="nil"/>
              <w:left w:val="nil"/>
              <w:bottom w:val="nil"/>
              <w:right w:val="nil"/>
            </w:tcBorders>
            <w:shd w:val="clear" w:color="auto" w:fill="auto"/>
            <w:noWrap/>
            <w:vAlign w:val="bottom"/>
            <w:hideMark/>
          </w:tcPr>
          <w:p w14:paraId="1583BE6F"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1245</w:t>
            </w:r>
          </w:p>
        </w:tc>
        <w:tc>
          <w:tcPr>
            <w:tcW w:w="0" w:type="auto"/>
            <w:tcBorders>
              <w:top w:val="nil"/>
              <w:left w:val="nil"/>
              <w:bottom w:val="nil"/>
              <w:right w:val="single" w:sz="4" w:space="0" w:color="auto"/>
            </w:tcBorders>
            <w:shd w:val="clear" w:color="auto" w:fill="auto"/>
            <w:noWrap/>
            <w:vAlign w:val="bottom"/>
            <w:hideMark/>
          </w:tcPr>
          <w:p w14:paraId="7A2D5FFE" w14:textId="77777777" w:rsidR="00525EBC" w:rsidRPr="00513BF1" w:rsidRDefault="00525EBC" w:rsidP="00BB4811">
            <w:pPr>
              <w:spacing w:after="0" w:line="240" w:lineRule="auto"/>
              <w:jc w:val="both"/>
              <w:rPr>
                <w:rFonts w:ascii="Aptos Narrow" w:eastAsia="Times New Roman" w:hAnsi="Aptos Narrow" w:cs="Calibri"/>
                <w:color w:val="F79646"/>
                <w:sz w:val="20"/>
                <w:szCs w:val="20"/>
                <w:lang w:eastAsia="de-DE"/>
              </w:rPr>
            </w:pPr>
            <w:r w:rsidRPr="00633995">
              <w:rPr>
                <w:rFonts w:ascii="Aptos Narrow" w:hAnsi="Aptos Narrow" w:cs="Calibri"/>
                <w:color w:val="000000"/>
                <w:sz w:val="20"/>
                <w:szCs w:val="20"/>
              </w:rPr>
              <w:t>57.19%</w:t>
            </w:r>
          </w:p>
        </w:tc>
        <w:tc>
          <w:tcPr>
            <w:tcW w:w="0" w:type="auto"/>
            <w:tcBorders>
              <w:top w:val="nil"/>
              <w:left w:val="nil"/>
              <w:bottom w:val="nil"/>
              <w:right w:val="nil"/>
            </w:tcBorders>
            <w:shd w:val="clear" w:color="auto" w:fill="auto"/>
            <w:noWrap/>
            <w:vAlign w:val="bottom"/>
            <w:hideMark/>
          </w:tcPr>
          <w:p w14:paraId="39C891E7"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404</w:t>
            </w:r>
          </w:p>
        </w:tc>
        <w:tc>
          <w:tcPr>
            <w:tcW w:w="0" w:type="auto"/>
            <w:tcBorders>
              <w:top w:val="nil"/>
              <w:left w:val="nil"/>
              <w:bottom w:val="nil"/>
              <w:right w:val="nil"/>
            </w:tcBorders>
            <w:shd w:val="clear" w:color="auto" w:fill="auto"/>
            <w:noWrap/>
            <w:vAlign w:val="bottom"/>
            <w:hideMark/>
          </w:tcPr>
          <w:p w14:paraId="5E9223DB"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w:t>
            </w:r>
          </w:p>
        </w:tc>
        <w:tc>
          <w:tcPr>
            <w:tcW w:w="0" w:type="auto"/>
            <w:tcBorders>
              <w:top w:val="nil"/>
              <w:left w:val="nil"/>
              <w:bottom w:val="nil"/>
              <w:right w:val="nil"/>
            </w:tcBorders>
            <w:shd w:val="clear" w:color="auto" w:fill="auto"/>
            <w:noWrap/>
            <w:vAlign w:val="bottom"/>
            <w:hideMark/>
          </w:tcPr>
          <w:p w14:paraId="277679B4"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32</w:t>
            </w:r>
          </w:p>
        </w:tc>
        <w:tc>
          <w:tcPr>
            <w:tcW w:w="0" w:type="auto"/>
            <w:tcBorders>
              <w:top w:val="nil"/>
              <w:left w:val="nil"/>
              <w:bottom w:val="nil"/>
              <w:right w:val="nil"/>
            </w:tcBorders>
            <w:shd w:val="clear" w:color="auto" w:fill="auto"/>
            <w:noWrap/>
            <w:vAlign w:val="bottom"/>
            <w:hideMark/>
          </w:tcPr>
          <w:p w14:paraId="0727AC83"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125</w:t>
            </w:r>
          </w:p>
        </w:tc>
        <w:tc>
          <w:tcPr>
            <w:tcW w:w="0" w:type="auto"/>
            <w:tcBorders>
              <w:top w:val="nil"/>
              <w:left w:val="nil"/>
              <w:bottom w:val="nil"/>
              <w:right w:val="nil"/>
            </w:tcBorders>
            <w:shd w:val="clear" w:color="auto" w:fill="auto"/>
            <w:noWrap/>
            <w:vAlign w:val="bottom"/>
            <w:hideMark/>
          </w:tcPr>
          <w:p w14:paraId="1811C0F5"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14</w:t>
            </w:r>
          </w:p>
        </w:tc>
      </w:tr>
      <w:tr w:rsidR="00525EBC" w:rsidRPr="00633995" w14:paraId="187CC76A" w14:textId="77777777" w:rsidTr="00BB4811">
        <w:trPr>
          <w:trHeight w:val="300"/>
        </w:trPr>
        <w:tc>
          <w:tcPr>
            <w:tcW w:w="0" w:type="auto"/>
            <w:tcBorders>
              <w:top w:val="nil"/>
              <w:left w:val="nil"/>
              <w:bottom w:val="nil"/>
              <w:right w:val="nil"/>
            </w:tcBorders>
            <w:shd w:val="clear" w:color="auto" w:fill="auto"/>
            <w:noWrap/>
            <w:vAlign w:val="bottom"/>
            <w:hideMark/>
          </w:tcPr>
          <w:p w14:paraId="16B751BB"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Business and Professional Services</w:t>
            </w:r>
          </w:p>
        </w:tc>
        <w:tc>
          <w:tcPr>
            <w:tcW w:w="0" w:type="auto"/>
            <w:tcBorders>
              <w:top w:val="nil"/>
              <w:left w:val="nil"/>
              <w:bottom w:val="nil"/>
              <w:right w:val="nil"/>
            </w:tcBorders>
            <w:shd w:val="clear" w:color="auto" w:fill="auto"/>
            <w:noWrap/>
            <w:vAlign w:val="bottom"/>
            <w:hideMark/>
          </w:tcPr>
          <w:p w14:paraId="11C73D7E"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400</w:t>
            </w:r>
          </w:p>
        </w:tc>
        <w:tc>
          <w:tcPr>
            <w:tcW w:w="0" w:type="auto"/>
            <w:tcBorders>
              <w:top w:val="nil"/>
              <w:left w:val="nil"/>
              <w:bottom w:val="nil"/>
              <w:right w:val="single" w:sz="4" w:space="0" w:color="auto"/>
            </w:tcBorders>
            <w:shd w:val="clear" w:color="auto" w:fill="auto"/>
            <w:noWrap/>
            <w:vAlign w:val="bottom"/>
            <w:hideMark/>
          </w:tcPr>
          <w:p w14:paraId="238EB3FC" w14:textId="77777777" w:rsidR="00525EBC" w:rsidRPr="00513BF1" w:rsidRDefault="00525EBC" w:rsidP="00BB4811">
            <w:pPr>
              <w:spacing w:after="0" w:line="240" w:lineRule="auto"/>
              <w:jc w:val="both"/>
              <w:rPr>
                <w:rFonts w:ascii="Aptos Narrow" w:eastAsia="Times New Roman" w:hAnsi="Aptos Narrow" w:cs="Calibri"/>
                <w:color w:val="F79646"/>
                <w:sz w:val="20"/>
                <w:szCs w:val="20"/>
                <w:lang w:eastAsia="de-DE"/>
              </w:rPr>
            </w:pPr>
            <w:r w:rsidRPr="00633995">
              <w:rPr>
                <w:rFonts w:ascii="Aptos Narrow" w:hAnsi="Aptos Narrow" w:cs="Calibri"/>
                <w:color w:val="000000"/>
                <w:sz w:val="20"/>
                <w:szCs w:val="20"/>
              </w:rPr>
              <w:t>18.37%</w:t>
            </w:r>
          </w:p>
        </w:tc>
        <w:tc>
          <w:tcPr>
            <w:tcW w:w="0" w:type="auto"/>
            <w:tcBorders>
              <w:top w:val="nil"/>
              <w:left w:val="nil"/>
              <w:bottom w:val="nil"/>
              <w:right w:val="nil"/>
            </w:tcBorders>
            <w:shd w:val="clear" w:color="auto" w:fill="auto"/>
            <w:noWrap/>
            <w:vAlign w:val="bottom"/>
            <w:hideMark/>
          </w:tcPr>
          <w:p w14:paraId="349BA0A4"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86</w:t>
            </w:r>
          </w:p>
        </w:tc>
        <w:tc>
          <w:tcPr>
            <w:tcW w:w="0" w:type="auto"/>
            <w:tcBorders>
              <w:top w:val="nil"/>
              <w:left w:val="nil"/>
              <w:bottom w:val="nil"/>
              <w:right w:val="nil"/>
            </w:tcBorders>
            <w:shd w:val="clear" w:color="auto" w:fill="auto"/>
            <w:noWrap/>
            <w:vAlign w:val="bottom"/>
            <w:hideMark/>
          </w:tcPr>
          <w:p w14:paraId="516E821A"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0</w:t>
            </w:r>
          </w:p>
        </w:tc>
        <w:tc>
          <w:tcPr>
            <w:tcW w:w="0" w:type="auto"/>
            <w:tcBorders>
              <w:top w:val="nil"/>
              <w:left w:val="nil"/>
              <w:bottom w:val="nil"/>
              <w:right w:val="nil"/>
            </w:tcBorders>
            <w:shd w:val="clear" w:color="auto" w:fill="auto"/>
            <w:noWrap/>
            <w:vAlign w:val="bottom"/>
            <w:hideMark/>
          </w:tcPr>
          <w:p w14:paraId="17820713"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21</w:t>
            </w:r>
          </w:p>
        </w:tc>
        <w:tc>
          <w:tcPr>
            <w:tcW w:w="0" w:type="auto"/>
            <w:tcBorders>
              <w:top w:val="nil"/>
              <w:left w:val="nil"/>
              <w:bottom w:val="nil"/>
              <w:right w:val="nil"/>
            </w:tcBorders>
            <w:shd w:val="clear" w:color="auto" w:fill="auto"/>
            <w:noWrap/>
            <w:vAlign w:val="bottom"/>
            <w:hideMark/>
          </w:tcPr>
          <w:p w14:paraId="72561F65"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28</w:t>
            </w:r>
          </w:p>
        </w:tc>
        <w:tc>
          <w:tcPr>
            <w:tcW w:w="0" w:type="auto"/>
            <w:tcBorders>
              <w:top w:val="nil"/>
              <w:left w:val="nil"/>
              <w:bottom w:val="nil"/>
              <w:right w:val="nil"/>
            </w:tcBorders>
            <w:shd w:val="clear" w:color="auto" w:fill="auto"/>
            <w:noWrap/>
            <w:vAlign w:val="bottom"/>
            <w:hideMark/>
          </w:tcPr>
          <w:p w14:paraId="6CFF4812"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w:t>
            </w:r>
          </w:p>
        </w:tc>
      </w:tr>
      <w:tr w:rsidR="00525EBC" w:rsidRPr="00633995" w14:paraId="7C78C696" w14:textId="77777777" w:rsidTr="00BB4811">
        <w:trPr>
          <w:trHeight w:val="300"/>
        </w:trPr>
        <w:tc>
          <w:tcPr>
            <w:tcW w:w="0" w:type="auto"/>
            <w:tcBorders>
              <w:top w:val="nil"/>
              <w:left w:val="nil"/>
              <w:bottom w:val="nil"/>
              <w:right w:val="nil"/>
            </w:tcBorders>
            <w:shd w:val="clear" w:color="auto" w:fill="auto"/>
            <w:noWrap/>
            <w:vAlign w:val="bottom"/>
            <w:hideMark/>
          </w:tcPr>
          <w:p w14:paraId="05FADE24"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Healthcare / Biopharmaceuticals</w:t>
            </w:r>
          </w:p>
        </w:tc>
        <w:tc>
          <w:tcPr>
            <w:tcW w:w="0" w:type="auto"/>
            <w:tcBorders>
              <w:top w:val="nil"/>
              <w:left w:val="nil"/>
              <w:bottom w:val="nil"/>
              <w:right w:val="nil"/>
            </w:tcBorders>
            <w:shd w:val="clear" w:color="auto" w:fill="auto"/>
            <w:noWrap/>
            <w:vAlign w:val="bottom"/>
            <w:hideMark/>
          </w:tcPr>
          <w:p w14:paraId="0428BA23"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123</w:t>
            </w:r>
          </w:p>
        </w:tc>
        <w:tc>
          <w:tcPr>
            <w:tcW w:w="0" w:type="auto"/>
            <w:tcBorders>
              <w:top w:val="nil"/>
              <w:left w:val="nil"/>
              <w:bottom w:val="nil"/>
              <w:right w:val="single" w:sz="4" w:space="0" w:color="auto"/>
            </w:tcBorders>
            <w:shd w:val="clear" w:color="auto" w:fill="auto"/>
            <w:noWrap/>
            <w:vAlign w:val="bottom"/>
            <w:hideMark/>
          </w:tcPr>
          <w:p w14:paraId="297986E4" w14:textId="77777777" w:rsidR="00525EBC" w:rsidRPr="00513BF1" w:rsidRDefault="00525EBC" w:rsidP="00BB4811">
            <w:pPr>
              <w:spacing w:after="0" w:line="240" w:lineRule="auto"/>
              <w:jc w:val="both"/>
              <w:rPr>
                <w:rFonts w:ascii="Aptos Narrow" w:eastAsia="Times New Roman" w:hAnsi="Aptos Narrow" w:cs="Calibri"/>
                <w:color w:val="F79646"/>
                <w:sz w:val="20"/>
                <w:szCs w:val="20"/>
                <w:lang w:eastAsia="de-DE"/>
              </w:rPr>
            </w:pPr>
            <w:r w:rsidRPr="00633995">
              <w:rPr>
                <w:rFonts w:ascii="Aptos Narrow" w:hAnsi="Aptos Narrow" w:cs="Calibri"/>
                <w:color w:val="000000"/>
                <w:sz w:val="20"/>
                <w:szCs w:val="20"/>
              </w:rPr>
              <w:t>5.65%</w:t>
            </w:r>
          </w:p>
        </w:tc>
        <w:tc>
          <w:tcPr>
            <w:tcW w:w="0" w:type="auto"/>
            <w:tcBorders>
              <w:top w:val="nil"/>
              <w:left w:val="nil"/>
              <w:bottom w:val="nil"/>
              <w:right w:val="nil"/>
            </w:tcBorders>
            <w:shd w:val="clear" w:color="auto" w:fill="auto"/>
            <w:noWrap/>
            <w:vAlign w:val="bottom"/>
            <w:hideMark/>
          </w:tcPr>
          <w:p w14:paraId="363898D1"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38</w:t>
            </w:r>
          </w:p>
        </w:tc>
        <w:tc>
          <w:tcPr>
            <w:tcW w:w="0" w:type="auto"/>
            <w:tcBorders>
              <w:top w:val="nil"/>
              <w:left w:val="nil"/>
              <w:bottom w:val="nil"/>
              <w:right w:val="nil"/>
            </w:tcBorders>
            <w:shd w:val="clear" w:color="auto" w:fill="auto"/>
            <w:noWrap/>
            <w:vAlign w:val="bottom"/>
            <w:hideMark/>
          </w:tcPr>
          <w:p w14:paraId="344B6869"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0</w:t>
            </w:r>
          </w:p>
        </w:tc>
        <w:tc>
          <w:tcPr>
            <w:tcW w:w="0" w:type="auto"/>
            <w:tcBorders>
              <w:top w:val="nil"/>
              <w:left w:val="nil"/>
              <w:bottom w:val="nil"/>
              <w:right w:val="nil"/>
            </w:tcBorders>
            <w:shd w:val="clear" w:color="auto" w:fill="auto"/>
            <w:noWrap/>
            <w:vAlign w:val="bottom"/>
            <w:hideMark/>
          </w:tcPr>
          <w:p w14:paraId="4BF15FDB"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10</w:t>
            </w:r>
          </w:p>
        </w:tc>
        <w:tc>
          <w:tcPr>
            <w:tcW w:w="0" w:type="auto"/>
            <w:tcBorders>
              <w:top w:val="nil"/>
              <w:left w:val="nil"/>
              <w:bottom w:val="nil"/>
              <w:right w:val="nil"/>
            </w:tcBorders>
            <w:shd w:val="clear" w:color="auto" w:fill="auto"/>
            <w:noWrap/>
            <w:vAlign w:val="bottom"/>
            <w:hideMark/>
          </w:tcPr>
          <w:p w14:paraId="05F73AFD"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17</w:t>
            </w:r>
          </w:p>
        </w:tc>
        <w:tc>
          <w:tcPr>
            <w:tcW w:w="0" w:type="auto"/>
            <w:tcBorders>
              <w:top w:val="nil"/>
              <w:left w:val="nil"/>
              <w:bottom w:val="nil"/>
              <w:right w:val="nil"/>
            </w:tcBorders>
            <w:shd w:val="clear" w:color="auto" w:fill="auto"/>
            <w:noWrap/>
            <w:vAlign w:val="bottom"/>
            <w:hideMark/>
          </w:tcPr>
          <w:p w14:paraId="789EBAFF"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w:t>
            </w:r>
          </w:p>
        </w:tc>
      </w:tr>
      <w:tr w:rsidR="00525EBC" w:rsidRPr="00633995" w14:paraId="6BC61401" w14:textId="77777777" w:rsidTr="00BB4811">
        <w:trPr>
          <w:trHeight w:val="300"/>
        </w:trPr>
        <w:tc>
          <w:tcPr>
            <w:tcW w:w="0" w:type="auto"/>
            <w:tcBorders>
              <w:top w:val="nil"/>
              <w:left w:val="nil"/>
              <w:bottom w:val="nil"/>
              <w:right w:val="nil"/>
            </w:tcBorders>
            <w:shd w:val="clear" w:color="auto" w:fill="auto"/>
            <w:noWrap/>
            <w:vAlign w:val="bottom"/>
            <w:hideMark/>
          </w:tcPr>
          <w:p w14:paraId="406775BB"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Financial Services</w:t>
            </w:r>
          </w:p>
        </w:tc>
        <w:tc>
          <w:tcPr>
            <w:tcW w:w="0" w:type="auto"/>
            <w:tcBorders>
              <w:top w:val="nil"/>
              <w:left w:val="nil"/>
              <w:bottom w:val="nil"/>
              <w:right w:val="nil"/>
            </w:tcBorders>
            <w:shd w:val="clear" w:color="auto" w:fill="auto"/>
            <w:noWrap/>
            <w:vAlign w:val="bottom"/>
            <w:hideMark/>
          </w:tcPr>
          <w:p w14:paraId="5C1C6FE8"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65</w:t>
            </w:r>
          </w:p>
        </w:tc>
        <w:tc>
          <w:tcPr>
            <w:tcW w:w="0" w:type="auto"/>
            <w:tcBorders>
              <w:top w:val="nil"/>
              <w:left w:val="nil"/>
              <w:bottom w:val="nil"/>
              <w:right w:val="single" w:sz="4" w:space="0" w:color="auto"/>
            </w:tcBorders>
            <w:shd w:val="clear" w:color="auto" w:fill="auto"/>
            <w:noWrap/>
            <w:vAlign w:val="bottom"/>
            <w:hideMark/>
          </w:tcPr>
          <w:p w14:paraId="49FE037A" w14:textId="77777777" w:rsidR="00525EBC" w:rsidRPr="00513BF1" w:rsidRDefault="00525EBC" w:rsidP="00BB4811">
            <w:pPr>
              <w:spacing w:after="0" w:line="240" w:lineRule="auto"/>
              <w:jc w:val="both"/>
              <w:rPr>
                <w:rFonts w:ascii="Aptos Narrow" w:eastAsia="Times New Roman" w:hAnsi="Aptos Narrow" w:cs="Calibri"/>
                <w:color w:val="F79646"/>
                <w:sz w:val="20"/>
                <w:szCs w:val="20"/>
                <w:lang w:eastAsia="de-DE"/>
              </w:rPr>
            </w:pPr>
            <w:r w:rsidRPr="00633995">
              <w:rPr>
                <w:rFonts w:ascii="Aptos Narrow" w:hAnsi="Aptos Narrow" w:cs="Calibri"/>
                <w:color w:val="000000"/>
                <w:sz w:val="20"/>
                <w:szCs w:val="20"/>
              </w:rPr>
              <w:t>2.99%</w:t>
            </w:r>
          </w:p>
        </w:tc>
        <w:tc>
          <w:tcPr>
            <w:tcW w:w="0" w:type="auto"/>
            <w:tcBorders>
              <w:top w:val="nil"/>
              <w:left w:val="nil"/>
              <w:bottom w:val="nil"/>
              <w:right w:val="nil"/>
            </w:tcBorders>
            <w:shd w:val="clear" w:color="auto" w:fill="auto"/>
            <w:noWrap/>
            <w:vAlign w:val="bottom"/>
            <w:hideMark/>
          </w:tcPr>
          <w:p w14:paraId="30D84440"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12</w:t>
            </w:r>
          </w:p>
        </w:tc>
        <w:tc>
          <w:tcPr>
            <w:tcW w:w="0" w:type="auto"/>
            <w:tcBorders>
              <w:top w:val="nil"/>
              <w:left w:val="nil"/>
              <w:bottom w:val="nil"/>
              <w:right w:val="nil"/>
            </w:tcBorders>
            <w:shd w:val="clear" w:color="auto" w:fill="auto"/>
            <w:noWrap/>
            <w:vAlign w:val="bottom"/>
            <w:hideMark/>
          </w:tcPr>
          <w:p w14:paraId="73BF186C"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0</w:t>
            </w:r>
          </w:p>
        </w:tc>
        <w:tc>
          <w:tcPr>
            <w:tcW w:w="0" w:type="auto"/>
            <w:tcBorders>
              <w:top w:val="nil"/>
              <w:left w:val="nil"/>
              <w:bottom w:val="nil"/>
              <w:right w:val="nil"/>
            </w:tcBorders>
            <w:shd w:val="clear" w:color="auto" w:fill="auto"/>
            <w:noWrap/>
            <w:vAlign w:val="bottom"/>
            <w:hideMark/>
          </w:tcPr>
          <w:p w14:paraId="0518EAE3"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0</w:t>
            </w:r>
          </w:p>
        </w:tc>
        <w:tc>
          <w:tcPr>
            <w:tcW w:w="0" w:type="auto"/>
            <w:tcBorders>
              <w:top w:val="nil"/>
              <w:left w:val="nil"/>
              <w:bottom w:val="nil"/>
              <w:right w:val="nil"/>
            </w:tcBorders>
            <w:shd w:val="clear" w:color="auto" w:fill="auto"/>
            <w:noWrap/>
            <w:vAlign w:val="bottom"/>
            <w:hideMark/>
          </w:tcPr>
          <w:p w14:paraId="27F7BF7D"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2</w:t>
            </w:r>
          </w:p>
        </w:tc>
        <w:tc>
          <w:tcPr>
            <w:tcW w:w="0" w:type="auto"/>
            <w:tcBorders>
              <w:top w:val="nil"/>
              <w:left w:val="nil"/>
              <w:bottom w:val="nil"/>
              <w:right w:val="nil"/>
            </w:tcBorders>
            <w:shd w:val="clear" w:color="auto" w:fill="auto"/>
            <w:noWrap/>
            <w:vAlign w:val="bottom"/>
            <w:hideMark/>
          </w:tcPr>
          <w:p w14:paraId="6679DAA7"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w:t>
            </w:r>
          </w:p>
        </w:tc>
      </w:tr>
      <w:tr w:rsidR="00525EBC" w:rsidRPr="00633995" w14:paraId="6B33ECF8" w14:textId="77777777" w:rsidTr="00BB4811">
        <w:trPr>
          <w:trHeight w:val="300"/>
        </w:trPr>
        <w:tc>
          <w:tcPr>
            <w:tcW w:w="0" w:type="auto"/>
            <w:tcBorders>
              <w:top w:val="nil"/>
              <w:left w:val="nil"/>
              <w:bottom w:val="nil"/>
              <w:right w:val="nil"/>
            </w:tcBorders>
            <w:shd w:val="clear" w:color="auto" w:fill="auto"/>
            <w:noWrap/>
            <w:vAlign w:val="bottom"/>
            <w:hideMark/>
          </w:tcPr>
          <w:p w14:paraId="28FA5450"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Education</w:t>
            </w:r>
          </w:p>
        </w:tc>
        <w:tc>
          <w:tcPr>
            <w:tcW w:w="0" w:type="auto"/>
            <w:tcBorders>
              <w:top w:val="nil"/>
              <w:left w:val="nil"/>
              <w:bottom w:val="nil"/>
              <w:right w:val="nil"/>
            </w:tcBorders>
            <w:shd w:val="clear" w:color="auto" w:fill="auto"/>
            <w:noWrap/>
            <w:vAlign w:val="bottom"/>
            <w:hideMark/>
          </w:tcPr>
          <w:p w14:paraId="268154E9"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62</w:t>
            </w:r>
          </w:p>
        </w:tc>
        <w:tc>
          <w:tcPr>
            <w:tcW w:w="0" w:type="auto"/>
            <w:tcBorders>
              <w:top w:val="nil"/>
              <w:left w:val="nil"/>
              <w:bottom w:val="nil"/>
              <w:right w:val="single" w:sz="4" w:space="0" w:color="auto"/>
            </w:tcBorders>
            <w:shd w:val="clear" w:color="auto" w:fill="auto"/>
            <w:noWrap/>
            <w:vAlign w:val="bottom"/>
            <w:hideMark/>
          </w:tcPr>
          <w:p w14:paraId="4AA32BF0" w14:textId="77777777" w:rsidR="00525EBC" w:rsidRPr="00513BF1" w:rsidRDefault="00525EBC" w:rsidP="00BB4811">
            <w:pPr>
              <w:spacing w:after="0" w:line="240" w:lineRule="auto"/>
              <w:jc w:val="both"/>
              <w:rPr>
                <w:rFonts w:ascii="Aptos Narrow" w:eastAsia="Times New Roman" w:hAnsi="Aptos Narrow" w:cs="Calibri"/>
                <w:color w:val="F79646"/>
                <w:sz w:val="20"/>
                <w:szCs w:val="20"/>
                <w:lang w:eastAsia="de-DE"/>
              </w:rPr>
            </w:pPr>
            <w:r w:rsidRPr="00633995">
              <w:rPr>
                <w:rFonts w:ascii="Aptos Narrow" w:hAnsi="Aptos Narrow" w:cs="Calibri"/>
                <w:color w:val="000000"/>
                <w:sz w:val="20"/>
                <w:szCs w:val="20"/>
              </w:rPr>
              <w:t>2.85%</w:t>
            </w:r>
          </w:p>
        </w:tc>
        <w:tc>
          <w:tcPr>
            <w:tcW w:w="0" w:type="auto"/>
            <w:tcBorders>
              <w:top w:val="nil"/>
              <w:left w:val="nil"/>
              <w:bottom w:val="nil"/>
              <w:right w:val="nil"/>
            </w:tcBorders>
            <w:shd w:val="clear" w:color="auto" w:fill="auto"/>
            <w:noWrap/>
            <w:vAlign w:val="bottom"/>
            <w:hideMark/>
          </w:tcPr>
          <w:p w14:paraId="70D95FFD"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15</w:t>
            </w:r>
          </w:p>
        </w:tc>
        <w:tc>
          <w:tcPr>
            <w:tcW w:w="0" w:type="auto"/>
            <w:tcBorders>
              <w:top w:val="nil"/>
              <w:left w:val="nil"/>
              <w:bottom w:val="nil"/>
              <w:right w:val="nil"/>
            </w:tcBorders>
            <w:shd w:val="clear" w:color="auto" w:fill="auto"/>
            <w:noWrap/>
            <w:vAlign w:val="bottom"/>
            <w:hideMark/>
          </w:tcPr>
          <w:p w14:paraId="5E4469E4"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0</w:t>
            </w:r>
          </w:p>
        </w:tc>
        <w:tc>
          <w:tcPr>
            <w:tcW w:w="0" w:type="auto"/>
            <w:tcBorders>
              <w:top w:val="nil"/>
              <w:left w:val="nil"/>
              <w:bottom w:val="nil"/>
              <w:right w:val="nil"/>
            </w:tcBorders>
            <w:shd w:val="clear" w:color="auto" w:fill="auto"/>
            <w:noWrap/>
            <w:vAlign w:val="bottom"/>
            <w:hideMark/>
          </w:tcPr>
          <w:p w14:paraId="019F28C6"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0</w:t>
            </w:r>
          </w:p>
        </w:tc>
        <w:tc>
          <w:tcPr>
            <w:tcW w:w="0" w:type="auto"/>
            <w:tcBorders>
              <w:top w:val="nil"/>
              <w:left w:val="nil"/>
              <w:bottom w:val="nil"/>
              <w:right w:val="nil"/>
            </w:tcBorders>
            <w:shd w:val="clear" w:color="auto" w:fill="auto"/>
            <w:noWrap/>
            <w:vAlign w:val="bottom"/>
            <w:hideMark/>
          </w:tcPr>
          <w:p w14:paraId="51EBD858"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3</w:t>
            </w:r>
          </w:p>
        </w:tc>
        <w:tc>
          <w:tcPr>
            <w:tcW w:w="0" w:type="auto"/>
            <w:tcBorders>
              <w:top w:val="nil"/>
              <w:left w:val="nil"/>
              <w:bottom w:val="nil"/>
              <w:right w:val="nil"/>
            </w:tcBorders>
            <w:shd w:val="clear" w:color="auto" w:fill="auto"/>
            <w:noWrap/>
            <w:vAlign w:val="bottom"/>
            <w:hideMark/>
          </w:tcPr>
          <w:p w14:paraId="5FD78C72"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0</w:t>
            </w:r>
          </w:p>
        </w:tc>
      </w:tr>
      <w:tr w:rsidR="00525EBC" w:rsidRPr="00633995" w14:paraId="6B2330AC" w14:textId="77777777" w:rsidTr="00BB4811">
        <w:trPr>
          <w:trHeight w:val="300"/>
        </w:trPr>
        <w:tc>
          <w:tcPr>
            <w:tcW w:w="0" w:type="auto"/>
            <w:tcBorders>
              <w:top w:val="nil"/>
              <w:left w:val="nil"/>
              <w:bottom w:val="nil"/>
              <w:right w:val="nil"/>
            </w:tcBorders>
            <w:shd w:val="clear" w:color="auto" w:fill="auto"/>
            <w:noWrap/>
            <w:vAlign w:val="bottom"/>
            <w:hideMark/>
          </w:tcPr>
          <w:p w14:paraId="4216D417"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Media and Entertainment</w:t>
            </w:r>
          </w:p>
        </w:tc>
        <w:tc>
          <w:tcPr>
            <w:tcW w:w="0" w:type="auto"/>
            <w:tcBorders>
              <w:top w:val="nil"/>
              <w:left w:val="nil"/>
              <w:bottom w:val="nil"/>
              <w:right w:val="nil"/>
            </w:tcBorders>
            <w:shd w:val="clear" w:color="auto" w:fill="auto"/>
            <w:noWrap/>
            <w:vAlign w:val="bottom"/>
            <w:hideMark/>
          </w:tcPr>
          <w:p w14:paraId="00D342B6"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57</w:t>
            </w:r>
          </w:p>
        </w:tc>
        <w:tc>
          <w:tcPr>
            <w:tcW w:w="0" w:type="auto"/>
            <w:tcBorders>
              <w:top w:val="nil"/>
              <w:left w:val="nil"/>
              <w:bottom w:val="nil"/>
              <w:right w:val="single" w:sz="4" w:space="0" w:color="auto"/>
            </w:tcBorders>
            <w:shd w:val="clear" w:color="auto" w:fill="auto"/>
            <w:noWrap/>
            <w:vAlign w:val="bottom"/>
            <w:hideMark/>
          </w:tcPr>
          <w:p w14:paraId="43B2F71D" w14:textId="77777777" w:rsidR="00525EBC" w:rsidRPr="00513BF1" w:rsidRDefault="00525EBC" w:rsidP="00BB4811">
            <w:pPr>
              <w:spacing w:after="0" w:line="240" w:lineRule="auto"/>
              <w:jc w:val="both"/>
              <w:rPr>
                <w:rFonts w:ascii="Aptos Narrow" w:eastAsia="Times New Roman" w:hAnsi="Aptos Narrow" w:cs="Calibri"/>
                <w:color w:val="F79646"/>
                <w:sz w:val="20"/>
                <w:szCs w:val="20"/>
                <w:lang w:eastAsia="de-DE"/>
              </w:rPr>
            </w:pPr>
            <w:r w:rsidRPr="00633995">
              <w:rPr>
                <w:rFonts w:ascii="Aptos Narrow" w:hAnsi="Aptos Narrow" w:cs="Calibri"/>
                <w:color w:val="000000"/>
                <w:sz w:val="20"/>
                <w:szCs w:val="20"/>
              </w:rPr>
              <w:t>2.62%</w:t>
            </w:r>
          </w:p>
        </w:tc>
        <w:tc>
          <w:tcPr>
            <w:tcW w:w="0" w:type="auto"/>
            <w:tcBorders>
              <w:top w:val="nil"/>
              <w:left w:val="nil"/>
              <w:bottom w:val="nil"/>
              <w:right w:val="nil"/>
            </w:tcBorders>
            <w:shd w:val="clear" w:color="auto" w:fill="auto"/>
            <w:noWrap/>
            <w:vAlign w:val="bottom"/>
            <w:hideMark/>
          </w:tcPr>
          <w:p w14:paraId="43BEF9D0"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20</w:t>
            </w:r>
          </w:p>
        </w:tc>
        <w:tc>
          <w:tcPr>
            <w:tcW w:w="0" w:type="auto"/>
            <w:tcBorders>
              <w:top w:val="nil"/>
              <w:left w:val="nil"/>
              <w:bottom w:val="nil"/>
              <w:right w:val="nil"/>
            </w:tcBorders>
            <w:shd w:val="clear" w:color="auto" w:fill="auto"/>
            <w:noWrap/>
            <w:vAlign w:val="bottom"/>
            <w:hideMark/>
          </w:tcPr>
          <w:p w14:paraId="1082838C"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0</w:t>
            </w:r>
          </w:p>
        </w:tc>
        <w:tc>
          <w:tcPr>
            <w:tcW w:w="0" w:type="auto"/>
            <w:tcBorders>
              <w:top w:val="nil"/>
              <w:left w:val="nil"/>
              <w:bottom w:val="nil"/>
              <w:right w:val="nil"/>
            </w:tcBorders>
            <w:shd w:val="clear" w:color="auto" w:fill="auto"/>
            <w:noWrap/>
            <w:vAlign w:val="bottom"/>
            <w:hideMark/>
          </w:tcPr>
          <w:p w14:paraId="79FD434F"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w:t>
            </w:r>
          </w:p>
        </w:tc>
        <w:tc>
          <w:tcPr>
            <w:tcW w:w="0" w:type="auto"/>
            <w:tcBorders>
              <w:top w:val="nil"/>
              <w:left w:val="nil"/>
              <w:bottom w:val="nil"/>
              <w:right w:val="nil"/>
            </w:tcBorders>
            <w:shd w:val="clear" w:color="auto" w:fill="auto"/>
            <w:noWrap/>
            <w:vAlign w:val="bottom"/>
            <w:hideMark/>
          </w:tcPr>
          <w:p w14:paraId="040C2969"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9</w:t>
            </w:r>
          </w:p>
        </w:tc>
        <w:tc>
          <w:tcPr>
            <w:tcW w:w="0" w:type="auto"/>
            <w:tcBorders>
              <w:top w:val="nil"/>
              <w:left w:val="nil"/>
              <w:bottom w:val="nil"/>
              <w:right w:val="nil"/>
            </w:tcBorders>
            <w:shd w:val="clear" w:color="auto" w:fill="auto"/>
            <w:noWrap/>
            <w:vAlign w:val="bottom"/>
            <w:hideMark/>
          </w:tcPr>
          <w:p w14:paraId="619D506C"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0</w:t>
            </w:r>
          </w:p>
        </w:tc>
      </w:tr>
      <w:tr w:rsidR="00525EBC" w:rsidRPr="00633995" w14:paraId="635AF8FF" w14:textId="77777777" w:rsidTr="00BB4811">
        <w:trPr>
          <w:trHeight w:val="300"/>
        </w:trPr>
        <w:tc>
          <w:tcPr>
            <w:tcW w:w="0" w:type="auto"/>
            <w:tcBorders>
              <w:top w:val="nil"/>
              <w:left w:val="nil"/>
              <w:bottom w:val="nil"/>
              <w:right w:val="nil"/>
            </w:tcBorders>
            <w:shd w:val="clear" w:color="auto" w:fill="auto"/>
            <w:noWrap/>
            <w:vAlign w:val="bottom"/>
            <w:hideMark/>
          </w:tcPr>
          <w:p w14:paraId="400F36D6"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Travel and Tourism</w:t>
            </w:r>
          </w:p>
        </w:tc>
        <w:tc>
          <w:tcPr>
            <w:tcW w:w="0" w:type="auto"/>
            <w:tcBorders>
              <w:top w:val="nil"/>
              <w:left w:val="nil"/>
              <w:bottom w:val="nil"/>
              <w:right w:val="nil"/>
            </w:tcBorders>
            <w:shd w:val="clear" w:color="auto" w:fill="auto"/>
            <w:noWrap/>
            <w:vAlign w:val="bottom"/>
            <w:hideMark/>
          </w:tcPr>
          <w:p w14:paraId="22B78F6D"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34</w:t>
            </w:r>
          </w:p>
        </w:tc>
        <w:tc>
          <w:tcPr>
            <w:tcW w:w="0" w:type="auto"/>
            <w:tcBorders>
              <w:top w:val="nil"/>
              <w:left w:val="nil"/>
              <w:bottom w:val="nil"/>
              <w:right w:val="single" w:sz="4" w:space="0" w:color="auto"/>
            </w:tcBorders>
            <w:shd w:val="clear" w:color="auto" w:fill="auto"/>
            <w:noWrap/>
            <w:vAlign w:val="bottom"/>
            <w:hideMark/>
          </w:tcPr>
          <w:p w14:paraId="770620B6" w14:textId="77777777" w:rsidR="00525EBC" w:rsidRPr="00513BF1" w:rsidRDefault="00525EBC" w:rsidP="00BB4811">
            <w:pPr>
              <w:spacing w:after="0" w:line="240" w:lineRule="auto"/>
              <w:jc w:val="both"/>
              <w:rPr>
                <w:rFonts w:ascii="Aptos Narrow" w:eastAsia="Times New Roman" w:hAnsi="Aptos Narrow" w:cs="Calibri"/>
                <w:color w:val="F79646"/>
                <w:sz w:val="20"/>
                <w:szCs w:val="20"/>
                <w:lang w:eastAsia="de-DE"/>
              </w:rPr>
            </w:pPr>
            <w:r w:rsidRPr="00633995">
              <w:rPr>
                <w:rFonts w:ascii="Aptos Narrow" w:hAnsi="Aptos Narrow" w:cs="Calibri"/>
                <w:color w:val="000000"/>
                <w:sz w:val="20"/>
                <w:szCs w:val="20"/>
              </w:rPr>
              <w:t>1.56%</w:t>
            </w:r>
          </w:p>
        </w:tc>
        <w:tc>
          <w:tcPr>
            <w:tcW w:w="0" w:type="auto"/>
            <w:tcBorders>
              <w:top w:val="nil"/>
              <w:left w:val="nil"/>
              <w:bottom w:val="nil"/>
              <w:right w:val="nil"/>
            </w:tcBorders>
            <w:shd w:val="clear" w:color="auto" w:fill="auto"/>
            <w:noWrap/>
            <w:vAlign w:val="bottom"/>
            <w:hideMark/>
          </w:tcPr>
          <w:p w14:paraId="4121D756"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10</w:t>
            </w:r>
          </w:p>
        </w:tc>
        <w:tc>
          <w:tcPr>
            <w:tcW w:w="0" w:type="auto"/>
            <w:tcBorders>
              <w:top w:val="nil"/>
              <w:left w:val="nil"/>
              <w:bottom w:val="nil"/>
              <w:right w:val="nil"/>
            </w:tcBorders>
            <w:shd w:val="clear" w:color="auto" w:fill="auto"/>
            <w:noWrap/>
            <w:vAlign w:val="bottom"/>
            <w:hideMark/>
          </w:tcPr>
          <w:p w14:paraId="4A4EC367"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0</w:t>
            </w:r>
          </w:p>
        </w:tc>
        <w:tc>
          <w:tcPr>
            <w:tcW w:w="0" w:type="auto"/>
            <w:tcBorders>
              <w:top w:val="nil"/>
              <w:left w:val="nil"/>
              <w:bottom w:val="nil"/>
              <w:right w:val="nil"/>
            </w:tcBorders>
            <w:shd w:val="clear" w:color="auto" w:fill="auto"/>
            <w:noWrap/>
            <w:vAlign w:val="bottom"/>
            <w:hideMark/>
          </w:tcPr>
          <w:p w14:paraId="4AAB12FF"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0</w:t>
            </w:r>
          </w:p>
        </w:tc>
        <w:tc>
          <w:tcPr>
            <w:tcW w:w="0" w:type="auto"/>
            <w:tcBorders>
              <w:top w:val="nil"/>
              <w:left w:val="nil"/>
              <w:bottom w:val="nil"/>
              <w:right w:val="nil"/>
            </w:tcBorders>
            <w:shd w:val="clear" w:color="auto" w:fill="auto"/>
            <w:noWrap/>
            <w:vAlign w:val="bottom"/>
            <w:hideMark/>
          </w:tcPr>
          <w:p w14:paraId="20048C8B"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3</w:t>
            </w:r>
          </w:p>
        </w:tc>
        <w:tc>
          <w:tcPr>
            <w:tcW w:w="0" w:type="auto"/>
            <w:tcBorders>
              <w:top w:val="nil"/>
              <w:left w:val="nil"/>
              <w:bottom w:val="nil"/>
              <w:right w:val="nil"/>
            </w:tcBorders>
            <w:shd w:val="clear" w:color="auto" w:fill="auto"/>
            <w:noWrap/>
            <w:vAlign w:val="bottom"/>
            <w:hideMark/>
          </w:tcPr>
          <w:p w14:paraId="6990640B"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0</w:t>
            </w:r>
          </w:p>
        </w:tc>
      </w:tr>
      <w:tr w:rsidR="00525EBC" w:rsidRPr="00633995" w14:paraId="39CCFFF9" w14:textId="77777777" w:rsidTr="00BB4811">
        <w:trPr>
          <w:trHeight w:val="300"/>
        </w:trPr>
        <w:tc>
          <w:tcPr>
            <w:tcW w:w="0" w:type="auto"/>
            <w:tcBorders>
              <w:top w:val="nil"/>
              <w:left w:val="nil"/>
              <w:bottom w:val="nil"/>
              <w:right w:val="nil"/>
            </w:tcBorders>
            <w:shd w:val="clear" w:color="auto" w:fill="auto"/>
            <w:noWrap/>
            <w:vAlign w:val="bottom"/>
            <w:hideMark/>
          </w:tcPr>
          <w:p w14:paraId="340F4A45"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Consumer Goods</w:t>
            </w:r>
          </w:p>
        </w:tc>
        <w:tc>
          <w:tcPr>
            <w:tcW w:w="0" w:type="auto"/>
            <w:tcBorders>
              <w:top w:val="nil"/>
              <w:left w:val="nil"/>
              <w:bottom w:val="nil"/>
              <w:right w:val="nil"/>
            </w:tcBorders>
            <w:shd w:val="clear" w:color="auto" w:fill="auto"/>
            <w:noWrap/>
            <w:vAlign w:val="bottom"/>
            <w:hideMark/>
          </w:tcPr>
          <w:p w14:paraId="49A107AA"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32</w:t>
            </w:r>
          </w:p>
        </w:tc>
        <w:tc>
          <w:tcPr>
            <w:tcW w:w="0" w:type="auto"/>
            <w:tcBorders>
              <w:top w:val="nil"/>
              <w:left w:val="nil"/>
              <w:bottom w:val="nil"/>
              <w:right w:val="single" w:sz="4" w:space="0" w:color="auto"/>
            </w:tcBorders>
            <w:shd w:val="clear" w:color="auto" w:fill="auto"/>
            <w:noWrap/>
            <w:vAlign w:val="bottom"/>
            <w:hideMark/>
          </w:tcPr>
          <w:p w14:paraId="41AFF35A" w14:textId="77777777" w:rsidR="00525EBC" w:rsidRPr="00513BF1" w:rsidRDefault="00525EBC" w:rsidP="00BB4811">
            <w:pPr>
              <w:spacing w:after="0" w:line="240" w:lineRule="auto"/>
              <w:jc w:val="both"/>
              <w:rPr>
                <w:rFonts w:ascii="Aptos Narrow" w:eastAsia="Times New Roman" w:hAnsi="Aptos Narrow" w:cs="Calibri"/>
                <w:color w:val="F79646"/>
                <w:sz w:val="20"/>
                <w:szCs w:val="20"/>
                <w:lang w:eastAsia="de-DE"/>
              </w:rPr>
            </w:pPr>
            <w:r w:rsidRPr="00633995">
              <w:rPr>
                <w:rFonts w:ascii="Aptos Narrow" w:hAnsi="Aptos Narrow" w:cs="Calibri"/>
                <w:color w:val="000000"/>
                <w:sz w:val="20"/>
                <w:szCs w:val="20"/>
              </w:rPr>
              <w:t>1.47%</w:t>
            </w:r>
          </w:p>
        </w:tc>
        <w:tc>
          <w:tcPr>
            <w:tcW w:w="0" w:type="auto"/>
            <w:tcBorders>
              <w:top w:val="nil"/>
              <w:left w:val="nil"/>
              <w:bottom w:val="nil"/>
              <w:right w:val="nil"/>
            </w:tcBorders>
            <w:shd w:val="clear" w:color="auto" w:fill="auto"/>
            <w:noWrap/>
            <w:vAlign w:val="bottom"/>
            <w:hideMark/>
          </w:tcPr>
          <w:p w14:paraId="1617A16F"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17</w:t>
            </w:r>
          </w:p>
        </w:tc>
        <w:tc>
          <w:tcPr>
            <w:tcW w:w="0" w:type="auto"/>
            <w:tcBorders>
              <w:top w:val="nil"/>
              <w:left w:val="nil"/>
              <w:bottom w:val="nil"/>
              <w:right w:val="nil"/>
            </w:tcBorders>
            <w:shd w:val="clear" w:color="auto" w:fill="auto"/>
            <w:noWrap/>
            <w:vAlign w:val="bottom"/>
            <w:hideMark/>
          </w:tcPr>
          <w:p w14:paraId="2398DBB8"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2</w:t>
            </w:r>
          </w:p>
        </w:tc>
        <w:tc>
          <w:tcPr>
            <w:tcW w:w="0" w:type="auto"/>
            <w:tcBorders>
              <w:top w:val="nil"/>
              <w:left w:val="nil"/>
              <w:bottom w:val="nil"/>
              <w:right w:val="nil"/>
            </w:tcBorders>
            <w:shd w:val="clear" w:color="auto" w:fill="auto"/>
            <w:noWrap/>
            <w:vAlign w:val="bottom"/>
            <w:hideMark/>
          </w:tcPr>
          <w:p w14:paraId="3A31E4C1"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3</w:t>
            </w:r>
          </w:p>
        </w:tc>
        <w:tc>
          <w:tcPr>
            <w:tcW w:w="0" w:type="auto"/>
            <w:tcBorders>
              <w:top w:val="nil"/>
              <w:left w:val="nil"/>
              <w:bottom w:val="nil"/>
              <w:right w:val="nil"/>
            </w:tcBorders>
            <w:shd w:val="clear" w:color="auto" w:fill="auto"/>
            <w:noWrap/>
            <w:vAlign w:val="bottom"/>
            <w:hideMark/>
          </w:tcPr>
          <w:p w14:paraId="2721A1D2"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8</w:t>
            </w:r>
          </w:p>
        </w:tc>
        <w:tc>
          <w:tcPr>
            <w:tcW w:w="0" w:type="auto"/>
            <w:tcBorders>
              <w:top w:val="nil"/>
              <w:left w:val="nil"/>
              <w:bottom w:val="nil"/>
              <w:right w:val="nil"/>
            </w:tcBorders>
            <w:shd w:val="clear" w:color="auto" w:fill="auto"/>
            <w:noWrap/>
            <w:vAlign w:val="bottom"/>
            <w:hideMark/>
          </w:tcPr>
          <w:p w14:paraId="5049C9BC"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4</w:t>
            </w:r>
          </w:p>
        </w:tc>
      </w:tr>
      <w:tr w:rsidR="00525EBC" w:rsidRPr="00633995" w14:paraId="66AF69CC" w14:textId="77777777" w:rsidTr="00BB4811">
        <w:trPr>
          <w:trHeight w:val="300"/>
        </w:trPr>
        <w:tc>
          <w:tcPr>
            <w:tcW w:w="0" w:type="auto"/>
            <w:tcBorders>
              <w:top w:val="nil"/>
              <w:left w:val="nil"/>
              <w:right w:val="nil"/>
            </w:tcBorders>
            <w:shd w:val="clear" w:color="auto" w:fill="auto"/>
            <w:noWrap/>
            <w:vAlign w:val="bottom"/>
            <w:hideMark/>
          </w:tcPr>
          <w:p w14:paraId="0884C2A9"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Distribution and Logistics</w:t>
            </w:r>
          </w:p>
        </w:tc>
        <w:tc>
          <w:tcPr>
            <w:tcW w:w="0" w:type="auto"/>
            <w:tcBorders>
              <w:top w:val="nil"/>
              <w:left w:val="nil"/>
              <w:right w:val="nil"/>
            </w:tcBorders>
            <w:shd w:val="clear" w:color="auto" w:fill="auto"/>
            <w:noWrap/>
            <w:vAlign w:val="bottom"/>
            <w:hideMark/>
          </w:tcPr>
          <w:p w14:paraId="682C80A5"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25</w:t>
            </w:r>
          </w:p>
        </w:tc>
        <w:tc>
          <w:tcPr>
            <w:tcW w:w="0" w:type="auto"/>
            <w:tcBorders>
              <w:top w:val="nil"/>
              <w:left w:val="nil"/>
              <w:right w:val="single" w:sz="4" w:space="0" w:color="auto"/>
            </w:tcBorders>
            <w:shd w:val="clear" w:color="auto" w:fill="auto"/>
            <w:noWrap/>
            <w:vAlign w:val="bottom"/>
            <w:hideMark/>
          </w:tcPr>
          <w:p w14:paraId="0E501D13" w14:textId="77777777" w:rsidR="00525EBC" w:rsidRPr="00513BF1" w:rsidRDefault="00525EBC" w:rsidP="00BB4811">
            <w:pPr>
              <w:spacing w:after="0" w:line="240" w:lineRule="auto"/>
              <w:jc w:val="both"/>
              <w:rPr>
                <w:rFonts w:ascii="Aptos Narrow" w:eastAsia="Times New Roman" w:hAnsi="Aptos Narrow" w:cs="Calibri"/>
                <w:color w:val="F79646"/>
                <w:sz w:val="20"/>
                <w:szCs w:val="20"/>
                <w:lang w:eastAsia="de-DE"/>
              </w:rPr>
            </w:pPr>
            <w:r w:rsidRPr="00633995">
              <w:rPr>
                <w:rFonts w:ascii="Aptos Narrow" w:hAnsi="Aptos Narrow" w:cs="Calibri"/>
                <w:color w:val="000000"/>
                <w:sz w:val="20"/>
                <w:szCs w:val="20"/>
              </w:rPr>
              <w:t>1.15%</w:t>
            </w:r>
          </w:p>
        </w:tc>
        <w:tc>
          <w:tcPr>
            <w:tcW w:w="0" w:type="auto"/>
            <w:tcBorders>
              <w:top w:val="nil"/>
              <w:left w:val="nil"/>
              <w:right w:val="nil"/>
            </w:tcBorders>
            <w:shd w:val="clear" w:color="auto" w:fill="auto"/>
            <w:noWrap/>
            <w:vAlign w:val="bottom"/>
            <w:hideMark/>
          </w:tcPr>
          <w:p w14:paraId="3278214B"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3</w:t>
            </w:r>
          </w:p>
        </w:tc>
        <w:tc>
          <w:tcPr>
            <w:tcW w:w="0" w:type="auto"/>
            <w:tcBorders>
              <w:top w:val="nil"/>
              <w:left w:val="nil"/>
              <w:right w:val="nil"/>
            </w:tcBorders>
            <w:shd w:val="clear" w:color="auto" w:fill="auto"/>
            <w:noWrap/>
            <w:vAlign w:val="bottom"/>
            <w:hideMark/>
          </w:tcPr>
          <w:p w14:paraId="45A20759"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0</w:t>
            </w:r>
          </w:p>
        </w:tc>
        <w:tc>
          <w:tcPr>
            <w:tcW w:w="0" w:type="auto"/>
            <w:tcBorders>
              <w:top w:val="nil"/>
              <w:left w:val="nil"/>
              <w:right w:val="nil"/>
            </w:tcBorders>
            <w:shd w:val="clear" w:color="auto" w:fill="auto"/>
            <w:noWrap/>
            <w:vAlign w:val="bottom"/>
            <w:hideMark/>
          </w:tcPr>
          <w:p w14:paraId="7400B7A6"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8</w:t>
            </w:r>
          </w:p>
        </w:tc>
        <w:tc>
          <w:tcPr>
            <w:tcW w:w="0" w:type="auto"/>
            <w:tcBorders>
              <w:top w:val="nil"/>
              <w:left w:val="nil"/>
              <w:right w:val="nil"/>
            </w:tcBorders>
            <w:shd w:val="clear" w:color="auto" w:fill="auto"/>
            <w:noWrap/>
            <w:vAlign w:val="bottom"/>
            <w:hideMark/>
          </w:tcPr>
          <w:p w14:paraId="5A923EBC"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w:t>
            </w:r>
          </w:p>
        </w:tc>
        <w:tc>
          <w:tcPr>
            <w:tcW w:w="0" w:type="auto"/>
            <w:tcBorders>
              <w:top w:val="nil"/>
              <w:left w:val="nil"/>
              <w:right w:val="nil"/>
            </w:tcBorders>
            <w:shd w:val="clear" w:color="auto" w:fill="auto"/>
            <w:noWrap/>
            <w:vAlign w:val="bottom"/>
            <w:hideMark/>
          </w:tcPr>
          <w:p w14:paraId="377D8DA3"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0</w:t>
            </w:r>
          </w:p>
        </w:tc>
      </w:tr>
      <w:tr w:rsidR="00525EBC" w:rsidRPr="00633995" w14:paraId="14F1F251" w14:textId="77777777" w:rsidTr="00BB4811">
        <w:trPr>
          <w:trHeight w:val="300"/>
        </w:trPr>
        <w:tc>
          <w:tcPr>
            <w:tcW w:w="0" w:type="auto"/>
            <w:tcBorders>
              <w:top w:val="nil"/>
              <w:left w:val="nil"/>
              <w:bottom w:val="single" w:sz="4" w:space="0" w:color="auto"/>
              <w:right w:val="nil"/>
            </w:tcBorders>
            <w:shd w:val="clear" w:color="auto" w:fill="auto"/>
            <w:noWrap/>
            <w:vAlign w:val="bottom"/>
            <w:hideMark/>
          </w:tcPr>
          <w:p w14:paraId="727AB12A"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Equipment and Machinery</w:t>
            </w:r>
          </w:p>
        </w:tc>
        <w:tc>
          <w:tcPr>
            <w:tcW w:w="0" w:type="auto"/>
            <w:tcBorders>
              <w:top w:val="nil"/>
              <w:left w:val="nil"/>
              <w:bottom w:val="single" w:sz="4" w:space="0" w:color="auto"/>
              <w:right w:val="nil"/>
            </w:tcBorders>
            <w:shd w:val="clear" w:color="auto" w:fill="auto"/>
            <w:noWrap/>
            <w:vAlign w:val="bottom"/>
            <w:hideMark/>
          </w:tcPr>
          <w:p w14:paraId="67EB9456" w14:textId="77777777" w:rsidR="00525EBC" w:rsidRPr="00513BF1" w:rsidRDefault="00525EBC" w:rsidP="00BB4811">
            <w:pPr>
              <w:spacing w:after="0" w:line="240" w:lineRule="auto"/>
              <w:jc w:val="both"/>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18</w:t>
            </w:r>
          </w:p>
        </w:tc>
        <w:tc>
          <w:tcPr>
            <w:tcW w:w="0" w:type="auto"/>
            <w:tcBorders>
              <w:top w:val="nil"/>
              <w:left w:val="nil"/>
              <w:bottom w:val="single" w:sz="4" w:space="0" w:color="auto"/>
              <w:right w:val="single" w:sz="4" w:space="0" w:color="auto"/>
            </w:tcBorders>
            <w:shd w:val="clear" w:color="auto" w:fill="auto"/>
            <w:noWrap/>
            <w:vAlign w:val="bottom"/>
            <w:hideMark/>
          </w:tcPr>
          <w:p w14:paraId="53A69FA7" w14:textId="77777777" w:rsidR="00525EBC" w:rsidRPr="00513BF1" w:rsidRDefault="00525EBC" w:rsidP="00BB4811">
            <w:pPr>
              <w:spacing w:after="0" w:line="240" w:lineRule="auto"/>
              <w:jc w:val="both"/>
              <w:rPr>
                <w:rFonts w:ascii="Aptos Narrow" w:eastAsia="Times New Roman" w:hAnsi="Aptos Narrow" w:cs="Calibri"/>
                <w:color w:val="F79646"/>
                <w:sz w:val="20"/>
                <w:szCs w:val="20"/>
                <w:lang w:eastAsia="de-DE"/>
              </w:rPr>
            </w:pPr>
            <w:r w:rsidRPr="00633995">
              <w:rPr>
                <w:rFonts w:ascii="Aptos Narrow" w:hAnsi="Aptos Narrow" w:cs="Calibri"/>
                <w:color w:val="000000"/>
                <w:sz w:val="20"/>
                <w:szCs w:val="20"/>
              </w:rPr>
              <w:t>0.83%</w:t>
            </w:r>
          </w:p>
        </w:tc>
        <w:tc>
          <w:tcPr>
            <w:tcW w:w="0" w:type="auto"/>
            <w:tcBorders>
              <w:top w:val="nil"/>
              <w:left w:val="nil"/>
              <w:bottom w:val="single" w:sz="4" w:space="0" w:color="auto"/>
              <w:right w:val="nil"/>
            </w:tcBorders>
            <w:shd w:val="clear" w:color="auto" w:fill="auto"/>
            <w:noWrap/>
            <w:vAlign w:val="bottom"/>
            <w:hideMark/>
          </w:tcPr>
          <w:p w14:paraId="3A479F89"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14</w:t>
            </w:r>
          </w:p>
        </w:tc>
        <w:tc>
          <w:tcPr>
            <w:tcW w:w="0" w:type="auto"/>
            <w:tcBorders>
              <w:top w:val="nil"/>
              <w:left w:val="nil"/>
              <w:bottom w:val="single" w:sz="4" w:space="0" w:color="auto"/>
              <w:right w:val="nil"/>
            </w:tcBorders>
            <w:shd w:val="clear" w:color="auto" w:fill="auto"/>
            <w:noWrap/>
            <w:vAlign w:val="bottom"/>
            <w:hideMark/>
          </w:tcPr>
          <w:p w14:paraId="68C02AC0"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w:t>
            </w:r>
          </w:p>
        </w:tc>
        <w:tc>
          <w:tcPr>
            <w:tcW w:w="0" w:type="auto"/>
            <w:tcBorders>
              <w:top w:val="nil"/>
              <w:left w:val="nil"/>
              <w:bottom w:val="single" w:sz="4" w:space="0" w:color="auto"/>
              <w:right w:val="nil"/>
            </w:tcBorders>
            <w:shd w:val="clear" w:color="auto" w:fill="auto"/>
            <w:noWrap/>
            <w:vAlign w:val="bottom"/>
            <w:hideMark/>
          </w:tcPr>
          <w:p w14:paraId="2F34FBBE"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1</w:t>
            </w:r>
          </w:p>
        </w:tc>
        <w:tc>
          <w:tcPr>
            <w:tcW w:w="0" w:type="auto"/>
            <w:tcBorders>
              <w:top w:val="nil"/>
              <w:left w:val="nil"/>
              <w:bottom w:val="single" w:sz="4" w:space="0" w:color="auto"/>
              <w:right w:val="nil"/>
            </w:tcBorders>
            <w:shd w:val="clear" w:color="auto" w:fill="auto"/>
            <w:noWrap/>
            <w:vAlign w:val="bottom"/>
            <w:hideMark/>
          </w:tcPr>
          <w:p w14:paraId="1EAA6265"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2</w:t>
            </w:r>
          </w:p>
        </w:tc>
        <w:tc>
          <w:tcPr>
            <w:tcW w:w="0" w:type="auto"/>
            <w:tcBorders>
              <w:top w:val="nil"/>
              <w:left w:val="nil"/>
              <w:bottom w:val="single" w:sz="4" w:space="0" w:color="auto"/>
              <w:right w:val="nil"/>
            </w:tcBorders>
            <w:shd w:val="clear" w:color="auto" w:fill="auto"/>
            <w:noWrap/>
            <w:vAlign w:val="bottom"/>
            <w:hideMark/>
          </w:tcPr>
          <w:p w14:paraId="098D8347" w14:textId="77777777" w:rsidR="00525EBC" w:rsidRPr="00513BF1" w:rsidRDefault="00525EBC" w:rsidP="00BB4811">
            <w:pPr>
              <w:spacing w:after="0" w:line="240" w:lineRule="auto"/>
              <w:jc w:val="center"/>
              <w:rPr>
                <w:rFonts w:ascii="Aptos Narrow" w:eastAsia="Times New Roman" w:hAnsi="Aptos Narrow" w:cs="Calibri"/>
                <w:color w:val="000000"/>
                <w:sz w:val="20"/>
                <w:szCs w:val="20"/>
                <w:lang w:eastAsia="de-DE"/>
              </w:rPr>
            </w:pPr>
            <w:r w:rsidRPr="00513BF1">
              <w:rPr>
                <w:rFonts w:ascii="Aptos Narrow" w:eastAsia="Times New Roman" w:hAnsi="Aptos Narrow" w:cs="Calibri"/>
                <w:color w:val="000000"/>
                <w:sz w:val="20"/>
                <w:szCs w:val="20"/>
                <w:lang w:eastAsia="de-DE"/>
              </w:rPr>
              <w:t>0</w:t>
            </w:r>
          </w:p>
        </w:tc>
      </w:tr>
    </w:tbl>
    <w:p w14:paraId="20E9D7C2" w14:textId="77777777" w:rsidR="00525EBC" w:rsidRPr="00582B13" w:rsidRDefault="00525EBC" w:rsidP="00525EBC">
      <w:pPr>
        <w:rPr>
          <w:sz w:val="20"/>
          <w:szCs w:val="20"/>
        </w:rPr>
      </w:pPr>
      <w:r w:rsidRPr="00582B13">
        <w:rPr>
          <w:sz w:val="20"/>
          <w:szCs w:val="20"/>
        </w:rPr>
        <w:t>Note: DPF</w:t>
      </w:r>
      <w:r>
        <w:rPr>
          <w:sz w:val="20"/>
          <w:szCs w:val="20"/>
        </w:rPr>
        <w:t xml:space="preserve">: </w:t>
      </w:r>
      <w:r w:rsidRPr="00582B13">
        <w:rPr>
          <w:sz w:val="20"/>
          <w:szCs w:val="20"/>
        </w:rPr>
        <w:t>EU-US Data Privacy Framework.</w:t>
      </w:r>
    </w:p>
    <w:p w14:paraId="27E28ED0" w14:textId="77777777" w:rsidR="00525EBC" w:rsidRDefault="00525EBC">
      <w:pPr>
        <w:rPr>
          <w:b/>
          <w:bCs/>
        </w:rPr>
      </w:pPr>
      <w:r>
        <w:rPr>
          <w:b/>
          <w:bCs/>
        </w:rPr>
        <w:br w:type="page"/>
      </w:r>
    </w:p>
    <w:p w14:paraId="16422DA4" w14:textId="2F4CA47C" w:rsidR="000F5E87" w:rsidRPr="0043260C" w:rsidRDefault="005C1E63" w:rsidP="00604F53">
      <w:pPr>
        <w:rPr>
          <w:b/>
          <w:bCs/>
        </w:rPr>
      </w:pPr>
      <w:r w:rsidRPr="0043260C">
        <w:rPr>
          <w:b/>
          <w:bCs/>
        </w:rPr>
        <w:lastRenderedPageBreak/>
        <w:t xml:space="preserve">Appendix Table </w:t>
      </w:r>
      <w:r w:rsidR="00525EBC" w:rsidRPr="0043260C">
        <w:rPr>
          <w:b/>
          <w:bCs/>
        </w:rPr>
        <w:t>A</w:t>
      </w:r>
      <w:r w:rsidR="00525EBC">
        <w:rPr>
          <w:b/>
          <w:bCs/>
        </w:rPr>
        <w:t>3</w:t>
      </w:r>
      <w:r w:rsidRPr="0043260C">
        <w:rPr>
          <w:b/>
          <w:bCs/>
        </w:rPr>
        <w:t xml:space="preserve">: Description and interpretation of all </w:t>
      </w:r>
      <w:r w:rsidR="00DC1822" w:rsidRPr="0043260C">
        <w:rPr>
          <w:b/>
          <w:bCs/>
        </w:rPr>
        <w:t>a</w:t>
      </w:r>
      <w:r w:rsidRPr="0043260C">
        <w:rPr>
          <w:b/>
          <w:bCs/>
        </w:rPr>
        <w:t>dequacy variables</w:t>
      </w:r>
    </w:p>
    <w:tbl>
      <w:tblPr>
        <w:tblW w:w="0" w:type="auto"/>
        <w:tblLayout w:type="fixed"/>
        <w:tblCellMar>
          <w:left w:w="70" w:type="dxa"/>
          <w:right w:w="70" w:type="dxa"/>
        </w:tblCellMar>
        <w:tblLook w:val="04A0" w:firstRow="1" w:lastRow="0" w:firstColumn="1" w:lastColumn="0" w:noHBand="0" w:noVBand="1"/>
      </w:tblPr>
      <w:tblGrid>
        <w:gridCol w:w="1134"/>
        <w:gridCol w:w="567"/>
        <w:gridCol w:w="4820"/>
        <w:gridCol w:w="2505"/>
      </w:tblGrid>
      <w:tr w:rsidR="003B2FB5" w:rsidRPr="00513BF1" w14:paraId="6F1F4E99" w14:textId="77777777" w:rsidTr="00B04BFC">
        <w:trPr>
          <w:trHeight w:val="530"/>
        </w:trPr>
        <w:tc>
          <w:tcPr>
            <w:tcW w:w="1134" w:type="dxa"/>
            <w:tcBorders>
              <w:top w:val="single" w:sz="4" w:space="0" w:color="auto"/>
              <w:left w:val="nil"/>
              <w:bottom w:val="single" w:sz="4" w:space="0" w:color="auto"/>
              <w:right w:val="nil"/>
            </w:tcBorders>
            <w:shd w:val="clear" w:color="auto" w:fill="auto"/>
            <w:noWrap/>
            <w:vAlign w:val="center"/>
          </w:tcPr>
          <w:p w14:paraId="13CDB35C" w14:textId="77777777" w:rsidR="005C1E63" w:rsidRPr="0031558B" w:rsidRDefault="005C1E63" w:rsidP="005E57B8">
            <w:pPr>
              <w:spacing w:after="0" w:line="240" w:lineRule="auto"/>
              <w:jc w:val="center"/>
              <w:rPr>
                <w:rFonts w:ascii="Aptos" w:eastAsia="Aptos" w:hAnsi="Aptos" w:cs="Times New Roman"/>
                <w:b/>
                <w:bCs/>
                <w:iCs/>
                <w:color w:val="000000"/>
                <w:lang w:eastAsia="de-DE"/>
              </w:rPr>
            </w:pPr>
            <w:r w:rsidRPr="0031558B">
              <w:rPr>
                <w:rFonts w:ascii="Aptos" w:eastAsia="Aptos" w:hAnsi="Aptos" w:cs="Times New Roman"/>
                <w:b/>
                <w:bCs/>
                <w:iCs/>
                <w:color w:val="000000"/>
                <w:lang w:eastAsia="de-DE"/>
              </w:rPr>
              <w:t xml:space="preserve">Variable </w:t>
            </w:r>
          </w:p>
        </w:tc>
        <w:tc>
          <w:tcPr>
            <w:tcW w:w="567" w:type="dxa"/>
            <w:tcBorders>
              <w:top w:val="single" w:sz="4" w:space="0" w:color="auto"/>
              <w:left w:val="nil"/>
              <w:bottom w:val="single" w:sz="4" w:space="0" w:color="auto"/>
              <w:right w:val="nil"/>
            </w:tcBorders>
            <w:vAlign w:val="center"/>
          </w:tcPr>
          <w:p w14:paraId="55668E3D" w14:textId="093719EA" w:rsidR="005C1E63" w:rsidRPr="0031558B" w:rsidRDefault="008E28AD" w:rsidP="005E57B8">
            <w:pPr>
              <w:spacing w:after="0" w:line="240" w:lineRule="auto"/>
              <w:jc w:val="center"/>
              <w:rPr>
                <w:rFonts w:ascii="Aptos" w:eastAsia="Aptos" w:hAnsi="Aptos" w:cs="Times New Roman"/>
                <w:b/>
                <w:bCs/>
                <w:iCs/>
                <w:color w:val="000000"/>
                <w:lang w:eastAsia="de-DE"/>
              </w:rPr>
            </w:pPr>
            <w:r>
              <w:rPr>
                <w:rFonts w:ascii="Aptos" w:eastAsia="Aptos" w:hAnsi="Aptos" w:cs="Times New Roman"/>
                <w:b/>
                <w:bCs/>
                <w:iCs/>
                <w:color w:val="000000"/>
                <w:lang w:eastAsia="de-DE"/>
              </w:rPr>
              <w:t>Unit</w:t>
            </w:r>
          </w:p>
        </w:tc>
        <w:tc>
          <w:tcPr>
            <w:tcW w:w="4820" w:type="dxa"/>
            <w:tcBorders>
              <w:top w:val="single" w:sz="4" w:space="0" w:color="auto"/>
              <w:left w:val="nil"/>
              <w:bottom w:val="single" w:sz="4" w:space="0" w:color="auto"/>
              <w:right w:val="nil"/>
            </w:tcBorders>
            <w:vAlign w:val="center"/>
          </w:tcPr>
          <w:p w14:paraId="5A6B8E61" w14:textId="77777777" w:rsidR="005C1E63" w:rsidRPr="0031558B" w:rsidRDefault="005C1E63" w:rsidP="0043260C">
            <w:pPr>
              <w:spacing w:after="0" w:line="240" w:lineRule="auto"/>
              <w:rPr>
                <w:rFonts w:ascii="Aptos" w:eastAsia="Aptos" w:hAnsi="Aptos" w:cs="Times New Roman"/>
                <w:b/>
                <w:bCs/>
                <w:iCs/>
                <w:color w:val="000000"/>
                <w:lang w:eastAsia="de-DE"/>
              </w:rPr>
            </w:pPr>
            <w:r w:rsidRPr="0031558B">
              <w:rPr>
                <w:rFonts w:ascii="Aptos" w:eastAsia="Aptos" w:hAnsi="Aptos" w:cs="Times New Roman"/>
                <w:b/>
                <w:bCs/>
                <w:iCs/>
                <w:color w:val="000000"/>
                <w:lang w:eastAsia="de-DE"/>
              </w:rPr>
              <w:t>Interpretation</w:t>
            </w:r>
          </w:p>
        </w:tc>
        <w:tc>
          <w:tcPr>
            <w:tcW w:w="2505" w:type="dxa"/>
            <w:tcBorders>
              <w:top w:val="single" w:sz="4" w:space="0" w:color="auto"/>
              <w:left w:val="nil"/>
              <w:bottom w:val="single" w:sz="4" w:space="0" w:color="auto"/>
              <w:right w:val="nil"/>
            </w:tcBorders>
            <w:vAlign w:val="center"/>
          </w:tcPr>
          <w:p w14:paraId="6B41FF5E" w14:textId="00C3D3B7" w:rsidR="005C1E63" w:rsidRPr="0031558B" w:rsidRDefault="00D4690A" w:rsidP="00604F53">
            <w:pPr>
              <w:spacing w:after="0" w:line="240" w:lineRule="auto"/>
              <w:jc w:val="center"/>
              <w:rPr>
                <w:rFonts w:ascii="Aptos" w:eastAsia="Aptos" w:hAnsi="Aptos" w:cs="Times New Roman"/>
                <w:b/>
                <w:bCs/>
                <w:iCs/>
                <w:color w:val="000000"/>
                <w:lang w:eastAsia="de-DE"/>
              </w:rPr>
            </w:pPr>
            <w:r>
              <w:rPr>
                <w:rFonts w:ascii="Aptos" w:eastAsia="Aptos" w:hAnsi="Aptos" w:cs="Times New Roman"/>
                <w:b/>
                <w:bCs/>
                <w:iCs/>
                <w:color w:val="000000"/>
                <w:lang w:eastAsia="de-DE"/>
              </w:rPr>
              <w:t>Sources</w:t>
            </w:r>
          </w:p>
        </w:tc>
      </w:tr>
      <w:tr w:rsidR="003B2FB5" w:rsidRPr="00513BF1" w14:paraId="355CB9A4" w14:textId="77777777" w:rsidTr="00B04BFC">
        <w:trPr>
          <w:trHeight w:val="144"/>
        </w:trPr>
        <w:tc>
          <w:tcPr>
            <w:tcW w:w="1134" w:type="dxa"/>
            <w:tcBorders>
              <w:top w:val="single" w:sz="4" w:space="0" w:color="auto"/>
              <w:left w:val="nil"/>
              <w:bottom w:val="single" w:sz="4" w:space="0" w:color="auto"/>
              <w:right w:val="nil"/>
            </w:tcBorders>
            <w:shd w:val="clear" w:color="auto" w:fill="auto"/>
            <w:noWrap/>
            <w:vAlign w:val="center"/>
            <w:hideMark/>
          </w:tcPr>
          <w:p w14:paraId="2A8BA065" w14:textId="01BCF44E" w:rsidR="005C1E63" w:rsidRPr="0043260C" w:rsidRDefault="00F47D10" w:rsidP="005E57B8">
            <w:pPr>
              <w:spacing w:line="276" w:lineRule="auto"/>
              <w:jc w:val="center"/>
              <w:rPr>
                <w:rFonts w:ascii="Aptos Narrow" w:eastAsia="Times New Roman" w:hAnsi="Aptos Narrow" w:cs="Times New Roman"/>
                <w:bCs/>
                <w:i/>
                <w:iCs/>
                <w:color w:val="000000"/>
                <w:sz w:val="20"/>
                <w:szCs w:val="20"/>
                <w:lang w:eastAsia="de-DE"/>
              </w:rPr>
            </w:pPr>
            <m:oMathPara>
              <m:oMathParaPr>
                <m:jc m:val="left"/>
              </m:oMathParaPr>
              <m:oMath>
                <m:r>
                  <w:rPr>
                    <w:rFonts w:ascii="Cambria Math" w:eastAsia="Times New Roman" w:hAnsi="Cambria Math" w:cs="Times New Roman"/>
                    <w:color w:val="000000"/>
                    <w:sz w:val="20"/>
                    <w:szCs w:val="20"/>
                    <w:lang w:eastAsia="de-DE"/>
                  </w:rPr>
                  <m:t>RAD</m:t>
                </m:r>
                <m:sSub>
                  <m:sSubPr>
                    <m:ctrlPr>
                      <w:rPr>
                        <w:rFonts w:ascii="Cambria Math" w:eastAsia="Times New Roman" w:hAnsi="Cambria Math" w:cs="Times New Roman"/>
                        <w:bCs/>
                        <w:i/>
                        <w:iCs/>
                        <w:color w:val="000000"/>
                        <w:sz w:val="20"/>
                        <w:szCs w:val="20"/>
                        <w:lang w:eastAsia="de-DE"/>
                      </w:rPr>
                    </m:ctrlPr>
                  </m:sSubPr>
                  <m:e>
                    <m:r>
                      <w:rPr>
                        <w:rFonts w:ascii="Cambria Math" w:eastAsia="Times New Roman" w:hAnsi="Cambria Math" w:cs="Times New Roman"/>
                        <w:color w:val="000000"/>
                        <w:sz w:val="20"/>
                        <w:szCs w:val="20"/>
                        <w:lang w:eastAsia="de-DE"/>
                      </w:rPr>
                      <m:t>Q</m:t>
                    </m:r>
                  </m:e>
                  <m:sub>
                    <m:r>
                      <w:rPr>
                        <w:rFonts w:ascii="Cambria Math" w:eastAsia="Times New Roman" w:hAnsi="Cambria Math" w:cs="Times New Roman"/>
                        <w:color w:val="000000"/>
                        <w:sz w:val="20"/>
                        <w:szCs w:val="20"/>
                        <w:lang w:eastAsia="de-DE"/>
                      </w:rPr>
                      <m:t>ijt</m:t>
                    </m:r>
                  </m:sub>
                </m:sSub>
              </m:oMath>
            </m:oMathPara>
          </w:p>
        </w:tc>
        <w:tc>
          <w:tcPr>
            <w:tcW w:w="567" w:type="dxa"/>
            <w:tcBorders>
              <w:top w:val="single" w:sz="4" w:space="0" w:color="auto"/>
              <w:left w:val="nil"/>
              <w:bottom w:val="single" w:sz="4" w:space="0" w:color="auto"/>
              <w:right w:val="nil"/>
            </w:tcBorders>
            <w:vAlign w:val="center"/>
          </w:tcPr>
          <w:p w14:paraId="49950A06" w14:textId="4DF86702" w:rsidR="005C1E63" w:rsidRPr="0031558B" w:rsidRDefault="005C1E63" w:rsidP="005E57B8">
            <w:pPr>
              <w:spacing w:line="276" w:lineRule="auto"/>
              <w:jc w:val="center"/>
              <w:rPr>
                <w:rFonts w:ascii="Aptos Narrow" w:eastAsia="Times New Roman" w:hAnsi="Aptos Narrow" w:cs="Times New Roman"/>
                <w:iCs/>
                <w:color w:val="000000"/>
                <w:sz w:val="20"/>
                <w:szCs w:val="20"/>
                <w:lang w:eastAsia="de-DE"/>
              </w:rPr>
            </w:pPr>
            <w:r w:rsidRPr="0031558B">
              <w:rPr>
                <w:rFonts w:ascii="Aptos Narrow" w:eastAsia="Times New Roman" w:hAnsi="Aptos Narrow" w:cs="Times New Roman"/>
                <w:iCs/>
                <w:color w:val="000000"/>
                <w:sz w:val="20"/>
                <w:szCs w:val="20"/>
                <w:lang w:eastAsia="de-DE"/>
              </w:rPr>
              <w:t>0</w:t>
            </w:r>
            <w:r w:rsidR="007E63F2">
              <w:rPr>
                <w:rFonts w:ascii="Aptos Narrow" w:eastAsia="Times New Roman" w:hAnsi="Aptos Narrow" w:cs="Times New Roman"/>
                <w:iCs/>
                <w:color w:val="000000"/>
                <w:sz w:val="20"/>
                <w:szCs w:val="20"/>
                <w:lang w:eastAsia="de-DE"/>
              </w:rPr>
              <w:t>-</w:t>
            </w:r>
            <w:r w:rsidRPr="0031558B">
              <w:rPr>
                <w:rFonts w:ascii="Aptos Narrow" w:eastAsia="Times New Roman" w:hAnsi="Aptos Narrow" w:cs="Times New Roman"/>
                <w:iCs/>
                <w:color w:val="000000"/>
                <w:sz w:val="20"/>
                <w:szCs w:val="20"/>
                <w:lang w:eastAsia="de-DE"/>
              </w:rPr>
              <w:t>1</w:t>
            </w:r>
          </w:p>
        </w:tc>
        <w:tc>
          <w:tcPr>
            <w:tcW w:w="4820" w:type="dxa"/>
            <w:tcBorders>
              <w:top w:val="single" w:sz="4" w:space="0" w:color="auto"/>
              <w:left w:val="nil"/>
              <w:bottom w:val="single" w:sz="4" w:space="0" w:color="auto"/>
              <w:right w:val="nil"/>
            </w:tcBorders>
            <w:vAlign w:val="center"/>
          </w:tcPr>
          <w:p w14:paraId="75AE5F05" w14:textId="2A4F037D" w:rsidR="005C1E63" w:rsidRPr="0031558B" w:rsidRDefault="005C1E63" w:rsidP="00B04BFC">
            <w:pPr>
              <w:spacing w:after="120" w:line="240" w:lineRule="auto"/>
              <w:ind w:right="-74"/>
              <w:jc w:val="both"/>
              <w:rPr>
                <w:rFonts w:ascii="Aptos Narrow" w:eastAsia="Times New Roman" w:hAnsi="Aptos Narrow" w:cs="Times New Roman"/>
                <w:iCs/>
                <w:color w:val="000000"/>
                <w:sz w:val="20"/>
                <w:szCs w:val="20"/>
                <w:lang w:eastAsia="de-DE"/>
              </w:rPr>
            </w:pPr>
            <w:r w:rsidRPr="0031558B">
              <w:rPr>
                <w:rFonts w:ascii="Aptos Narrow" w:eastAsia="Times New Roman" w:hAnsi="Aptos Narrow" w:cs="Times New Roman"/>
                <w:iCs/>
                <w:color w:val="000000"/>
                <w:sz w:val="20"/>
                <w:szCs w:val="20"/>
                <w:lang w:eastAsia="de-DE"/>
              </w:rPr>
              <w:t xml:space="preserve">Takes value 1 if </w:t>
            </w:r>
            <w:r w:rsidR="007E63F2">
              <w:rPr>
                <w:rFonts w:ascii="Aptos Narrow" w:eastAsia="Times New Roman" w:hAnsi="Aptos Narrow" w:cs="Times New Roman"/>
                <w:iCs/>
                <w:color w:val="000000"/>
                <w:sz w:val="20"/>
                <w:szCs w:val="20"/>
                <w:lang w:eastAsia="de-DE"/>
              </w:rPr>
              <w:t xml:space="preserve">there is an adequacy decision between the </w:t>
            </w:r>
            <w:r w:rsidRPr="0031558B">
              <w:rPr>
                <w:rFonts w:ascii="Aptos Narrow" w:eastAsia="Times New Roman" w:hAnsi="Aptos Narrow" w:cs="Times New Roman"/>
                <w:iCs/>
                <w:color w:val="000000"/>
                <w:sz w:val="20"/>
                <w:szCs w:val="20"/>
                <w:lang w:eastAsia="de-DE"/>
              </w:rPr>
              <w:t>EU</w:t>
            </w:r>
            <w:r w:rsidR="007E63F2">
              <w:rPr>
                <w:rFonts w:ascii="Aptos Narrow" w:eastAsia="Times New Roman" w:hAnsi="Aptos Narrow" w:cs="Times New Roman"/>
                <w:iCs/>
                <w:color w:val="000000"/>
                <w:sz w:val="20"/>
                <w:szCs w:val="20"/>
                <w:lang w:eastAsia="de-DE"/>
              </w:rPr>
              <w:t xml:space="preserve"> and </w:t>
            </w:r>
            <w:r w:rsidR="00403BE0">
              <w:rPr>
                <w:rFonts w:ascii="Aptos Narrow" w:eastAsia="Times New Roman" w:hAnsi="Aptos Narrow" w:cs="Times New Roman"/>
                <w:iCs/>
                <w:color w:val="000000"/>
                <w:sz w:val="20"/>
                <w:szCs w:val="20"/>
                <w:lang w:eastAsia="de-DE"/>
              </w:rPr>
              <w:t>partner</w:t>
            </w:r>
            <w:r w:rsidRPr="0031558B">
              <w:rPr>
                <w:rFonts w:ascii="Aptos Narrow" w:eastAsia="Times New Roman" w:hAnsi="Aptos Narrow" w:cs="Times New Roman"/>
                <w:iCs/>
                <w:color w:val="000000"/>
                <w:sz w:val="20"/>
                <w:szCs w:val="20"/>
                <w:lang w:eastAsia="de-DE"/>
              </w:rPr>
              <w:t xml:space="preserve"> country</w:t>
            </w:r>
            <w:r w:rsidR="007E63F2">
              <w:rPr>
                <w:rFonts w:ascii="Aptos Narrow" w:eastAsia="Times New Roman" w:hAnsi="Aptos Narrow" w:cs="Times New Roman"/>
                <w:iCs/>
                <w:color w:val="000000"/>
                <w:sz w:val="20"/>
                <w:szCs w:val="20"/>
                <w:lang w:eastAsia="de-DE"/>
              </w:rPr>
              <w:t xml:space="preserve"> </w:t>
            </w:r>
            <w:r w:rsidR="007E63F2">
              <w:rPr>
                <w:rFonts w:ascii="Aptos Narrow" w:eastAsia="Times New Roman" w:hAnsi="Aptos Narrow" w:cs="Times New Roman"/>
                <w:i/>
                <w:color w:val="000000"/>
                <w:sz w:val="20"/>
                <w:szCs w:val="20"/>
                <w:lang w:eastAsia="de-DE"/>
              </w:rPr>
              <w:t>j</w:t>
            </w:r>
            <w:r w:rsidRPr="0031558B">
              <w:rPr>
                <w:rFonts w:ascii="Aptos Narrow" w:eastAsia="Times New Roman" w:hAnsi="Aptos Narrow" w:cs="Times New Roman"/>
                <w:iCs/>
                <w:color w:val="000000"/>
                <w:sz w:val="20"/>
                <w:szCs w:val="20"/>
                <w:lang w:eastAsia="de-DE"/>
              </w:rPr>
              <w:t xml:space="preserve"> </w:t>
            </w:r>
            <w:r w:rsidR="007E63F2">
              <w:rPr>
                <w:rFonts w:ascii="Aptos Narrow" w:eastAsia="Times New Roman" w:hAnsi="Aptos Narrow" w:cs="Times New Roman"/>
                <w:iCs/>
                <w:color w:val="000000"/>
                <w:sz w:val="20"/>
                <w:szCs w:val="20"/>
                <w:lang w:eastAsia="de-DE"/>
              </w:rPr>
              <w:t>(</w:t>
            </w:r>
            <w:r w:rsidR="007E63F2">
              <w:rPr>
                <w:rFonts w:ascii="Aptos Narrow" w:eastAsia="Times New Roman" w:hAnsi="Aptos Narrow" w:cs="Times New Roman"/>
                <w:i/>
                <w:color w:val="000000"/>
                <w:sz w:val="20"/>
                <w:szCs w:val="20"/>
                <w:lang w:eastAsia="de-DE"/>
              </w:rPr>
              <w:t>j ≠ U</w:t>
            </w:r>
            <w:r w:rsidR="00B04BFC">
              <w:rPr>
                <w:rFonts w:ascii="Aptos Narrow" w:eastAsia="Times New Roman" w:hAnsi="Aptos Narrow" w:cs="Times New Roman"/>
                <w:i/>
                <w:color w:val="000000"/>
                <w:sz w:val="20"/>
                <w:szCs w:val="20"/>
                <w:lang w:eastAsia="de-DE"/>
              </w:rPr>
              <w:t>.</w:t>
            </w:r>
            <w:r w:rsidR="007E63F2">
              <w:rPr>
                <w:rFonts w:ascii="Aptos Narrow" w:eastAsia="Times New Roman" w:hAnsi="Aptos Narrow" w:cs="Times New Roman"/>
                <w:i/>
                <w:color w:val="000000"/>
                <w:sz w:val="20"/>
                <w:szCs w:val="20"/>
                <w:lang w:eastAsia="de-DE"/>
              </w:rPr>
              <w:t>S</w:t>
            </w:r>
            <w:r w:rsidR="00B04BFC">
              <w:rPr>
                <w:rFonts w:ascii="Aptos Narrow" w:eastAsia="Times New Roman" w:hAnsi="Aptos Narrow" w:cs="Times New Roman"/>
                <w:i/>
                <w:color w:val="000000"/>
                <w:sz w:val="20"/>
                <w:szCs w:val="20"/>
                <w:lang w:eastAsia="de-DE"/>
              </w:rPr>
              <w:t>.</w:t>
            </w:r>
            <w:r w:rsidR="007E63F2">
              <w:rPr>
                <w:rFonts w:ascii="Aptos Narrow" w:eastAsia="Times New Roman" w:hAnsi="Aptos Narrow" w:cs="Times New Roman"/>
                <w:iCs/>
                <w:color w:val="000000"/>
                <w:sz w:val="20"/>
                <w:szCs w:val="20"/>
                <w:lang w:eastAsia="de-DE"/>
              </w:rPr>
              <w:t>), i.e., for all EU member state</w:t>
            </w:r>
            <w:r w:rsidR="00B04BFC">
              <w:rPr>
                <w:rFonts w:ascii="Aptos Narrow" w:eastAsia="Times New Roman" w:hAnsi="Aptos Narrow" w:cs="Times New Roman"/>
                <w:iCs/>
                <w:color w:val="000000"/>
                <w:sz w:val="20"/>
                <w:szCs w:val="20"/>
                <w:lang w:eastAsia="de-DE"/>
              </w:rPr>
              <w:t>s</w:t>
            </w:r>
            <w:r w:rsidR="007E63F2">
              <w:rPr>
                <w:rFonts w:ascii="Aptos Narrow" w:eastAsia="Times New Roman" w:hAnsi="Aptos Narrow" w:cs="Times New Roman"/>
                <w:iCs/>
                <w:color w:val="000000"/>
                <w:sz w:val="20"/>
                <w:szCs w:val="20"/>
                <w:lang w:eastAsia="de-DE"/>
              </w:rPr>
              <w:t xml:space="preserve"> </w:t>
            </w:r>
            <w:r w:rsidR="007E63F2">
              <w:rPr>
                <w:rFonts w:ascii="Aptos Narrow" w:eastAsia="Times New Roman" w:hAnsi="Aptos Narrow" w:cs="Times New Roman"/>
                <w:i/>
                <w:color w:val="000000"/>
                <w:sz w:val="20"/>
                <w:szCs w:val="20"/>
                <w:lang w:eastAsia="de-DE"/>
              </w:rPr>
              <w:t xml:space="preserve">i </w:t>
            </w:r>
            <w:r w:rsidR="007E63F2" w:rsidRPr="007E63F2">
              <w:rPr>
                <w:rFonts w:ascii="Aptos Narrow" w:eastAsia="Times New Roman" w:hAnsi="Aptos Narrow" w:cs="Times New Roman"/>
                <w:iCs/>
                <w:color w:val="000000"/>
                <w:sz w:val="20"/>
                <w:szCs w:val="20"/>
                <w:lang w:eastAsia="de-DE"/>
              </w:rPr>
              <w:t xml:space="preserve">and </w:t>
            </w:r>
            <w:r w:rsidR="007E63F2">
              <w:rPr>
                <w:rFonts w:ascii="Aptos Narrow" w:eastAsia="Times New Roman" w:hAnsi="Aptos Narrow" w:cs="Times New Roman"/>
                <w:iCs/>
                <w:color w:val="000000"/>
                <w:sz w:val="20"/>
                <w:szCs w:val="20"/>
                <w:lang w:eastAsia="de-DE"/>
              </w:rPr>
              <w:t xml:space="preserve">country </w:t>
            </w:r>
            <w:r w:rsidR="007E63F2">
              <w:rPr>
                <w:rFonts w:ascii="Aptos Narrow" w:eastAsia="Times New Roman" w:hAnsi="Aptos Narrow" w:cs="Times New Roman"/>
                <w:i/>
                <w:color w:val="000000"/>
                <w:sz w:val="20"/>
                <w:szCs w:val="20"/>
                <w:lang w:eastAsia="de-DE"/>
              </w:rPr>
              <w:t>j</w:t>
            </w:r>
          </w:p>
        </w:tc>
        <w:tc>
          <w:tcPr>
            <w:tcW w:w="2505" w:type="dxa"/>
            <w:vMerge w:val="restart"/>
            <w:tcBorders>
              <w:top w:val="single" w:sz="4" w:space="0" w:color="auto"/>
              <w:left w:val="nil"/>
              <w:bottom w:val="single" w:sz="4" w:space="0" w:color="auto"/>
              <w:right w:val="nil"/>
            </w:tcBorders>
            <w:vAlign w:val="center"/>
          </w:tcPr>
          <w:p w14:paraId="3D8030A9" w14:textId="3C49AE85" w:rsidR="005C1E63" w:rsidRPr="0031558B" w:rsidRDefault="00D4690A" w:rsidP="00604F53">
            <w:pPr>
              <w:spacing w:line="276" w:lineRule="auto"/>
              <w:jc w:val="center"/>
              <w:rPr>
                <w:rFonts w:ascii="Aptos Narrow" w:eastAsia="Times New Roman" w:hAnsi="Aptos Narrow" w:cs="Times New Roman"/>
                <w:iCs/>
                <w:color w:val="000000"/>
                <w:sz w:val="20"/>
                <w:szCs w:val="20"/>
                <w:lang w:eastAsia="de-DE"/>
              </w:rPr>
            </w:pPr>
            <w:r>
              <w:rPr>
                <w:rFonts w:ascii="Aptos Narrow" w:eastAsia="Times New Roman" w:hAnsi="Aptos Narrow" w:cs="Times New Roman"/>
                <w:iCs/>
                <w:color w:val="000000"/>
                <w:sz w:val="20"/>
                <w:szCs w:val="20"/>
                <w:lang w:eastAsia="de-DE"/>
              </w:rPr>
              <w:t>European Commission</w:t>
            </w:r>
          </w:p>
        </w:tc>
      </w:tr>
      <w:tr w:rsidR="003B2FB5" w:rsidRPr="00513BF1" w14:paraId="6167C432" w14:textId="77777777" w:rsidTr="00B04BFC">
        <w:trPr>
          <w:trHeight w:val="144"/>
        </w:trPr>
        <w:tc>
          <w:tcPr>
            <w:tcW w:w="1134" w:type="dxa"/>
            <w:tcBorders>
              <w:top w:val="single" w:sz="4" w:space="0" w:color="auto"/>
              <w:left w:val="nil"/>
              <w:bottom w:val="single" w:sz="4" w:space="0" w:color="auto"/>
              <w:right w:val="nil"/>
            </w:tcBorders>
            <w:shd w:val="clear" w:color="auto" w:fill="auto"/>
            <w:noWrap/>
            <w:vAlign w:val="center"/>
            <w:hideMark/>
          </w:tcPr>
          <w:p w14:paraId="615B8596" w14:textId="4E42F0DA" w:rsidR="005C1E63" w:rsidRPr="0043260C" w:rsidRDefault="00F47D10" w:rsidP="005E57B8">
            <w:pPr>
              <w:spacing w:line="276" w:lineRule="auto"/>
              <w:rPr>
                <w:rFonts w:ascii="Aptos Narrow" w:eastAsia="Times New Roman" w:hAnsi="Aptos Narrow" w:cs="Times New Roman"/>
                <w:bCs/>
                <w:i/>
                <w:iCs/>
                <w:color w:val="000000"/>
                <w:sz w:val="20"/>
                <w:szCs w:val="20"/>
                <w:lang w:eastAsia="de-DE"/>
              </w:rPr>
            </w:pPr>
            <m:oMathPara>
              <m:oMathParaPr>
                <m:jc m:val="left"/>
              </m:oMathParaPr>
              <m:oMath>
                <m:r>
                  <w:rPr>
                    <w:rFonts w:ascii="Cambria Math" w:eastAsia="Times New Roman" w:hAnsi="Cambria Math" w:cs="Times New Roman"/>
                    <w:color w:val="000000"/>
                    <w:sz w:val="20"/>
                    <w:szCs w:val="20"/>
                    <w:lang w:eastAsia="de-DE"/>
                  </w:rPr>
                  <m:t>SH/P</m:t>
                </m:r>
                <m:sSub>
                  <m:sSubPr>
                    <m:ctrlPr>
                      <w:rPr>
                        <w:rFonts w:ascii="Cambria Math" w:eastAsia="Times New Roman" w:hAnsi="Cambria Math" w:cs="Times New Roman"/>
                        <w:bCs/>
                        <w:i/>
                        <w:iCs/>
                        <w:color w:val="000000"/>
                        <w:sz w:val="20"/>
                        <w:szCs w:val="20"/>
                        <w:lang w:eastAsia="de-DE"/>
                      </w:rPr>
                    </m:ctrlPr>
                  </m:sSubPr>
                  <m:e>
                    <m:r>
                      <w:rPr>
                        <w:rFonts w:ascii="Cambria Math" w:eastAsia="Times New Roman" w:hAnsi="Cambria Math" w:cs="Times New Roman"/>
                        <w:color w:val="000000"/>
                        <w:sz w:val="20"/>
                        <w:szCs w:val="20"/>
                        <w:lang w:eastAsia="de-DE"/>
                      </w:rPr>
                      <m:t>S</m:t>
                    </m:r>
                  </m:e>
                  <m:sub>
                    <m:r>
                      <w:rPr>
                        <w:rFonts w:ascii="Cambria Math" w:eastAsia="Times New Roman" w:hAnsi="Cambria Math" w:cs="Times New Roman"/>
                        <w:color w:val="000000"/>
                        <w:sz w:val="20"/>
                        <w:szCs w:val="20"/>
                        <w:lang w:eastAsia="de-DE"/>
                      </w:rPr>
                      <m:t>ijt</m:t>
                    </m:r>
                  </m:sub>
                </m:sSub>
              </m:oMath>
            </m:oMathPara>
          </w:p>
        </w:tc>
        <w:tc>
          <w:tcPr>
            <w:tcW w:w="567" w:type="dxa"/>
            <w:tcBorders>
              <w:top w:val="single" w:sz="4" w:space="0" w:color="auto"/>
              <w:left w:val="nil"/>
              <w:bottom w:val="single" w:sz="4" w:space="0" w:color="auto"/>
              <w:right w:val="nil"/>
            </w:tcBorders>
            <w:vAlign w:val="center"/>
          </w:tcPr>
          <w:p w14:paraId="0F20B106" w14:textId="77777777" w:rsidR="005C1E63" w:rsidRPr="0031558B" w:rsidRDefault="005C1E63" w:rsidP="005E57B8">
            <w:pPr>
              <w:spacing w:line="276" w:lineRule="auto"/>
              <w:jc w:val="center"/>
              <w:rPr>
                <w:rFonts w:ascii="Aptos Narrow" w:eastAsia="Times New Roman" w:hAnsi="Aptos Narrow" w:cs="Times New Roman"/>
                <w:iCs/>
                <w:color w:val="000000"/>
                <w:sz w:val="20"/>
                <w:szCs w:val="20"/>
                <w:lang w:eastAsia="de-DE"/>
              </w:rPr>
            </w:pPr>
            <w:r w:rsidRPr="0031558B">
              <w:rPr>
                <w:rFonts w:ascii="Aptos Narrow" w:eastAsia="Times New Roman" w:hAnsi="Aptos Narrow" w:cs="Times New Roman"/>
                <w:iCs/>
                <w:color w:val="000000"/>
                <w:sz w:val="20"/>
                <w:szCs w:val="20"/>
                <w:lang w:eastAsia="de-DE"/>
              </w:rPr>
              <w:t>0-1</w:t>
            </w:r>
          </w:p>
        </w:tc>
        <w:tc>
          <w:tcPr>
            <w:tcW w:w="4820" w:type="dxa"/>
            <w:tcBorders>
              <w:top w:val="single" w:sz="4" w:space="0" w:color="auto"/>
              <w:left w:val="nil"/>
              <w:bottom w:val="single" w:sz="4" w:space="0" w:color="auto"/>
              <w:right w:val="nil"/>
            </w:tcBorders>
            <w:vAlign w:val="center"/>
          </w:tcPr>
          <w:p w14:paraId="7433EB60" w14:textId="53B74BA2" w:rsidR="005C1E63" w:rsidRPr="0031558B" w:rsidRDefault="005C1E63" w:rsidP="00B04BFC">
            <w:pPr>
              <w:spacing w:after="120" w:line="240" w:lineRule="auto"/>
              <w:jc w:val="both"/>
              <w:rPr>
                <w:rFonts w:ascii="Aptos Narrow" w:eastAsia="Times New Roman" w:hAnsi="Aptos Narrow" w:cs="Times New Roman"/>
                <w:iCs/>
                <w:color w:val="000000"/>
                <w:sz w:val="20"/>
                <w:szCs w:val="20"/>
                <w:lang w:eastAsia="de-DE"/>
              </w:rPr>
            </w:pPr>
            <w:r w:rsidRPr="0031558B">
              <w:rPr>
                <w:rFonts w:ascii="Aptos Narrow" w:eastAsia="Times New Roman" w:hAnsi="Aptos Narrow" w:cs="Times New Roman"/>
                <w:iCs/>
                <w:color w:val="000000"/>
                <w:sz w:val="20"/>
                <w:szCs w:val="20"/>
                <w:lang w:eastAsia="de-DE"/>
              </w:rPr>
              <w:t>Takes value 1 if th</w:t>
            </w:r>
            <w:r w:rsidR="007E63F2">
              <w:rPr>
                <w:rFonts w:ascii="Aptos Narrow" w:eastAsia="Times New Roman" w:hAnsi="Aptos Narrow" w:cs="Times New Roman"/>
                <w:iCs/>
                <w:color w:val="000000"/>
                <w:sz w:val="20"/>
                <w:szCs w:val="20"/>
                <w:lang w:eastAsia="de-DE"/>
              </w:rPr>
              <w:t>er</w:t>
            </w:r>
            <w:r w:rsidRPr="0031558B">
              <w:rPr>
                <w:rFonts w:ascii="Aptos Narrow" w:eastAsia="Times New Roman" w:hAnsi="Aptos Narrow" w:cs="Times New Roman"/>
                <w:iCs/>
                <w:color w:val="000000"/>
                <w:sz w:val="20"/>
                <w:szCs w:val="20"/>
                <w:lang w:eastAsia="de-DE"/>
              </w:rPr>
              <w:t xml:space="preserve">e </w:t>
            </w:r>
            <w:r w:rsidR="007E63F2">
              <w:rPr>
                <w:rFonts w:ascii="Aptos Narrow" w:eastAsia="Times New Roman" w:hAnsi="Aptos Narrow" w:cs="Times New Roman"/>
                <w:iCs/>
                <w:color w:val="000000"/>
                <w:sz w:val="20"/>
                <w:szCs w:val="20"/>
                <w:lang w:eastAsia="de-DE"/>
              </w:rPr>
              <w:t xml:space="preserve">is an adequacy framework between the </w:t>
            </w:r>
            <w:r w:rsidR="005339F0">
              <w:rPr>
                <w:rFonts w:ascii="Aptos Narrow" w:eastAsia="Times New Roman" w:hAnsi="Aptos Narrow" w:cs="Times New Roman"/>
                <w:iCs/>
                <w:color w:val="000000"/>
                <w:sz w:val="20"/>
                <w:szCs w:val="20"/>
                <w:lang w:eastAsia="de-DE"/>
              </w:rPr>
              <w:t xml:space="preserve">EU </w:t>
            </w:r>
            <w:r w:rsidR="00F022F8">
              <w:rPr>
                <w:rFonts w:ascii="Aptos Narrow" w:eastAsia="Times New Roman" w:hAnsi="Aptos Narrow" w:cs="Times New Roman"/>
                <w:iCs/>
                <w:color w:val="000000"/>
                <w:sz w:val="20"/>
                <w:szCs w:val="20"/>
                <w:lang w:eastAsia="de-DE"/>
              </w:rPr>
              <w:t xml:space="preserve">and </w:t>
            </w:r>
            <w:r w:rsidRPr="0031558B">
              <w:rPr>
                <w:rFonts w:ascii="Aptos Narrow" w:eastAsia="Times New Roman" w:hAnsi="Aptos Narrow" w:cs="Times New Roman"/>
                <w:iCs/>
                <w:color w:val="000000"/>
                <w:sz w:val="20"/>
                <w:szCs w:val="20"/>
                <w:lang w:eastAsia="de-DE"/>
              </w:rPr>
              <w:t>the US</w:t>
            </w:r>
          </w:p>
        </w:tc>
        <w:tc>
          <w:tcPr>
            <w:tcW w:w="2505" w:type="dxa"/>
            <w:vMerge/>
            <w:tcBorders>
              <w:top w:val="single" w:sz="4" w:space="0" w:color="auto"/>
              <w:left w:val="nil"/>
              <w:bottom w:val="single" w:sz="4" w:space="0" w:color="auto"/>
              <w:right w:val="nil"/>
            </w:tcBorders>
            <w:vAlign w:val="center"/>
          </w:tcPr>
          <w:p w14:paraId="06D9A48F" w14:textId="77777777" w:rsidR="005C1E63" w:rsidRPr="0031558B" w:rsidRDefault="005C1E63" w:rsidP="00604F53">
            <w:pPr>
              <w:spacing w:line="276" w:lineRule="auto"/>
              <w:jc w:val="center"/>
              <w:rPr>
                <w:rFonts w:ascii="Aptos Narrow" w:eastAsia="Times New Roman" w:hAnsi="Aptos Narrow" w:cs="Times New Roman"/>
                <w:iCs/>
                <w:color w:val="000000"/>
                <w:sz w:val="20"/>
                <w:szCs w:val="20"/>
                <w:lang w:eastAsia="de-DE"/>
              </w:rPr>
            </w:pPr>
          </w:p>
        </w:tc>
      </w:tr>
      <w:tr w:rsidR="003B2FB5" w:rsidRPr="00513BF1" w14:paraId="27DDD6E2" w14:textId="77777777" w:rsidTr="00B04BFC">
        <w:trPr>
          <w:trHeight w:val="144"/>
        </w:trPr>
        <w:tc>
          <w:tcPr>
            <w:tcW w:w="1134" w:type="dxa"/>
            <w:tcBorders>
              <w:top w:val="single" w:sz="4" w:space="0" w:color="auto"/>
              <w:left w:val="nil"/>
              <w:bottom w:val="single" w:sz="4" w:space="0" w:color="auto"/>
              <w:right w:val="nil"/>
            </w:tcBorders>
            <w:shd w:val="clear" w:color="auto" w:fill="auto"/>
            <w:noWrap/>
            <w:vAlign w:val="center"/>
            <w:hideMark/>
          </w:tcPr>
          <w:p w14:paraId="73A69986" w14:textId="729A87A7" w:rsidR="005C1E63" w:rsidRPr="0043260C" w:rsidRDefault="00F47D10" w:rsidP="005E57B8">
            <w:pPr>
              <w:spacing w:line="276" w:lineRule="auto"/>
              <w:jc w:val="center"/>
              <w:rPr>
                <w:rFonts w:ascii="Aptos Narrow" w:eastAsia="Times New Roman" w:hAnsi="Aptos Narrow" w:cs="Times New Roman"/>
                <w:bCs/>
                <w:i/>
                <w:iCs/>
                <w:color w:val="000000"/>
                <w:sz w:val="20"/>
                <w:szCs w:val="20"/>
                <w:lang w:eastAsia="de-DE"/>
              </w:rPr>
            </w:pPr>
            <m:oMathPara>
              <m:oMathParaPr>
                <m:jc m:val="left"/>
              </m:oMathParaPr>
              <m:oMath>
                <m:r>
                  <w:rPr>
                    <w:rFonts w:ascii="Cambria Math" w:eastAsia="Times New Roman" w:hAnsi="Cambria Math" w:cs="Times New Roman"/>
                    <w:color w:val="000000"/>
                    <w:sz w:val="20"/>
                    <w:szCs w:val="20"/>
                    <w:lang w:eastAsia="de-DE"/>
                  </w:rPr>
                  <m:t>RAD</m:t>
                </m:r>
                <m:sSubSup>
                  <m:sSubSupPr>
                    <m:ctrlPr>
                      <w:rPr>
                        <w:rFonts w:ascii="Cambria Math" w:eastAsia="Times New Roman" w:hAnsi="Cambria Math" w:cs="Times New Roman"/>
                        <w:bCs/>
                        <w:i/>
                        <w:iCs/>
                        <w:color w:val="000000"/>
                        <w:sz w:val="20"/>
                        <w:szCs w:val="20"/>
                        <w:lang w:eastAsia="de-DE"/>
                      </w:rPr>
                    </m:ctrlPr>
                  </m:sSubSupPr>
                  <m:e>
                    <m:r>
                      <w:rPr>
                        <w:rFonts w:ascii="Cambria Math" w:eastAsia="Times New Roman" w:hAnsi="Cambria Math" w:cs="Times New Roman"/>
                        <w:color w:val="000000"/>
                        <w:sz w:val="20"/>
                        <w:szCs w:val="20"/>
                        <w:lang w:eastAsia="de-DE"/>
                      </w:rPr>
                      <m:t>Q</m:t>
                    </m:r>
                  </m:e>
                  <m:sub>
                    <m:r>
                      <w:rPr>
                        <w:rFonts w:ascii="Cambria Math" w:eastAsia="Times New Roman" w:hAnsi="Cambria Math" w:cs="Times New Roman"/>
                        <w:color w:val="000000"/>
                        <w:sz w:val="20"/>
                        <w:szCs w:val="20"/>
                        <w:lang w:eastAsia="de-DE"/>
                      </w:rPr>
                      <m:t>ijt</m:t>
                    </m:r>
                  </m:sub>
                  <m:sup>
                    <m:r>
                      <w:rPr>
                        <w:rFonts w:ascii="Cambria Math" w:eastAsia="Times New Roman" w:hAnsi="Cambria Math" w:cs="Times New Roman"/>
                        <w:color w:val="000000"/>
                        <w:sz w:val="20"/>
                        <w:szCs w:val="20"/>
                        <w:lang w:eastAsia="de-DE"/>
                      </w:rPr>
                      <m:t>Club</m:t>
                    </m:r>
                  </m:sup>
                </m:sSubSup>
              </m:oMath>
            </m:oMathPara>
          </w:p>
        </w:tc>
        <w:tc>
          <w:tcPr>
            <w:tcW w:w="567" w:type="dxa"/>
            <w:tcBorders>
              <w:top w:val="single" w:sz="4" w:space="0" w:color="auto"/>
              <w:left w:val="nil"/>
              <w:bottom w:val="single" w:sz="4" w:space="0" w:color="auto"/>
              <w:right w:val="nil"/>
            </w:tcBorders>
            <w:vAlign w:val="center"/>
          </w:tcPr>
          <w:p w14:paraId="595C9FFE" w14:textId="77777777" w:rsidR="005C1E63" w:rsidRPr="0031558B" w:rsidRDefault="005C1E63" w:rsidP="005E57B8">
            <w:pPr>
              <w:spacing w:line="276" w:lineRule="auto"/>
              <w:jc w:val="center"/>
              <w:rPr>
                <w:rFonts w:ascii="Aptos Narrow" w:eastAsia="Times New Roman" w:hAnsi="Aptos Narrow" w:cs="Times New Roman"/>
                <w:iCs/>
                <w:color w:val="000000"/>
                <w:sz w:val="20"/>
                <w:szCs w:val="20"/>
                <w:lang w:eastAsia="de-DE"/>
              </w:rPr>
            </w:pPr>
            <w:r w:rsidRPr="0031558B">
              <w:rPr>
                <w:rFonts w:ascii="Aptos Narrow" w:eastAsia="Times New Roman" w:hAnsi="Aptos Narrow" w:cs="Times New Roman"/>
                <w:iCs/>
                <w:color w:val="000000"/>
                <w:sz w:val="20"/>
                <w:szCs w:val="20"/>
                <w:lang w:eastAsia="de-DE"/>
              </w:rPr>
              <w:t>0-1</w:t>
            </w:r>
          </w:p>
        </w:tc>
        <w:tc>
          <w:tcPr>
            <w:tcW w:w="4820" w:type="dxa"/>
            <w:tcBorders>
              <w:top w:val="single" w:sz="4" w:space="0" w:color="auto"/>
              <w:left w:val="nil"/>
              <w:bottom w:val="single" w:sz="4" w:space="0" w:color="auto"/>
              <w:right w:val="nil"/>
            </w:tcBorders>
            <w:vAlign w:val="center"/>
          </w:tcPr>
          <w:p w14:paraId="5172A5EB" w14:textId="34458F1A" w:rsidR="005C1E63" w:rsidRPr="0031558B" w:rsidRDefault="005C1E63" w:rsidP="00B04BFC">
            <w:pPr>
              <w:spacing w:after="120" w:line="240" w:lineRule="auto"/>
              <w:jc w:val="both"/>
              <w:rPr>
                <w:rFonts w:ascii="Aptos Narrow" w:eastAsia="Times New Roman" w:hAnsi="Aptos Narrow" w:cs="Times New Roman"/>
                <w:iCs/>
                <w:color w:val="000000"/>
                <w:sz w:val="20"/>
                <w:szCs w:val="20"/>
                <w:lang w:eastAsia="de-DE"/>
              </w:rPr>
            </w:pPr>
            <w:r w:rsidRPr="0031558B">
              <w:rPr>
                <w:rFonts w:ascii="Aptos Narrow" w:eastAsia="Times New Roman" w:hAnsi="Aptos Narrow" w:cs="Times New Roman"/>
                <w:iCs/>
                <w:color w:val="000000"/>
                <w:sz w:val="20"/>
                <w:szCs w:val="20"/>
                <w:lang w:eastAsia="de-DE"/>
              </w:rPr>
              <w:t xml:space="preserve">Takes value 1 if the </w:t>
            </w:r>
            <w:r w:rsidR="00B04BFC">
              <w:rPr>
                <w:rFonts w:ascii="Aptos Narrow" w:eastAsia="Times New Roman" w:hAnsi="Aptos Narrow" w:cs="Times New Roman"/>
                <w:i/>
                <w:color w:val="000000"/>
                <w:sz w:val="20"/>
                <w:szCs w:val="20"/>
                <w:lang w:eastAsia="de-DE"/>
              </w:rPr>
              <w:t xml:space="preserve">i </w:t>
            </w:r>
            <w:r w:rsidR="00B04BFC">
              <w:rPr>
                <w:rFonts w:ascii="Aptos Narrow" w:eastAsia="Times New Roman" w:hAnsi="Aptos Narrow" w:cs="Times New Roman"/>
                <w:iCs/>
                <w:color w:val="000000"/>
                <w:sz w:val="20"/>
                <w:szCs w:val="20"/>
                <w:lang w:eastAsia="de-DE"/>
              </w:rPr>
              <w:t xml:space="preserve">and </w:t>
            </w:r>
            <w:r w:rsidR="00B04BFC">
              <w:rPr>
                <w:rFonts w:ascii="Aptos Narrow" w:eastAsia="Times New Roman" w:hAnsi="Aptos Narrow" w:cs="Times New Roman"/>
                <w:i/>
                <w:color w:val="000000"/>
                <w:sz w:val="20"/>
                <w:szCs w:val="20"/>
                <w:lang w:eastAsia="de-DE"/>
              </w:rPr>
              <w:t xml:space="preserve">j </w:t>
            </w:r>
            <w:r w:rsidR="00B04BFC">
              <w:rPr>
                <w:rFonts w:ascii="Aptos Narrow" w:eastAsia="Times New Roman" w:hAnsi="Aptos Narrow" w:cs="Times New Roman"/>
                <w:iCs/>
                <w:color w:val="000000"/>
                <w:sz w:val="20"/>
                <w:szCs w:val="20"/>
                <w:lang w:eastAsia="de-DE"/>
              </w:rPr>
              <w:t xml:space="preserve">have </w:t>
            </w:r>
            <w:r w:rsidR="00CE4EE5">
              <w:rPr>
                <w:rFonts w:ascii="Aptos Narrow" w:eastAsia="Times New Roman" w:hAnsi="Aptos Narrow" w:cs="Times New Roman"/>
                <w:iCs/>
                <w:color w:val="000000"/>
                <w:sz w:val="20"/>
                <w:szCs w:val="20"/>
                <w:lang w:eastAsia="de-DE"/>
              </w:rPr>
              <w:t>adequacy</w:t>
            </w:r>
            <w:r w:rsidR="00B04BFC">
              <w:rPr>
                <w:rFonts w:ascii="Aptos Narrow" w:eastAsia="Times New Roman" w:hAnsi="Aptos Narrow" w:cs="Times New Roman"/>
                <w:iCs/>
                <w:color w:val="000000"/>
                <w:sz w:val="20"/>
                <w:szCs w:val="20"/>
                <w:lang w:eastAsia="de-DE"/>
              </w:rPr>
              <w:t xml:space="preserve"> status</w:t>
            </w:r>
            <w:r w:rsidR="00CE4EE5">
              <w:rPr>
                <w:rFonts w:ascii="Aptos Narrow" w:eastAsia="Times New Roman" w:hAnsi="Aptos Narrow" w:cs="Times New Roman"/>
                <w:iCs/>
                <w:color w:val="000000"/>
                <w:sz w:val="20"/>
                <w:szCs w:val="20"/>
                <w:lang w:eastAsia="de-DE"/>
              </w:rPr>
              <w:t xml:space="preserve"> </w:t>
            </w:r>
            <w:r w:rsidR="00B04BFC">
              <w:rPr>
                <w:rFonts w:ascii="Aptos Narrow" w:eastAsia="Times New Roman" w:hAnsi="Aptos Narrow" w:cs="Times New Roman"/>
                <w:iCs/>
                <w:color w:val="000000"/>
                <w:sz w:val="20"/>
                <w:szCs w:val="20"/>
                <w:lang w:eastAsia="de-DE"/>
              </w:rPr>
              <w:t>(</w:t>
            </w:r>
            <w:r w:rsidR="00B04BFC">
              <w:rPr>
                <w:rFonts w:ascii="Aptos Narrow" w:eastAsia="Times New Roman" w:hAnsi="Aptos Narrow" w:cs="Times New Roman"/>
                <w:i/>
                <w:color w:val="000000"/>
                <w:sz w:val="20"/>
                <w:szCs w:val="20"/>
                <w:lang w:eastAsia="de-DE"/>
              </w:rPr>
              <w:t>j ≠ U.S.</w:t>
            </w:r>
            <w:r w:rsidR="00B04BFC">
              <w:rPr>
                <w:rFonts w:ascii="Aptos Narrow" w:eastAsia="Times New Roman" w:hAnsi="Aptos Narrow" w:cs="Times New Roman"/>
                <w:iCs/>
                <w:color w:val="000000"/>
                <w:sz w:val="20"/>
                <w:szCs w:val="20"/>
                <w:lang w:eastAsia="de-DE"/>
              </w:rPr>
              <w:t>)</w:t>
            </w:r>
          </w:p>
        </w:tc>
        <w:tc>
          <w:tcPr>
            <w:tcW w:w="2505" w:type="dxa"/>
            <w:vMerge/>
            <w:tcBorders>
              <w:top w:val="single" w:sz="4" w:space="0" w:color="auto"/>
              <w:left w:val="nil"/>
              <w:bottom w:val="single" w:sz="4" w:space="0" w:color="auto"/>
              <w:right w:val="nil"/>
            </w:tcBorders>
            <w:vAlign w:val="center"/>
          </w:tcPr>
          <w:p w14:paraId="36540FA0" w14:textId="77777777" w:rsidR="005C1E63" w:rsidRPr="0031558B" w:rsidRDefault="005C1E63" w:rsidP="00604F53">
            <w:pPr>
              <w:spacing w:line="276" w:lineRule="auto"/>
              <w:jc w:val="center"/>
              <w:rPr>
                <w:rFonts w:ascii="Aptos Narrow" w:eastAsia="Times New Roman" w:hAnsi="Aptos Narrow" w:cs="Times New Roman"/>
                <w:iCs/>
                <w:color w:val="000000"/>
                <w:sz w:val="20"/>
                <w:szCs w:val="20"/>
                <w:lang w:eastAsia="de-DE"/>
              </w:rPr>
            </w:pPr>
          </w:p>
        </w:tc>
      </w:tr>
      <w:tr w:rsidR="003B2FB5" w:rsidRPr="00214DDE" w14:paraId="693D8A79" w14:textId="77777777" w:rsidTr="00B04BFC">
        <w:trPr>
          <w:trHeight w:val="144"/>
        </w:trPr>
        <w:tc>
          <w:tcPr>
            <w:tcW w:w="1134" w:type="dxa"/>
            <w:tcBorders>
              <w:top w:val="single" w:sz="4" w:space="0" w:color="auto"/>
              <w:left w:val="nil"/>
              <w:bottom w:val="single" w:sz="4" w:space="0" w:color="auto"/>
              <w:right w:val="nil"/>
            </w:tcBorders>
            <w:shd w:val="clear" w:color="auto" w:fill="auto"/>
            <w:noWrap/>
            <w:vAlign w:val="center"/>
            <w:hideMark/>
          </w:tcPr>
          <w:p w14:paraId="52F231B3" w14:textId="59C71092" w:rsidR="005C1E63" w:rsidRPr="0043260C" w:rsidRDefault="00F47D10" w:rsidP="005E57B8">
            <w:pPr>
              <w:spacing w:line="276" w:lineRule="auto"/>
              <w:jc w:val="center"/>
              <w:rPr>
                <w:rFonts w:ascii="Aptos Narrow" w:eastAsia="Times New Roman" w:hAnsi="Aptos Narrow" w:cs="Times New Roman"/>
                <w:bCs/>
                <w:i/>
                <w:iCs/>
                <w:color w:val="000000"/>
                <w:sz w:val="20"/>
                <w:szCs w:val="20"/>
                <w:lang w:eastAsia="de-DE"/>
              </w:rPr>
            </w:pPr>
            <m:oMathPara>
              <m:oMathParaPr>
                <m:jc m:val="left"/>
              </m:oMathParaPr>
              <m:oMath>
                <m:r>
                  <w:rPr>
                    <w:rFonts w:ascii="Cambria Math" w:eastAsia="Times New Roman" w:hAnsi="Cambria Math" w:cs="Times New Roman"/>
                    <w:color w:val="000000"/>
                    <w:sz w:val="20"/>
                    <w:szCs w:val="20"/>
                    <w:lang w:eastAsia="de-DE"/>
                  </w:rPr>
                  <m:t>SH/P</m:t>
                </m:r>
                <m:sSubSup>
                  <m:sSubSupPr>
                    <m:ctrlPr>
                      <w:rPr>
                        <w:rFonts w:ascii="Cambria Math" w:eastAsia="Times New Roman" w:hAnsi="Cambria Math" w:cs="Times New Roman"/>
                        <w:bCs/>
                        <w:i/>
                        <w:iCs/>
                        <w:color w:val="000000"/>
                        <w:sz w:val="20"/>
                        <w:szCs w:val="20"/>
                        <w:lang w:eastAsia="de-DE"/>
                      </w:rPr>
                    </m:ctrlPr>
                  </m:sSubSupPr>
                  <m:e>
                    <m:r>
                      <w:rPr>
                        <w:rFonts w:ascii="Cambria Math" w:eastAsia="Times New Roman" w:hAnsi="Cambria Math" w:cs="Times New Roman"/>
                        <w:color w:val="000000"/>
                        <w:sz w:val="20"/>
                        <w:szCs w:val="20"/>
                        <w:lang w:eastAsia="de-DE"/>
                      </w:rPr>
                      <m:t>S</m:t>
                    </m:r>
                  </m:e>
                  <m:sub>
                    <m:r>
                      <w:rPr>
                        <w:rFonts w:ascii="Cambria Math" w:eastAsia="Times New Roman" w:hAnsi="Cambria Math" w:cs="Times New Roman"/>
                        <w:color w:val="000000"/>
                        <w:sz w:val="20"/>
                        <w:szCs w:val="20"/>
                        <w:lang w:eastAsia="de-DE"/>
                      </w:rPr>
                      <m:t>ijt</m:t>
                    </m:r>
                  </m:sub>
                  <m:sup>
                    <m:r>
                      <w:rPr>
                        <w:rFonts w:ascii="Cambria Math" w:eastAsia="Times New Roman" w:hAnsi="Cambria Math" w:cs="Times New Roman"/>
                        <w:color w:val="000000"/>
                        <w:sz w:val="20"/>
                        <w:szCs w:val="20"/>
                        <w:lang w:eastAsia="de-DE"/>
                      </w:rPr>
                      <m:t>Club</m:t>
                    </m:r>
                  </m:sup>
                </m:sSubSup>
              </m:oMath>
            </m:oMathPara>
          </w:p>
        </w:tc>
        <w:tc>
          <w:tcPr>
            <w:tcW w:w="567" w:type="dxa"/>
            <w:tcBorders>
              <w:top w:val="single" w:sz="4" w:space="0" w:color="auto"/>
              <w:left w:val="nil"/>
              <w:bottom w:val="single" w:sz="4" w:space="0" w:color="auto"/>
              <w:right w:val="nil"/>
            </w:tcBorders>
            <w:vAlign w:val="center"/>
          </w:tcPr>
          <w:p w14:paraId="30698AF4" w14:textId="77777777" w:rsidR="005C1E63" w:rsidRPr="0031558B" w:rsidRDefault="005C1E63" w:rsidP="005E57B8">
            <w:pPr>
              <w:spacing w:line="276" w:lineRule="auto"/>
              <w:jc w:val="center"/>
              <w:rPr>
                <w:rFonts w:ascii="Aptos Narrow" w:eastAsia="Times New Roman" w:hAnsi="Aptos Narrow" w:cs="Times New Roman"/>
                <w:iCs/>
                <w:color w:val="000000"/>
                <w:sz w:val="20"/>
                <w:szCs w:val="20"/>
                <w:lang w:eastAsia="de-DE"/>
              </w:rPr>
            </w:pPr>
            <w:r w:rsidRPr="0031558B">
              <w:rPr>
                <w:rFonts w:ascii="Aptos Narrow" w:eastAsia="Times New Roman" w:hAnsi="Aptos Narrow" w:cs="Times New Roman"/>
                <w:iCs/>
                <w:color w:val="000000"/>
                <w:sz w:val="20"/>
                <w:szCs w:val="20"/>
                <w:lang w:eastAsia="de-DE"/>
              </w:rPr>
              <w:t>0-1</w:t>
            </w:r>
          </w:p>
        </w:tc>
        <w:tc>
          <w:tcPr>
            <w:tcW w:w="4820" w:type="dxa"/>
            <w:tcBorders>
              <w:top w:val="single" w:sz="4" w:space="0" w:color="auto"/>
              <w:left w:val="nil"/>
              <w:bottom w:val="single" w:sz="4" w:space="0" w:color="auto"/>
              <w:right w:val="nil"/>
            </w:tcBorders>
            <w:vAlign w:val="center"/>
          </w:tcPr>
          <w:p w14:paraId="5C046DD5" w14:textId="65DE3F1B" w:rsidR="005C1E63" w:rsidRPr="0031558B" w:rsidRDefault="005C1E63" w:rsidP="00B04BFC">
            <w:pPr>
              <w:spacing w:after="120" w:line="240" w:lineRule="auto"/>
              <w:jc w:val="both"/>
              <w:rPr>
                <w:rFonts w:ascii="Aptos Narrow" w:eastAsia="Times New Roman" w:hAnsi="Aptos Narrow" w:cs="Times New Roman"/>
                <w:iCs/>
                <w:color w:val="000000"/>
                <w:sz w:val="20"/>
                <w:szCs w:val="20"/>
                <w:lang w:eastAsia="de-DE"/>
              </w:rPr>
            </w:pPr>
            <w:r w:rsidRPr="0031558B">
              <w:rPr>
                <w:rFonts w:ascii="Aptos Narrow" w:eastAsia="Times New Roman" w:hAnsi="Aptos Narrow" w:cs="Times New Roman"/>
                <w:iCs/>
                <w:color w:val="000000"/>
                <w:sz w:val="20"/>
                <w:szCs w:val="20"/>
                <w:lang w:eastAsia="de-DE"/>
              </w:rPr>
              <w:t>Takes value 1 if the pair involve</w:t>
            </w:r>
            <w:r w:rsidR="00403BE0">
              <w:rPr>
                <w:rFonts w:ascii="Aptos Narrow" w:eastAsia="Times New Roman" w:hAnsi="Aptos Narrow" w:cs="Times New Roman"/>
                <w:iCs/>
                <w:color w:val="000000"/>
                <w:sz w:val="20"/>
                <w:szCs w:val="20"/>
                <w:lang w:eastAsia="de-DE"/>
              </w:rPr>
              <w:t>s</w:t>
            </w:r>
            <w:r w:rsidRPr="0031558B">
              <w:rPr>
                <w:rFonts w:ascii="Aptos Narrow" w:eastAsia="Times New Roman" w:hAnsi="Aptos Narrow" w:cs="Times New Roman"/>
                <w:iCs/>
                <w:color w:val="000000"/>
                <w:sz w:val="20"/>
                <w:szCs w:val="20"/>
                <w:lang w:eastAsia="de-DE"/>
              </w:rPr>
              <w:t xml:space="preserve"> the US and a</w:t>
            </w:r>
            <w:r w:rsidR="0059323A">
              <w:rPr>
                <w:rFonts w:ascii="Aptos Narrow" w:eastAsia="Times New Roman" w:hAnsi="Aptos Narrow" w:cs="Times New Roman"/>
                <w:iCs/>
                <w:color w:val="000000"/>
                <w:sz w:val="20"/>
                <w:szCs w:val="20"/>
                <w:lang w:eastAsia="de-DE"/>
              </w:rPr>
              <w:t xml:space="preserve">ny </w:t>
            </w:r>
            <w:r w:rsidRPr="0031558B">
              <w:rPr>
                <w:rFonts w:ascii="Aptos Narrow" w:eastAsia="Times New Roman" w:hAnsi="Aptos Narrow" w:cs="Times New Roman"/>
                <w:iCs/>
                <w:color w:val="000000"/>
                <w:sz w:val="20"/>
                <w:szCs w:val="20"/>
                <w:lang w:eastAsia="de-DE"/>
              </w:rPr>
              <w:t>country which has been granted adequacy</w:t>
            </w:r>
          </w:p>
        </w:tc>
        <w:tc>
          <w:tcPr>
            <w:tcW w:w="2505" w:type="dxa"/>
            <w:vMerge/>
            <w:tcBorders>
              <w:top w:val="single" w:sz="4" w:space="0" w:color="auto"/>
              <w:left w:val="nil"/>
              <w:bottom w:val="single" w:sz="4" w:space="0" w:color="auto"/>
              <w:right w:val="nil"/>
            </w:tcBorders>
            <w:vAlign w:val="center"/>
          </w:tcPr>
          <w:p w14:paraId="30F67140" w14:textId="77777777" w:rsidR="005C1E63" w:rsidRPr="0031558B" w:rsidRDefault="005C1E63" w:rsidP="00604F53">
            <w:pPr>
              <w:spacing w:line="276" w:lineRule="auto"/>
              <w:jc w:val="center"/>
              <w:rPr>
                <w:rFonts w:ascii="Aptos Narrow" w:eastAsia="Times New Roman" w:hAnsi="Aptos Narrow" w:cs="Times New Roman"/>
                <w:iCs/>
                <w:color w:val="000000"/>
                <w:sz w:val="20"/>
                <w:szCs w:val="20"/>
                <w:lang w:eastAsia="de-DE"/>
              </w:rPr>
            </w:pPr>
          </w:p>
        </w:tc>
      </w:tr>
      <w:tr w:rsidR="003B2FB5" w:rsidRPr="00513BF1" w14:paraId="2B07E42C" w14:textId="77777777" w:rsidTr="00B04BFC">
        <w:trPr>
          <w:trHeight w:val="144"/>
        </w:trPr>
        <w:tc>
          <w:tcPr>
            <w:tcW w:w="1134" w:type="dxa"/>
            <w:tcBorders>
              <w:top w:val="single" w:sz="4" w:space="0" w:color="auto"/>
              <w:left w:val="nil"/>
              <w:bottom w:val="single" w:sz="4" w:space="0" w:color="auto"/>
              <w:right w:val="nil"/>
            </w:tcBorders>
            <w:shd w:val="clear" w:color="auto" w:fill="auto"/>
            <w:noWrap/>
            <w:vAlign w:val="center"/>
          </w:tcPr>
          <w:p w14:paraId="7878EF11" w14:textId="7ACE7A03" w:rsidR="005C1E63" w:rsidRPr="0043260C" w:rsidRDefault="00000000" w:rsidP="005E57B8">
            <w:pPr>
              <w:spacing w:line="276" w:lineRule="auto"/>
              <w:jc w:val="center"/>
              <w:rPr>
                <w:rFonts w:ascii="Aptos Narrow" w:eastAsia="Times New Roman" w:hAnsi="Aptos Narrow" w:cs="Times New Roman"/>
                <w:bCs/>
                <w:color w:val="000000"/>
                <w:sz w:val="18"/>
                <w:szCs w:val="18"/>
                <w:lang w:eastAsia="de-DE"/>
              </w:rPr>
            </w:pPr>
            <m:oMathPara>
              <m:oMathParaPr>
                <m:jc m:val="left"/>
              </m:oMathParaPr>
              <m:oMath>
                <m:sSub>
                  <m:sSubPr>
                    <m:ctrlPr>
                      <w:rPr>
                        <w:rFonts w:ascii="Cambria Math" w:eastAsia="Times New Roman" w:hAnsi="Cambria Math" w:cs="Times New Roman"/>
                        <w:bCs/>
                        <w:i/>
                        <w:color w:val="000000"/>
                        <w:sz w:val="18"/>
                        <w:szCs w:val="18"/>
                        <w:lang w:eastAsia="de-DE"/>
                      </w:rPr>
                    </m:ctrlPr>
                  </m:sSubPr>
                  <m:e>
                    <m:r>
                      <w:rPr>
                        <w:rFonts w:ascii="Cambria Math" w:eastAsia="Times New Roman" w:hAnsi="Cambria Math" w:cs="Times New Roman"/>
                        <w:color w:val="000000"/>
                        <w:sz w:val="18"/>
                        <w:szCs w:val="18"/>
                        <w:lang w:eastAsia="de-DE"/>
                      </w:rPr>
                      <m:t>I</m:t>
                    </m:r>
                  </m:e>
                  <m:sub>
                    <m:r>
                      <w:rPr>
                        <w:rFonts w:ascii="Cambria Math" w:eastAsia="Times New Roman" w:hAnsi="Cambria Math" w:cs="Times New Roman"/>
                        <w:color w:val="000000"/>
                        <w:sz w:val="18"/>
                        <w:szCs w:val="18"/>
                        <w:lang w:eastAsia="de-DE"/>
                      </w:rPr>
                      <m:t>k</m:t>
                    </m:r>
                  </m:sub>
                </m:sSub>
              </m:oMath>
            </m:oMathPara>
          </w:p>
        </w:tc>
        <w:tc>
          <w:tcPr>
            <w:tcW w:w="567" w:type="dxa"/>
            <w:tcBorders>
              <w:top w:val="single" w:sz="4" w:space="0" w:color="auto"/>
              <w:left w:val="nil"/>
              <w:bottom w:val="single" w:sz="4" w:space="0" w:color="auto"/>
              <w:right w:val="nil"/>
            </w:tcBorders>
            <w:vAlign w:val="center"/>
          </w:tcPr>
          <w:p w14:paraId="52786645" w14:textId="77777777" w:rsidR="005C1E63" w:rsidRPr="0031558B" w:rsidRDefault="005C1E63" w:rsidP="005E57B8">
            <w:pPr>
              <w:spacing w:line="276" w:lineRule="auto"/>
              <w:jc w:val="center"/>
              <w:rPr>
                <w:rFonts w:ascii="Aptos Narrow" w:eastAsia="Times New Roman" w:hAnsi="Aptos Narrow" w:cs="Times New Roman"/>
                <w:iCs/>
                <w:color w:val="000000"/>
                <w:sz w:val="20"/>
                <w:szCs w:val="20"/>
                <w:lang w:eastAsia="de-DE"/>
              </w:rPr>
            </w:pPr>
            <w:r w:rsidRPr="0031558B">
              <w:rPr>
                <w:rFonts w:ascii="Aptos Narrow" w:eastAsia="Times New Roman" w:hAnsi="Aptos Narrow" w:cs="Times New Roman"/>
                <w:iCs/>
                <w:color w:val="000000"/>
                <w:sz w:val="20"/>
                <w:szCs w:val="20"/>
                <w:lang w:eastAsia="de-DE"/>
              </w:rPr>
              <w:t>0-1</w:t>
            </w:r>
          </w:p>
        </w:tc>
        <w:tc>
          <w:tcPr>
            <w:tcW w:w="4820" w:type="dxa"/>
            <w:tcBorders>
              <w:top w:val="single" w:sz="4" w:space="0" w:color="auto"/>
              <w:left w:val="nil"/>
              <w:bottom w:val="single" w:sz="4" w:space="0" w:color="auto"/>
              <w:right w:val="nil"/>
            </w:tcBorders>
            <w:vAlign w:val="center"/>
          </w:tcPr>
          <w:p w14:paraId="6FF85216" w14:textId="0A4E418C" w:rsidR="005C1E63" w:rsidRPr="0031558B" w:rsidRDefault="005C1E63" w:rsidP="00B04BFC">
            <w:pPr>
              <w:spacing w:after="120" w:line="240" w:lineRule="auto"/>
              <w:jc w:val="both"/>
              <w:rPr>
                <w:rFonts w:ascii="Aptos Narrow" w:eastAsia="Times New Roman" w:hAnsi="Aptos Narrow" w:cs="Times New Roman"/>
                <w:iCs/>
                <w:color w:val="000000"/>
                <w:sz w:val="20"/>
                <w:szCs w:val="20"/>
                <w:lang w:eastAsia="de-DE"/>
              </w:rPr>
            </w:pPr>
            <w:r w:rsidRPr="0031558B">
              <w:rPr>
                <w:rFonts w:ascii="Aptos Narrow" w:eastAsia="Times New Roman" w:hAnsi="Aptos Narrow" w:cs="Times New Roman"/>
                <w:iCs/>
                <w:color w:val="000000"/>
                <w:sz w:val="20"/>
                <w:szCs w:val="20"/>
                <w:lang w:eastAsia="de-DE"/>
              </w:rPr>
              <w:t xml:space="preserve">Takes value one if industry K is included in </w:t>
            </w:r>
            <w:r w:rsidR="00B04BFC">
              <w:rPr>
                <w:rFonts w:ascii="Aptos Narrow" w:eastAsia="Times New Roman" w:hAnsi="Aptos Narrow" w:cs="Times New Roman"/>
                <w:iCs/>
                <w:color w:val="000000"/>
                <w:sz w:val="20"/>
                <w:szCs w:val="20"/>
                <w:lang w:eastAsia="de-DE"/>
              </w:rPr>
              <w:t xml:space="preserve">the </w:t>
            </w:r>
            <w:r w:rsidRPr="0031558B">
              <w:rPr>
                <w:rFonts w:ascii="Aptos Narrow" w:eastAsia="Times New Roman" w:hAnsi="Aptos Narrow" w:cs="Times New Roman"/>
                <w:iCs/>
                <w:color w:val="000000"/>
                <w:sz w:val="20"/>
                <w:szCs w:val="20"/>
                <w:lang w:eastAsia="de-DE"/>
              </w:rPr>
              <w:t xml:space="preserve">definition of digital </w:t>
            </w:r>
            <w:r w:rsidR="00B04BFC">
              <w:rPr>
                <w:rFonts w:ascii="Aptos Narrow" w:eastAsia="Times New Roman" w:hAnsi="Aptos Narrow" w:cs="Times New Roman"/>
                <w:iCs/>
                <w:color w:val="000000"/>
                <w:sz w:val="20"/>
                <w:szCs w:val="20"/>
                <w:lang w:eastAsia="de-DE"/>
              </w:rPr>
              <w:t xml:space="preserve">trade </w:t>
            </w:r>
          </w:p>
        </w:tc>
        <w:tc>
          <w:tcPr>
            <w:tcW w:w="2505" w:type="dxa"/>
            <w:tcBorders>
              <w:top w:val="single" w:sz="4" w:space="0" w:color="auto"/>
              <w:left w:val="nil"/>
              <w:bottom w:val="single" w:sz="4" w:space="0" w:color="auto"/>
              <w:right w:val="nil"/>
            </w:tcBorders>
            <w:vAlign w:val="center"/>
          </w:tcPr>
          <w:p w14:paraId="2471FAD9" w14:textId="4601B346" w:rsidR="005C1E63" w:rsidRPr="0031558B" w:rsidRDefault="000035D2" w:rsidP="00604F53">
            <w:pPr>
              <w:spacing w:line="276" w:lineRule="auto"/>
              <w:jc w:val="center"/>
              <w:rPr>
                <w:rFonts w:ascii="Aptos Narrow" w:eastAsia="Times New Roman" w:hAnsi="Aptos Narrow" w:cs="Times New Roman"/>
                <w:iCs/>
                <w:color w:val="000000"/>
                <w:sz w:val="20"/>
                <w:szCs w:val="20"/>
                <w:lang w:eastAsia="de-DE"/>
              </w:rPr>
            </w:pPr>
            <w:r>
              <w:rPr>
                <w:rFonts w:ascii="Aptos Narrow" w:eastAsia="Times New Roman" w:hAnsi="Aptos Narrow" w:cs="Times New Roman"/>
                <w:iCs/>
                <w:color w:val="000000"/>
                <w:sz w:val="20"/>
                <w:szCs w:val="20"/>
                <w:lang w:eastAsia="de-DE"/>
              </w:rPr>
              <w:t xml:space="preserve">Own </w:t>
            </w:r>
            <w:r w:rsidR="005D62C2">
              <w:rPr>
                <w:rFonts w:ascii="Aptos Narrow" w:eastAsia="Times New Roman" w:hAnsi="Aptos Narrow" w:cs="Times New Roman"/>
                <w:iCs/>
                <w:color w:val="000000"/>
                <w:sz w:val="20"/>
                <w:szCs w:val="20"/>
                <w:lang w:eastAsia="de-DE"/>
              </w:rPr>
              <w:t xml:space="preserve">calculations </w:t>
            </w:r>
            <w:r>
              <w:rPr>
                <w:rFonts w:ascii="Aptos Narrow" w:eastAsia="Times New Roman" w:hAnsi="Aptos Narrow" w:cs="Times New Roman"/>
                <w:iCs/>
                <w:color w:val="000000"/>
                <w:sz w:val="20"/>
                <w:szCs w:val="20"/>
                <w:lang w:eastAsia="de-DE"/>
              </w:rPr>
              <w:t xml:space="preserve">using </w:t>
            </w:r>
            <w:r w:rsidR="008578F3">
              <w:rPr>
                <w:rFonts w:ascii="Aptos Narrow" w:eastAsia="Times New Roman" w:hAnsi="Aptos Narrow" w:cs="Times New Roman"/>
                <w:iCs/>
                <w:color w:val="000000"/>
                <w:sz w:val="20"/>
                <w:szCs w:val="20"/>
                <w:lang w:eastAsia="de-DE"/>
              </w:rPr>
              <w:t>D</w:t>
            </w:r>
            <w:r w:rsidR="00C74AEF">
              <w:rPr>
                <w:rFonts w:ascii="Aptos Narrow" w:eastAsia="Times New Roman" w:hAnsi="Aptos Narrow" w:cs="Times New Roman"/>
                <w:iCs/>
                <w:color w:val="000000"/>
                <w:sz w:val="20"/>
                <w:szCs w:val="20"/>
                <w:lang w:eastAsia="de-DE"/>
              </w:rPr>
              <w:t>PF and OECD (2023)</w:t>
            </w:r>
          </w:p>
        </w:tc>
      </w:tr>
      <w:tr w:rsidR="003B2FB5" w:rsidRPr="00513BF1" w14:paraId="137A3FF1" w14:textId="77777777" w:rsidTr="00B04BFC">
        <w:trPr>
          <w:trHeight w:val="319"/>
        </w:trPr>
        <w:tc>
          <w:tcPr>
            <w:tcW w:w="1134" w:type="dxa"/>
            <w:tcBorders>
              <w:top w:val="single" w:sz="4" w:space="0" w:color="auto"/>
              <w:left w:val="nil"/>
              <w:bottom w:val="single" w:sz="4" w:space="0" w:color="auto"/>
              <w:right w:val="nil"/>
            </w:tcBorders>
            <w:shd w:val="clear" w:color="auto" w:fill="auto"/>
            <w:noWrap/>
            <w:vAlign w:val="center"/>
          </w:tcPr>
          <w:p w14:paraId="7CB3EA09" w14:textId="3B5F84D6" w:rsidR="005C1E63" w:rsidRPr="0043260C" w:rsidRDefault="00F47D10" w:rsidP="005E57B8">
            <w:pPr>
              <w:spacing w:line="276" w:lineRule="auto"/>
              <w:jc w:val="center"/>
              <w:rPr>
                <w:rFonts w:ascii="Aptos Narrow" w:eastAsia="Times New Roman" w:hAnsi="Aptos Narrow" w:cs="Times New Roman"/>
                <w:bCs/>
                <w:color w:val="000000"/>
                <w:sz w:val="18"/>
                <w:szCs w:val="18"/>
                <w:lang w:eastAsia="de-DE"/>
              </w:rPr>
            </w:pPr>
            <m:oMathPara>
              <m:oMathParaPr>
                <m:jc m:val="left"/>
              </m:oMathParaPr>
              <m:oMath>
                <m:r>
                  <w:rPr>
                    <w:rFonts w:ascii="Cambria Math" w:eastAsia="Times New Roman" w:hAnsi="Cambria Math" w:cs="Times New Roman"/>
                    <w:color w:val="000000"/>
                    <w:sz w:val="20"/>
                    <w:szCs w:val="20"/>
                    <w:lang w:eastAsia="de-DE"/>
                  </w:rPr>
                  <m:t>D</m:t>
                </m:r>
                <m:sSub>
                  <m:sSubPr>
                    <m:ctrlPr>
                      <w:rPr>
                        <w:rFonts w:ascii="Cambria Math" w:eastAsia="Times New Roman" w:hAnsi="Cambria Math" w:cs="Times New Roman"/>
                        <w:bCs/>
                        <w:i/>
                        <w:iCs/>
                        <w:color w:val="000000"/>
                        <w:sz w:val="20"/>
                        <w:szCs w:val="20"/>
                        <w:lang w:eastAsia="de-DE"/>
                      </w:rPr>
                    </m:ctrlPr>
                  </m:sSubPr>
                  <m:e>
                    <m:r>
                      <w:rPr>
                        <w:rFonts w:ascii="Cambria Math" w:eastAsia="Times New Roman" w:hAnsi="Cambria Math" w:cs="Times New Roman"/>
                        <w:color w:val="000000"/>
                        <w:sz w:val="20"/>
                        <w:szCs w:val="20"/>
                        <w:lang w:eastAsia="de-DE"/>
                      </w:rPr>
                      <m:t>I</m:t>
                    </m:r>
                  </m:e>
                  <m:sub>
                    <m:r>
                      <w:rPr>
                        <w:rFonts w:ascii="Cambria Math" w:eastAsia="Times New Roman" w:hAnsi="Cambria Math" w:cs="Times New Roman"/>
                        <w:color w:val="000000"/>
                        <w:sz w:val="20"/>
                        <w:szCs w:val="20"/>
                        <w:lang w:eastAsia="de-DE"/>
                      </w:rPr>
                      <m:t>k</m:t>
                    </m:r>
                  </m:sub>
                </m:sSub>
              </m:oMath>
            </m:oMathPara>
          </w:p>
        </w:tc>
        <w:tc>
          <w:tcPr>
            <w:tcW w:w="567" w:type="dxa"/>
            <w:tcBorders>
              <w:top w:val="single" w:sz="4" w:space="0" w:color="auto"/>
              <w:left w:val="nil"/>
              <w:bottom w:val="single" w:sz="4" w:space="0" w:color="auto"/>
              <w:right w:val="nil"/>
            </w:tcBorders>
            <w:vAlign w:val="center"/>
          </w:tcPr>
          <w:p w14:paraId="645379E8" w14:textId="58A0E6D5" w:rsidR="005C1E63" w:rsidRPr="00B04BFC" w:rsidRDefault="00B04BFC" w:rsidP="005C1E63">
            <w:pPr>
              <w:spacing w:line="276" w:lineRule="auto"/>
              <w:jc w:val="center"/>
              <w:rPr>
                <w:rFonts w:ascii="Aptos Narrow" w:eastAsia="Times New Roman" w:hAnsi="Aptos Narrow" w:cs="Times New Roman"/>
                <w:i/>
                <w:color w:val="000000"/>
                <w:sz w:val="20"/>
                <w:szCs w:val="20"/>
                <w:lang w:eastAsia="de-DE"/>
              </w:rPr>
            </w:pPr>
            <w:r>
              <w:rPr>
                <w:rFonts w:ascii="Aptos Narrow" w:eastAsia="Times New Roman" w:hAnsi="Aptos Narrow" w:cs="Times New Roman"/>
                <w:i/>
                <w:color w:val="000000"/>
                <w:sz w:val="20"/>
                <w:szCs w:val="20"/>
                <w:lang w:eastAsia="de-DE"/>
              </w:rPr>
              <w:t>R &gt; 0</w:t>
            </w:r>
          </w:p>
        </w:tc>
        <w:tc>
          <w:tcPr>
            <w:tcW w:w="4820" w:type="dxa"/>
            <w:tcBorders>
              <w:top w:val="single" w:sz="4" w:space="0" w:color="auto"/>
              <w:left w:val="nil"/>
              <w:bottom w:val="single" w:sz="4" w:space="0" w:color="auto"/>
              <w:right w:val="nil"/>
            </w:tcBorders>
            <w:vAlign w:val="center"/>
          </w:tcPr>
          <w:p w14:paraId="7178B450" w14:textId="6A860E8C" w:rsidR="005C1E63" w:rsidRPr="0031558B" w:rsidRDefault="00B04BFC" w:rsidP="00B04BFC">
            <w:pPr>
              <w:spacing w:after="120" w:line="240" w:lineRule="auto"/>
              <w:jc w:val="both"/>
              <w:rPr>
                <w:rFonts w:ascii="Aptos Narrow" w:eastAsia="Times New Roman" w:hAnsi="Aptos Narrow" w:cs="Times New Roman"/>
                <w:iCs/>
                <w:color w:val="000000"/>
                <w:sz w:val="20"/>
                <w:szCs w:val="20"/>
                <w:lang w:eastAsia="de-DE"/>
              </w:rPr>
            </w:pPr>
            <w:r>
              <w:rPr>
                <w:rFonts w:ascii="Aptos Narrow" w:eastAsia="Times New Roman" w:hAnsi="Aptos Narrow" w:cs="Times New Roman"/>
                <w:iCs/>
                <w:color w:val="000000"/>
                <w:sz w:val="20"/>
                <w:szCs w:val="20"/>
                <w:lang w:eastAsia="de-DE"/>
              </w:rPr>
              <w:t xml:space="preserve">Data intensity of </w:t>
            </w:r>
            <w:r w:rsidR="005C1E63" w:rsidRPr="0031558B">
              <w:rPr>
                <w:rFonts w:ascii="Aptos Narrow" w:eastAsia="Times New Roman" w:hAnsi="Aptos Narrow" w:cs="Times New Roman"/>
                <w:iCs/>
                <w:color w:val="000000"/>
                <w:sz w:val="20"/>
                <w:szCs w:val="20"/>
                <w:lang w:eastAsia="de-DE"/>
              </w:rPr>
              <w:t>industry K</w:t>
            </w:r>
          </w:p>
        </w:tc>
        <w:tc>
          <w:tcPr>
            <w:tcW w:w="2505" w:type="dxa"/>
            <w:tcBorders>
              <w:top w:val="single" w:sz="4" w:space="0" w:color="auto"/>
              <w:left w:val="nil"/>
              <w:bottom w:val="single" w:sz="4" w:space="0" w:color="auto"/>
              <w:right w:val="nil"/>
            </w:tcBorders>
            <w:vAlign w:val="center"/>
          </w:tcPr>
          <w:p w14:paraId="3EAA44A5" w14:textId="242CE2E6" w:rsidR="005C1E63" w:rsidRPr="0031558B" w:rsidRDefault="000035D2" w:rsidP="00604F53">
            <w:pPr>
              <w:spacing w:line="276" w:lineRule="auto"/>
              <w:jc w:val="center"/>
              <w:rPr>
                <w:rFonts w:ascii="Aptos Narrow" w:eastAsia="Times New Roman" w:hAnsi="Aptos Narrow" w:cs="Times New Roman"/>
                <w:iCs/>
                <w:color w:val="000000"/>
                <w:sz w:val="20"/>
                <w:szCs w:val="20"/>
                <w:lang w:eastAsia="de-DE"/>
              </w:rPr>
            </w:pPr>
            <w:r>
              <w:rPr>
                <w:rFonts w:ascii="Aptos Narrow" w:eastAsia="Times New Roman" w:hAnsi="Aptos Narrow" w:cs="Times New Roman"/>
                <w:iCs/>
                <w:color w:val="000000"/>
                <w:sz w:val="20"/>
                <w:szCs w:val="20"/>
                <w:lang w:eastAsia="de-DE"/>
              </w:rPr>
              <w:t>OECD ICIO tables.</w:t>
            </w:r>
          </w:p>
        </w:tc>
      </w:tr>
    </w:tbl>
    <w:p w14:paraId="4262F603" w14:textId="7273AAD4" w:rsidR="00567035" w:rsidRDefault="005D62C2" w:rsidP="00604F53">
      <w:pPr>
        <w:spacing w:line="240" w:lineRule="auto"/>
        <w:rPr>
          <w:b/>
          <w:bCs/>
        </w:rPr>
      </w:pPr>
      <w:r w:rsidRPr="00607058">
        <w:rPr>
          <w:rFonts w:ascii="Aptos Narrow" w:eastAsia="Times New Roman" w:hAnsi="Aptos Narrow" w:cs="Times New Roman"/>
          <w:iCs/>
          <w:color w:val="000000"/>
          <w:sz w:val="20"/>
          <w:szCs w:val="20"/>
          <w:lang w:eastAsia="de-DE"/>
        </w:rPr>
        <w:t>Notes</w:t>
      </w:r>
      <w:r w:rsidRPr="00B24DBE">
        <w:rPr>
          <w:rFonts w:ascii="Aptos Narrow" w:eastAsia="Times New Roman" w:hAnsi="Aptos Narrow" w:cs="Times New Roman"/>
          <w:iCs/>
          <w:color w:val="000000"/>
          <w:sz w:val="20"/>
          <w:szCs w:val="20"/>
          <w:lang w:eastAsia="de-DE"/>
        </w:rPr>
        <w:t>:</w:t>
      </w:r>
      <w:r>
        <w:rPr>
          <w:rFonts w:ascii="Aptos Narrow" w:eastAsia="Times New Roman" w:hAnsi="Aptos Narrow" w:cs="Times New Roman"/>
          <w:iCs/>
          <w:color w:val="000000"/>
          <w:sz w:val="20"/>
          <w:szCs w:val="20"/>
          <w:lang w:eastAsia="de-DE"/>
        </w:rPr>
        <w:t xml:space="preserve"> </w:t>
      </w:r>
      <w:r w:rsidR="008A4903">
        <w:rPr>
          <w:rFonts w:ascii="Aptos Narrow" w:eastAsia="Times New Roman" w:hAnsi="Aptos Narrow" w:cs="Times New Roman"/>
          <w:iCs/>
          <w:color w:val="000000"/>
          <w:sz w:val="20"/>
          <w:szCs w:val="20"/>
          <w:lang w:eastAsia="de-DE"/>
        </w:rPr>
        <w:t>Dummies are m</w:t>
      </w:r>
      <w:r w:rsidRPr="0031558B">
        <w:rPr>
          <w:rFonts w:ascii="Aptos Narrow" w:eastAsia="Times New Roman" w:hAnsi="Aptos Narrow" w:cs="Times New Roman"/>
          <w:iCs/>
          <w:color w:val="000000"/>
          <w:sz w:val="20"/>
          <w:szCs w:val="20"/>
          <w:lang w:eastAsia="de-DE"/>
        </w:rPr>
        <w:t xml:space="preserve">utually exclusive. </w:t>
      </w:r>
      <w:r w:rsidR="00B04BFC">
        <w:rPr>
          <w:rFonts w:ascii="Aptos Narrow" w:eastAsia="Times New Roman" w:hAnsi="Aptos Narrow" w:cs="Times New Roman"/>
          <w:iCs/>
          <w:color w:val="000000"/>
          <w:sz w:val="20"/>
          <w:szCs w:val="20"/>
          <w:lang w:eastAsia="de-DE"/>
        </w:rPr>
        <w:t>D</w:t>
      </w:r>
      <w:r>
        <w:rPr>
          <w:rFonts w:ascii="Aptos Narrow" w:eastAsia="Times New Roman" w:hAnsi="Aptos Narrow" w:cs="Times New Roman"/>
          <w:iCs/>
          <w:color w:val="000000"/>
          <w:sz w:val="20"/>
          <w:szCs w:val="20"/>
          <w:lang w:eastAsia="de-DE"/>
        </w:rPr>
        <w:t xml:space="preserve">efinitions </w:t>
      </w:r>
      <w:r w:rsidR="00B04BFC">
        <w:rPr>
          <w:rFonts w:ascii="Aptos Narrow" w:eastAsia="Times New Roman" w:hAnsi="Aptos Narrow" w:cs="Times New Roman"/>
          <w:iCs/>
          <w:color w:val="000000"/>
          <w:sz w:val="20"/>
          <w:szCs w:val="20"/>
          <w:lang w:eastAsia="de-DE"/>
        </w:rPr>
        <w:t>of dummy variables a</w:t>
      </w:r>
      <w:r w:rsidRPr="0031558B">
        <w:rPr>
          <w:rFonts w:ascii="Aptos Narrow" w:eastAsia="Times New Roman" w:hAnsi="Aptos Narrow" w:cs="Times New Roman"/>
          <w:iCs/>
          <w:color w:val="000000"/>
          <w:sz w:val="20"/>
          <w:szCs w:val="20"/>
          <w:lang w:eastAsia="de-DE"/>
        </w:rPr>
        <w:t>re</w:t>
      </w:r>
      <w:r w:rsidR="008A4903">
        <w:rPr>
          <w:rFonts w:ascii="Aptos Narrow" w:eastAsia="Times New Roman" w:hAnsi="Aptos Narrow" w:cs="Times New Roman"/>
          <w:iCs/>
          <w:color w:val="000000"/>
          <w:sz w:val="20"/>
          <w:szCs w:val="20"/>
          <w:lang w:eastAsia="de-DE"/>
        </w:rPr>
        <w:t xml:space="preserve"> provided </w:t>
      </w:r>
      <w:r w:rsidRPr="0031558B">
        <w:rPr>
          <w:rFonts w:ascii="Aptos Narrow" w:eastAsia="Times New Roman" w:hAnsi="Aptos Narrow" w:cs="Times New Roman"/>
          <w:iCs/>
          <w:color w:val="000000"/>
          <w:sz w:val="20"/>
          <w:szCs w:val="20"/>
          <w:lang w:eastAsia="de-DE"/>
        </w:rPr>
        <w:t xml:space="preserve">in </w:t>
      </w:r>
      <w:r w:rsidR="00B04BFC">
        <w:rPr>
          <w:rFonts w:ascii="Aptos Narrow" w:eastAsia="Times New Roman" w:hAnsi="Aptos Narrow" w:cs="Times New Roman"/>
          <w:iCs/>
          <w:color w:val="000000"/>
          <w:sz w:val="20"/>
          <w:szCs w:val="20"/>
          <w:lang w:eastAsia="de-DE"/>
        </w:rPr>
        <w:t>S</w:t>
      </w:r>
      <w:r w:rsidRPr="0031558B">
        <w:rPr>
          <w:rFonts w:ascii="Aptos Narrow" w:eastAsia="Times New Roman" w:hAnsi="Aptos Narrow" w:cs="Times New Roman"/>
          <w:iCs/>
          <w:color w:val="000000"/>
          <w:sz w:val="20"/>
          <w:szCs w:val="20"/>
          <w:lang w:eastAsia="de-DE"/>
        </w:rPr>
        <w:t>ection 3.</w:t>
      </w:r>
      <w:r w:rsidR="002A1753">
        <w:rPr>
          <w:rFonts w:ascii="Aptos Narrow" w:eastAsia="Times New Roman" w:hAnsi="Aptos Narrow" w:cs="Times New Roman"/>
          <w:iCs/>
          <w:color w:val="000000"/>
          <w:sz w:val="20"/>
          <w:szCs w:val="20"/>
          <w:lang w:eastAsia="de-DE"/>
        </w:rPr>
        <w:t xml:space="preserve">2 </w:t>
      </w:r>
      <w:r w:rsidRPr="0031558B">
        <w:rPr>
          <w:rFonts w:ascii="Aptos Narrow" w:eastAsia="Times New Roman" w:hAnsi="Aptos Narrow" w:cs="Times New Roman"/>
          <w:iCs/>
          <w:color w:val="000000"/>
          <w:sz w:val="20"/>
          <w:szCs w:val="20"/>
          <w:lang w:eastAsia="de-DE"/>
        </w:rPr>
        <w:t>and Appendix Table A</w:t>
      </w:r>
      <w:r>
        <w:rPr>
          <w:rFonts w:ascii="Aptos Narrow" w:eastAsia="Times New Roman" w:hAnsi="Aptos Narrow" w:cs="Times New Roman"/>
          <w:iCs/>
          <w:color w:val="000000"/>
          <w:sz w:val="20"/>
          <w:szCs w:val="20"/>
          <w:lang w:eastAsia="de-DE"/>
        </w:rPr>
        <w:t>5</w:t>
      </w:r>
      <w:r w:rsidRPr="0031558B">
        <w:rPr>
          <w:rFonts w:ascii="Aptos Narrow" w:eastAsia="Times New Roman" w:hAnsi="Aptos Narrow" w:cs="Times New Roman"/>
          <w:iCs/>
          <w:color w:val="000000"/>
          <w:sz w:val="20"/>
          <w:szCs w:val="20"/>
          <w:lang w:eastAsia="de-DE"/>
        </w:rPr>
        <w:t>.</w:t>
      </w:r>
      <w:r>
        <w:rPr>
          <w:rFonts w:ascii="Aptos Narrow" w:eastAsia="Times New Roman" w:hAnsi="Aptos Narrow" w:cs="Times New Roman"/>
          <w:iCs/>
          <w:color w:val="000000"/>
          <w:sz w:val="20"/>
          <w:szCs w:val="20"/>
          <w:lang w:eastAsia="de-DE"/>
        </w:rPr>
        <w:t xml:space="preserve"> </w:t>
      </w:r>
      <w:r w:rsidRPr="0031558B">
        <w:rPr>
          <w:rFonts w:ascii="Aptos Narrow" w:eastAsia="Times New Roman" w:hAnsi="Aptos Narrow" w:cs="Times New Roman"/>
          <w:iCs/>
          <w:color w:val="000000"/>
          <w:sz w:val="20"/>
          <w:szCs w:val="20"/>
          <w:lang w:eastAsia="de-DE"/>
        </w:rPr>
        <w:t>Digital Intensity measures are discussed in Section 4.2 and summarized in Appendix Table A</w:t>
      </w:r>
      <w:r>
        <w:rPr>
          <w:rFonts w:ascii="Aptos Narrow" w:eastAsia="Times New Roman" w:hAnsi="Aptos Narrow" w:cs="Times New Roman"/>
          <w:iCs/>
          <w:color w:val="000000"/>
          <w:sz w:val="20"/>
          <w:szCs w:val="20"/>
          <w:lang w:eastAsia="de-DE"/>
        </w:rPr>
        <w:t>6.</w:t>
      </w:r>
      <w:r w:rsidR="0050132C">
        <w:rPr>
          <w:rFonts w:ascii="Aptos Narrow" w:eastAsia="Times New Roman" w:hAnsi="Aptos Narrow" w:cs="Times New Roman"/>
          <w:iCs/>
          <w:color w:val="000000"/>
          <w:sz w:val="20"/>
          <w:szCs w:val="20"/>
          <w:lang w:eastAsia="de-DE"/>
        </w:rPr>
        <w:t xml:space="preserve"> </w:t>
      </w:r>
      <w:r w:rsidR="0050132C" w:rsidRPr="00582B13">
        <w:rPr>
          <w:sz w:val="20"/>
          <w:szCs w:val="20"/>
        </w:rPr>
        <w:t>DPF</w:t>
      </w:r>
      <w:r w:rsidR="0050132C">
        <w:rPr>
          <w:sz w:val="20"/>
          <w:szCs w:val="20"/>
        </w:rPr>
        <w:t xml:space="preserve">: </w:t>
      </w:r>
      <w:r w:rsidR="0050132C" w:rsidRPr="00582B13">
        <w:rPr>
          <w:sz w:val="20"/>
          <w:szCs w:val="20"/>
        </w:rPr>
        <w:t>EU-US Data Privacy Framework</w:t>
      </w:r>
      <w:r w:rsidR="0050132C">
        <w:rPr>
          <w:sz w:val="20"/>
          <w:szCs w:val="20"/>
        </w:rPr>
        <w:t>.</w:t>
      </w:r>
    </w:p>
    <w:bookmarkEnd w:id="4"/>
    <w:p w14:paraId="4358CBDE" w14:textId="37ECD526" w:rsidR="00B04BFC" w:rsidRDefault="00B04BFC">
      <w:pPr>
        <w:rPr>
          <w:b/>
          <w:bCs/>
        </w:rPr>
      </w:pPr>
    </w:p>
    <w:p w14:paraId="5CFAE4A0" w14:textId="77777777" w:rsidR="0043717A" w:rsidRDefault="0043717A">
      <w:pPr>
        <w:rPr>
          <w:b/>
          <w:bCs/>
        </w:rPr>
      </w:pPr>
    </w:p>
    <w:p w14:paraId="0A454048" w14:textId="5B3D2FB4" w:rsidR="000F5E87" w:rsidRPr="00633995" w:rsidRDefault="00022B1B" w:rsidP="0011538D">
      <w:pPr>
        <w:jc w:val="both"/>
        <w:rPr>
          <w:b/>
          <w:bCs/>
        </w:rPr>
      </w:pPr>
      <w:r w:rsidRPr="00633995">
        <w:rPr>
          <w:b/>
          <w:bCs/>
        </w:rPr>
        <w:t>Appendix</w:t>
      </w:r>
      <w:r w:rsidR="000F5E87" w:rsidRPr="00633995">
        <w:rPr>
          <w:b/>
          <w:bCs/>
        </w:rPr>
        <w:t xml:space="preserve"> Table </w:t>
      </w:r>
      <w:r w:rsidR="00525EBC" w:rsidRPr="00633995">
        <w:rPr>
          <w:b/>
          <w:bCs/>
        </w:rPr>
        <w:t>A</w:t>
      </w:r>
      <w:r w:rsidR="00525EBC">
        <w:rPr>
          <w:b/>
          <w:bCs/>
        </w:rPr>
        <w:t>4</w:t>
      </w:r>
      <w:r w:rsidR="000F5E87" w:rsidRPr="00633995">
        <w:rPr>
          <w:b/>
          <w:bCs/>
        </w:rPr>
        <w:t xml:space="preserve">: </w:t>
      </w:r>
      <w:r w:rsidR="005C1E63">
        <w:rPr>
          <w:b/>
          <w:bCs/>
        </w:rPr>
        <w:t>Gravity controls</w:t>
      </w:r>
      <w:r w:rsidR="00D30F47" w:rsidRPr="00633995">
        <w:rPr>
          <w:b/>
          <w:bCs/>
        </w:rPr>
        <w:t xml:space="preserve"> </w:t>
      </w:r>
    </w:p>
    <w:tbl>
      <w:tblPr>
        <w:tblW w:w="5104" w:type="pct"/>
        <w:jc w:val="center"/>
        <w:tblLayout w:type="fixed"/>
        <w:tblLook w:val="04A0" w:firstRow="1" w:lastRow="0" w:firstColumn="1" w:lastColumn="0" w:noHBand="0" w:noVBand="1"/>
      </w:tblPr>
      <w:tblGrid>
        <w:gridCol w:w="1352"/>
        <w:gridCol w:w="3469"/>
        <w:gridCol w:w="4393"/>
      </w:tblGrid>
      <w:tr w:rsidR="000F5E87" w:rsidRPr="00633995" w14:paraId="0A3E6E2F" w14:textId="77777777" w:rsidTr="00C84C76">
        <w:trPr>
          <w:trHeight w:val="593"/>
          <w:jc w:val="center"/>
        </w:trPr>
        <w:tc>
          <w:tcPr>
            <w:tcW w:w="733" w:type="pct"/>
            <w:tcBorders>
              <w:top w:val="single" w:sz="4" w:space="0" w:color="auto"/>
              <w:left w:val="nil"/>
              <w:bottom w:val="single" w:sz="4" w:space="0" w:color="auto"/>
              <w:right w:val="nil"/>
            </w:tcBorders>
            <w:shd w:val="clear" w:color="auto" w:fill="auto"/>
            <w:noWrap/>
            <w:vAlign w:val="center"/>
            <w:hideMark/>
          </w:tcPr>
          <w:p w14:paraId="1A8EE84F" w14:textId="77777777" w:rsidR="000F5E87" w:rsidRPr="00633995" w:rsidRDefault="000F5E87" w:rsidP="0011538D">
            <w:pPr>
              <w:spacing w:after="0" w:line="240" w:lineRule="auto"/>
              <w:jc w:val="both"/>
              <w:rPr>
                <w:rFonts w:ascii="Aptos Narrow" w:eastAsia="Times New Roman" w:hAnsi="Aptos Narrow" w:cs="Calibri"/>
                <w:b/>
                <w:bCs/>
                <w:color w:val="000000"/>
                <w:sz w:val="20"/>
                <w:szCs w:val="20"/>
                <w:lang w:eastAsia="en-GB"/>
              </w:rPr>
            </w:pPr>
            <w:r w:rsidRPr="00633995">
              <w:rPr>
                <w:rFonts w:ascii="Aptos Narrow" w:eastAsia="Times New Roman" w:hAnsi="Aptos Narrow" w:cs="Calibri"/>
                <w:b/>
                <w:bCs/>
                <w:color w:val="000000"/>
                <w:sz w:val="20"/>
                <w:szCs w:val="20"/>
                <w:lang w:eastAsia="en-GB"/>
              </w:rPr>
              <w:t>Variable</w:t>
            </w:r>
          </w:p>
        </w:tc>
        <w:tc>
          <w:tcPr>
            <w:tcW w:w="1882" w:type="pct"/>
            <w:tcBorders>
              <w:top w:val="single" w:sz="4" w:space="0" w:color="auto"/>
              <w:left w:val="nil"/>
              <w:bottom w:val="single" w:sz="4" w:space="0" w:color="auto"/>
              <w:right w:val="nil"/>
            </w:tcBorders>
            <w:shd w:val="clear" w:color="auto" w:fill="auto"/>
            <w:noWrap/>
            <w:vAlign w:val="center"/>
            <w:hideMark/>
          </w:tcPr>
          <w:p w14:paraId="7772EBA6" w14:textId="77777777" w:rsidR="000F5E87" w:rsidRPr="00633995" w:rsidRDefault="000F5E87" w:rsidP="0011538D">
            <w:pPr>
              <w:spacing w:after="0" w:line="240" w:lineRule="auto"/>
              <w:jc w:val="both"/>
              <w:rPr>
                <w:rFonts w:ascii="Aptos Narrow" w:eastAsia="Times New Roman" w:hAnsi="Aptos Narrow" w:cs="Calibri"/>
                <w:b/>
                <w:bCs/>
                <w:color w:val="000000"/>
                <w:sz w:val="20"/>
                <w:szCs w:val="20"/>
                <w:lang w:eastAsia="en-GB"/>
              </w:rPr>
            </w:pPr>
            <w:r w:rsidRPr="00633995">
              <w:rPr>
                <w:rFonts w:ascii="Aptos Narrow" w:eastAsia="Times New Roman" w:hAnsi="Aptos Narrow" w:cs="Calibri"/>
                <w:b/>
                <w:bCs/>
                <w:color w:val="000000"/>
                <w:sz w:val="20"/>
                <w:szCs w:val="20"/>
                <w:lang w:eastAsia="en-GB"/>
              </w:rPr>
              <w:t>Description</w:t>
            </w:r>
          </w:p>
        </w:tc>
        <w:tc>
          <w:tcPr>
            <w:tcW w:w="2384" w:type="pct"/>
            <w:tcBorders>
              <w:top w:val="single" w:sz="4" w:space="0" w:color="auto"/>
              <w:left w:val="nil"/>
              <w:bottom w:val="single" w:sz="4" w:space="0" w:color="auto"/>
              <w:right w:val="nil"/>
            </w:tcBorders>
            <w:shd w:val="clear" w:color="auto" w:fill="auto"/>
            <w:noWrap/>
            <w:vAlign w:val="center"/>
            <w:hideMark/>
          </w:tcPr>
          <w:p w14:paraId="0EC72E0D" w14:textId="77777777" w:rsidR="000F5E87" w:rsidRPr="00633995" w:rsidRDefault="000F5E87" w:rsidP="0011538D">
            <w:pPr>
              <w:spacing w:after="0" w:line="240" w:lineRule="auto"/>
              <w:jc w:val="both"/>
              <w:rPr>
                <w:rFonts w:ascii="Aptos Narrow" w:eastAsia="Times New Roman" w:hAnsi="Aptos Narrow" w:cs="Calibri"/>
                <w:b/>
                <w:bCs/>
                <w:color w:val="000000"/>
                <w:sz w:val="20"/>
                <w:szCs w:val="20"/>
                <w:lang w:eastAsia="en-GB"/>
              </w:rPr>
            </w:pPr>
            <w:r w:rsidRPr="00633995">
              <w:rPr>
                <w:rFonts w:ascii="Aptos Narrow" w:eastAsia="Times New Roman" w:hAnsi="Aptos Narrow" w:cs="Calibri"/>
                <w:b/>
                <w:bCs/>
                <w:color w:val="000000"/>
                <w:sz w:val="20"/>
                <w:szCs w:val="20"/>
                <w:lang w:eastAsia="en-GB"/>
              </w:rPr>
              <w:t>Source</w:t>
            </w:r>
          </w:p>
        </w:tc>
      </w:tr>
      <w:tr w:rsidR="000F5E87" w:rsidRPr="00633995" w14:paraId="0EE037FB" w14:textId="77777777" w:rsidTr="00C84C76">
        <w:trPr>
          <w:trHeight w:val="1044"/>
          <w:jc w:val="center"/>
        </w:trPr>
        <w:tc>
          <w:tcPr>
            <w:tcW w:w="733" w:type="pct"/>
            <w:tcBorders>
              <w:top w:val="single" w:sz="4" w:space="0" w:color="auto"/>
              <w:left w:val="nil"/>
              <w:bottom w:val="single" w:sz="4" w:space="0" w:color="auto"/>
              <w:right w:val="nil"/>
            </w:tcBorders>
            <w:shd w:val="clear" w:color="auto" w:fill="auto"/>
            <w:noWrap/>
            <w:hideMark/>
          </w:tcPr>
          <w:p w14:paraId="22557DC4" w14:textId="77777777"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PTA</w:t>
            </w:r>
          </w:p>
        </w:tc>
        <w:tc>
          <w:tcPr>
            <w:tcW w:w="1882" w:type="pct"/>
            <w:tcBorders>
              <w:top w:val="single" w:sz="4" w:space="0" w:color="auto"/>
              <w:left w:val="nil"/>
              <w:bottom w:val="single" w:sz="4" w:space="0" w:color="auto"/>
              <w:right w:val="nil"/>
            </w:tcBorders>
            <w:shd w:val="clear" w:color="auto" w:fill="auto"/>
            <w:hideMark/>
          </w:tcPr>
          <w:p w14:paraId="44C69E4C" w14:textId="687CC5CC"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 xml:space="preserve">Preferential </w:t>
            </w:r>
            <w:r w:rsidR="00584A2D">
              <w:rPr>
                <w:rFonts w:ascii="Aptos Narrow" w:eastAsia="Times New Roman" w:hAnsi="Aptos Narrow" w:cs="Calibri"/>
                <w:color w:val="000000"/>
                <w:sz w:val="20"/>
                <w:szCs w:val="20"/>
                <w:lang w:eastAsia="en-GB"/>
              </w:rPr>
              <w:t>t</w:t>
            </w:r>
            <w:r w:rsidRPr="00633995">
              <w:rPr>
                <w:rFonts w:ascii="Aptos Narrow" w:eastAsia="Times New Roman" w:hAnsi="Aptos Narrow" w:cs="Calibri"/>
                <w:color w:val="000000"/>
                <w:sz w:val="20"/>
                <w:szCs w:val="20"/>
                <w:lang w:eastAsia="en-GB"/>
              </w:rPr>
              <w:t xml:space="preserve">rade </w:t>
            </w:r>
            <w:r w:rsidR="00584A2D">
              <w:rPr>
                <w:rFonts w:ascii="Aptos Narrow" w:eastAsia="Times New Roman" w:hAnsi="Aptos Narrow" w:cs="Calibri"/>
                <w:color w:val="000000"/>
                <w:sz w:val="20"/>
                <w:szCs w:val="20"/>
                <w:lang w:eastAsia="en-GB"/>
              </w:rPr>
              <w:t>a</w:t>
            </w:r>
            <w:r w:rsidRPr="00633995">
              <w:rPr>
                <w:rFonts w:ascii="Aptos Narrow" w:eastAsia="Times New Roman" w:hAnsi="Aptos Narrow" w:cs="Calibri"/>
                <w:color w:val="000000"/>
                <w:sz w:val="20"/>
                <w:szCs w:val="20"/>
                <w:lang w:eastAsia="en-GB"/>
              </w:rPr>
              <w:t xml:space="preserve">greement (includes </w:t>
            </w:r>
            <w:r w:rsidR="00584A2D">
              <w:rPr>
                <w:rFonts w:ascii="Aptos Narrow" w:eastAsia="Times New Roman" w:hAnsi="Aptos Narrow" w:cs="Calibri"/>
                <w:color w:val="000000"/>
                <w:sz w:val="20"/>
                <w:szCs w:val="20"/>
                <w:lang w:eastAsia="en-GB"/>
              </w:rPr>
              <w:t>c</w:t>
            </w:r>
            <w:r w:rsidRPr="00633995">
              <w:rPr>
                <w:rFonts w:ascii="Aptos Narrow" w:eastAsia="Times New Roman" w:hAnsi="Aptos Narrow" w:cs="Calibri"/>
                <w:color w:val="000000"/>
                <w:sz w:val="20"/>
                <w:szCs w:val="20"/>
                <w:lang w:eastAsia="en-GB"/>
              </w:rPr>
              <w:t xml:space="preserve">ustoms </w:t>
            </w:r>
            <w:r w:rsidR="00584A2D">
              <w:rPr>
                <w:rFonts w:ascii="Aptos Narrow" w:eastAsia="Times New Roman" w:hAnsi="Aptos Narrow" w:cs="Calibri"/>
                <w:color w:val="000000"/>
                <w:sz w:val="20"/>
                <w:szCs w:val="20"/>
                <w:lang w:eastAsia="en-GB"/>
              </w:rPr>
              <w:t>u</w:t>
            </w:r>
            <w:r w:rsidRPr="00633995">
              <w:rPr>
                <w:rFonts w:ascii="Aptos Narrow" w:eastAsia="Times New Roman" w:hAnsi="Aptos Narrow" w:cs="Calibri"/>
                <w:color w:val="000000"/>
                <w:sz w:val="20"/>
                <w:szCs w:val="20"/>
                <w:lang w:eastAsia="en-GB"/>
              </w:rPr>
              <w:t>nion</w:t>
            </w:r>
            <w:r w:rsidR="00584A2D">
              <w:rPr>
                <w:rFonts w:ascii="Aptos Narrow" w:eastAsia="Times New Roman" w:hAnsi="Aptos Narrow" w:cs="Calibri"/>
                <w:color w:val="000000"/>
                <w:sz w:val="20"/>
                <w:szCs w:val="20"/>
                <w:lang w:eastAsia="en-GB"/>
              </w:rPr>
              <w:t>s</w:t>
            </w:r>
            <w:r w:rsidRPr="00633995">
              <w:rPr>
                <w:rFonts w:ascii="Aptos Narrow" w:eastAsia="Times New Roman" w:hAnsi="Aptos Narrow" w:cs="Calibri"/>
                <w:color w:val="000000"/>
                <w:sz w:val="20"/>
                <w:szCs w:val="20"/>
                <w:lang w:eastAsia="en-GB"/>
              </w:rPr>
              <w:t xml:space="preserve">, </w:t>
            </w:r>
            <w:r w:rsidR="00584A2D">
              <w:rPr>
                <w:rFonts w:ascii="Aptos Narrow" w:eastAsia="Times New Roman" w:hAnsi="Aptos Narrow" w:cs="Calibri"/>
                <w:color w:val="000000"/>
                <w:sz w:val="20"/>
                <w:szCs w:val="20"/>
                <w:lang w:eastAsia="en-GB"/>
              </w:rPr>
              <w:t>f</w:t>
            </w:r>
            <w:r w:rsidRPr="00633995">
              <w:rPr>
                <w:rFonts w:ascii="Aptos Narrow" w:eastAsia="Times New Roman" w:hAnsi="Aptos Narrow" w:cs="Calibri"/>
                <w:color w:val="000000"/>
                <w:sz w:val="20"/>
                <w:szCs w:val="20"/>
                <w:lang w:eastAsia="en-GB"/>
              </w:rPr>
              <w:t xml:space="preserve">ree </w:t>
            </w:r>
            <w:r w:rsidR="00584A2D">
              <w:rPr>
                <w:rFonts w:ascii="Aptos Narrow" w:eastAsia="Times New Roman" w:hAnsi="Aptos Narrow" w:cs="Calibri"/>
                <w:color w:val="000000"/>
                <w:sz w:val="20"/>
                <w:szCs w:val="20"/>
                <w:lang w:eastAsia="en-GB"/>
              </w:rPr>
              <w:t>t</w:t>
            </w:r>
            <w:r w:rsidRPr="00633995">
              <w:rPr>
                <w:rFonts w:ascii="Aptos Narrow" w:eastAsia="Times New Roman" w:hAnsi="Aptos Narrow" w:cs="Calibri"/>
                <w:color w:val="000000"/>
                <w:sz w:val="20"/>
                <w:szCs w:val="20"/>
                <w:lang w:eastAsia="en-GB"/>
              </w:rPr>
              <w:t xml:space="preserve">rade </w:t>
            </w:r>
            <w:r w:rsidR="00584A2D">
              <w:rPr>
                <w:rFonts w:ascii="Aptos Narrow" w:eastAsia="Times New Roman" w:hAnsi="Aptos Narrow" w:cs="Calibri"/>
                <w:color w:val="000000"/>
                <w:sz w:val="20"/>
                <w:szCs w:val="20"/>
                <w:lang w:eastAsia="en-GB"/>
              </w:rPr>
              <w:t>a</w:t>
            </w:r>
            <w:r w:rsidRPr="00633995">
              <w:rPr>
                <w:rFonts w:ascii="Aptos Narrow" w:eastAsia="Times New Roman" w:hAnsi="Aptos Narrow" w:cs="Calibri"/>
                <w:color w:val="000000"/>
                <w:sz w:val="20"/>
                <w:szCs w:val="20"/>
                <w:lang w:eastAsia="en-GB"/>
              </w:rPr>
              <w:t>greement</w:t>
            </w:r>
            <w:r w:rsidR="00584A2D">
              <w:rPr>
                <w:rFonts w:ascii="Aptos Narrow" w:eastAsia="Times New Roman" w:hAnsi="Aptos Narrow" w:cs="Calibri"/>
                <w:color w:val="000000"/>
                <w:sz w:val="20"/>
                <w:szCs w:val="20"/>
                <w:lang w:eastAsia="en-GB"/>
              </w:rPr>
              <w:t>s</w:t>
            </w:r>
            <w:r w:rsidRPr="00633995">
              <w:rPr>
                <w:rFonts w:ascii="Aptos Narrow" w:eastAsia="Times New Roman" w:hAnsi="Aptos Narrow" w:cs="Calibri"/>
                <w:color w:val="000000"/>
                <w:sz w:val="20"/>
                <w:szCs w:val="20"/>
                <w:lang w:eastAsia="en-GB"/>
              </w:rPr>
              <w:t xml:space="preserve">, </w:t>
            </w:r>
            <w:r w:rsidR="00584A2D">
              <w:rPr>
                <w:rFonts w:ascii="Aptos Narrow" w:eastAsia="Times New Roman" w:hAnsi="Aptos Narrow" w:cs="Calibri"/>
                <w:color w:val="000000"/>
                <w:sz w:val="20"/>
                <w:szCs w:val="20"/>
                <w:lang w:eastAsia="en-GB"/>
              </w:rPr>
              <w:t>p</w:t>
            </w:r>
            <w:r w:rsidRPr="00633995">
              <w:rPr>
                <w:rFonts w:ascii="Aptos Narrow" w:eastAsia="Times New Roman" w:hAnsi="Aptos Narrow" w:cs="Calibri"/>
                <w:color w:val="000000"/>
                <w:sz w:val="20"/>
                <w:szCs w:val="20"/>
                <w:lang w:eastAsia="en-GB"/>
              </w:rPr>
              <w:t xml:space="preserve">artial </w:t>
            </w:r>
            <w:r w:rsidR="00584A2D">
              <w:rPr>
                <w:rFonts w:ascii="Aptos Narrow" w:eastAsia="Times New Roman" w:hAnsi="Aptos Narrow" w:cs="Calibri"/>
                <w:color w:val="000000"/>
                <w:sz w:val="20"/>
                <w:szCs w:val="20"/>
                <w:lang w:eastAsia="en-GB"/>
              </w:rPr>
              <w:t>s</w:t>
            </w:r>
            <w:r w:rsidRPr="00633995">
              <w:rPr>
                <w:rFonts w:ascii="Aptos Narrow" w:eastAsia="Times New Roman" w:hAnsi="Aptos Narrow" w:cs="Calibri"/>
                <w:color w:val="000000"/>
                <w:sz w:val="20"/>
                <w:szCs w:val="20"/>
                <w:lang w:eastAsia="en-GB"/>
              </w:rPr>
              <w:t xml:space="preserve">cope </w:t>
            </w:r>
            <w:r w:rsidR="00584A2D">
              <w:rPr>
                <w:rFonts w:ascii="Aptos Narrow" w:eastAsia="Times New Roman" w:hAnsi="Aptos Narrow" w:cs="Calibri"/>
                <w:color w:val="000000"/>
                <w:sz w:val="20"/>
                <w:szCs w:val="20"/>
                <w:lang w:eastAsia="en-GB"/>
              </w:rPr>
              <w:t>a</w:t>
            </w:r>
            <w:r w:rsidRPr="00633995">
              <w:rPr>
                <w:rFonts w:ascii="Aptos Narrow" w:eastAsia="Times New Roman" w:hAnsi="Aptos Narrow" w:cs="Calibri"/>
                <w:color w:val="000000"/>
                <w:sz w:val="20"/>
                <w:szCs w:val="20"/>
                <w:lang w:eastAsia="en-GB"/>
              </w:rPr>
              <w:t>greement</w:t>
            </w:r>
            <w:r w:rsidR="00584A2D">
              <w:rPr>
                <w:rFonts w:ascii="Aptos Narrow" w:eastAsia="Times New Roman" w:hAnsi="Aptos Narrow" w:cs="Calibri"/>
                <w:color w:val="000000"/>
                <w:sz w:val="20"/>
                <w:szCs w:val="20"/>
                <w:lang w:eastAsia="en-GB"/>
              </w:rPr>
              <w:t>s</w:t>
            </w:r>
            <w:r w:rsidRPr="00633995">
              <w:rPr>
                <w:rFonts w:ascii="Aptos Narrow" w:eastAsia="Times New Roman" w:hAnsi="Aptos Narrow" w:cs="Calibri"/>
                <w:color w:val="000000"/>
                <w:sz w:val="20"/>
                <w:szCs w:val="20"/>
                <w:lang w:eastAsia="en-GB"/>
              </w:rPr>
              <w:t xml:space="preserve">, </w:t>
            </w:r>
            <w:r w:rsidR="00584A2D">
              <w:rPr>
                <w:rFonts w:ascii="Aptos Narrow" w:eastAsia="Times New Roman" w:hAnsi="Aptos Narrow" w:cs="Calibri"/>
                <w:color w:val="000000"/>
                <w:sz w:val="20"/>
                <w:szCs w:val="20"/>
                <w:lang w:eastAsia="en-GB"/>
              </w:rPr>
              <w:t>e</w:t>
            </w:r>
            <w:r w:rsidRPr="00633995">
              <w:rPr>
                <w:rFonts w:ascii="Aptos Narrow" w:eastAsia="Times New Roman" w:hAnsi="Aptos Narrow" w:cs="Calibri"/>
                <w:color w:val="000000"/>
                <w:sz w:val="20"/>
                <w:szCs w:val="20"/>
                <w:lang w:eastAsia="en-GB"/>
              </w:rPr>
              <w:t xml:space="preserve">conomic </w:t>
            </w:r>
            <w:r w:rsidR="00584A2D">
              <w:rPr>
                <w:rFonts w:ascii="Aptos Narrow" w:eastAsia="Times New Roman" w:hAnsi="Aptos Narrow" w:cs="Calibri"/>
                <w:color w:val="000000"/>
                <w:sz w:val="20"/>
                <w:szCs w:val="20"/>
                <w:lang w:eastAsia="en-GB"/>
              </w:rPr>
              <w:t>i</w:t>
            </w:r>
            <w:r w:rsidRPr="00633995">
              <w:rPr>
                <w:rFonts w:ascii="Aptos Narrow" w:eastAsia="Times New Roman" w:hAnsi="Aptos Narrow" w:cs="Calibri"/>
                <w:color w:val="000000"/>
                <w:sz w:val="20"/>
                <w:szCs w:val="20"/>
                <w:lang w:eastAsia="en-GB"/>
              </w:rPr>
              <w:t xml:space="preserve">ntegration </w:t>
            </w:r>
            <w:r w:rsidR="00584A2D">
              <w:rPr>
                <w:rFonts w:ascii="Aptos Narrow" w:eastAsia="Times New Roman" w:hAnsi="Aptos Narrow" w:cs="Calibri"/>
                <w:color w:val="000000"/>
                <w:sz w:val="20"/>
                <w:szCs w:val="20"/>
                <w:lang w:eastAsia="en-GB"/>
              </w:rPr>
              <w:t>a</w:t>
            </w:r>
            <w:r w:rsidRPr="00633995">
              <w:rPr>
                <w:rFonts w:ascii="Aptos Narrow" w:eastAsia="Times New Roman" w:hAnsi="Aptos Narrow" w:cs="Calibri"/>
                <w:color w:val="000000"/>
                <w:sz w:val="20"/>
                <w:szCs w:val="20"/>
                <w:lang w:eastAsia="en-GB"/>
              </w:rPr>
              <w:t>greement</w:t>
            </w:r>
            <w:r w:rsidR="00584A2D">
              <w:rPr>
                <w:rFonts w:ascii="Aptos Narrow" w:eastAsia="Times New Roman" w:hAnsi="Aptos Narrow" w:cs="Calibri"/>
                <w:color w:val="000000"/>
                <w:sz w:val="20"/>
                <w:szCs w:val="20"/>
                <w:lang w:eastAsia="en-GB"/>
              </w:rPr>
              <w:t>s (services</w:t>
            </w:r>
            <w:r w:rsidRPr="00633995">
              <w:rPr>
                <w:rFonts w:ascii="Aptos Narrow" w:eastAsia="Times New Roman" w:hAnsi="Aptos Narrow" w:cs="Calibri"/>
                <w:color w:val="000000"/>
                <w:sz w:val="20"/>
                <w:szCs w:val="20"/>
                <w:lang w:eastAsia="en-GB"/>
              </w:rPr>
              <w:t>)</w:t>
            </w:r>
          </w:p>
        </w:tc>
        <w:tc>
          <w:tcPr>
            <w:tcW w:w="2384" w:type="pct"/>
            <w:tcBorders>
              <w:top w:val="single" w:sz="4" w:space="0" w:color="auto"/>
              <w:left w:val="nil"/>
              <w:bottom w:val="single" w:sz="4" w:space="0" w:color="auto"/>
              <w:right w:val="nil"/>
            </w:tcBorders>
            <w:shd w:val="clear" w:color="auto" w:fill="auto"/>
            <w:noWrap/>
            <w:hideMark/>
          </w:tcPr>
          <w:p w14:paraId="12B39823" w14:textId="71A34828"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Regional Trade Agreements Database</w:t>
            </w:r>
            <w:r w:rsidR="00582B13">
              <w:rPr>
                <w:rFonts w:ascii="Aptos Narrow" w:eastAsia="Times New Roman" w:hAnsi="Aptos Narrow" w:cs="Calibri"/>
                <w:color w:val="000000"/>
                <w:sz w:val="20"/>
                <w:szCs w:val="20"/>
                <w:lang w:eastAsia="en-GB"/>
              </w:rPr>
              <w:t xml:space="preserve">, </w:t>
            </w:r>
            <w:r w:rsidRPr="00633995">
              <w:rPr>
                <w:rFonts w:ascii="Aptos Narrow" w:eastAsia="Times New Roman" w:hAnsi="Aptos Narrow" w:cs="Calibri"/>
                <w:color w:val="000000"/>
                <w:sz w:val="20"/>
                <w:szCs w:val="20"/>
                <w:lang w:eastAsia="en-GB"/>
              </w:rPr>
              <w:t>Egger and Larch (2008)</w:t>
            </w:r>
          </w:p>
        </w:tc>
      </w:tr>
      <w:tr w:rsidR="000F5E87" w:rsidRPr="00633995" w14:paraId="69AD1727" w14:textId="77777777" w:rsidTr="00C84C76">
        <w:trPr>
          <w:trHeight w:val="600"/>
          <w:jc w:val="center"/>
        </w:trPr>
        <w:tc>
          <w:tcPr>
            <w:tcW w:w="733" w:type="pct"/>
            <w:tcBorders>
              <w:top w:val="single" w:sz="4" w:space="0" w:color="auto"/>
              <w:left w:val="nil"/>
              <w:bottom w:val="single" w:sz="4" w:space="0" w:color="auto"/>
              <w:right w:val="nil"/>
            </w:tcBorders>
            <w:shd w:val="clear" w:color="auto" w:fill="auto"/>
            <w:noWrap/>
            <w:hideMark/>
          </w:tcPr>
          <w:p w14:paraId="3526F63B" w14:textId="0D08F5DD"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PTA</w:t>
            </w:r>
            <w:r w:rsidR="00723029">
              <w:rPr>
                <w:rFonts w:ascii="Aptos Narrow" w:eastAsia="Times New Roman" w:hAnsi="Aptos Narrow" w:cs="Calibri"/>
                <w:color w:val="000000"/>
                <w:sz w:val="20"/>
                <w:szCs w:val="20"/>
                <w:lang w:eastAsia="en-GB"/>
              </w:rPr>
              <w:t>-</w:t>
            </w:r>
            <w:r w:rsidR="004755C2">
              <w:rPr>
                <w:rFonts w:ascii="Aptos Narrow" w:eastAsia="Times New Roman" w:hAnsi="Aptos Narrow" w:cs="Calibri"/>
                <w:color w:val="000000"/>
                <w:sz w:val="20"/>
                <w:szCs w:val="20"/>
                <w:lang w:eastAsia="en-GB"/>
              </w:rPr>
              <w:t>DP</w:t>
            </w:r>
          </w:p>
        </w:tc>
        <w:tc>
          <w:tcPr>
            <w:tcW w:w="1882" w:type="pct"/>
            <w:tcBorders>
              <w:top w:val="single" w:sz="4" w:space="0" w:color="auto"/>
              <w:left w:val="nil"/>
              <w:bottom w:val="single" w:sz="4" w:space="0" w:color="auto"/>
              <w:right w:val="nil"/>
            </w:tcBorders>
            <w:shd w:val="clear" w:color="auto" w:fill="auto"/>
            <w:hideMark/>
          </w:tcPr>
          <w:p w14:paraId="32C0FBDE" w14:textId="517D431F"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Preferential Trade Agreement with binding data-related provisions related to data protection</w:t>
            </w:r>
          </w:p>
        </w:tc>
        <w:tc>
          <w:tcPr>
            <w:tcW w:w="2384" w:type="pct"/>
            <w:tcBorders>
              <w:top w:val="single" w:sz="4" w:space="0" w:color="auto"/>
              <w:left w:val="nil"/>
              <w:bottom w:val="single" w:sz="4" w:space="0" w:color="auto"/>
              <w:right w:val="nil"/>
            </w:tcBorders>
            <w:shd w:val="clear" w:color="auto" w:fill="auto"/>
            <w:noWrap/>
            <w:hideMark/>
          </w:tcPr>
          <w:p w14:paraId="308B4399" w14:textId="73CAA87D"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Regional Trade Agreements Database</w:t>
            </w:r>
            <w:r w:rsidR="00582B13">
              <w:rPr>
                <w:rFonts w:ascii="Aptos Narrow" w:eastAsia="Times New Roman" w:hAnsi="Aptos Narrow" w:cs="Calibri"/>
                <w:color w:val="000000"/>
                <w:sz w:val="20"/>
                <w:szCs w:val="20"/>
                <w:lang w:eastAsia="en-GB"/>
              </w:rPr>
              <w:t xml:space="preserve">, </w:t>
            </w:r>
            <w:r w:rsidRPr="00633995">
              <w:rPr>
                <w:rFonts w:ascii="Aptos Narrow" w:eastAsia="Times New Roman" w:hAnsi="Aptos Narrow" w:cs="Calibri"/>
                <w:color w:val="000000"/>
                <w:sz w:val="20"/>
                <w:szCs w:val="20"/>
                <w:lang w:eastAsia="en-GB"/>
              </w:rPr>
              <w:t>Egger and Larch (2008)</w:t>
            </w:r>
            <w:r w:rsidR="00C84C76">
              <w:rPr>
                <w:rFonts w:ascii="Aptos Narrow" w:eastAsia="Times New Roman" w:hAnsi="Aptos Narrow" w:cs="Calibri"/>
                <w:color w:val="000000"/>
                <w:sz w:val="20"/>
                <w:szCs w:val="20"/>
                <w:lang w:eastAsia="en-GB"/>
              </w:rPr>
              <w:t xml:space="preserve">; </w:t>
            </w:r>
            <w:r w:rsidRPr="00633995">
              <w:rPr>
                <w:rFonts w:ascii="Aptos Narrow" w:eastAsia="Times New Roman" w:hAnsi="Aptos Narrow" w:cs="Calibri"/>
                <w:color w:val="000000"/>
                <w:sz w:val="20"/>
                <w:szCs w:val="20"/>
                <w:lang w:eastAsia="en-GB"/>
              </w:rPr>
              <w:t>Trade Agreements Provisions on Electronic-commerce and Data</w:t>
            </w:r>
            <w:r w:rsidR="00582B13">
              <w:rPr>
                <w:rFonts w:ascii="Aptos Narrow" w:eastAsia="Times New Roman" w:hAnsi="Aptos Narrow" w:cs="Calibri"/>
                <w:color w:val="000000"/>
                <w:sz w:val="20"/>
                <w:szCs w:val="20"/>
                <w:lang w:eastAsia="en-GB"/>
              </w:rPr>
              <w:t xml:space="preserve"> database</w:t>
            </w:r>
            <w:r w:rsidRPr="00633995">
              <w:rPr>
                <w:rFonts w:ascii="Aptos Narrow" w:eastAsia="Times New Roman" w:hAnsi="Aptos Narrow" w:cs="Calibri"/>
                <w:color w:val="000000"/>
                <w:sz w:val="20"/>
                <w:szCs w:val="20"/>
                <w:lang w:eastAsia="en-GB"/>
              </w:rPr>
              <w:t xml:space="preserve"> (Burri </w:t>
            </w:r>
            <w:r w:rsidR="00582B13">
              <w:rPr>
                <w:rFonts w:ascii="Aptos Narrow" w:eastAsia="Times New Roman" w:hAnsi="Aptos Narrow" w:cs="Calibri"/>
                <w:color w:val="000000"/>
                <w:sz w:val="20"/>
                <w:szCs w:val="20"/>
                <w:lang w:eastAsia="en-GB"/>
              </w:rPr>
              <w:t>and</w:t>
            </w:r>
            <w:r w:rsidRPr="00633995">
              <w:rPr>
                <w:rFonts w:ascii="Aptos Narrow" w:eastAsia="Times New Roman" w:hAnsi="Aptos Narrow" w:cs="Calibri"/>
                <w:color w:val="000000"/>
                <w:sz w:val="20"/>
                <w:szCs w:val="20"/>
                <w:lang w:eastAsia="en-GB"/>
              </w:rPr>
              <w:t xml:space="preserve"> Polanco, 2020)</w:t>
            </w:r>
          </w:p>
        </w:tc>
      </w:tr>
      <w:tr w:rsidR="00D30F47" w:rsidRPr="00633995" w14:paraId="2E75FE14" w14:textId="77777777" w:rsidTr="00C84C76">
        <w:trPr>
          <w:trHeight w:val="300"/>
          <w:jc w:val="center"/>
        </w:trPr>
        <w:tc>
          <w:tcPr>
            <w:tcW w:w="733" w:type="pct"/>
            <w:tcBorders>
              <w:top w:val="single" w:sz="4" w:space="0" w:color="auto"/>
              <w:left w:val="nil"/>
              <w:bottom w:val="single" w:sz="4" w:space="0" w:color="auto"/>
              <w:right w:val="nil"/>
            </w:tcBorders>
            <w:shd w:val="clear" w:color="auto" w:fill="auto"/>
            <w:noWrap/>
            <w:hideMark/>
          </w:tcPr>
          <w:p w14:paraId="305E1374" w14:textId="77777777"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WTO</w:t>
            </w:r>
          </w:p>
        </w:tc>
        <w:tc>
          <w:tcPr>
            <w:tcW w:w="1882" w:type="pct"/>
            <w:tcBorders>
              <w:top w:val="single" w:sz="4" w:space="0" w:color="auto"/>
              <w:left w:val="nil"/>
              <w:bottom w:val="single" w:sz="4" w:space="0" w:color="auto"/>
              <w:right w:val="nil"/>
            </w:tcBorders>
            <w:shd w:val="clear" w:color="auto" w:fill="auto"/>
            <w:noWrap/>
            <w:hideMark/>
          </w:tcPr>
          <w:p w14:paraId="241D0C47" w14:textId="77777777"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World Trade Organization</w:t>
            </w:r>
          </w:p>
        </w:tc>
        <w:tc>
          <w:tcPr>
            <w:tcW w:w="2384" w:type="pct"/>
            <w:tcBorders>
              <w:top w:val="single" w:sz="4" w:space="0" w:color="auto"/>
              <w:left w:val="nil"/>
              <w:bottom w:val="single" w:sz="4" w:space="0" w:color="auto"/>
              <w:right w:val="nil"/>
            </w:tcBorders>
            <w:shd w:val="clear" w:color="auto" w:fill="auto"/>
            <w:noWrap/>
            <w:hideMark/>
          </w:tcPr>
          <w:p w14:paraId="096CD00B" w14:textId="454F4AC2"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 xml:space="preserve">WTO </w:t>
            </w:r>
            <w:r w:rsidR="00582B13">
              <w:rPr>
                <w:rFonts w:ascii="Aptos Narrow" w:eastAsia="Times New Roman" w:hAnsi="Aptos Narrow" w:cs="Calibri"/>
                <w:color w:val="000000"/>
                <w:sz w:val="20"/>
                <w:szCs w:val="20"/>
                <w:lang w:eastAsia="en-GB"/>
              </w:rPr>
              <w:t xml:space="preserve">and </w:t>
            </w:r>
            <w:r w:rsidRPr="00633995">
              <w:rPr>
                <w:rFonts w:ascii="Aptos Narrow" w:eastAsia="Times New Roman" w:hAnsi="Aptos Narrow" w:cs="Calibri"/>
                <w:color w:val="000000"/>
                <w:sz w:val="20"/>
                <w:szCs w:val="20"/>
                <w:lang w:eastAsia="en-GB"/>
              </w:rPr>
              <w:t>Dynamic Gravity Database</w:t>
            </w:r>
          </w:p>
        </w:tc>
      </w:tr>
      <w:tr w:rsidR="000F5E87" w:rsidRPr="00633995" w14:paraId="61EEF3F4" w14:textId="77777777" w:rsidTr="00C84C76">
        <w:trPr>
          <w:trHeight w:val="300"/>
          <w:jc w:val="center"/>
        </w:trPr>
        <w:tc>
          <w:tcPr>
            <w:tcW w:w="733" w:type="pct"/>
            <w:tcBorders>
              <w:top w:val="single" w:sz="4" w:space="0" w:color="auto"/>
              <w:left w:val="nil"/>
              <w:bottom w:val="single" w:sz="4" w:space="0" w:color="auto"/>
              <w:right w:val="nil"/>
            </w:tcBorders>
            <w:shd w:val="clear" w:color="auto" w:fill="auto"/>
            <w:noWrap/>
          </w:tcPr>
          <w:p w14:paraId="7FA11510" w14:textId="77777777"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DPD</w:t>
            </w:r>
          </w:p>
        </w:tc>
        <w:tc>
          <w:tcPr>
            <w:tcW w:w="1882" w:type="pct"/>
            <w:tcBorders>
              <w:top w:val="single" w:sz="4" w:space="0" w:color="auto"/>
              <w:left w:val="nil"/>
              <w:bottom w:val="single" w:sz="4" w:space="0" w:color="auto"/>
              <w:right w:val="nil"/>
            </w:tcBorders>
            <w:shd w:val="clear" w:color="auto" w:fill="auto"/>
            <w:noWrap/>
          </w:tcPr>
          <w:p w14:paraId="61B1F1CF" w14:textId="77777777"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Data Protection Directive</w:t>
            </w:r>
          </w:p>
        </w:tc>
        <w:tc>
          <w:tcPr>
            <w:tcW w:w="2384" w:type="pct"/>
            <w:tcBorders>
              <w:top w:val="single" w:sz="4" w:space="0" w:color="auto"/>
              <w:left w:val="nil"/>
              <w:bottom w:val="single" w:sz="4" w:space="0" w:color="auto"/>
              <w:right w:val="nil"/>
            </w:tcBorders>
            <w:shd w:val="clear" w:color="auto" w:fill="auto"/>
            <w:noWrap/>
          </w:tcPr>
          <w:p w14:paraId="02967ABA" w14:textId="77777777"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w:t>
            </w:r>
          </w:p>
        </w:tc>
      </w:tr>
      <w:tr w:rsidR="000F5E87" w:rsidRPr="00633995" w14:paraId="5F7D8882" w14:textId="77777777" w:rsidTr="00C84C76">
        <w:trPr>
          <w:trHeight w:val="1008"/>
          <w:jc w:val="center"/>
        </w:trPr>
        <w:tc>
          <w:tcPr>
            <w:tcW w:w="733" w:type="pct"/>
            <w:tcBorders>
              <w:top w:val="single" w:sz="4" w:space="0" w:color="auto"/>
              <w:left w:val="nil"/>
              <w:bottom w:val="single" w:sz="4" w:space="0" w:color="auto"/>
              <w:right w:val="nil"/>
            </w:tcBorders>
            <w:shd w:val="clear" w:color="auto" w:fill="auto"/>
            <w:noWrap/>
            <w:hideMark/>
          </w:tcPr>
          <w:p w14:paraId="2711D54D" w14:textId="77777777"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CON 118</w:t>
            </w:r>
          </w:p>
        </w:tc>
        <w:tc>
          <w:tcPr>
            <w:tcW w:w="1882" w:type="pct"/>
            <w:tcBorders>
              <w:top w:val="single" w:sz="4" w:space="0" w:color="auto"/>
              <w:left w:val="nil"/>
              <w:bottom w:val="single" w:sz="4" w:space="0" w:color="auto"/>
              <w:right w:val="nil"/>
            </w:tcBorders>
            <w:shd w:val="clear" w:color="auto" w:fill="auto"/>
            <w:hideMark/>
          </w:tcPr>
          <w:p w14:paraId="7230A68A" w14:textId="77777777"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Council of Europe Protocol No. 8 to the Convention for the Protection of Human Rights and Fundamental Freedoms (Treaty No. 118)</w:t>
            </w:r>
          </w:p>
        </w:tc>
        <w:tc>
          <w:tcPr>
            <w:tcW w:w="2384" w:type="pct"/>
            <w:tcBorders>
              <w:top w:val="single" w:sz="4" w:space="0" w:color="auto"/>
              <w:left w:val="nil"/>
              <w:bottom w:val="single" w:sz="4" w:space="0" w:color="auto"/>
              <w:right w:val="nil"/>
            </w:tcBorders>
            <w:shd w:val="clear" w:color="auto" w:fill="auto"/>
            <w:noWrap/>
            <w:hideMark/>
          </w:tcPr>
          <w:p w14:paraId="4F71E57B" w14:textId="3491FDD4"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Spiezia and Tscheke (2020)</w:t>
            </w:r>
            <w:r w:rsidR="00C84C76">
              <w:rPr>
                <w:rFonts w:ascii="Aptos Narrow" w:eastAsia="Times New Roman" w:hAnsi="Aptos Narrow" w:cs="Calibri"/>
                <w:color w:val="000000"/>
                <w:sz w:val="20"/>
                <w:szCs w:val="20"/>
                <w:lang w:eastAsia="en-GB"/>
              </w:rPr>
              <w:t>;</w:t>
            </w:r>
            <w:r w:rsidR="00582B13">
              <w:rPr>
                <w:rFonts w:ascii="Aptos Narrow" w:eastAsia="Times New Roman" w:hAnsi="Aptos Narrow" w:cs="Calibri"/>
                <w:color w:val="000000"/>
                <w:sz w:val="20"/>
                <w:szCs w:val="20"/>
                <w:lang w:eastAsia="en-GB"/>
              </w:rPr>
              <w:t xml:space="preserve"> </w:t>
            </w:r>
            <w:r w:rsidRPr="00633995">
              <w:rPr>
                <w:rFonts w:ascii="Aptos Narrow" w:eastAsia="Times New Roman" w:hAnsi="Aptos Narrow" w:cs="Calibri"/>
                <w:color w:val="000000"/>
                <w:sz w:val="20"/>
                <w:szCs w:val="20"/>
                <w:lang w:eastAsia="en-GB"/>
              </w:rPr>
              <w:t>Council of Europe</w:t>
            </w:r>
          </w:p>
        </w:tc>
      </w:tr>
      <w:tr w:rsidR="000F5E87" w:rsidRPr="00633995" w14:paraId="431490C4" w14:textId="77777777" w:rsidTr="00C84C76">
        <w:trPr>
          <w:trHeight w:val="300"/>
          <w:jc w:val="center"/>
        </w:trPr>
        <w:tc>
          <w:tcPr>
            <w:tcW w:w="733" w:type="pct"/>
            <w:tcBorders>
              <w:top w:val="single" w:sz="4" w:space="0" w:color="auto"/>
              <w:left w:val="nil"/>
              <w:bottom w:val="single" w:sz="4" w:space="0" w:color="auto"/>
              <w:right w:val="nil"/>
            </w:tcBorders>
            <w:shd w:val="clear" w:color="auto" w:fill="auto"/>
            <w:noWrap/>
            <w:hideMark/>
          </w:tcPr>
          <w:p w14:paraId="6DEAC17C" w14:textId="77777777"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CBPR</w:t>
            </w:r>
          </w:p>
        </w:tc>
        <w:tc>
          <w:tcPr>
            <w:tcW w:w="1882" w:type="pct"/>
            <w:tcBorders>
              <w:top w:val="single" w:sz="4" w:space="0" w:color="auto"/>
              <w:left w:val="nil"/>
              <w:bottom w:val="single" w:sz="4" w:space="0" w:color="auto"/>
              <w:right w:val="nil"/>
            </w:tcBorders>
            <w:shd w:val="clear" w:color="auto" w:fill="auto"/>
            <w:noWrap/>
            <w:hideMark/>
          </w:tcPr>
          <w:p w14:paraId="620D9F37" w14:textId="77777777"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APEC Cross Border Privacy Rules System</w:t>
            </w:r>
          </w:p>
        </w:tc>
        <w:tc>
          <w:tcPr>
            <w:tcW w:w="2384" w:type="pct"/>
            <w:tcBorders>
              <w:top w:val="single" w:sz="4" w:space="0" w:color="auto"/>
              <w:left w:val="nil"/>
              <w:bottom w:val="single" w:sz="4" w:space="0" w:color="auto"/>
              <w:right w:val="nil"/>
            </w:tcBorders>
            <w:shd w:val="clear" w:color="auto" w:fill="auto"/>
            <w:noWrap/>
            <w:hideMark/>
          </w:tcPr>
          <w:p w14:paraId="3FA1F3D9" w14:textId="5939EEB0"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Spiezia and Tscheke (2020)</w:t>
            </w:r>
            <w:r w:rsidR="00C84C76">
              <w:rPr>
                <w:rFonts w:ascii="Aptos Narrow" w:eastAsia="Times New Roman" w:hAnsi="Aptos Narrow" w:cs="Calibri"/>
                <w:color w:val="000000"/>
                <w:sz w:val="20"/>
                <w:szCs w:val="20"/>
                <w:lang w:eastAsia="en-GB"/>
              </w:rPr>
              <w:t xml:space="preserve">; </w:t>
            </w:r>
            <w:r w:rsidRPr="00633995">
              <w:rPr>
                <w:rFonts w:ascii="Aptos Narrow" w:eastAsia="Times New Roman" w:hAnsi="Aptos Narrow" w:cs="Calibri"/>
                <w:color w:val="000000"/>
                <w:sz w:val="20"/>
                <w:szCs w:val="20"/>
                <w:lang w:eastAsia="en-GB"/>
              </w:rPr>
              <w:t xml:space="preserve">APEC </w:t>
            </w:r>
            <w:r w:rsidR="00584A2D">
              <w:rPr>
                <w:rFonts w:ascii="Aptos Narrow" w:eastAsia="Times New Roman" w:hAnsi="Aptos Narrow" w:cs="Calibri"/>
                <w:color w:val="000000"/>
                <w:sz w:val="20"/>
                <w:szCs w:val="20"/>
                <w:lang w:eastAsia="en-GB"/>
              </w:rPr>
              <w:t>(</w:t>
            </w:r>
            <w:r w:rsidRPr="00633995">
              <w:rPr>
                <w:rFonts w:ascii="Aptos Narrow" w:eastAsia="Times New Roman" w:hAnsi="Aptos Narrow" w:cs="Calibri"/>
                <w:color w:val="000000"/>
                <w:sz w:val="20"/>
                <w:szCs w:val="20"/>
                <w:lang w:eastAsia="en-GB"/>
              </w:rPr>
              <w:t>apec.org</w:t>
            </w:r>
            <w:r w:rsidR="00584A2D">
              <w:rPr>
                <w:rFonts w:ascii="Aptos Narrow" w:eastAsia="Times New Roman" w:hAnsi="Aptos Narrow" w:cs="Calibri"/>
                <w:color w:val="000000"/>
                <w:sz w:val="20"/>
                <w:szCs w:val="20"/>
                <w:lang w:eastAsia="en-GB"/>
              </w:rPr>
              <w:t>)</w:t>
            </w:r>
          </w:p>
        </w:tc>
      </w:tr>
      <w:tr w:rsidR="000F5E87" w:rsidRPr="00633995" w14:paraId="250D0C2C" w14:textId="77777777" w:rsidTr="00C84C76">
        <w:trPr>
          <w:trHeight w:val="300"/>
          <w:jc w:val="center"/>
        </w:trPr>
        <w:tc>
          <w:tcPr>
            <w:tcW w:w="733" w:type="pct"/>
            <w:tcBorders>
              <w:top w:val="single" w:sz="4" w:space="0" w:color="auto"/>
              <w:left w:val="nil"/>
              <w:bottom w:val="single" w:sz="4" w:space="0" w:color="auto"/>
              <w:right w:val="nil"/>
            </w:tcBorders>
            <w:shd w:val="clear" w:color="auto" w:fill="auto"/>
            <w:noWrap/>
          </w:tcPr>
          <w:p w14:paraId="07028D3E" w14:textId="77777777"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w:t>
            </w:r>
          </w:p>
        </w:tc>
        <w:tc>
          <w:tcPr>
            <w:tcW w:w="1882" w:type="pct"/>
            <w:tcBorders>
              <w:top w:val="single" w:sz="4" w:space="0" w:color="auto"/>
              <w:left w:val="nil"/>
              <w:bottom w:val="single" w:sz="4" w:space="0" w:color="auto"/>
              <w:right w:val="nil"/>
            </w:tcBorders>
            <w:shd w:val="clear" w:color="auto" w:fill="auto"/>
            <w:noWrap/>
          </w:tcPr>
          <w:p w14:paraId="07F1356E" w14:textId="77777777"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European Union</w:t>
            </w:r>
          </w:p>
        </w:tc>
        <w:tc>
          <w:tcPr>
            <w:tcW w:w="2384" w:type="pct"/>
            <w:tcBorders>
              <w:top w:val="single" w:sz="4" w:space="0" w:color="auto"/>
              <w:left w:val="nil"/>
              <w:bottom w:val="single" w:sz="4" w:space="0" w:color="auto"/>
              <w:right w:val="nil"/>
            </w:tcBorders>
            <w:shd w:val="clear" w:color="auto" w:fill="auto"/>
            <w:noWrap/>
          </w:tcPr>
          <w:p w14:paraId="4B9B6F63" w14:textId="1F4B42B6" w:rsidR="000F5E87" w:rsidRPr="00633995" w:rsidRDefault="000F5E87" w:rsidP="0011538D">
            <w:pPr>
              <w:spacing w:after="0" w:line="240" w:lineRule="auto"/>
              <w:jc w:val="both"/>
              <w:rPr>
                <w:rFonts w:ascii="Aptos Narrow" w:eastAsia="Times New Roman" w:hAnsi="Aptos Narrow" w:cs="Calibri"/>
                <w:color w:val="000000"/>
                <w:sz w:val="20"/>
                <w:szCs w:val="20"/>
                <w:lang w:eastAsia="en-GB"/>
              </w:rPr>
            </w:pPr>
            <w:r w:rsidRPr="00633995">
              <w:rPr>
                <w:rFonts w:ascii="Aptos Narrow" w:eastAsia="Times New Roman" w:hAnsi="Aptos Narrow" w:cs="Calibri"/>
                <w:color w:val="000000"/>
                <w:sz w:val="20"/>
                <w:szCs w:val="20"/>
                <w:lang w:eastAsia="en-GB"/>
              </w:rPr>
              <w:t>Dynamic Gravity Database</w:t>
            </w:r>
          </w:p>
        </w:tc>
      </w:tr>
    </w:tbl>
    <w:p w14:paraId="60FB1BB2" w14:textId="4D84EE87" w:rsidR="0043260C" w:rsidRDefault="0043260C">
      <w:pPr>
        <w:rPr>
          <w:b/>
          <w:bCs/>
        </w:rPr>
      </w:pPr>
    </w:p>
    <w:p w14:paraId="63DE4ABF" w14:textId="4F000A13" w:rsidR="00174267" w:rsidRDefault="00174267">
      <w:pPr>
        <w:rPr>
          <w:b/>
          <w:bCs/>
        </w:rPr>
      </w:pPr>
      <w:r>
        <w:rPr>
          <w:b/>
          <w:bCs/>
        </w:rPr>
        <w:br w:type="page"/>
      </w:r>
    </w:p>
    <w:p w14:paraId="1350AF78" w14:textId="2AA8C53B" w:rsidR="00A07266" w:rsidRPr="00633995" w:rsidRDefault="00022B1B" w:rsidP="0011538D">
      <w:pPr>
        <w:jc w:val="both"/>
        <w:rPr>
          <w:b/>
          <w:bCs/>
        </w:rPr>
      </w:pPr>
      <w:r w:rsidRPr="00633995">
        <w:rPr>
          <w:b/>
          <w:bCs/>
        </w:rPr>
        <w:lastRenderedPageBreak/>
        <w:t>Appendix</w:t>
      </w:r>
      <w:r w:rsidR="00A07266" w:rsidRPr="00633995">
        <w:rPr>
          <w:b/>
          <w:bCs/>
        </w:rPr>
        <w:t xml:space="preserve"> Table </w:t>
      </w:r>
      <w:r w:rsidR="00180229" w:rsidRPr="00633995">
        <w:rPr>
          <w:b/>
          <w:bCs/>
        </w:rPr>
        <w:t>A</w:t>
      </w:r>
      <w:r w:rsidR="005C1E63">
        <w:rPr>
          <w:b/>
          <w:bCs/>
        </w:rPr>
        <w:t>5</w:t>
      </w:r>
      <w:r w:rsidR="00A07266" w:rsidRPr="00633995">
        <w:rPr>
          <w:b/>
          <w:bCs/>
        </w:rPr>
        <w:t xml:space="preserve">: </w:t>
      </w:r>
      <w:r w:rsidR="0097200C" w:rsidRPr="00633995">
        <w:rPr>
          <w:b/>
          <w:bCs/>
        </w:rPr>
        <w:t xml:space="preserve">Narrow and broad </w:t>
      </w:r>
      <w:r w:rsidR="005B0763">
        <w:rPr>
          <w:b/>
          <w:bCs/>
        </w:rPr>
        <w:t xml:space="preserve">sectoral </w:t>
      </w:r>
      <w:r w:rsidR="0097200C" w:rsidRPr="00633995">
        <w:rPr>
          <w:b/>
          <w:bCs/>
        </w:rPr>
        <w:t>definition of digital trade</w:t>
      </w:r>
    </w:p>
    <w:tbl>
      <w:tblPr>
        <w:tblW w:w="5000" w:type="pct"/>
        <w:tblCellMar>
          <w:left w:w="70" w:type="dxa"/>
          <w:right w:w="70" w:type="dxa"/>
        </w:tblCellMar>
        <w:tblLook w:val="04A0" w:firstRow="1" w:lastRow="0" w:firstColumn="1" w:lastColumn="0" w:noHBand="0" w:noVBand="1"/>
      </w:tblPr>
      <w:tblGrid>
        <w:gridCol w:w="947"/>
        <w:gridCol w:w="5022"/>
        <w:gridCol w:w="1148"/>
        <w:gridCol w:w="953"/>
        <w:gridCol w:w="956"/>
      </w:tblGrid>
      <w:tr w:rsidR="00AE6DC0" w:rsidRPr="00633995" w14:paraId="67AF04BD" w14:textId="77777777" w:rsidTr="00AE6DC0">
        <w:trPr>
          <w:trHeight w:val="864"/>
        </w:trPr>
        <w:tc>
          <w:tcPr>
            <w:tcW w:w="507" w:type="pct"/>
            <w:tcBorders>
              <w:top w:val="single" w:sz="4" w:space="0" w:color="auto"/>
              <w:left w:val="nil"/>
              <w:bottom w:val="single" w:sz="4" w:space="0" w:color="auto"/>
              <w:right w:val="nil"/>
            </w:tcBorders>
            <w:shd w:val="clear" w:color="auto" w:fill="auto"/>
            <w:noWrap/>
            <w:vAlign w:val="center"/>
            <w:hideMark/>
          </w:tcPr>
          <w:p w14:paraId="4D958BBF" w14:textId="63780BFE" w:rsidR="00AE6DC0" w:rsidRPr="00513BF1" w:rsidRDefault="00AE6DC0" w:rsidP="00AE6DC0">
            <w:pPr>
              <w:spacing w:after="0" w:line="240" w:lineRule="auto"/>
              <w:jc w:val="both"/>
              <w:rPr>
                <w:rFonts w:ascii="Aptos Narrow" w:eastAsia="Times New Roman" w:hAnsi="Aptos Narrow" w:cs="Times New Roman"/>
                <w:b/>
                <w:bCs/>
                <w:sz w:val="20"/>
                <w:szCs w:val="20"/>
                <w:lang w:eastAsia="de-DE"/>
              </w:rPr>
            </w:pPr>
            <w:r w:rsidRPr="00513BF1">
              <w:rPr>
                <w:rFonts w:ascii="Aptos Narrow" w:eastAsia="Times New Roman" w:hAnsi="Aptos Narrow" w:cs="Times New Roman"/>
                <w:b/>
                <w:bCs/>
                <w:sz w:val="20"/>
                <w:szCs w:val="20"/>
                <w:lang w:eastAsia="de-DE"/>
              </w:rPr>
              <w:t>Ti</w:t>
            </w:r>
            <w:r w:rsidR="00B60FBA">
              <w:rPr>
                <w:rFonts w:ascii="Aptos Narrow" w:eastAsia="Times New Roman" w:hAnsi="Aptos Narrow" w:cs="Times New Roman"/>
                <w:b/>
                <w:bCs/>
                <w:sz w:val="20"/>
                <w:szCs w:val="20"/>
                <w:lang w:eastAsia="de-DE"/>
              </w:rPr>
              <w:t>VA</w:t>
            </w:r>
            <w:r w:rsidRPr="00513BF1">
              <w:rPr>
                <w:rFonts w:ascii="Aptos Narrow" w:eastAsia="Times New Roman" w:hAnsi="Aptos Narrow" w:cs="Times New Roman"/>
                <w:b/>
                <w:bCs/>
                <w:sz w:val="20"/>
                <w:szCs w:val="20"/>
                <w:lang w:eastAsia="de-DE"/>
              </w:rPr>
              <w:t xml:space="preserve"> code</w:t>
            </w:r>
          </w:p>
        </w:tc>
        <w:tc>
          <w:tcPr>
            <w:tcW w:w="2782" w:type="pct"/>
            <w:tcBorders>
              <w:top w:val="single" w:sz="4" w:space="0" w:color="auto"/>
              <w:left w:val="nil"/>
              <w:bottom w:val="single" w:sz="4" w:space="0" w:color="auto"/>
              <w:right w:val="nil"/>
            </w:tcBorders>
            <w:shd w:val="clear" w:color="auto" w:fill="auto"/>
            <w:noWrap/>
            <w:vAlign w:val="center"/>
            <w:hideMark/>
          </w:tcPr>
          <w:p w14:paraId="7D1EFB98" w14:textId="77777777" w:rsidR="00AE6DC0" w:rsidRPr="00513BF1" w:rsidRDefault="00AE6DC0" w:rsidP="00AE6DC0">
            <w:pPr>
              <w:spacing w:after="0" w:line="240" w:lineRule="auto"/>
              <w:jc w:val="both"/>
              <w:rPr>
                <w:rFonts w:ascii="Aptos Narrow" w:eastAsia="Times New Roman" w:hAnsi="Aptos Narrow" w:cs="Times New Roman"/>
                <w:b/>
                <w:bCs/>
                <w:sz w:val="20"/>
                <w:szCs w:val="20"/>
                <w:lang w:eastAsia="de-DE"/>
              </w:rPr>
            </w:pPr>
            <w:r w:rsidRPr="00513BF1">
              <w:rPr>
                <w:rFonts w:ascii="Aptos Narrow" w:eastAsia="Times New Roman" w:hAnsi="Aptos Narrow" w:cs="Times New Roman"/>
                <w:b/>
                <w:bCs/>
                <w:sz w:val="20"/>
                <w:szCs w:val="20"/>
                <w:lang w:eastAsia="de-DE"/>
              </w:rPr>
              <w:t>Industry</w:t>
            </w:r>
          </w:p>
        </w:tc>
        <w:tc>
          <w:tcPr>
            <w:tcW w:w="642" w:type="pct"/>
            <w:tcBorders>
              <w:top w:val="single" w:sz="4" w:space="0" w:color="auto"/>
              <w:left w:val="nil"/>
              <w:bottom w:val="single" w:sz="4" w:space="0" w:color="auto"/>
              <w:right w:val="nil"/>
            </w:tcBorders>
            <w:shd w:val="clear" w:color="auto" w:fill="auto"/>
            <w:vAlign w:val="center"/>
            <w:hideMark/>
          </w:tcPr>
          <w:p w14:paraId="28A6F4ED" w14:textId="77777777" w:rsidR="00AE6DC0" w:rsidRPr="00513BF1" w:rsidRDefault="00AE6DC0" w:rsidP="00AE6DC0">
            <w:pPr>
              <w:spacing w:after="0" w:line="240" w:lineRule="auto"/>
              <w:jc w:val="both"/>
              <w:rPr>
                <w:rFonts w:ascii="Aptos Narrow" w:eastAsia="Times New Roman" w:hAnsi="Aptos Narrow" w:cs="Times New Roman"/>
                <w:b/>
                <w:bCs/>
                <w:sz w:val="20"/>
                <w:szCs w:val="20"/>
                <w:lang w:eastAsia="de-DE"/>
              </w:rPr>
            </w:pPr>
            <w:r w:rsidRPr="00513BF1">
              <w:rPr>
                <w:rFonts w:ascii="Aptos Narrow" w:eastAsia="Times New Roman" w:hAnsi="Aptos Narrow" w:cs="Times New Roman"/>
                <w:b/>
                <w:bCs/>
                <w:sz w:val="20"/>
                <w:szCs w:val="20"/>
                <w:lang w:eastAsia="de-DE"/>
              </w:rPr>
              <w:t>ISIC Rev.4</w:t>
            </w:r>
          </w:p>
        </w:tc>
        <w:tc>
          <w:tcPr>
            <w:tcW w:w="534" w:type="pct"/>
            <w:tcBorders>
              <w:top w:val="single" w:sz="4" w:space="0" w:color="auto"/>
              <w:left w:val="nil"/>
              <w:bottom w:val="single" w:sz="4" w:space="0" w:color="auto"/>
              <w:right w:val="nil"/>
            </w:tcBorders>
            <w:shd w:val="clear" w:color="auto" w:fill="auto"/>
            <w:vAlign w:val="center"/>
            <w:hideMark/>
          </w:tcPr>
          <w:p w14:paraId="280EE192" w14:textId="2C163DDE" w:rsidR="00AE6DC0" w:rsidRPr="00513BF1" w:rsidRDefault="00AE6DC0" w:rsidP="00607058">
            <w:pPr>
              <w:spacing w:after="0" w:line="240" w:lineRule="auto"/>
              <w:jc w:val="center"/>
              <w:rPr>
                <w:rFonts w:ascii="Aptos Narrow" w:eastAsia="Times New Roman" w:hAnsi="Aptos Narrow" w:cs="Times New Roman"/>
                <w:b/>
                <w:bCs/>
                <w:sz w:val="20"/>
                <w:szCs w:val="20"/>
                <w:lang w:eastAsia="de-DE"/>
              </w:rPr>
            </w:pPr>
            <w:r>
              <w:rPr>
                <w:rFonts w:ascii="Aptos Narrow" w:eastAsia="Times New Roman" w:hAnsi="Aptos Narrow" w:cs="Times New Roman"/>
                <w:b/>
                <w:bCs/>
                <w:sz w:val="20"/>
                <w:szCs w:val="20"/>
                <w:lang w:eastAsia="de-DE"/>
              </w:rPr>
              <w:t>Narrow definition of d</w:t>
            </w:r>
            <w:r w:rsidRPr="00513BF1">
              <w:rPr>
                <w:rFonts w:ascii="Aptos Narrow" w:eastAsia="Times New Roman" w:hAnsi="Aptos Narrow" w:cs="Times New Roman"/>
                <w:b/>
                <w:bCs/>
                <w:sz w:val="20"/>
                <w:szCs w:val="20"/>
                <w:lang w:eastAsia="de-DE"/>
              </w:rPr>
              <w:t>igital trade</w:t>
            </w:r>
          </w:p>
        </w:tc>
        <w:tc>
          <w:tcPr>
            <w:tcW w:w="535" w:type="pct"/>
            <w:tcBorders>
              <w:top w:val="single" w:sz="4" w:space="0" w:color="auto"/>
              <w:left w:val="nil"/>
              <w:bottom w:val="single" w:sz="4" w:space="0" w:color="auto"/>
              <w:right w:val="nil"/>
            </w:tcBorders>
            <w:shd w:val="clear" w:color="auto" w:fill="auto"/>
            <w:vAlign w:val="center"/>
            <w:hideMark/>
          </w:tcPr>
          <w:p w14:paraId="5DF05DBA" w14:textId="6C50319B" w:rsidR="00AE6DC0" w:rsidRPr="00513BF1" w:rsidRDefault="00AE6DC0" w:rsidP="00607058">
            <w:pPr>
              <w:spacing w:after="0" w:line="240" w:lineRule="auto"/>
              <w:jc w:val="center"/>
              <w:rPr>
                <w:rFonts w:ascii="Aptos Narrow" w:eastAsia="Times New Roman" w:hAnsi="Aptos Narrow" w:cs="Times New Roman"/>
                <w:b/>
                <w:bCs/>
                <w:sz w:val="20"/>
                <w:szCs w:val="20"/>
                <w:lang w:eastAsia="de-DE"/>
              </w:rPr>
            </w:pPr>
            <w:r>
              <w:rPr>
                <w:rFonts w:ascii="Aptos Narrow" w:eastAsia="Times New Roman" w:hAnsi="Aptos Narrow" w:cs="Times New Roman"/>
                <w:b/>
                <w:bCs/>
                <w:sz w:val="20"/>
                <w:szCs w:val="20"/>
                <w:lang w:eastAsia="de-DE"/>
              </w:rPr>
              <w:t>Broad definition of d</w:t>
            </w:r>
            <w:r w:rsidRPr="00513BF1">
              <w:rPr>
                <w:rFonts w:ascii="Aptos Narrow" w:eastAsia="Times New Roman" w:hAnsi="Aptos Narrow" w:cs="Times New Roman"/>
                <w:b/>
                <w:bCs/>
                <w:sz w:val="20"/>
                <w:szCs w:val="20"/>
                <w:lang w:eastAsia="de-DE"/>
              </w:rPr>
              <w:t>igital trade</w:t>
            </w:r>
          </w:p>
        </w:tc>
      </w:tr>
      <w:tr w:rsidR="00AE6DC0" w:rsidRPr="00633995" w14:paraId="68C9B3B3" w14:textId="77777777" w:rsidTr="00AE6DC0">
        <w:trPr>
          <w:trHeight w:val="288"/>
        </w:trPr>
        <w:tc>
          <w:tcPr>
            <w:tcW w:w="507" w:type="pct"/>
            <w:tcBorders>
              <w:top w:val="nil"/>
              <w:left w:val="nil"/>
              <w:bottom w:val="nil"/>
              <w:right w:val="nil"/>
            </w:tcBorders>
            <w:shd w:val="clear" w:color="auto" w:fill="auto"/>
            <w:noWrap/>
            <w:vAlign w:val="bottom"/>
            <w:hideMark/>
          </w:tcPr>
          <w:p w14:paraId="20046DB2"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C21</w:t>
            </w:r>
          </w:p>
        </w:tc>
        <w:tc>
          <w:tcPr>
            <w:tcW w:w="2782" w:type="pct"/>
            <w:tcBorders>
              <w:top w:val="nil"/>
              <w:left w:val="nil"/>
              <w:bottom w:val="nil"/>
              <w:right w:val="nil"/>
            </w:tcBorders>
            <w:shd w:val="clear" w:color="auto" w:fill="auto"/>
            <w:noWrap/>
            <w:vAlign w:val="bottom"/>
            <w:hideMark/>
          </w:tcPr>
          <w:p w14:paraId="64F1043A" w14:textId="77777777" w:rsidR="00AE6DC0" w:rsidRPr="00633995" w:rsidRDefault="00AE6DC0" w:rsidP="00AE6DC0">
            <w:pPr>
              <w:spacing w:after="0" w:line="240" w:lineRule="auto"/>
              <w:jc w:val="both"/>
              <w:rPr>
                <w:rFonts w:ascii="Aptos Narrow" w:eastAsia="Times New Roman" w:hAnsi="Aptos Narrow" w:cs="Times New Roman"/>
                <w:sz w:val="20"/>
                <w:szCs w:val="20"/>
                <w:lang w:eastAsia="de-DE"/>
              </w:rPr>
            </w:pPr>
            <w:r w:rsidRPr="00633995">
              <w:rPr>
                <w:rFonts w:ascii="Aptos Narrow" w:eastAsia="Times New Roman" w:hAnsi="Aptos Narrow" w:cs="Times New Roman"/>
                <w:sz w:val="20"/>
                <w:szCs w:val="20"/>
                <w:lang w:eastAsia="de-DE"/>
              </w:rPr>
              <w:t>Pharmaceuticals, medicinal chemical and botanical products</w:t>
            </w:r>
          </w:p>
        </w:tc>
        <w:tc>
          <w:tcPr>
            <w:tcW w:w="642" w:type="pct"/>
            <w:tcBorders>
              <w:top w:val="nil"/>
              <w:left w:val="nil"/>
              <w:bottom w:val="nil"/>
              <w:right w:val="nil"/>
            </w:tcBorders>
            <w:shd w:val="clear" w:color="auto" w:fill="auto"/>
            <w:noWrap/>
            <w:vAlign w:val="bottom"/>
            <w:hideMark/>
          </w:tcPr>
          <w:p w14:paraId="0D3C189D"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21</w:t>
            </w:r>
          </w:p>
        </w:tc>
        <w:tc>
          <w:tcPr>
            <w:tcW w:w="534" w:type="pct"/>
            <w:tcBorders>
              <w:top w:val="nil"/>
              <w:left w:val="nil"/>
              <w:bottom w:val="nil"/>
              <w:right w:val="nil"/>
            </w:tcBorders>
            <w:shd w:val="clear" w:color="auto" w:fill="auto"/>
            <w:noWrap/>
            <w:vAlign w:val="bottom"/>
            <w:hideMark/>
          </w:tcPr>
          <w:p w14:paraId="5588F5F5" w14:textId="77777777" w:rsidR="00AE6DC0" w:rsidRPr="00513BF1" w:rsidRDefault="00AE6DC0" w:rsidP="00607058">
            <w:pPr>
              <w:spacing w:after="0" w:line="240" w:lineRule="auto"/>
              <w:jc w:val="center"/>
              <w:rPr>
                <w:rFonts w:ascii="Aptos Narrow" w:eastAsia="Times New Roman" w:hAnsi="Aptos Narrow" w:cs="Times New Roman"/>
                <w:sz w:val="20"/>
                <w:szCs w:val="20"/>
                <w:lang w:eastAsia="de-DE"/>
              </w:rPr>
            </w:pPr>
          </w:p>
        </w:tc>
        <w:tc>
          <w:tcPr>
            <w:tcW w:w="535" w:type="pct"/>
            <w:tcBorders>
              <w:top w:val="nil"/>
              <w:left w:val="nil"/>
              <w:bottom w:val="nil"/>
              <w:right w:val="nil"/>
            </w:tcBorders>
            <w:shd w:val="clear" w:color="auto" w:fill="auto"/>
            <w:noWrap/>
            <w:vAlign w:val="bottom"/>
            <w:hideMark/>
          </w:tcPr>
          <w:p w14:paraId="02509751" w14:textId="5B8BFDD8" w:rsidR="00AE6DC0" w:rsidRPr="00513BF1" w:rsidRDefault="005B1947" w:rsidP="00607058">
            <w:pPr>
              <w:spacing w:after="0" w:line="240" w:lineRule="auto"/>
              <w:jc w:val="center"/>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w:t>
            </w:r>
          </w:p>
        </w:tc>
      </w:tr>
      <w:tr w:rsidR="00AE6DC0" w:rsidRPr="00633995" w14:paraId="45E861CB" w14:textId="77777777" w:rsidTr="00AE6DC0">
        <w:trPr>
          <w:trHeight w:val="288"/>
        </w:trPr>
        <w:tc>
          <w:tcPr>
            <w:tcW w:w="507" w:type="pct"/>
            <w:tcBorders>
              <w:top w:val="nil"/>
              <w:left w:val="nil"/>
              <w:bottom w:val="nil"/>
              <w:right w:val="nil"/>
            </w:tcBorders>
            <w:shd w:val="clear" w:color="auto" w:fill="auto"/>
            <w:noWrap/>
            <w:vAlign w:val="bottom"/>
            <w:hideMark/>
          </w:tcPr>
          <w:p w14:paraId="1CFFB97E"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bookmarkStart w:id="5" w:name="_Hlk176081605"/>
            <w:r w:rsidRPr="00513BF1">
              <w:rPr>
                <w:rFonts w:ascii="Aptos Narrow" w:eastAsia="Times New Roman" w:hAnsi="Aptos Narrow" w:cs="Times New Roman"/>
                <w:sz w:val="20"/>
                <w:szCs w:val="20"/>
                <w:lang w:eastAsia="de-DE"/>
              </w:rPr>
              <w:t>C26</w:t>
            </w:r>
          </w:p>
        </w:tc>
        <w:tc>
          <w:tcPr>
            <w:tcW w:w="2782" w:type="pct"/>
            <w:tcBorders>
              <w:top w:val="nil"/>
              <w:left w:val="nil"/>
              <w:bottom w:val="nil"/>
              <w:right w:val="nil"/>
            </w:tcBorders>
            <w:shd w:val="clear" w:color="auto" w:fill="auto"/>
            <w:noWrap/>
            <w:vAlign w:val="bottom"/>
            <w:hideMark/>
          </w:tcPr>
          <w:p w14:paraId="197BCAA0" w14:textId="77777777" w:rsidR="00AE6DC0" w:rsidRPr="00633995" w:rsidRDefault="00AE6DC0" w:rsidP="00AE6DC0">
            <w:pPr>
              <w:spacing w:after="0" w:line="240" w:lineRule="auto"/>
              <w:jc w:val="both"/>
              <w:rPr>
                <w:rFonts w:ascii="Aptos Narrow" w:eastAsia="Times New Roman" w:hAnsi="Aptos Narrow" w:cs="Times New Roman"/>
                <w:sz w:val="20"/>
                <w:szCs w:val="20"/>
                <w:lang w:eastAsia="de-DE"/>
              </w:rPr>
            </w:pPr>
            <w:r w:rsidRPr="00633995">
              <w:rPr>
                <w:rFonts w:ascii="Aptos Narrow" w:eastAsia="Times New Roman" w:hAnsi="Aptos Narrow" w:cs="Times New Roman"/>
                <w:sz w:val="20"/>
                <w:szCs w:val="20"/>
                <w:lang w:eastAsia="de-DE"/>
              </w:rPr>
              <w:t>Computer, electronic and optical equipment</w:t>
            </w:r>
          </w:p>
        </w:tc>
        <w:tc>
          <w:tcPr>
            <w:tcW w:w="642" w:type="pct"/>
            <w:tcBorders>
              <w:top w:val="nil"/>
              <w:left w:val="nil"/>
              <w:bottom w:val="nil"/>
              <w:right w:val="nil"/>
            </w:tcBorders>
            <w:shd w:val="clear" w:color="auto" w:fill="auto"/>
            <w:noWrap/>
            <w:vAlign w:val="bottom"/>
            <w:hideMark/>
          </w:tcPr>
          <w:p w14:paraId="3D192A47"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26</w:t>
            </w:r>
          </w:p>
        </w:tc>
        <w:tc>
          <w:tcPr>
            <w:tcW w:w="534" w:type="pct"/>
            <w:tcBorders>
              <w:top w:val="nil"/>
              <w:left w:val="nil"/>
              <w:bottom w:val="nil"/>
              <w:right w:val="nil"/>
            </w:tcBorders>
            <w:shd w:val="clear" w:color="auto" w:fill="auto"/>
            <w:noWrap/>
            <w:vAlign w:val="bottom"/>
            <w:hideMark/>
          </w:tcPr>
          <w:p w14:paraId="0977AA95" w14:textId="77777777" w:rsidR="00AE6DC0" w:rsidRPr="00513BF1" w:rsidRDefault="00AE6DC0" w:rsidP="00607058">
            <w:pPr>
              <w:spacing w:after="0" w:line="240" w:lineRule="auto"/>
              <w:jc w:val="center"/>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w:t>
            </w:r>
          </w:p>
        </w:tc>
        <w:tc>
          <w:tcPr>
            <w:tcW w:w="535" w:type="pct"/>
            <w:tcBorders>
              <w:top w:val="nil"/>
              <w:left w:val="nil"/>
              <w:bottom w:val="nil"/>
              <w:right w:val="nil"/>
            </w:tcBorders>
            <w:shd w:val="clear" w:color="auto" w:fill="auto"/>
            <w:noWrap/>
            <w:vAlign w:val="bottom"/>
            <w:hideMark/>
          </w:tcPr>
          <w:p w14:paraId="4ED7BFDD" w14:textId="77777777" w:rsidR="00AE6DC0" w:rsidRPr="00513BF1" w:rsidRDefault="00AE6DC0" w:rsidP="00607058">
            <w:pPr>
              <w:spacing w:after="0" w:line="240" w:lineRule="auto"/>
              <w:jc w:val="center"/>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w:t>
            </w:r>
          </w:p>
        </w:tc>
      </w:tr>
      <w:tr w:rsidR="00AE6DC0" w:rsidRPr="00633995" w14:paraId="72031C56" w14:textId="77777777" w:rsidTr="00AE6DC0">
        <w:trPr>
          <w:trHeight w:val="288"/>
        </w:trPr>
        <w:tc>
          <w:tcPr>
            <w:tcW w:w="507" w:type="pct"/>
            <w:tcBorders>
              <w:top w:val="nil"/>
              <w:left w:val="nil"/>
              <w:bottom w:val="nil"/>
              <w:right w:val="nil"/>
            </w:tcBorders>
            <w:shd w:val="clear" w:color="auto" w:fill="auto"/>
            <w:noWrap/>
            <w:vAlign w:val="bottom"/>
            <w:hideMark/>
          </w:tcPr>
          <w:p w14:paraId="7EFC80C9"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J58T60</w:t>
            </w:r>
          </w:p>
        </w:tc>
        <w:tc>
          <w:tcPr>
            <w:tcW w:w="2782" w:type="pct"/>
            <w:tcBorders>
              <w:top w:val="nil"/>
              <w:left w:val="nil"/>
              <w:bottom w:val="nil"/>
              <w:right w:val="nil"/>
            </w:tcBorders>
            <w:shd w:val="clear" w:color="auto" w:fill="auto"/>
            <w:noWrap/>
            <w:vAlign w:val="bottom"/>
            <w:hideMark/>
          </w:tcPr>
          <w:p w14:paraId="37E58945" w14:textId="77777777" w:rsidR="00AE6DC0" w:rsidRPr="00633995" w:rsidRDefault="00AE6DC0" w:rsidP="00AE6DC0">
            <w:pPr>
              <w:spacing w:after="0" w:line="240" w:lineRule="auto"/>
              <w:jc w:val="both"/>
              <w:rPr>
                <w:rFonts w:ascii="Aptos Narrow" w:eastAsia="Times New Roman" w:hAnsi="Aptos Narrow" w:cs="Times New Roman"/>
                <w:sz w:val="20"/>
                <w:szCs w:val="20"/>
                <w:lang w:eastAsia="de-DE"/>
              </w:rPr>
            </w:pPr>
            <w:r w:rsidRPr="00633995">
              <w:rPr>
                <w:rFonts w:ascii="Aptos Narrow" w:eastAsia="Times New Roman" w:hAnsi="Aptos Narrow" w:cs="Times New Roman"/>
                <w:sz w:val="20"/>
                <w:szCs w:val="20"/>
                <w:lang w:eastAsia="de-DE"/>
              </w:rPr>
              <w:t>Publishing, audiovisual and broadcasting activities</w:t>
            </w:r>
          </w:p>
        </w:tc>
        <w:tc>
          <w:tcPr>
            <w:tcW w:w="642" w:type="pct"/>
            <w:tcBorders>
              <w:top w:val="nil"/>
              <w:left w:val="nil"/>
              <w:bottom w:val="nil"/>
              <w:right w:val="nil"/>
            </w:tcBorders>
            <w:shd w:val="clear" w:color="auto" w:fill="auto"/>
            <w:noWrap/>
            <w:vAlign w:val="bottom"/>
            <w:hideMark/>
          </w:tcPr>
          <w:p w14:paraId="7BCFE56B"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58, 59, 60</w:t>
            </w:r>
          </w:p>
        </w:tc>
        <w:tc>
          <w:tcPr>
            <w:tcW w:w="534" w:type="pct"/>
            <w:tcBorders>
              <w:top w:val="nil"/>
              <w:left w:val="nil"/>
              <w:bottom w:val="nil"/>
              <w:right w:val="nil"/>
            </w:tcBorders>
            <w:shd w:val="clear" w:color="auto" w:fill="auto"/>
            <w:noWrap/>
            <w:vAlign w:val="bottom"/>
            <w:hideMark/>
          </w:tcPr>
          <w:p w14:paraId="71A13367" w14:textId="77777777" w:rsidR="00AE6DC0" w:rsidRPr="00513BF1" w:rsidRDefault="00AE6DC0" w:rsidP="00607058">
            <w:pPr>
              <w:spacing w:after="0" w:line="240" w:lineRule="auto"/>
              <w:jc w:val="center"/>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w:t>
            </w:r>
          </w:p>
        </w:tc>
        <w:tc>
          <w:tcPr>
            <w:tcW w:w="535" w:type="pct"/>
            <w:tcBorders>
              <w:top w:val="nil"/>
              <w:left w:val="nil"/>
              <w:bottom w:val="nil"/>
              <w:right w:val="nil"/>
            </w:tcBorders>
            <w:shd w:val="clear" w:color="auto" w:fill="auto"/>
            <w:noWrap/>
            <w:vAlign w:val="bottom"/>
            <w:hideMark/>
          </w:tcPr>
          <w:p w14:paraId="503DE83C" w14:textId="77777777" w:rsidR="00AE6DC0" w:rsidRPr="00513BF1" w:rsidRDefault="00AE6DC0" w:rsidP="00607058">
            <w:pPr>
              <w:spacing w:after="0" w:line="240" w:lineRule="auto"/>
              <w:jc w:val="center"/>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w:t>
            </w:r>
          </w:p>
        </w:tc>
      </w:tr>
      <w:tr w:rsidR="00AE6DC0" w:rsidRPr="00633995" w14:paraId="02C7F134" w14:textId="77777777" w:rsidTr="00AE6DC0">
        <w:trPr>
          <w:trHeight w:val="288"/>
        </w:trPr>
        <w:tc>
          <w:tcPr>
            <w:tcW w:w="507" w:type="pct"/>
            <w:tcBorders>
              <w:top w:val="nil"/>
              <w:left w:val="nil"/>
              <w:bottom w:val="nil"/>
              <w:right w:val="nil"/>
            </w:tcBorders>
            <w:shd w:val="clear" w:color="auto" w:fill="auto"/>
            <w:noWrap/>
            <w:vAlign w:val="bottom"/>
            <w:hideMark/>
          </w:tcPr>
          <w:p w14:paraId="7C630793"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J61</w:t>
            </w:r>
          </w:p>
        </w:tc>
        <w:tc>
          <w:tcPr>
            <w:tcW w:w="2782" w:type="pct"/>
            <w:tcBorders>
              <w:top w:val="nil"/>
              <w:left w:val="nil"/>
              <w:bottom w:val="nil"/>
              <w:right w:val="nil"/>
            </w:tcBorders>
            <w:shd w:val="clear" w:color="auto" w:fill="auto"/>
            <w:noWrap/>
            <w:vAlign w:val="bottom"/>
            <w:hideMark/>
          </w:tcPr>
          <w:p w14:paraId="7E2687D0"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Telecommunications</w:t>
            </w:r>
          </w:p>
        </w:tc>
        <w:tc>
          <w:tcPr>
            <w:tcW w:w="642" w:type="pct"/>
            <w:tcBorders>
              <w:top w:val="nil"/>
              <w:left w:val="nil"/>
              <w:bottom w:val="nil"/>
              <w:right w:val="nil"/>
            </w:tcBorders>
            <w:shd w:val="clear" w:color="auto" w:fill="auto"/>
            <w:noWrap/>
            <w:vAlign w:val="bottom"/>
            <w:hideMark/>
          </w:tcPr>
          <w:p w14:paraId="273528AE"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61</w:t>
            </w:r>
          </w:p>
        </w:tc>
        <w:tc>
          <w:tcPr>
            <w:tcW w:w="534" w:type="pct"/>
            <w:tcBorders>
              <w:top w:val="nil"/>
              <w:left w:val="nil"/>
              <w:bottom w:val="nil"/>
              <w:right w:val="nil"/>
            </w:tcBorders>
            <w:shd w:val="clear" w:color="auto" w:fill="auto"/>
            <w:noWrap/>
            <w:vAlign w:val="bottom"/>
            <w:hideMark/>
          </w:tcPr>
          <w:p w14:paraId="3D666743" w14:textId="77777777" w:rsidR="00AE6DC0" w:rsidRPr="00513BF1" w:rsidRDefault="00AE6DC0" w:rsidP="00607058">
            <w:pPr>
              <w:spacing w:after="0" w:line="240" w:lineRule="auto"/>
              <w:jc w:val="center"/>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w:t>
            </w:r>
          </w:p>
        </w:tc>
        <w:tc>
          <w:tcPr>
            <w:tcW w:w="535" w:type="pct"/>
            <w:tcBorders>
              <w:top w:val="nil"/>
              <w:left w:val="nil"/>
              <w:bottom w:val="nil"/>
              <w:right w:val="nil"/>
            </w:tcBorders>
            <w:shd w:val="clear" w:color="auto" w:fill="auto"/>
            <w:noWrap/>
            <w:vAlign w:val="bottom"/>
            <w:hideMark/>
          </w:tcPr>
          <w:p w14:paraId="1C945D31" w14:textId="77777777" w:rsidR="00AE6DC0" w:rsidRPr="00513BF1" w:rsidRDefault="00AE6DC0" w:rsidP="00607058">
            <w:pPr>
              <w:spacing w:after="0" w:line="240" w:lineRule="auto"/>
              <w:jc w:val="center"/>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w:t>
            </w:r>
          </w:p>
        </w:tc>
      </w:tr>
      <w:tr w:rsidR="00AE6DC0" w:rsidRPr="00633995" w14:paraId="34815D0D" w14:textId="77777777" w:rsidTr="00AE6DC0">
        <w:trPr>
          <w:trHeight w:val="288"/>
        </w:trPr>
        <w:tc>
          <w:tcPr>
            <w:tcW w:w="507" w:type="pct"/>
            <w:tcBorders>
              <w:top w:val="nil"/>
              <w:left w:val="nil"/>
              <w:bottom w:val="nil"/>
              <w:right w:val="nil"/>
            </w:tcBorders>
            <w:shd w:val="clear" w:color="auto" w:fill="auto"/>
            <w:noWrap/>
            <w:vAlign w:val="bottom"/>
            <w:hideMark/>
          </w:tcPr>
          <w:p w14:paraId="4B7D078B"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J62_63</w:t>
            </w:r>
          </w:p>
        </w:tc>
        <w:tc>
          <w:tcPr>
            <w:tcW w:w="2782" w:type="pct"/>
            <w:tcBorders>
              <w:top w:val="nil"/>
              <w:left w:val="nil"/>
              <w:bottom w:val="nil"/>
              <w:right w:val="nil"/>
            </w:tcBorders>
            <w:shd w:val="clear" w:color="auto" w:fill="auto"/>
            <w:noWrap/>
            <w:vAlign w:val="bottom"/>
            <w:hideMark/>
          </w:tcPr>
          <w:p w14:paraId="16974D6C" w14:textId="77777777" w:rsidR="00AE6DC0" w:rsidRPr="00633995" w:rsidRDefault="00AE6DC0" w:rsidP="00AE6DC0">
            <w:pPr>
              <w:spacing w:after="0" w:line="240" w:lineRule="auto"/>
              <w:jc w:val="both"/>
              <w:rPr>
                <w:rFonts w:ascii="Aptos Narrow" w:eastAsia="Times New Roman" w:hAnsi="Aptos Narrow" w:cs="Times New Roman"/>
                <w:sz w:val="20"/>
                <w:szCs w:val="20"/>
                <w:lang w:eastAsia="de-DE"/>
              </w:rPr>
            </w:pPr>
            <w:r w:rsidRPr="00633995">
              <w:rPr>
                <w:rFonts w:ascii="Aptos Narrow" w:eastAsia="Times New Roman" w:hAnsi="Aptos Narrow" w:cs="Times New Roman"/>
                <w:sz w:val="20"/>
                <w:szCs w:val="20"/>
                <w:lang w:eastAsia="de-DE"/>
              </w:rPr>
              <w:t>IT and other information services</w:t>
            </w:r>
          </w:p>
        </w:tc>
        <w:tc>
          <w:tcPr>
            <w:tcW w:w="642" w:type="pct"/>
            <w:tcBorders>
              <w:top w:val="nil"/>
              <w:left w:val="nil"/>
              <w:bottom w:val="nil"/>
              <w:right w:val="nil"/>
            </w:tcBorders>
            <w:shd w:val="clear" w:color="auto" w:fill="auto"/>
            <w:noWrap/>
            <w:vAlign w:val="bottom"/>
            <w:hideMark/>
          </w:tcPr>
          <w:p w14:paraId="4581DE42"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62, 63</w:t>
            </w:r>
          </w:p>
        </w:tc>
        <w:tc>
          <w:tcPr>
            <w:tcW w:w="534" w:type="pct"/>
            <w:tcBorders>
              <w:top w:val="nil"/>
              <w:left w:val="nil"/>
              <w:bottom w:val="nil"/>
              <w:right w:val="nil"/>
            </w:tcBorders>
            <w:shd w:val="clear" w:color="auto" w:fill="auto"/>
            <w:noWrap/>
            <w:vAlign w:val="bottom"/>
            <w:hideMark/>
          </w:tcPr>
          <w:p w14:paraId="22386265" w14:textId="77777777" w:rsidR="00AE6DC0" w:rsidRPr="00513BF1" w:rsidRDefault="00AE6DC0" w:rsidP="00607058">
            <w:pPr>
              <w:spacing w:after="0" w:line="240" w:lineRule="auto"/>
              <w:jc w:val="center"/>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w:t>
            </w:r>
          </w:p>
        </w:tc>
        <w:tc>
          <w:tcPr>
            <w:tcW w:w="535" w:type="pct"/>
            <w:tcBorders>
              <w:top w:val="nil"/>
              <w:left w:val="nil"/>
              <w:bottom w:val="nil"/>
              <w:right w:val="nil"/>
            </w:tcBorders>
            <w:shd w:val="clear" w:color="auto" w:fill="auto"/>
            <w:noWrap/>
            <w:vAlign w:val="bottom"/>
            <w:hideMark/>
          </w:tcPr>
          <w:p w14:paraId="68237D0D" w14:textId="77777777" w:rsidR="00AE6DC0" w:rsidRPr="00513BF1" w:rsidRDefault="00AE6DC0" w:rsidP="00607058">
            <w:pPr>
              <w:spacing w:after="0" w:line="240" w:lineRule="auto"/>
              <w:jc w:val="center"/>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w:t>
            </w:r>
          </w:p>
        </w:tc>
      </w:tr>
      <w:bookmarkEnd w:id="5"/>
      <w:tr w:rsidR="00AE6DC0" w:rsidRPr="00633995" w14:paraId="3B839473" w14:textId="77777777" w:rsidTr="00AE6DC0">
        <w:trPr>
          <w:trHeight w:val="288"/>
        </w:trPr>
        <w:tc>
          <w:tcPr>
            <w:tcW w:w="507" w:type="pct"/>
            <w:tcBorders>
              <w:top w:val="nil"/>
              <w:left w:val="nil"/>
              <w:bottom w:val="nil"/>
              <w:right w:val="nil"/>
            </w:tcBorders>
            <w:shd w:val="clear" w:color="auto" w:fill="auto"/>
            <w:noWrap/>
            <w:vAlign w:val="bottom"/>
            <w:hideMark/>
          </w:tcPr>
          <w:p w14:paraId="61DB82D4"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K</w:t>
            </w:r>
          </w:p>
        </w:tc>
        <w:tc>
          <w:tcPr>
            <w:tcW w:w="2782" w:type="pct"/>
            <w:tcBorders>
              <w:top w:val="nil"/>
              <w:left w:val="nil"/>
              <w:bottom w:val="nil"/>
              <w:right w:val="nil"/>
            </w:tcBorders>
            <w:shd w:val="clear" w:color="auto" w:fill="auto"/>
            <w:noWrap/>
            <w:vAlign w:val="bottom"/>
            <w:hideMark/>
          </w:tcPr>
          <w:p w14:paraId="3D36E751"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Financial and insurance activities</w:t>
            </w:r>
          </w:p>
        </w:tc>
        <w:tc>
          <w:tcPr>
            <w:tcW w:w="642" w:type="pct"/>
            <w:tcBorders>
              <w:top w:val="nil"/>
              <w:left w:val="nil"/>
              <w:bottom w:val="nil"/>
              <w:right w:val="nil"/>
            </w:tcBorders>
            <w:shd w:val="clear" w:color="auto" w:fill="auto"/>
            <w:noWrap/>
            <w:vAlign w:val="bottom"/>
            <w:hideMark/>
          </w:tcPr>
          <w:p w14:paraId="7E54E244"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64, 65, 66</w:t>
            </w:r>
          </w:p>
        </w:tc>
        <w:tc>
          <w:tcPr>
            <w:tcW w:w="534" w:type="pct"/>
            <w:tcBorders>
              <w:top w:val="nil"/>
              <w:left w:val="nil"/>
              <w:bottom w:val="nil"/>
              <w:right w:val="nil"/>
            </w:tcBorders>
            <w:shd w:val="clear" w:color="auto" w:fill="auto"/>
            <w:noWrap/>
            <w:vAlign w:val="bottom"/>
            <w:hideMark/>
          </w:tcPr>
          <w:p w14:paraId="197954B9" w14:textId="77777777" w:rsidR="00AE6DC0" w:rsidRPr="00513BF1" w:rsidRDefault="00AE6DC0" w:rsidP="00607058">
            <w:pPr>
              <w:spacing w:after="0" w:line="240" w:lineRule="auto"/>
              <w:jc w:val="center"/>
              <w:rPr>
                <w:rFonts w:ascii="Aptos Narrow" w:eastAsia="Times New Roman" w:hAnsi="Aptos Narrow" w:cs="Times New Roman"/>
                <w:sz w:val="20"/>
                <w:szCs w:val="20"/>
                <w:lang w:eastAsia="de-DE"/>
              </w:rPr>
            </w:pPr>
          </w:p>
        </w:tc>
        <w:tc>
          <w:tcPr>
            <w:tcW w:w="535" w:type="pct"/>
            <w:tcBorders>
              <w:top w:val="nil"/>
              <w:left w:val="nil"/>
              <w:bottom w:val="nil"/>
              <w:right w:val="nil"/>
            </w:tcBorders>
            <w:shd w:val="clear" w:color="auto" w:fill="auto"/>
            <w:noWrap/>
            <w:vAlign w:val="bottom"/>
            <w:hideMark/>
          </w:tcPr>
          <w:p w14:paraId="5EB40729" w14:textId="77777777" w:rsidR="00AE6DC0" w:rsidRPr="00513BF1" w:rsidRDefault="00AE6DC0" w:rsidP="00607058">
            <w:pPr>
              <w:spacing w:after="0" w:line="240" w:lineRule="auto"/>
              <w:jc w:val="center"/>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w:t>
            </w:r>
          </w:p>
        </w:tc>
      </w:tr>
      <w:tr w:rsidR="00AE6DC0" w:rsidRPr="00633995" w14:paraId="7ADD516E" w14:textId="77777777" w:rsidTr="00AE6DC0">
        <w:trPr>
          <w:trHeight w:val="288"/>
        </w:trPr>
        <w:tc>
          <w:tcPr>
            <w:tcW w:w="507" w:type="pct"/>
            <w:tcBorders>
              <w:top w:val="nil"/>
              <w:left w:val="nil"/>
              <w:bottom w:val="nil"/>
              <w:right w:val="nil"/>
            </w:tcBorders>
            <w:shd w:val="clear" w:color="auto" w:fill="auto"/>
            <w:noWrap/>
            <w:vAlign w:val="bottom"/>
            <w:hideMark/>
          </w:tcPr>
          <w:p w14:paraId="41E2D07A"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M</w:t>
            </w:r>
          </w:p>
        </w:tc>
        <w:tc>
          <w:tcPr>
            <w:tcW w:w="2782" w:type="pct"/>
            <w:tcBorders>
              <w:top w:val="nil"/>
              <w:left w:val="nil"/>
              <w:bottom w:val="nil"/>
              <w:right w:val="nil"/>
            </w:tcBorders>
            <w:shd w:val="clear" w:color="auto" w:fill="auto"/>
            <w:noWrap/>
            <w:vAlign w:val="bottom"/>
            <w:hideMark/>
          </w:tcPr>
          <w:p w14:paraId="3564A3D9" w14:textId="77777777" w:rsidR="00AE6DC0" w:rsidRPr="00633995" w:rsidRDefault="00AE6DC0" w:rsidP="00AE6DC0">
            <w:pPr>
              <w:spacing w:after="0" w:line="240" w:lineRule="auto"/>
              <w:jc w:val="both"/>
              <w:rPr>
                <w:rFonts w:ascii="Aptos Narrow" w:eastAsia="Times New Roman" w:hAnsi="Aptos Narrow" w:cs="Times New Roman"/>
                <w:sz w:val="20"/>
                <w:szCs w:val="20"/>
                <w:lang w:eastAsia="de-DE"/>
              </w:rPr>
            </w:pPr>
            <w:r w:rsidRPr="00633995">
              <w:rPr>
                <w:rFonts w:ascii="Aptos Narrow" w:eastAsia="Times New Roman" w:hAnsi="Aptos Narrow" w:cs="Times New Roman"/>
                <w:sz w:val="20"/>
                <w:szCs w:val="20"/>
                <w:lang w:eastAsia="de-DE"/>
              </w:rPr>
              <w:t>Professional, scientific and technical activities</w:t>
            </w:r>
          </w:p>
        </w:tc>
        <w:tc>
          <w:tcPr>
            <w:tcW w:w="642" w:type="pct"/>
            <w:tcBorders>
              <w:top w:val="nil"/>
              <w:left w:val="nil"/>
              <w:bottom w:val="nil"/>
              <w:right w:val="nil"/>
            </w:tcBorders>
            <w:shd w:val="clear" w:color="auto" w:fill="auto"/>
            <w:noWrap/>
            <w:vAlign w:val="bottom"/>
            <w:hideMark/>
          </w:tcPr>
          <w:p w14:paraId="70EE9944"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69 to 75</w:t>
            </w:r>
          </w:p>
        </w:tc>
        <w:tc>
          <w:tcPr>
            <w:tcW w:w="534" w:type="pct"/>
            <w:tcBorders>
              <w:top w:val="nil"/>
              <w:left w:val="nil"/>
              <w:bottom w:val="nil"/>
              <w:right w:val="nil"/>
            </w:tcBorders>
            <w:shd w:val="clear" w:color="auto" w:fill="auto"/>
            <w:noWrap/>
            <w:vAlign w:val="bottom"/>
            <w:hideMark/>
          </w:tcPr>
          <w:p w14:paraId="0C7AB2F4" w14:textId="77777777" w:rsidR="00AE6DC0" w:rsidRPr="00513BF1" w:rsidRDefault="00AE6DC0" w:rsidP="00607058">
            <w:pPr>
              <w:spacing w:after="0" w:line="240" w:lineRule="auto"/>
              <w:jc w:val="center"/>
              <w:rPr>
                <w:rFonts w:ascii="Aptos Narrow" w:eastAsia="Times New Roman" w:hAnsi="Aptos Narrow" w:cs="Times New Roman"/>
                <w:sz w:val="20"/>
                <w:szCs w:val="20"/>
                <w:lang w:eastAsia="de-DE"/>
              </w:rPr>
            </w:pPr>
          </w:p>
        </w:tc>
        <w:tc>
          <w:tcPr>
            <w:tcW w:w="535" w:type="pct"/>
            <w:tcBorders>
              <w:top w:val="nil"/>
              <w:left w:val="nil"/>
              <w:bottom w:val="nil"/>
              <w:right w:val="nil"/>
            </w:tcBorders>
            <w:shd w:val="clear" w:color="auto" w:fill="auto"/>
            <w:noWrap/>
            <w:vAlign w:val="bottom"/>
            <w:hideMark/>
          </w:tcPr>
          <w:p w14:paraId="5A2FE7D2" w14:textId="77777777" w:rsidR="00AE6DC0" w:rsidRPr="00513BF1" w:rsidRDefault="00AE6DC0" w:rsidP="00607058">
            <w:pPr>
              <w:spacing w:after="0" w:line="240" w:lineRule="auto"/>
              <w:jc w:val="center"/>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w:t>
            </w:r>
          </w:p>
        </w:tc>
      </w:tr>
      <w:tr w:rsidR="00AE6DC0" w:rsidRPr="00633995" w14:paraId="4CD62015" w14:textId="77777777" w:rsidTr="00AE6DC0">
        <w:trPr>
          <w:trHeight w:val="288"/>
        </w:trPr>
        <w:tc>
          <w:tcPr>
            <w:tcW w:w="507" w:type="pct"/>
            <w:tcBorders>
              <w:top w:val="nil"/>
              <w:left w:val="nil"/>
              <w:bottom w:val="nil"/>
              <w:right w:val="nil"/>
            </w:tcBorders>
            <w:shd w:val="clear" w:color="auto" w:fill="auto"/>
            <w:noWrap/>
            <w:vAlign w:val="bottom"/>
            <w:hideMark/>
          </w:tcPr>
          <w:p w14:paraId="1789E99E"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N</w:t>
            </w:r>
          </w:p>
        </w:tc>
        <w:tc>
          <w:tcPr>
            <w:tcW w:w="2782" w:type="pct"/>
            <w:tcBorders>
              <w:top w:val="nil"/>
              <w:left w:val="nil"/>
              <w:bottom w:val="nil"/>
              <w:right w:val="nil"/>
            </w:tcBorders>
            <w:shd w:val="clear" w:color="auto" w:fill="auto"/>
            <w:noWrap/>
            <w:vAlign w:val="bottom"/>
            <w:hideMark/>
          </w:tcPr>
          <w:p w14:paraId="20D4013B"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Administrative and support services</w:t>
            </w:r>
          </w:p>
        </w:tc>
        <w:tc>
          <w:tcPr>
            <w:tcW w:w="642" w:type="pct"/>
            <w:tcBorders>
              <w:top w:val="nil"/>
              <w:left w:val="nil"/>
              <w:bottom w:val="nil"/>
              <w:right w:val="nil"/>
            </w:tcBorders>
            <w:shd w:val="clear" w:color="auto" w:fill="auto"/>
            <w:noWrap/>
            <w:vAlign w:val="bottom"/>
            <w:hideMark/>
          </w:tcPr>
          <w:p w14:paraId="003FFC12"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77 to 82</w:t>
            </w:r>
          </w:p>
        </w:tc>
        <w:tc>
          <w:tcPr>
            <w:tcW w:w="534" w:type="pct"/>
            <w:tcBorders>
              <w:top w:val="nil"/>
              <w:left w:val="nil"/>
              <w:bottom w:val="nil"/>
              <w:right w:val="nil"/>
            </w:tcBorders>
            <w:shd w:val="clear" w:color="auto" w:fill="auto"/>
            <w:noWrap/>
            <w:vAlign w:val="bottom"/>
            <w:hideMark/>
          </w:tcPr>
          <w:p w14:paraId="31B5E487" w14:textId="77777777" w:rsidR="00AE6DC0" w:rsidRPr="00513BF1" w:rsidRDefault="00AE6DC0" w:rsidP="00607058">
            <w:pPr>
              <w:spacing w:after="0" w:line="240" w:lineRule="auto"/>
              <w:jc w:val="center"/>
              <w:rPr>
                <w:rFonts w:ascii="Aptos Narrow" w:eastAsia="Times New Roman" w:hAnsi="Aptos Narrow" w:cs="Times New Roman"/>
                <w:sz w:val="20"/>
                <w:szCs w:val="20"/>
                <w:lang w:eastAsia="de-DE"/>
              </w:rPr>
            </w:pPr>
          </w:p>
        </w:tc>
        <w:tc>
          <w:tcPr>
            <w:tcW w:w="535" w:type="pct"/>
            <w:tcBorders>
              <w:top w:val="nil"/>
              <w:left w:val="nil"/>
              <w:bottom w:val="nil"/>
              <w:right w:val="nil"/>
            </w:tcBorders>
            <w:shd w:val="clear" w:color="auto" w:fill="auto"/>
            <w:noWrap/>
            <w:vAlign w:val="bottom"/>
            <w:hideMark/>
          </w:tcPr>
          <w:p w14:paraId="2A0CEC68" w14:textId="77777777" w:rsidR="00AE6DC0" w:rsidRPr="00513BF1" w:rsidRDefault="00AE6DC0" w:rsidP="00607058">
            <w:pPr>
              <w:spacing w:after="0" w:line="240" w:lineRule="auto"/>
              <w:jc w:val="center"/>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w:t>
            </w:r>
          </w:p>
        </w:tc>
      </w:tr>
      <w:tr w:rsidR="00AE6DC0" w:rsidRPr="00633995" w14:paraId="034DE2FE" w14:textId="77777777" w:rsidTr="00AE6DC0">
        <w:trPr>
          <w:trHeight w:val="288"/>
        </w:trPr>
        <w:tc>
          <w:tcPr>
            <w:tcW w:w="507" w:type="pct"/>
            <w:tcBorders>
              <w:top w:val="nil"/>
              <w:left w:val="nil"/>
              <w:bottom w:val="nil"/>
              <w:right w:val="nil"/>
            </w:tcBorders>
            <w:shd w:val="clear" w:color="auto" w:fill="auto"/>
            <w:noWrap/>
            <w:vAlign w:val="bottom"/>
            <w:hideMark/>
          </w:tcPr>
          <w:p w14:paraId="4D999859"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P</w:t>
            </w:r>
          </w:p>
        </w:tc>
        <w:tc>
          <w:tcPr>
            <w:tcW w:w="2782" w:type="pct"/>
            <w:tcBorders>
              <w:top w:val="nil"/>
              <w:left w:val="nil"/>
              <w:bottom w:val="nil"/>
              <w:right w:val="nil"/>
            </w:tcBorders>
            <w:shd w:val="clear" w:color="auto" w:fill="auto"/>
            <w:noWrap/>
            <w:vAlign w:val="bottom"/>
            <w:hideMark/>
          </w:tcPr>
          <w:p w14:paraId="18767C8E"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Education</w:t>
            </w:r>
          </w:p>
        </w:tc>
        <w:tc>
          <w:tcPr>
            <w:tcW w:w="642" w:type="pct"/>
            <w:tcBorders>
              <w:top w:val="nil"/>
              <w:left w:val="nil"/>
              <w:bottom w:val="nil"/>
              <w:right w:val="nil"/>
            </w:tcBorders>
            <w:shd w:val="clear" w:color="auto" w:fill="auto"/>
            <w:noWrap/>
            <w:vAlign w:val="bottom"/>
            <w:hideMark/>
          </w:tcPr>
          <w:p w14:paraId="14950E7C"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85</w:t>
            </w:r>
          </w:p>
        </w:tc>
        <w:tc>
          <w:tcPr>
            <w:tcW w:w="534" w:type="pct"/>
            <w:tcBorders>
              <w:top w:val="nil"/>
              <w:left w:val="nil"/>
              <w:bottom w:val="nil"/>
              <w:right w:val="nil"/>
            </w:tcBorders>
            <w:shd w:val="clear" w:color="auto" w:fill="auto"/>
            <w:noWrap/>
            <w:vAlign w:val="bottom"/>
            <w:hideMark/>
          </w:tcPr>
          <w:p w14:paraId="355955AF" w14:textId="77777777" w:rsidR="00AE6DC0" w:rsidRPr="00513BF1" w:rsidRDefault="00AE6DC0" w:rsidP="00607058">
            <w:pPr>
              <w:spacing w:after="0" w:line="240" w:lineRule="auto"/>
              <w:jc w:val="center"/>
              <w:rPr>
                <w:rFonts w:ascii="Aptos Narrow" w:eastAsia="Times New Roman" w:hAnsi="Aptos Narrow" w:cs="Times New Roman"/>
                <w:sz w:val="20"/>
                <w:szCs w:val="20"/>
                <w:lang w:eastAsia="de-DE"/>
              </w:rPr>
            </w:pPr>
          </w:p>
        </w:tc>
        <w:tc>
          <w:tcPr>
            <w:tcW w:w="535" w:type="pct"/>
            <w:tcBorders>
              <w:top w:val="nil"/>
              <w:left w:val="nil"/>
              <w:bottom w:val="nil"/>
              <w:right w:val="nil"/>
            </w:tcBorders>
            <w:shd w:val="clear" w:color="auto" w:fill="auto"/>
            <w:noWrap/>
            <w:vAlign w:val="bottom"/>
            <w:hideMark/>
          </w:tcPr>
          <w:p w14:paraId="3F38DB9D" w14:textId="77777777" w:rsidR="00AE6DC0" w:rsidRPr="00513BF1" w:rsidRDefault="00AE6DC0" w:rsidP="00607058">
            <w:pPr>
              <w:spacing w:after="0" w:line="240" w:lineRule="auto"/>
              <w:jc w:val="center"/>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w:t>
            </w:r>
          </w:p>
        </w:tc>
      </w:tr>
      <w:tr w:rsidR="00AE6DC0" w:rsidRPr="00633995" w14:paraId="334888CE" w14:textId="77777777" w:rsidTr="00AE6DC0">
        <w:trPr>
          <w:trHeight w:val="288"/>
        </w:trPr>
        <w:tc>
          <w:tcPr>
            <w:tcW w:w="507" w:type="pct"/>
            <w:tcBorders>
              <w:top w:val="nil"/>
              <w:left w:val="nil"/>
              <w:bottom w:val="single" w:sz="4" w:space="0" w:color="auto"/>
              <w:right w:val="nil"/>
            </w:tcBorders>
            <w:shd w:val="clear" w:color="auto" w:fill="auto"/>
            <w:noWrap/>
            <w:vAlign w:val="bottom"/>
            <w:hideMark/>
          </w:tcPr>
          <w:p w14:paraId="5E09CC4A"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Q</w:t>
            </w:r>
          </w:p>
        </w:tc>
        <w:tc>
          <w:tcPr>
            <w:tcW w:w="2782" w:type="pct"/>
            <w:tcBorders>
              <w:top w:val="nil"/>
              <w:left w:val="nil"/>
              <w:bottom w:val="single" w:sz="4" w:space="0" w:color="auto"/>
              <w:right w:val="nil"/>
            </w:tcBorders>
            <w:shd w:val="clear" w:color="auto" w:fill="auto"/>
            <w:noWrap/>
            <w:vAlign w:val="bottom"/>
            <w:hideMark/>
          </w:tcPr>
          <w:p w14:paraId="38EF1E8F" w14:textId="77777777" w:rsidR="00AE6DC0" w:rsidRPr="00633995" w:rsidRDefault="00AE6DC0" w:rsidP="00AE6DC0">
            <w:pPr>
              <w:spacing w:after="0" w:line="240" w:lineRule="auto"/>
              <w:jc w:val="both"/>
              <w:rPr>
                <w:rFonts w:ascii="Aptos Narrow" w:eastAsia="Times New Roman" w:hAnsi="Aptos Narrow" w:cs="Times New Roman"/>
                <w:sz w:val="20"/>
                <w:szCs w:val="20"/>
                <w:lang w:eastAsia="de-DE"/>
              </w:rPr>
            </w:pPr>
            <w:r w:rsidRPr="00633995">
              <w:rPr>
                <w:rFonts w:ascii="Aptos Narrow" w:eastAsia="Times New Roman" w:hAnsi="Aptos Narrow" w:cs="Times New Roman"/>
                <w:sz w:val="20"/>
                <w:szCs w:val="20"/>
                <w:lang w:eastAsia="de-DE"/>
              </w:rPr>
              <w:t>Human health and social work activities</w:t>
            </w:r>
          </w:p>
        </w:tc>
        <w:tc>
          <w:tcPr>
            <w:tcW w:w="642" w:type="pct"/>
            <w:tcBorders>
              <w:top w:val="nil"/>
              <w:left w:val="nil"/>
              <w:bottom w:val="single" w:sz="4" w:space="0" w:color="auto"/>
              <w:right w:val="nil"/>
            </w:tcBorders>
            <w:shd w:val="clear" w:color="auto" w:fill="auto"/>
            <w:noWrap/>
            <w:vAlign w:val="bottom"/>
            <w:hideMark/>
          </w:tcPr>
          <w:p w14:paraId="48741F1A" w14:textId="77777777" w:rsidR="00AE6DC0" w:rsidRPr="00513BF1" w:rsidRDefault="00AE6DC0" w:rsidP="00AE6DC0">
            <w:pPr>
              <w:spacing w:after="0" w:line="240" w:lineRule="auto"/>
              <w:jc w:val="both"/>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86, 87, 88</w:t>
            </w:r>
          </w:p>
        </w:tc>
        <w:tc>
          <w:tcPr>
            <w:tcW w:w="534" w:type="pct"/>
            <w:tcBorders>
              <w:top w:val="nil"/>
              <w:left w:val="nil"/>
              <w:bottom w:val="single" w:sz="4" w:space="0" w:color="auto"/>
              <w:right w:val="nil"/>
            </w:tcBorders>
            <w:shd w:val="clear" w:color="auto" w:fill="auto"/>
            <w:noWrap/>
            <w:vAlign w:val="bottom"/>
            <w:hideMark/>
          </w:tcPr>
          <w:p w14:paraId="29DA0967" w14:textId="65462863" w:rsidR="00AE6DC0" w:rsidRPr="00513BF1" w:rsidRDefault="00AE6DC0" w:rsidP="00607058">
            <w:pPr>
              <w:spacing w:after="0" w:line="240" w:lineRule="auto"/>
              <w:jc w:val="center"/>
              <w:rPr>
                <w:rFonts w:ascii="Aptos Narrow" w:eastAsia="Times New Roman" w:hAnsi="Aptos Narrow" w:cs="Times New Roman"/>
                <w:sz w:val="20"/>
                <w:szCs w:val="20"/>
                <w:lang w:eastAsia="de-DE"/>
              </w:rPr>
            </w:pPr>
          </w:p>
        </w:tc>
        <w:tc>
          <w:tcPr>
            <w:tcW w:w="535" w:type="pct"/>
            <w:tcBorders>
              <w:top w:val="nil"/>
              <w:left w:val="nil"/>
              <w:bottom w:val="single" w:sz="4" w:space="0" w:color="auto"/>
              <w:right w:val="nil"/>
            </w:tcBorders>
            <w:shd w:val="clear" w:color="auto" w:fill="auto"/>
            <w:noWrap/>
            <w:vAlign w:val="bottom"/>
            <w:hideMark/>
          </w:tcPr>
          <w:p w14:paraId="2CA78FE8" w14:textId="77777777" w:rsidR="00AE6DC0" w:rsidRPr="00513BF1" w:rsidRDefault="00AE6DC0" w:rsidP="00607058">
            <w:pPr>
              <w:spacing w:after="0" w:line="240" w:lineRule="auto"/>
              <w:jc w:val="center"/>
              <w:rPr>
                <w:rFonts w:ascii="Aptos Narrow" w:eastAsia="Times New Roman" w:hAnsi="Aptos Narrow" w:cs="Times New Roman"/>
                <w:sz w:val="20"/>
                <w:szCs w:val="20"/>
                <w:lang w:eastAsia="de-DE"/>
              </w:rPr>
            </w:pPr>
            <w:r w:rsidRPr="00513BF1">
              <w:rPr>
                <w:rFonts w:ascii="Aptos Narrow" w:eastAsia="Times New Roman" w:hAnsi="Aptos Narrow" w:cs="Times New Roman"/>
                <w:sz w:val="20"/>
                <w:szCs w:val="20"/>
                <w:lang w:eastAsia="de-DE"/>
              </w:rPr>
              <w:t>✓</w:t>
            </w:r>
          </w:p>
        </w:tc>
      </w:tr>
    </w:tbl>
    <w:p w14:paraId="0D302B20" w14:textId="77777777" w:rsidR="00254316" w:rsidRPr="00633995" w:rsidRDefault="00254316" w:rsidP="0011538D">
      <w:pPr>
        <w:jc w:val="both"/>
      </w:pPr>
    </w:p>
    <w:p w14:paraId="20A2F993" w14:textId="77777777" w:rsidR="00B24DBE" w:rsidRDefault="00B24DBE" w:rsidP="000C372A">
      <w:pPr>
        <w:jc w:val="both"/>
        <w:rPr>
          <w:b/>
          <w:bCs/>
        </w:rPr>
      </w:pPr>
    </w:p>
    <w:p w14:paraId="3A2BFAC6" w14:textId="77520551" w:rsidR="000C372A" w:rsidRPr="00633995" w:rsidRDefault="000C372A" w:rsidP="000C372A">
      <w:pPr>
        <w:jc w:val="both"/>
        <w:rPr>
          <w:b/>
          <w:bCs/>
        </w:rPr>
      </w:pPr>
      <w:r w:rsidRPr="00633995">
        <w:rPr>
          <w:b/>
          <w:bCs/>
        </w:rPr>
        <w:t>Appendix Table A</w:t>
      </w:r>
      <w:r>
        <w:rPr>
          <w:b/>
          <w:bCs/>
        </w:rPr>
        <w:t>6</w:t>
      </w:r>
      <w:r w:rsidRPr="00633995">
        <w:rPr>
          <w:b/>
          <w:bCs/>
        </w:rPr>
        <w:t>: Summary statistics</w:t>
      </w:r>
      <w:r w:rsidR="005B0763">
        <w:rPr>
          <w:b/>
          <w:bCs/>
        </w:rPr>
        <w:t xml:space="preserve">, </w:t>
      </w:r>
      <w:r w:rsidRPr="00633995">
        <w:rPr>
          <w:b/>
          <w:bCs/>
        </w:rPr>
        <w:t>data intensity measures</w:t>
      </w:r>
    </w:p>
    <w:tbl>
      <w:tblPr>
        <w:tblW w:w="5000" w:type="pct"/>
        <w:tblCellMar>
          <w:left w:w="70" w:type="dxa"/>
          <w:right w:w="70" w:type="dxa"/>
        </w:tblCellMar>
        <w:tblLook w:val="04A0" w:firstRow="1" w:lastRow="0" w:firstColumn="1" w:lastColumn="0" w:noHBand="0" w:noVBand="1"/>
      </w:tblPr>
      <w:tblGrid>
        <w:gridCol w:w="2931"/>
        <w:gridCol w:w="1219"/>
        <w:gridCol w:w="1219"/>
        <w:gridCol w:w="1219"/>
        <w:gridCol w:w="1219"/>
        <w:gridCol w:w="1219"/>
      </w:tblGrid>
      <w:tr w:rsidR="000C372A" w:rsidRPr="00633995" w14:paraId="06D1F7ED" w14:textId="77777777" w:rsidTr="00582B13">
        <w:trPr>
          <w:trHeight w:val="528"/>
        </w:trPr>
        <w:tc>
          <w:tcPr>
            <w:tcW w:w="1624" w:type="pct"/>
            <w:tcBorders>
              <w:top w:val="single" w:sz="4" w:space="0" w:color="auto"/>
              <w:left w:val="nil"/>
              <w:bottom w:val="single" w:sz="4" w:space="0" w:color="auto"/>
              <w:right w:val="nil"/>
            </w:tcBorders>
            <w:shd w:val="clear" w:color="auto" w:fill="auto"/>
            <w:noWrap/>
            <w:vAlign w:val="bottom"/>
            <w:hideMark/>
          </w:tcPr>
          <w:p w14:paraId="44405E4A" w14:textId="77777777" w:rsidR="000C372A" w:rsidRPr="00633995" w:rsidRDefault="000C372A" w:rsidP="006E6288">
            <w:pPr>
              <w:spacing w:after="0" w:line="240" w:lineRule="auto"/>
              <w:jc w:val="both"/>
              <w:rPr>
                <w:rFonts w:ascii="Aptos Narrow" w:eastAsia="Times New Roman" w:hAnsi="Aptos Narrow" w:cs="Times New Roman"/>
                <w:color w:val="000000"/>
                <w:sz w:val="20"/>
                <w:szCs w:val="20"/>
                <w:lang w:eastAsia="de-DE"/>
              </w:rPr>
            </w:pPr>
            <w:r w:rsidRPr="00633995">
              <w:rPr>
                <w:rFonts w:ascii="Aptos Narrow" w:eastAsia="Times New Roman" w:hAnsi="Aptos Narrow" w:cs="Times New Roman"/>
                <w:color w:val="000000"/>
                <w:sz w:val="20"/>
                <w:szCs w:val="20"/>
                <w:lang w:eastAsia="de-DE"/>
              </w:rPr>
              <w:t> </w:t>
            </w:r>
          </w:p>
        </w:tc>
        <w:tc>
          <w:tcPr>
            <w:tcW w:w="675" w:type="pct"/>
            <w:tcBorders>
              <w:top w:val="single" w:sz="4" w:space="0" w:color="auto"/>
              <w:left w:val="nil"/>
              <w:bottom w:val="single" w:sz="4" w:space="0" w:color="auto"/>
              <w:right w:val="nil"/>
            </w:tcBorders>
            <w:shd w:val="clear" w:color="auto" w:fill="auto"/>
            <w:noWrap/>
            <w:vAlign w:val="center"/>
            <w:hideMark/>
          </w:tcPr>
          <w:p w14:paraId="746E06FC"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Obs.</w:t>
            </w:r>
          </w:p>
        </w:tc>
        <w:tc>
          <w:tcPr>
            <w:tcW w:w="675" w:type="pct"/>
            <w:tcBorders>
              <w:top w:val="single" w:sz="4" w:space="0" w:color="auto"/>
              <w:left w:val="nil"/>
              <w:bottom w:val="single" w:sz="4" w:space="0" w:color="auto"/>
              <w:right w:val="nil"/>
            </w:tcBorders>
            <w:shd w:val="clear" w:color="auto" w:fill="auto"/>
            <w:noWrap/>
            <w:vAlign w:val="center"/>
            <w:hideMark/>
          </w:tcPr>
          <w:p w14:paraId="3C0EE40A"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Average</w:t>
            </w:r>
          </w:p>
        </w:tc>
        <w:tc>
          <w:tcPr>
            <w:tcW w:w="675" w:type="pct"/>
            <w:tcBorders>
              <w:top w:val="single" w:sz="4" w:space="0" w:color="auto"/>
              <w:left w:val="nil"/>
              <w:bottom w:val="single" w:sz="4" w:space="0" w:color="auto"/>
              <w:right w:val="nil"/>
            </w:tcBorders>
            <w:shd w:val="clear" w:color="auto" w:fill="auto"/>
            <w:noWrap/>
            <w:vAlign w:val="center"/>
            <w:hideMark/>
          </w:tcPr>
          <w:p w14:paraId="224F1C17"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 xml:space="preserve">St dev. </w:t>
            </w:r>
          </w:p>
        </w:tc>
        <w:tc>
          <w:tcPr>
            <w:tcW w:w="675" w:type="pct"/>
            <w:tcBorders>
              <w:top w:val="single" w:sz="4" w:space="0" w:color="auto"/>
              <w:left w:val="nil"/>
              <w:bottom w:val="single" w:sz="4" w:space="0" w:color="auto"/>
              <w:right w:val="nil"/>
            </w:tcBorders>
            <w:shd w:val="clear" w:color="auto" w:fill="auto"/>
            <w:noWrap/>
            <w:vAlign w:val="center"/>
            <w:hideMark/>
          </w:tcPr>
          <w:p w14:paraId="4FF56AA2"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Max</w:t>
            </w:r>
          </w:p>
        </w:tc>
        <w:tc>
          <w:tcPr>
            <w:tcW w:w="675" w:type="pct"/>
            <w:tcBorders>
              <w:top w:val="single" w:sz="4" w:space="0" w:color="auto"/>
              <w:left w:val="nil"/>
              <w:bottom w:val="single" w:sz="4" w:space="0" w:color="auto"/>
              <w:right w:val="nil"/>
            </w:tcBorders>
            <w:shd w:val="clear" w:color="auto" w:fill="auto"/>
            <w:noWrap/>
            <w:vAlign w:val="center"/>
            <w:hideMark/>
          </w:tcPr>
          <w:p w14:paraId="15089F3F"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Min</w:t>
            </w:r>
          </w:p>
        </w:tc>
      </w:tr>
      <w:tr w:rsidR="000C372A" w:rsidRPr="00633995" w14:paraId="0F96230B" w14:textId="77777777" w:rsidTr="00582B13">
        <w:trPr>
          <w:trHeight w:val="288"/>
        </w:trPr>
        <w:tc>
          <w:tcPr>
            <w:tcW w:w="1624" w:type="pct"/>
            <w:tcBorders>
              <w:top w:val="nil"/>
              <w:left w:val="nil"/>
              <w:bottom w:val="nil"/>
              <w:right w:val="nil"/>
            </w:tcBorders>
            <w:shd w:val="clear" w:color="auto" w:fill="auto"/>
            <w:noWrap/>
            <w:vAlign w:val="bottom"/>
            <w:hideMark/>
          </w:tcPr>
          <w:p w14:paraId="4020EFE0" w14:textId="26E243B2"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Percentage of firms</w:t>
            </w:r>
            <w:r w:rsidR="005B0763">
              <w:rPr>
                <w:rFonts w:ascii="Aptos Narrow" w:eastAsia="Times New Roman" w:hAnsi="Aptos Narrow" w:cs="Times New Roman"/>
                <w:color w:val="000000"/>
                <w:sz w:val="20"/>
                <w:szCs w:val="20"/>
                <w:lang w:eastAsia="de-DE"/>
              </w:rPr>
              <w:t xml:space="preserve"> (</w:t>
            </w:r>
            <w:r w:rsidRPr="00513BF1">
              <w:rPr>
                <w:rFonts w:ascii="Aptos Narrow" w:eastAsia="Times New Roman" w:hAnsi="Aptos Narrow" w:cs="Times New Roman"/>
                <w:color w:val="000000"/>
                <w:sz w:val="20"/>
                <w:szCs w:val="20"/>
                <w:lang w:eastAsia="de-DE"/>
              </w:rPr>
              <w:t>DPF</w:t>
            </w:r>
            <w:r w:rsidR="005B0763">
              <w:rPr>
                <w:rFonts w:ascii="Aptos Narrow" w:eastAsia="Times New Roman" w:hAnsi="Aptos Narrow" w:cs="Times New Roman"/>
                <w:color w:val="000000"/>
                <w:sz w:val="20"/>
                <w:szCs w:val="20"/>
                <w:lang w:eastAsia="de-DE"/>
              </w:rPr>
              <w:t>)</w:t>
            </w:r>
          </w:p>
        </w:tc>
        <w:tc>
          <w:tcPr>
            <w:tcW w:w="675" w:type="pct"/>
            <w:tcBorders>
              <w:top w:val="nil"/>
              <w:left w:val="nil"/>
              <w:bottom w:val="nil"/>
              <w:right w:val="nil"/>
            </w:tcBorders>
            <w:shd w:val="clear" w:color="auto" w:fill="auto"/>
            <w:noWrap/>
            <w:vAlign w:val="bottom"/>
            <w:hideMark/>
          </w:tcPr>
          <w:p w14:paraId="4A9F47BB"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32</w:t>
            </w:r>
          </w:p>
        </w:tc>
        <w:tc>
          <w:tcPr>
            <w:tcW w:w="675" w:type="pct"/>
            <w:tcBorders>
              <w:top w:val="nil"/>
              <w:left w:val="nil"/>
              <w:bottom w:val="nil"/>
              <w:right w:val="nil"/>
            </w:tcBorders>
            <w:shd w:val="clear" w:color="auto" w:fill="auto"/>
            <w:noWrap/>
            <w:vAlign w:val="bottom"/>
            <w:hideMark/>
          </w:tcPr>
          <w:p w14:paraId="5B8FA53A"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0.07681</w:t>
            </w:r>
          </w:p>
        </w:tc>
        <w:tc>
          <w:tcPr>
            <w:tcW w:w="675" w:type="pct"/>
            <w:tcBorders>
              <w:top w:val="nil"/>
              <w:left w:val="nil"/>
              <w:bottom w:val="nil"/>
              <w:right w:val="nil"/>
            </w:tcBorders>
            <w:shd w:val="clear" w:color="auto" w:fill="auto"/>
            <w:noWrap/>
            <w:vAlign w:val="bottom"/>
            <w:hideMark/>
          </w:tcPr>
          <w:p w14:paraId="30C2892C"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0.15339</w:t>
            </w:r>
          </w:p>
        </w:tc>
        <w:tc>
          <w:tcPr>
            <w:tcW w:w="675" w:type="pct"/>
            <w:tcBorders>
              <w:top w:val="nil"/>
              <w:left w:val="nil"/>
              <w:bottom w:val="nil"/>
              <w:right w:val="nil"/>
            </w:tcBorders>
            <w:shd w:val="clear" w:color="auto" w:fill="auto"/>
            <w:noWrap/>
            <w:vAlign w:val="bottom"/>
            <w:hideMark/>
          </w:tcPr>
          <w:p w14:paraId="3215346D"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0.46542</w:t>
            </w:r>
          </w:p>
        </w:tc>
        <w:tc>
          <w:tcPr>
            <w:tcW w:w="675" w:type="pct"/>
            <w:tcBorders>
              <w:top w:val="nil"/>
              <w:left w:val="nil"/>
              <w:bottom w:val="nil"/>
              <w:right w:val="nil"/>
            </w:tcBorders>
            <w:shd w:val="clear" w:color="auto" w:fill="auto"/>
            <w:noWrap/>
            <w:vAlign w:val="bottom"/>
            <w:hideMark/>
          </w:tcPr>
          <w:p w14:paraId="72891276"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0.00075</w:t>
            </w:r>
          </w:p>
        </w:tc>
      </w:tr>
      <w:tr w:rsidR="000C372A" w:rsidRPr="00633995" w14:paraId="2EF392A5" w14:textId="77777777" w:rsidTr="00582B13">
        <w:trPr>
          <w:trHeight w:val="288"/>
        </w:trPr>
        <w:tc>
          <w:tcPr>
            <w:tcW w:w="1624" w:type="pct"/>
            <w:tcBorders>
              <w:top w:val="nil"/>
              <w:left w:val="nil"/>
              <w:bottom w:val="nil"/>
              <w:right w:val="nil"/>
            </w:tcBorders>
            <w:shd w:val="clear" w:color="auto" w:fill="auto"/>
            <w:noWrap/>
            <w:vAlign w:val="bottom"/>
            <w:hideMark/>
          </w:tcPr>
          <w:p w14:paraId="0DCB1F50"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I/O coefficient IMP (2006)</w:t>
            </w:r>
          </w:p>
        </w:tc>
        <w:tc>
          <w:tcPr>
            <w:tcW w:w="675" w:type="pct"/>
            <w:tcBorders>
              <w:top w:val="nil"/>
              <w:left w:val="nil"/>
              <w:bottom w:val="nil"/>
              <w:right w:val="nil"/>
            </w:tcBorders>
            <w:shd w:val="clear" w:color="auto" w:fill="auto"/>
            <w:noWrap/>
            <w:vAlign w:val="bottom"/>
            <w:hideMark/>
          </w:tcPr>
          <w:p w14:paraId="447CEA06"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35</w:t>
            </w:r>
          </w:p>
        </w:tc>
        <w:tc>
          <w:tcPr>
            <w:tcW w:w="675" w:type="pct"/>
            <w:tcBorders>
              <w:top w:val="nil"/>
              <w:left w:val="nil"/>
              <w:bottom w:val="nil"/>
              <w:right w:val="nil"/>
            </w:tcBorders>
            <w:shd w:val="clear" w:color="auto" w:fill="auto"/>
            <w:noWrap/>
            <w:vAlign w:val="bottom"/>
            <w:hideMark/>
          </w:tcPr>
          <w:p w14:paraId="072AB73C"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0.01333</w:t>
            </w:r>
          </w:p>
        </w:tc>
        <w:tc>
          <w:tcPr>
            <w:tcW w:w="675" w:type="pct"/>
            <w:tcBorders>
              <w:top w:val="nil"/>
              <w:left w:val="nil"/>
              <w:bottom w:val="nil"/>
              <w:right w:val="nil"/>
            </w:tcBorders>
            <w:shd w:val="clear" w:color="auto" w:fill="auto"/>
            <w:noWrap/>
            <w:vAlign w:val="bottom"/>
            <w:hideMark/>
          </w:tcPr>
          <w:p w14:paraId="0CC41E1D"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0.03029</w:t>
            </w:r>
          </w:p>
        </w:tc>
        <w:tc>
          <w:tcPr>
            <w:tcW w:w="675" w:type="pct"/>
            <w:tcBorders>
              <w:top w:val="nil"/>
              <w:left w:val="nil"/>
              <w:bottom w:val="nil"/>
              <w:right w:val="nil"/>
            </w:tcBorders>
            <w:shd w:val="clear" w:color="auto" w:fill="auto"/>
            <w:noWrap/>
            <w:vAlign w:val="bottom"/>
            <w:hideMark/>
          </w:tcPr>
          <w:p w14:paraId="5AC4038B"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0.18053</w:t>
            </w:r>
          </w:p>
        </w:tc>
        <w:tc>
          <w:tcPr>
            <w:tcW w:w="675" w:type="pct"/>
            <w:tcBorders>
              <w:top w:val="nil"/>
              <w:left w:val="nil"/>
              <w:bottom w:val="nil"/>
              <w:right w:val="nil"/>
            </w:tcBorders>
            <w:shd w:val="clear" w:color="auto" w:fill="auto"/>
            <w:noWrap/>
            <w:vAlign w:val="bottom"/>
            <w:hideMark/>
          </w:tcPr>
          <w:p w14:paraId="2CC8D080"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0.00016</w:t>
            </w:r>
          </w:p>
        </w:tc>
      </w:tr>
      <w:tr w:rsidR="000C372A" w:rsidRPr="00633995" w14:paraId="31C72F63" w14:textId="77777777" w:rsidTr="00582B13">
        <w:trPr>
          <w:trHeight w:val="288"/>
        </w:trPr>
        <w:tc>
          <w:tcPr>
            <w:tcW w:w="1624" w:type="pct"/>
            <w:tcBorders>
              <w:top w:val="nil"/>
              <w:left w:val="nil"/>
              <w:bottom w:val="single" w:sz="4" w:space="0" w:color="auto"/>
              <w:right w:val="nil"/>
            </w:tcBorders>
            <w:shd w:val="clear" w:color="auto" w:fill="auto"/>
            <w:noWrap/>
            <w:vAlign w:val="bottom"/>
            <w:hideMark/>
          </w:tcPr>
          <w:p w14:paraId="514D9D1B"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I/O coefficient DOM (2006)</w:t>
            </w:r>
          </w:p>
        </w:tc>
        <w:tc>
          <w:tcPr>
            <w:tcW w:w="675" w:type="pct"/>
            <w:tcBorders>
              <w:top w:val="nil"/>
              <w:left w:val="nil"/>
              <w:bottom w:val="single" w:sz="4" w:space="0" w:color="auto"/>
              <w:right w:val="nil"/>
            </w:tcBorders>
            <w:shd w:val="clear" w:color="auto" w:fill="auto"/>
            <w:noWrap/>
            <w:vAlign w:val="bottom"/>
            <w:hideMark/>
          </w:tcPr>
          <w:p w14:paraId="2990F47E"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35</w:t>
            </w:r>
          </w:p>
        </w:tc>
        <w:tc>
          <w:tcPr>
            <w:tcW w:w="675" w:type="pct"/>
            <w:tcBorders>
              <w:top w:val="nil"/>
              <w:left w:val="nil"/>
              <w:bottom w:val="single" w:sz="4" w:space="0" w:color="auto"/>
              <w:right w:val="nil"/>
            </w:tcBorders>
            <w:shd w:val="clear" w:color="auto" w:fill="auto"/>
            <w:noWrap/>
            <w:vAlign w:val="bottom"/>
            <w:hideMark/>
          </w:tcPr>
          <w:p w14:paraId="39005DE4"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0.07357</w:t>
            </w:r>
          </w:p>
        </w:tc>
        <w:tc>
          <w:tcPr>
            <w:tcW w:w="675" w:type="pct"/>
            <w:tcBorders>
              <w:top w:val="nil"/>
              <w:left w:val="nil"/>
              <w:bottom w:val="single" w:sz="4" w:space="0" w:color="auto"/>
              <w:right w:val="nil"/>
            </w:tcBorders>
            <w:shd w:val="clear" w:color="auto" w:fill="auto"/>
            <w:noWrap/>
            <w:vAlign w:val="bottom"/>
            <w:hideMark/>
          </w:tcPr>
          <w:p w14:paraId="5E1EBEAE"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0.09711</w:t>
            </w:r>
          </w:p>
        </w:tc>
        <w:tc>
          <w:tcPr>
            <w:tcW w:w="675" w:type="pct"/>
            <w:tcBorders>
              <w:top w:val="nil"/>
              <w:left w:val="nil"/>
              <w:bottom w:val="single" w:sz="4" w:space="0" w:color="auto"/>
              <w:right w:val="nil"/>
            </w:tcBorders>
            <w:shd w:val="clear" w:color="auto" w:fill="auto"/>
            <w:noWrap/>
            <w:vAlign w:val="bottom"/>
            <w:hideMark/>
          </w:tcPr>
          <w:p w14:paraId="5C8604A8"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0.49304</w:t>
            </w:r>
          </w:p>
        </w:tc>
        <w:tc>
          <w:tcPr>
            <w:tcW w:w="675" w:type="pct"/>
            <w:tcBorders>
              <w:top w:val="nil"/>
              <w:left w:val="nil"/>
              <w:bottom w:val="single" w:sz="4" w:space="0" w:color="auto"/>
              <w:right w:val="nil"/>
            </w:tcBorders>
            <w:shd w:val="clear" w:color="auto" w:fill="auto"/>
            <w:noWrap/>
            <w:vAlign w:val="bottom"/>
            <w:hideMark/>
          </w:tcPr>
          <w:p w14:paraId="1C6D8D01" w14:textId="77777777" w:rsidR="000C372A" w:rsidRPr="00513BF1" w:rsidRDefault="000C372A" w:rsidP="006E6288">
            <w:pPr>
              <w:spacing w:after="0" w:line="240" w:lineRule="auto"/>
              <w:jc w:val="both"/>
              <w:rPr>
                <w:rFonts w:ascii="Aptos Narrow" w:eastAsia="Times New Roman" w:hAnsi="Aptos Narrow" w:cs="Times New Roman"/>
                <w:color w:val="000000"/>
                <w:sz w:val="20"/>
                <w:szCs w:val="20"/>
                <w:lang w:eastAsia="de-DE"/>
              </w:rPr>
            </w:pPr>
            <w:r w:rsidRPr="00513BF1">
              <w:rPr>
                <w:rFonts w:ascii="Aptos Narrow" w:eastAsia="Times New Roman" w:hAnsi="Aptos Narrow" w:cs="Times New Roman"/>
                <w:color w:val="000000"/>
                <w:sz w:val="20"/>
                <w:szCs w:val="20"/>
                <w:lang w:eastAsia="de-DE"/>
              </w:rPr>
              <w:t>0.00078</w:t>
            </w:r>
          </w:p>
        </w:tc>
      </w:tr>
    </w:tbl>
    <w:p w14:paraId="4171C281" w14:textId="7938B67F" w:rsidR="000C372A" w:rsidRDefault="00582B13" w:rsidP="000C372A">
      <w:pPr>
        <w:jc w:val="both"/>
        <w:rPr>
          <w:sz w:val="20"/>
          <w:szCs w:val="20"/>
        </w:rPr>
      </w:pPr>
      <w:r w:rsidRPr="00582B13">
        <w:rPr>
          <w:sz w:val="20"/>
          <w:szCs w:val="20"/>
        </w:rPr>
        <w:t>Note: DPF</w:t>
      </w:r>
      <w:r w:rsidR="005B0763">
        <w:rPr>
          <w:sz w:val="20"/>
          <w:szCs w:val="20"/>
        </w:rPr>
        <w:t xml:space="preserve">: </w:t>
      </w:r>
      <w:r w:rsidRPr="00582B13">
        <w:rPr>
          <w:sz w:val="20"/>
          <w:szCs w:val="20"/>
        </w:rPr>
        <w:t>EU-US Data Privacy Framework.</w:t>
      </w:r>
    </w:p>
    <w:p w14:paraId="0D9240C4" w14:textId="77777777" w:rsidR="005B0763" w:rsidRDefault="005B0763" w:rsidP="000C372A">
      <w:pPr>
        <w:jc w:val="both"/>
        <w:rPr>
          <w:b/>
          <w:bCs/>
        </w:rPr>
      </w:pPr>
    </w:p>
    <w:p w14:paraId="5AD4989D" w14:textId="77777777" w:rsidR="00B24DBE" w:rsidRDefault="00B24DBE" w:rsidP="000C372A">
      <w:pPr>
        <w:jc w:val="both"/>
        <w:rPr>
          <w:b/>
          <w:bCs/>
        </w:rPr>
      </w:pPr>
    </w:p>
    <w:p w14:paraId="3BA1899B" w14:textId="77777777" w:rsidR="000C372A" w:rsidRPr="00633995" w:rsidRDefault="000C372A" w:rsidP="00604F53">
      <w:pPr>
        <w:rPr>
          <w:b/>
          <w:bCs/>
        </w:rPr>
      </w:pPr>
      <w:r w:rsidRPr="00633995">
        <w:rPr>
          <w:b/>
          <w:bCs/>
        </w:rPr>
        <w:t>Appendix Figure A1: Correlations between data intensity measures (log scale)</w:t>
      </w:r>
    </w:p>
    <w:p w14:paraId="3F28CCC9" w14:textId="77777777" w:rsidR="000C372A" w:rsidRPr="00633995" w:rsidRDefault="000C372A" w:rsidP="000C372A">
      <w:pPr>
        <w:jc w:val="both"/>
      </w:pPr>
      <w:r w:rsidRPr="00513BF1">
        <w:rPr>
          <w:noProof/>
          <w14:ligatures w14:val="standardContextual"/>
        </w:rPr>
        <w:drawing>
          <wp:inline distT="0" distB="0" distL="0" distR="0" wp14:anchorId="1B450DD1" wp14:editId="432FD9C0">
            <wp:extent cx="2743200" cy="2409825"/>
            <wp:effectExtent l="0" t="0" r="0" b="0"/>
            <wp:docPr id="1831730500" name="Chart 1">
              <a:extLst xmlns:a="http://schemas.openxmlformats.org/drawingml/2006/main">
                <a:ext uri="{FF2B5EF4-FFF2-40B4-BE49-F238E27FC236}">
                  <a16:creationId xmlns:a16="http://schemas.microsoft.com/office/drawing/2014/main" id="{AA238B6D-B435-0C75-8DC8-1E68DD63D5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513BF1">
        <w:rPr>
          <w14:ligatures w14:val="standardContextual"/>
        </w:rPr>
        <w:t xml:space="preserve"> </w:t>
      </w:r>
      <w:r w:rsidRPr="00513BF1">
        <w:rPr>
          <w:noProof/>
          <w14:ligatures w14:val="standardContextual"/>
        </w:rPr>
        <w:drawing>
          <wp:inline distT="0" distB="0" distL="0" distR="0" wp14:anchorId="1DC177E3" wp14:editId="222110D7">
            <wp:extent cx="2657475" cy="2390775"/>
            <wp:effectExtent l="0" t="0" r="0" b="0"/>
            <wp:docPr id="1233488766" name="Chart 1">
              <a:extLst xmlns:a="http://schemas.openxmlformats.org/drawingml/2006/main">
                <a:ext uri="{FF2B5EF4-FFF2-40B4-BE49-F238E27FC236}">
                  <a16:creationId xmlns:a16="http://schemas.microsoft.com/office/drawing/2014/main" id="{4E307A52-1135-4250-8DF2-C35B537521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5FB6969" w14:textId="5D0F9ADA" w:rsidR="00A27910" w:rsidRDefault="00582B13">
      <w:pPr>
        <w:rPr>
          <w:b/>
          <w:bCs/>
        </w:rPr>
      </w:pPr>
      <w:r w:rsidRPr="00582B13">
        <w:rPr>
          <w:sz w:val="20"/>
          <w:szCs w:val="20"/>
        </w:rPr>
        <w:t>Note: DPF</w:t>
      </w:r>
      <w:r w:rsidR="005B0763">
        <w:rPr>
          <w:sz w:val="20"/>
          <w:szCs w:val="20"/>
        </w:rPr>
        <w:t xml:space="preserve">: </w:t>
      </w:r>
      <w:r w:rsidRPr="00582B13">
        <w:rPr>
          <w:sz w:val="20"/>
          <w:szCs w:val="20"/>
        </w:rPr>
        <w:t>EU-US Data Privacy Framework.</w:t>
      </w:r>
    </w:p>
    <w:p w14:paraId="33AF7090" w14:textId="77777777" w:rsidR="00174267" w:rsidRDefault="00174267">
      <w:pPr>
        <w:rPr>
          <w:b/>
          <w:bCs/>
        </w:rPr>
      </w:pPr>
      <w:r>
        <w:rPr>
          <w:b/>
          <w:bCs/>
        </w:rPr>
        <w:br w:type="page"/>
      </w:r>
    </w:p>
    <w:p w14:paraId="7C73E58D" w14:textId="0CA6931F" w:rsidR="00A27910" w:rsidRDefault="000C372A" w:rsidP="00882445">
      <w:pPr>
        <w:jc w:val="center"/>
        <w:rPr>
          <w:b/>
          <w:bCs/>
        </w:rPr>
      </w:pPr>
      <w:r w:rsidRPr="00633995">
        <w:rPr>
          <w:b/>
          <w:bCs/>
        </w:rPr>
        <w:lastRenderedPageBreak/>
        <w:t>Appendix</w:t>
      </w:r>
      <w:r>
        <w:rPr>
          <w:b/>
          <w:bCs/>
        </w:rPr>
        <w:t xml:space="preserve"> B: </w:t>
      </w:r>
      <w:r w:rsidR="00AA1AA3">
        <w:rPr>
          <w:b/>
          <w:bCs/>
        </w:rPr>
        <w:t xml:space="preserve">Control variables for </w:t>
      </w:r>
      <w:r w:rsidR="005F6347">
        <w:rPr>
          <w:b/>
          <w:bCs/>
        </w:rPr>
        <w:t>regressions</w:t>
      </w:r>
      <w:r w:rsidR="00AA1AA3">
        <w:rPr>
          <w:b/>
          <w:bCs/>
        </w:rPr>
        <w:t xml:space="preserve"> </w:t>
      </w:r>
      <w:r w:rsidR="00150BF9">
        <w:rPr>
          <w:b/>
          <w:bCs/>
        </w:rPr>
        <w:t xml:space="preserve">reported in </w:t>
      </w:r>
      <w:r w:rsidR="00AA1AA3">
        <w:rPr>
          <w:b/>
          <w:bCs/>
        </w:rPr>
        <w:t>Table 1</w:t>
      </w:r>
    </w:p>
    <w:tbl>
      <w:tblPr>
        <w:tblW w:w="5000" w:type="pct"/>
        <w:tblCellMar>
          <w:left w:w="70" w:type="dxa"/>
          <w:right w:w="70" w:type="dxa"/>
        </w:tblCellMar>
        <w:tblLook w:val="04A0" w:firstRow="1" w:lastRow="0" w:firstColumn="1" w:lastColumn="0" w:noHBand="0" w:noVBand="1"/>
      </w:tblPr>
      <w:tblGrid>
        <w:gridCol w:w="1961"/>
        <w:gridCol w:w="1414"/>
        <w:gridCol w:w="1413"/>
        <w:gridCol w:w="1413"/>
        <w:gridCol w:w="1413"/>
        <w:gridCol w:w="1412"/>
      </w:tblGrid>
      <w:tr w:rsidR="008A65FA" w:rsidRPr="005F6347" w14:paraId="422A7087" w14:textId="77777777" w:rsidTr="00F56AF6">
        <w:trPr>
          <w:trHeight w:val="20"/>
        </w:trPr>
        <w:tc>
          <w:tcPr>
            <w:tcW w:w="1086" w:type="pct"/>
            <w:tcBorders>
              <w:top w:val="single" w:sz="4" w:space="0" w:color="auto"/>
              <w:left w:val="nil"/>
              <w:bottom w:val="nil"/>
              <w:right w:val="nil"/>
            </w:tcBorders>
            <w:shd w:val="clear" w:color="auto" w:fill="auto"/>
            <w:noWrap/>
            <w:vAlign w:val="center"/>
            <w:hideMark/>
          </w:tcPr>
          <w:p w14:paraId="6BFAB0FE" w14:textId="77777777" w:rsidR="004874AA" w:rsidRPr="00F56AF6" w:rsidRDefault="004874AA" w:rsidP="004874AA">
            <w:pPr>
              <w:spacing w:after="0" w:line="240" w:lineRule="auto"/>
              <w:rPr>
                <w:rFonts w:ascii="Aptos Narrow" w:eastAsia="Times New Roman" w:hAnsi="Aptos Narrow" w:cs="Times New Roman"/>
                <w:color w:val="000000"/>
                <w:sz w:val="20"/>
                <w:szCs w:val="20"/>
                <w:lang w:eastAsia="de-DE"/>
              </w:rPr>
            </w:pPr>
            <w:r w:rsidRPr="00F56AF6">
              <w:rPr>
                <w:rFonts w:ascii="Aptos Narrow" w:eastAsia="Times New Roman" w:hAnsi="Aptos Narrow" w:cs="Times New Roman"/>
                <w:color w:val="000000"/>
                <w:sz w:val="20"/>
                <w:szCs w:val="20"/>
                <w:lang w:eastAsia="de-DE"/>
              </w:rPr>
              <w:t> </w:t>
            </w:r>
          </w:p>
        </w:tc>
        <w:tc>
          <w:tcPr>
            <w:tcW w:w="783" w:type="pct"/>
            <w:tcBorders>
              <w:top w:val="single" w:sz="4" w:space="0" w:color="auto"/>
              <w:left w:val="nil"/>
              <w:bottom w:val="nil"/>
              <w:right w:val="nil"/>
            </w:tcBorders>
            <w:shd w:val="clear" w:color="auto" w:fill="auto"/>
            <w:noWrap/>
            <w:vAlign w:val="center"/>
            <w:hideMark/>
          </w:tcPr>
          <w:p w14:paraId="0B64E0C9"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(1)</w:t>
            </w:r>
          </w:p>
        </w:tc>
        <w:tc>
          <w:tcPr>
            <w:tcW w:w="783" w:type="pct"/>
            <w:tcBorders>
              <w:top w:val="single" w:sz="4" w:space="0" w:color="auto"/>
              <w:left w:val="nil"/>
              <w:bottom w:val="nil"/>
              <w:right w:val="nil"/>
            </w:tcBorders>
            <w:shd w:val="clear" w:color="auto" w:fill="auto"/>
            <w:noWrap/>
            <w:vAlign w:val="center"/>
            <w:hideMark/>
          </w:tcPr>
          <w:p w14:paraId="381030B3"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(2)</w:t>
            </w:r>
          </w:p>
        </w:tc>
        <w:tc>
          <w:tcPr>
            <w:tcW w:w="783" w:type="pct"/>
            <w:tcBorders>
              <w:top w:val="single" w:sz="4" w:space="0" w:color="auto"/>
              <w:left w:val="nil"/>
              <w:bottom w:val="nil"/>
              <w:right w:val="nil"/>
            </w:tcBorders>
            <w:shd w:val="clear" w:color="auto" w:fill="auto"/>
            <w:noWrap/>
            <w:vAlign w:val="center"/>
            <w:hideMark/>
          </w:tcPr>
          <w:p w14:paraId="602906E9"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(3)</w:t>
            </w:r>
          </w:p>
        </w:tc>
        <w:tc>
          <w:tcPr>
            <w:tcW w:w="783" w:type="pct"/>
            <w:tcBorders>
              <w:top w:val="single" w:sz="4" w:space="0" w:color="auto"/>
              <w:left w:val="nil"/>
              <w:bottom w:val="nil"/>
              <w:right w:val="nil"/>
            </w:tcBorders>
            <w:shd w:val="clear" w:color="auto" w:fill="auto"/>
            <w:noWrap/>
            <w:vAlign w:val="center"/>
            <w:hideMark/>
          </w:tcPr>
          <w:p w14:paraId="20FB0837"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(4)</w:t>
            </w:r>
          </w:p>
        </w:tc>
        <w:tc>
          <w:tcPr>
            <w:tcW w:w="782" w:type="pct"/>
            <w:tcBorders>
              <w:top w:val="single" w:sz="4" w:space="0" w:color="auto"/>
              <w:left w:val="nil"/>
              <w:bottom w:val="nil"/>
              <w:right w:val="nil"/>
            </w:tcBorders>
            <w:shd w:val="clear" w:color="auto" w:fill="auto"/>
            <w:noWrap/>
            <w:vAlign w:val="center"/>
            <w:hideMark/>
          </w:tcPr>
          <w:p w14:paraId="5976EB37"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(5)</w:t>
            </w:r>
          </w:p>
        </w:tc>
      </w:tr>
      <w:tr w:rsidR="008A65FA" w:rsidRPr="005F6347" w14:paraId="5292DFF6" w14:textId="77777777" w:rsidTr="00F56AF6">
        <w:trPr>
          <w:trHeight w:val="20"/>
        </w:trPr>
        <w:tc>
          <w:tcPr>
            <w:tcW w:w="1086" w:type="pct"/>
            <w:tcBorders>
              <w:top w:val="nil"/>
              <w:left w:val="nil"/>
              <w:bottom w:val="single" w:sz="4" w:space="0" w:color="auto"/>
              <w:right w:val="nil"/>
            </w:tcBorders>
            <w:shd w:val="clear" w:color="auto" w:fill="auto"/>
            <w:noWrap/>
            <w:vAlign w:val="center"/>
            <w:hideMark/>
          </w:tcPr>
          <w:p w14:paraId="712BB2D2"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 </w:t>
            </w:r>
          </w:p>
        </w:tc>
        <w:tc>
          <w:tcPr>
            <w:tcW w:w="783" w:type="pct"/>
            <w:tcBorders>
              <w:top w:val="nil"/>
              <w:left w:val="nil"/>
              <w:bottom w:val="single" w:sz="4" w:space="0" w:color="auto"/>
              <w:right w:val="nil"/>
            </w:tcBorders>
            <w:shd w:val="clear" w:color="auto" w:fill="auto"/>
            <w:noWrap/>
            <w:vAlign w:val="center"/>
            <w:hideMark/>
          </w:tcPr>
          <w:p w14:paraId="347822F1"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EXP</w:t>
            </w:r>
          </w:p>
        </w:tc>
        <w:tc>
          <w:tcPr>
            <w:tcW w:w="783" w:type="pct"/>
            <w:tcBorders>
              <w:top w:val="nil"/>
              <w:left w:val="nil"/>
              <w:bottom w:val="single" w:sz="4" w:space="0" w:color="auto"/>
              <w:right w:val="nil"/>
            </w:tcBorders>
            <w:shd w:val="clear" w:color="auto" w:fill="auto"/>
            <w:noWrap/>
            <w:vAlign w:val="center"/>
            <w:hideMark/>
          </w:tcPr>
          <w:p w14:paraId="7FE14CBE"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EXP</w:t>
            </w:r>
          </w:p>
        </w:tc>
        <w:tc>
          <w:tcPr>
            <w:tcW w:w="783" w:type="pct"/>
            <w:tcBorders>
              <w:top w:val="nil"/>
              <w:left w:val="nil"/>
              <w:bottom w:val="single" w:sz="4" w:space="0" w:color="auto"/>
              <w:right w:val="nil"/>
            </w:tcBorders>
            <w:shd w:val="clear" w:color="auto" w:fill="auto"/>
            <w:noWrap/>
            <w:vAlign w:val="center"/>
            <w:hideMark/>
          </w:tcPr>
          <w:p w14:paraId="014A0306"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EXP</w:t>
            </w:r>
          </w:p>
        </w:tc>
        <w:tc>
          <w:tcPr>
            <w:tcW w:w="783" w:type="pct"/>
            <w:tcBorders>
              <w:top w:val="nil"/>
              <w:left w:val="nil"/>
              <w:bottom w:val="single" w:sz="4" w:space="0" w:color="auto"/>
              <w:right w:val="nil"/>
            </w:tcBorders>
            <w:shd w:val="clear" w:color="auto" w:fill="auto"/>
            <w:noWrap/>
            <w:vAlign w:val="center"/>
            <w:hideMark/>
          </w:tcPr>
          <w:p w14:paraId="0F62A32C"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EXP</w:t>
            </w:r>
          </w:p>
        </w:tc>
        <w:tc>
          <w:tcPr>
            <w:tcW w:w="782" w:type="pct"/>
            <w:tcBorders>
              <w:top w:val="nil"/>
              <w:left w:val="nil"/>
              <w:bottom w:val="single" w:sz="4" w:space="0" w:color="auto"/>
              <w:right w:val="nil"/>
            </w:tcBorders>
            <w:shd w:val="clear" w:color="auto" w:fill="auto"/>
            <w:noWrap/>
            <w:vAlign w:val="center"/>
            <w:hideMark/>
          </w:tcPr>
          <w:p w14:paraId="561A85FB"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EXP</w:t>
            </w:r>
          </w:p>
        </w:tc>
      </w:tr>
      <w:tr w:rsidR="008A65FA" w:rsidRPr="005F6347" w14:paraId="104F20FC" w14:textId="77777777" w:rsidTr="00F56AF6">
        <w:trPr>
          <w:trHeight w:val="20"/>
        </w:trPr>
        <w:tc>
          <w:tcPr>
            <w:tcW w:w="1086" w:type="pct"/>
            <w:tcBorders>
              <w:top w:val="nil"/>
              <w:left w:val="nil"/>
              <w:bottom w:val="nil"/>
              <w:right w:val="nil"/>
            </w:tcBorders>
            <w:shd w:val="clear" w:color="auto" w:fill="auto"/>
            <w:noWrap/>
            <w:vAlign w:val="bottom"/>
            <w:hideMark/>
          </w:tcPr>
          <w:p w14:paraId="67A6C691"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p>
        </w:tc>
        <w:tc>
          <w:tcPr>
            <w:tcW w:w="783" w:type="pct"/>
            <w:tcBorders>
              <w:top w:val="nil"/>
              <w:left w:val="nil"/>
              <w:bottom w:val="nil"/>
              <w:right w:val="nil"/>
            </w:tcBorders>
            <w:shd w:val="clear" w:color="auto" w:fill="auto"/>
            <w:noWrap/>
            <w:vAlign w:val="bottom"/>
            <w:hideMark/>
          </w:tcPr>
          <w:p w14:paraId="041C9F97" w14:textId="77777777" w:rsidR="004874AA" w:rsidRPr="005F6347" w:rsidRDefault="004874AA" w:rsidP="004874AA">
            <w:pPr>
              <w:spacing w:after="0" w:line="240" w:lineRule="auto"/>
              <w:rPr>
                <w:rFonts w:ascii="Times New Roman" w:eastAsia="Times New Roman" w:hAnsi="Times New Roman" w:cs="Times New Roman"/>
                <w:sz w:val="20"/>
                <w:szCs w:val="20"/>
                <w:lang w:val="de-DE" w:eastAsia="de-DE"/>
              </w:rPr>
            </w:pPr>
          </w:p>
        </w:tc>
        <w:tc>
          <w:tcPr>
            <w:tcW w:w="783" w:type="pct"/>
            <w:tcBorders>
              <w:top w:val="nil"/>
              <w:left w:val="nil"/>
              <w:bottom w:val="nil"/>
              <w:right w:val="nil"/>
            </w:tcBorders>
            <w:shd w:val="clear" w:color="auto" w:fill="auto"/>
            <w:noWrap/>
            <w:vAlign w:val="bottom"/>
            <w:hideMark/>
          </w:tcPr>
          <w:p w14:paraId="59232172" w14:textId="77777777" w:rsidR="004874AA" w:rsidRPr="005F6347" w:rsidRDefault="004874AA" w:rsidP="004874AA">
            <w:pPr>
              <w:spacing w:after="0" w:line="240" w:lineRule="auto"/>
              <w:rPr>
                <w:rFonts w:ascii="Times New Roman" w:eastAsia="Times New Roman" w:hAnsi="Times New Roman" w:cs="Times New Roman"/>
                <w:sz w:val="20"/>
                <w:szCs w:val="20"/>
                <w:lang w:val="de-DE" w:eastAsia="de-DE"/>
              </w:rPr>
            </w:pPr>
          </w:p>
        </w:tc>
        <w:tc>
          <w:tcPr>
            <w:tcW w:w="783" w:type="pct"/>
            <w:tcBorders>
              <w:top w:val="nil"/>
              <w:left w:val="nil"/>
              <w:bottom w:val="nil"/>
              <w:right w:val="nil"/>
            </w:tcBorders>
            <w:shd w:val="clear" w:color="auto" w:fill="auto"/>
            <w:noWrap/>
            <w:vAlign w:val="bottom"/>
            <w:hideMark/>
          </w:tcPr>
          <w:p w14:paraId="33C6F818" w14:textId="77777777" w:rsidR="004874AA" w:rsidRPr="005F6347" w:rsidRDefault="004874AA" w:rsidP="004874AA">
            <w:pPr>
              <w:spacing w:after="0" w:line="240" w:lineRule="auto"/>
              <w:rPr>
                <w:rFonts w:ascii="Times New Roman" w:eastAsia="Times New Roman" w:hAnsi="Times New Roman" w:cs="Times New Roman"/>
                <w:sz w:val="20"/>
                <w:szCs w:val="20"/>
                <w:lang w:val="de-DE" w:eastAsia="de-DE"/>
              </w:rPr>
            </w:pPr>
          </w:p>
        </w:tc>
        <w:tc>
          <w:tcPr>
            <w:tcW w:w="783" w:type="pct"/>
            <w:tcBorders>
              <w:top w:val="nil"/>
              <w:left w:val="nil"/>
              <w:bottom w:val="nil"/>
              <w:right w:val="nil"/>
            </w:tcBorders>
            <w:shd w:val="clear" w:color="auto" w:fill="auto"/>
            <w:noWrap/>
            <w:vAlign w:val="bottom"/>
            <w:hideMark/>
          </w:tcPr>
          <w:p w14:paraId="732876D9" w14:textId="77777777" w:rsidR="004874AA" w:rsidRPr="005F6347" w:rsidRDefault="004874AA" w:rsidP="004874AA">
            <w:pPr>
              <w:spacing w:after="0" w:line="240" w:lineRule="auto"/>
              <w:rPr>
                <w:rFonts w:ascii="Times New Roman" w:eastAsia="Times New Roman" w:hAnsi="Times New Roman" w:cs="Times New Roman"/>
                <w:sz w:val="20"/>
                <w:szCs w:val="20"/>
                <w:lang w:val="de-DE" w:eastAsia="de-DE"/>
              </w:rPr>
            </w:pPr>
          </w:p>
        </w:tc>
        <w:tc>
          <w:tcPr>
            <w:tcW w:w="782" w:type="pct"/>
            <w:tcBorders>
              <w:top w:val="nil"/>
              <w:left w:val="nil"/>
              <w:bottom w:val="nil"/>
              <w:right w:val="nil"/>
            </w:tcBorders>
            <w:shd w:val="clear" w:color="auto" w:fill="auto"/>
            <w:noWrap/>
            <w:vAlign w:val="bottom"/>
            <w:hideMark/>
          </w:tcPr>
          <w:p w14:paraId="726463A2" w14:textId="77777777" w:rsidR="004874AA" w:rsidRPr="005F6347" w:rsidRDefault="004874AA" w:rsidP="004874AA">
            <w:pPr>
              <w:spacing w:after="0" w:line="240" w:lineRule="auto"/>
              <w:rPr>
                <w:rFonts w:ascii="Times New Roman" w:eastAsia="Times New Roman" w:hAnsi="Times New Roman" w:cs="Times New Roman"/>
                <w:sz w:val="20"/>
                <w:szCs w:val="20"/>
                <w:lang w:val="de-DE" w:eastAsia="de-DE"/>
              </w:rPr>
            </w:pPr>
          </w:p>
        </w:tc>
      </w:tr>
      <w:tr w:rsidR="008A65FA" w:rsidRPr="005F6347" w14:paraId="20E9408C" w14:textId="77777777" w:rsidTr="00F56AF6">
        <w:trPr>
          <w:trHeight w:val="20"/>
        </w:trPr>
        <w:tc>
          <w:tcPr>
            <w:tcW w:w="1086" w:type="pct"/>
            <w:tcBorders>
              <w:top w:val="nil"/>
              <w:left w:val="nil"/>
              <w:bottom w:val="nil"/>
              <w:right w:val="nil"/>
            </w:tcBorders>
            <w:shd w:val="clear" w:color="auto" w:fill="auto"/>
            <w:noWrap/>
            <w:vAlign w:val="bottom"/>
            <w:hideMark/>
          </w:tcPr>
          <w:p w14:paraId="46B12303" w14:textId="62D1D864" w:rsidR="004874AA" w:rsidRPr="00604F53" w:rsidRDefault="00582B13" w:rsidP="004874AA">
            <w:pPr>
              <w:spacing w:after="0" w:line="240" w:lineRule="auto"/>
              <w:rPr>
                <w:rFonts w:ascii="Aptos Narrow" w:eastAsia="Times New Roman" w:hAnsi="Aptos Narrow" w:cs="Times New Roman"/>
                <w:i/>
                <w:iCs/>
                <w:color w:val="000000"/>
                <w:sz w:val="20"/>
                <w:szCs w:val="20"/>
                <w:lang w:val="de-DE" w:eastAsia="de-DE"/>
              </w:rPr>
            </w:pPr>
            <w:r>
              <w:rPr>
                <w:rFonts w:ascii="Aptos Narrow" w:eastAsia="Times New Roman" w:hAnsi="Aptos Narrow" w:cs="Times New Roman"/>
                <w:i/>
                <w:iCs/>
                <w:color w:val="000000"/>
                <w:sz w:val="20"/>
                <w:szCs w:val="20"/>
                <w:lang w:val="de-DE" w:eastAsia="de-DE"/>
              </w:rPr>
              <w:t>P</w:t>
            </w:r>
            <w:r w:rsidR="004874AA" w:rsidRPr="00604F53">
              <w:rPr>
                <w:rFonts w:ascii="Aptos Narrow" w:eastAsia="Times New Roman" w:hAnsi="Aptos Narrow" w:cs="Times New Roman"/>
                <w:i/>
                <w:iCs/>
                <w:color w:val="000000"/>
                <w:sz w:val="20"/>
                <w:szCs w:val="20"/>
                <w:lang w:val="de-DE" w:eastAsia="de-DE"/>
              </w:rPr>
              <w:t>TA</w:t>
            </w:r>
            <w:r w:rsidR="00723029">
              <w:rPr>
                <w:rFonts w:ascii="Aptos Narrow" w:eastAsia="Times New Roman" w:hAnsi="Aptos Narrow" w:cs="Times New Roman"/>
                <w:i/>
                <w:iCs/>
                <w:color w:val="000000"/>
                <w:sz w:val="20"/>
                <w:szCs w:val="20"/>
                <w:lang w:val="de-DE" w:eastAsia="de-DE"/>
              </w:rPr>
              <w:t>-</w:t>
            </w:r>
            <w:r w:rsidR="004874AA" w:rsidRPr="00604F53">
              <w:rPr>
                <w:rFonts w:ascii="Aptos Narrow" w:eastAsia="Times New Roman" w:hAnsi="Aptos Narrow" w:cs="Times New Roman"/>
                <w:i/>
                <w:iCs/>
                <w:color w:val="000000"/>
                <w:sz w:val="20"/>
                <w:szCs w:val="20"/>
                <w:lang w:val="de-DE" w:eastAsia="de-DE"/>
              </w:rPr>
              <w:t>DP</w:t>
            </w:r>
          </w:p>
        </w:tc>
        <w:tc>
          <w:tcPr>
            <w:tcW w:w="783" w:type="pct"/>
            <w:tcBorders>
              <w:top w:val="nil"/>
              <w:left w:val="nil"/>
              <w:bottom w:val="nil"/>
              <w:right w:val="nil"/>
            </w:tcBorders>
            <w:shd w:val="clear" w:color="auto" w:fill="auto"/>
            <w:noWrap/>
            <w:vAlign w:val="bottom"/>
            <w:hideMark/>
          </w:tcPr>
          <w:p w14:paraId="1498FE2A"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0.002</w:t>
            </w:r>
          </w:p>
        </w:tc>
        <w:tc>
          <w:tcPr>
            <w:tcW w:w="783" w:type="pct"/>
            <w:tcBorders>
              <w:top w:val="nil"/>
              <w:left w:val="nil"/>
              <w:bottom w:val="nil"/>
              <w:right w:val="nil"/>
            </w:tcBorders>
            <w:shd w:val="clear" w:color="auto" w:fill="auto"/>
            <w:noWrap/>
            <w:vAlign w:val="bottom"/>
            <w:hideMark/>
          </w:tcPr>
          <w:p w14:paraId="4C5B3D17"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0.003</w:t>
            </w:r>
          </w:p>
        </w:tc>
        <w:tc>
          <w:tcPr>
            <w:tcW w:w="783" w:type="pct"/>
            <w:tcBorders>
              <w:top w:val="nil"/>
              <w:left w:val="nil"/>
              <w:bottom w:val="nil"/>
              <w:right w:val="nil"/>
            </w:tcBorders>
            <w:shd w:val="clear" w:color="auto" w:fill="auto"/>
            <w:noWrap/>
            <w:vAlign w:val="bottom"/>
            <w:hideMark/>
          </w:tcPr>
          <w:p w14:paraId="63437F28"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0.003</w:t>
            </w:r>
          </w:p>
        </w:tc>
        <w:tc>
          <w:tcPr>
            <w:tcW w:w="783" w:type="pct"/>
            <w:tcBorders>
              <w:top w:val="nil"/>
              <w:left w:val="nil"/>
              <w:bottom w:val="nil"/>
              <w:right w:val="nil"/>
            </w:tcBorders>
            <w:shd w:val="clear" w:color="auto" w:fill="auto"/>
            <w:noWrap/>
            <w:vAlign w:val="bottom"/>
            <w:hideMark/>
          </w:tcPr>
          <w:p w14:paraId="2F721FA3"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0.003</w:t>
            </w:r>
          </w:p>
        </w:tc>
        <w:tc>
          <w:tcPr>
            <w:tcW w:w="782" w:type="pct"/>
            <w:tcBorders>
              <w:top w:val="nil"/>
              <w:left w:val="nil"/>
              <w:bottom w:val="nil"/>
              <w:right w:val="nil"/>
            </w:tcBorders>
            <w:shd w:val="clear" w:color="auto" w:fill="auto"/>
            <w:noWrap/>
            <w:vAlign w:val="bottom"/>
            <w:hideMark/>
          </w:tcPr>
          <w:p w14:paraId="48347E97"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0.016</w:t>
            </w:r>
          </w:p>
        </w:tc>
      </w:tr>
      <w:tr w:rsidR="008A65FA" w:rsidRPr="008A65FA" w14:paraId="4CEA1029" w14:textId="77777777" w:rsidTr="00F56AF6">
        <w:trPr>
          <w:trHeight w:val="20"/>
        </w:trPr>
        <w:tc>
          <w:tcPr>
            <w:tcW w:w="1086" w:type="pct"/>
            <w:tcBorders>
              <w:top w:val="nil"/>
              <w:left w:val="nil"/>
              <w:bottom w:val="nil"/>
              <w:right w:val="nil"/>
            </w:tcBorders>
            <w:shd w:val="clear" w:color="auto" w:fill="auto"/>
            <w:noWrap/>
            <w:vAlign w:val="bottom"/>
            <w:hideMark/>
          </w:tcPr>
          <w:p w14:paraId="2F5DFE99" w14:textId="77777777" w:rsidR="004874AA" w:rsidRPr="00604F53" w:rsidRDefault="004874AA" w:rsidP="004874AA">
            <w:pPr>
              <w:spacing w:after="0" w:line="240" w:lineRule="auto"/>
              <w:rPr>
                <w:rFonts w:ascii="Aptos Narrow" w:eastAsia="Times New Roman" w:hAnsi="Aptos Narrow" w:cs="Times New Roman"/>
                <w:i/>
                <w:iCs/>
                <w:color w:val="000000"/>
                <w:sz w:val="18"/>
                <w:szCs w:val="18"/>
                <w:lang w:val="de-DE" w:eastAsia="de-DE"/>
              </w:rPr>
            </w:pPr>
          </w:p>
        </w:tc>
        <w:tc>
          <w:tcPr>
            <w:tcW w:w="783" w:type="pct"/>
            <w:tcBorders>
              <w:top w:val="nil"/>
              <w:left w:val="nil"/>
              <w:bottom w:val="nil"/>
              <w:right w:val="nil"/>
            </w:tcBorders>
            <w:shd w:val="clear" w:color="auto" w:fill="auto"/>
            <w:noWrap/>
            <w:vAlign w:val="bottom"/>
            <w:hideMark/>
          </w:tcPr>
          <w:p w14:paraId="43FCEEDA"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(0.980)</w:t>
            </w:r>
          </w:p>
        </w:tc>
        <w:tc>
          <w:tcPr>
            <w:tcW w:w="783" w:type="pct"/>
            <w:tcBorders>
              <w:top w:val="nil"/>
              <w:left w:val="nil"/>
              <w:bottom w:val="nil"/>
              <w:right w:val="nil"/>
            </w:tcBorders>
            <w:shd w:val="clear" w:color="auto" w:fill="auto"/>
            <w:noWrap/>
            <w:vAlign w:val="bottom"/>
            <w:hideMark/>
          </w:tcPr>
          <w:p w14:paraId="5963EEAC"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(0.979)</w:t>
            </w:r>
          </w:p>
        </w:tc>
        <w:tc>
          <w:tcPr>
            <w:tcW w:w="783" w:type="pct"/>
            <w:tcBorders>
              <w:top w:val="nil"/>
              <w:left w:val="nil"/>
              <w:bottom w:val="nil"/>
              <w:right w:val="nil"/>
            </w:tcBorders>
            <w:shd w:val="clear" w:color="auto" w:fill="auto"/>
            <w:noWrap/>
            <w:vAlign w:val="bottom"/>
            <w:hideMark/>
          </w:tcPr>
          <w:p w14:paraId="69C80F47"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(0.978)</w:t>
            </w:r>
          </w:p>
        </w:tc>
        <w:tc>
          <w:tcPr>
            <w:tcW w:w="783" w:type="pct"/>
            <w:tcBorders>
              <w:top w:val="nil"/>
              <w:left w:val="nil"/>
              <w:bottom w:val="nil"/>
              <w:right w:val="nil"/>
            </w:tcBorders>
            <w:shd w:val="clear" w:color="auto" w:fill="auto"/>
            <w:noWrap/>
            <w:vAlign w:val="bottom"/>
            <w:hideMark/>
          </w:tcPr>
          <w:p w14:paraId="3AFF0BFB"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(0.977)</w:t>
            </w:r>
          </w:p>
        </w:tc>
        <w:tc>
          <w:tcPr>
            <w:tcW w:w="782" w:type="pct"/>
            <w:tcBorders>
              <w:top w:val="nil"/>
              <w:left w:val="nil"/>
              <w:bottom w:val="nil"/>
              <w:right w:val="nil"/>
            </w:tcBorders>
            <w:shd w:val="clear" w:color="auto" w:fill="auto"/>
            <w:noWrap/>
            <w:vAlign w:val="bottom"/>
            <w:hideMark/>
          </w:tcPr>
          <w:p w14:paraId="657B7951"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(0.819)</w:t>
            </w:r>
          </w:p>
        </w:tc>
      </w:tr>
      <w:tr w:rsidR="008A65FA" w:rsidRPr="005F6347" w14:paraId="5E528D4D" w14:textId="77777777" w:rsidTr="00F56AF6">
        <w:trPr>
          <w:trHeight w:val="20"/>
        </w:trPr>
        <w:tc>
          <w:tcPr>
            <w:tcW w:w="1086" w:type="pct"/>
            <w:tcBorders>
              <w:top w:val="nil"/>
              <w:left w:val="nil"/>
              <w:bottom w:val="nil"/>
              <w:right w:val="nil"/>
            </w:tcBorders>
            <w:shd w:val="clear" w:color="auto" w:fill="auto"/>
            <w:noWrap/>
            <w:vAlign w:val="bottom"/>
            <w:hideMark/>
          </w:tcPr>
          <w:p w14:paraId="4A7AD8C6" w14:textId="77777777" w:rsidR="004874AA" w:rsidRPr="00604F53" w:rsidRDefault="004874AA" w:rsidP="004874AA">
            <w:pPr>
              <w:spacing w:after="0" w:line="240" w:lineRule="auto"/>
              <w:rPr>
                <w:rFonts w:ascii="Aptos Narrow" w:eastAsia="Times New Roman" w:hAnsi="Aptos Narrow" w:cs="Times New Roman"/>
                <w:i/>
                <w:iCs/>
                <w:color w:val="000000"/>
                <w:sz w:val="20"/>
                <w:szCs w:val="20"/>
                <w:lang w:val="de-DE" w:eastAsia="de-DE"/>
              </w:rPr>
            </w:pPr>
            <w:r w:rsidRPr="00604F53">
              <w:rPr>
                <w:rFonts w:ascii="Aptos Narrow" w:eastAsia="Times New Roman" w:hAnsi="Aptos Narrow" w:cs="Times New Roman"/>
                <w:i/>
                <w:iCs/>
                <w:color w:val="000000"/>
                <w:sz w:val="20"/>
                <w:szCs w:val="20"/>
                <w:lang w:val="de-DE" w:eastAsia="de-DE"/>
              </w:rPr>
              <w:t>WTO</w:t>
            </w:r>
          </w:p>
        </w:tc>
        <w:tc>
          <w:tcPr>
            <w:tcW w:w="783" w:type="pct"/>
            <w:tcBorders>
              <w:top w:val="nil"/>
              <w:left w:val="nil"/>
              <w:bottom w:val="nil"/>
              <w:right w:val="nil"/>
            </w:tcBorders>
            <w:shd w:val="clear" w:color="auto" w:fill="auto"/>
            <w:noWrap/>
            <w:vAlign w:val="bottom"/>
            <w:hideMark/>
          </w:tcPr>
          <w:p w14:paraId="65DB02A3"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-0.394***</w:t>
            </w:r>
          </w:p>
        </w:tc>
        <w:tc>
          <w:tcPr>
            <w:tcW w:w="783" w:type="pct"/>
            <w:tcBorders>
              <w:top w:val="nil"/>
              <w:left w:val="nil"/>
              <w:bottom w:val="nil"/>
              <w:right w:val="nil"/>
            </w:tcBorders>
            <w:shd w:val="clear" w:color="auto" w:fill="auto"/>
            <w:noWrap/>
            <w:vAlign w:val="bottom"/>
            <w:hideMark/>
          </w:tcPr>
          <w:p w14:paraId="1E0117D6"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-0.393***</w:t>
            </w:r>
          </w:p>
        </w:tc>
        <w:tc>
          <w:tcPr>
            <w:tcW w:w="783" w:type="pct"/>
            <w:tcBorders>
              <w:top w:val="nil"/>
              <w:left w:val="nil"/>
              <w:bottom w:val="nil"/>
              <w:right w:val="nil"/>
            </w:tcBorders>
            <w:shd w:val="clear" w:color="auto" w:fill="auto"/>
            <w:noWrap/>
            <w:vAlign w:val="bottom"/>
            <w:hideMark/>
          </w:tcPr>
          <w:p w14:paraId="2AFC2072"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-0.393***</w:t>
            </w:r>
          </w:p>
        </w:tc>
        <w:tc>
          <w:tcPr>
            <w:tcW w:w="783" w:type="pct"/>
            <w:tcBorders>
              <w:top w:val="nil"/>
              <w:left w:val="nil"/>
              <w:bottom w:val="nil"/>
              <w:right w:val="nil"/>
            </w:tcBorders>
            <w:shd w:val="clear" w:color="auto" w:fill="auto"/>
            <w:noWrap/>
            <w:vAlign w:val="bottom"/>
            <w:hideMark/>
          </w:tcPr>
          <w:p w14:paraId="257575A1"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-0.393***</w:t>
            </w:r>
          </w:p>
        </w:tc>
        <w:tc>
          <w:tcPr>
            <w:tcW w:w="782" w:type="pct"/>
            <w:tcBorders>
              <w:top w:val="nil"/>
              <w:left w:val="nil"/>
              <w:bottom w:val="nil"/>
              <w:right w:val="nil"/>
            </w:tcBorders>
            <w:shd w:val="clear" w:color="auto" w:fill="auto"/>
            <w:noWrap/>
            <w:vAlign w:val="bottom"/>
            <w:hideMark/>
          </w:tcPr>
          <w:p w14:paraId="262E6E84"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-0.450***</w:t>
            </w:r>
          </w:p>
        </w:tc>
      </w:tr>
      <w:tr w:rsidR="008A65FA" w:rsidRPr="008A65FA" w14:paraId="6F7BB4E5" w14:textId="77777777" w:rsidTr="00F56AF6">
        <w:trPr>
          <w:trHeight w:val="20"/>
        </w:trPr>
        <w:tc>
          <w:tcPr>
            <w:tcW w:w="1086" w:type="pct"/>
            <w:tcBorders>
              <w:top w:val="nil"/>
              <w:left w:val="nil"/>
              <w:bottom w:val="nil"/>
              <w:right w:val="nil"/>
            </w:tcBorders>
            <w:shd w:val="clear" w:color="auto" w:fill="auto"/>
            <w:noWrap/>
            <w:vAlign w:val="bottom"/>
            <w:hideMark/>
          </w:tcPr>
          <w:p w14:paraId="2003AA87" w14:textId="77777777" w:rsidR="004874AA" w:rsidRPr="00604F53" w:rsidRDefault="004874AA" w:rsidP="004874AA">
            <w:pPr>
              <w:spacing w:after="0" w:line="240" w:lineRule="auto"/>
              <w:rPr>
                <w:rFonts w:ascii="Aptos Narrow" w:eastAsia="Times New Roman" w:hAnsi="Aptos Narrow" w:cs="Times New Roman"/>
                <w:i/>
                <w:iCs/>
                <w:color w:val="000000"/>
                <w:sz w:val="18"/>
                <w:szCs w:val="18"/>
                <w:lang w:val="de-DE" w:eastAsia="de-DE"/>
              </w:rPr>
            </w:pPr>
          </w:p>
        </w:tc>
        <w:tc>
          <w:tcPr>
            <w:tcW w:w="783" w:type="pct"/>
            <w:tcBorders>
              <w:top w:val="nil"/>
              <w:left w:val="nil"/>
              <w:bottom w:val="nil"/>
              <w:right w:val="nil"/>
            </w:tcBorders>
            <w:shd w:val="clear" w:color="auto" w:fill="auto"/>
            <w:noWrap/>
            <w:vAlign w:val="bottom"/>
            <w:hideMark/>
          </w:tcPr>
          <w:p w14:paraId="47B1B191"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(0.000)</w:t>
            </w:r>
          </w:p>
        </w:tc>
        <w:tc>
          <w:tcPr>
            <w:tcW w:w="783" w:type="pct"/>
            <w:tcBorders>
              <w:top w:val="nil"/>
              <w:left w:val="nil"/>
              <w:bottom w:val="nil"/>
              <w:right w:val="nil"/>
            </w:tcBorders>
            <w:shd w:val="clear" w:color="auto" w:fill="auto"/>
            <w:noWrap/>
            <w:vAlign w:val="bottom"/>
            <w:hideMark/>
          </w:tcPr>
          <w:p w14:paraId="06F5EE2E"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(0.000)</w:t>
            </w:r>
          </w:p>
        </w:tc>
        <w:tc>
          <w:tcPr>
            <w:tcW w:w="783" w:type="pct"/>
            <w:tcBorders>
              <w:top w:val="nil"/>
              <w:left w:val="nil"/>
              <w:bottom w:val="nil"/>
              <w:right w:val="nil"/>
            </w:tcBorders>
            <w:shd w:val="clear" w:color="auto" w:fill="auto"/>
            <w:noWrap/>
            <w:vAlign w:val="bottom"/>
            <w:hideMark/>
          </w:tcPr>
          <w:p w14:paraId="23BF20C5"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(0.000)</w:t>
            </w:r>
          </w:p>
        </w:tc>
        <w:tc>
          <w:tcPr>
            <w:tcW w:w="783" w:type="pct"/>
            <w:tcBorders>
              <w:top w:val="nil"/>
              <w:left w:val="nil"/>
              <w:bottom w:val="nil"/>
              <w:right w:val="nil"/>
            </w:tcBorders>
            <w:shd w:val="clear" w:color="auto" w:fill="auto"/>
            <w:noWrap/>
            <w:vAlign w:val="bottom"/>
            <w:hideMark/>
          </w:tcPr>
          <w:p w14:paraId="7658F909"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(0.000)</w:t>
            </w:r>
          </w:p>
        </w:tc>
        <w:tc>
          <w:tcPr>
            <w:tcW w:w="782" w:type="pct"/>
            <w:tcBorders>
              <w:top w:val="nil"/>
              <w:left w:val="nil"/>
              <w:bottom w:val="nil"/>
              <w:right w:val="nil"/>
            </w:tcBorders>
            <w:shd w:val="clear" w:color="auto" w:fill="auto"/>
            <w:noWrap/>
            <w:vAlign w:val="bottom"/>
            <w:hideMark/>
          </w:tcPr>
          <w:p w14:paraId="4E56B572"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(0.001)</w:t>
            </w:r>
          </w:p>
        </w:tc>
      </w:tr>
      <w:tr w:rsidR="008A65FA" w:rsidRPr="005F6347" w14:paraId="68666A56" w14:textId="77777777" w:rsidTr="00F56AF6">
        <w:trPr>
          <w:trHeight w:val="20"/>
        </w:trPr>
        <w:tc>
          <w:tcPr>
            <w:tcW w:w="1086" w:type="pct"/>
            <w:tcBorders>
              <w:top w:val="nil"/>
              <w:left w:val="nil"/>
              <w:bottom w:val="nil"/>
              <w:right w:val="nil"/>
            </w:tcBorders>
            <w:shd w:val="clear" w:color="auto" w:fill="auto"/>
            <w:noWrap/>
            <w:vAlign w:val="bottom"/>
            <w:hideMark/>
          </w:tcPr>
          <w:p w14:paraId="77D7B744" w14:textId="77777777" w:rsidR="004874AA" w:rsidRPr="00604F53" w:rsidRDefault="004874AA" w:rsidP="004874AA">
            <w:pPr>
              <w:spacing w:after="0" w:line="240" w:lineRule="auto"/>
              <w:rPr>
                <w:rFonts w:ascii="Aptos Narrow" w:eastAsia="Times New Roman" w:hAnsi="Aptos Narrow" w:cs="Times New Roman"/>
                <w:i/>
                <w:iCs/>
                <w:color w:val="000000"/>
                <w:sz w:val="20"/>
                <w:szCs w:val="20"/>
                <w:lang w:val="de-DE" w:eastAsia="de-DE"/>
              </w:rPr>
            </w:pPr>
            <w:r w:rsidRPr="00604F53">
              <w:rPr>
                <w:rFonts w:ascii="Aptos Narrow" w:eastAsia="Times New Roman" w:hAnsi="Aptos Narrow" w:cs="Times New Roman"/>
                <w:i/>
                <w:iCs/>
                <w:color w:val="000000"/>
                <w:sz w:val="20"/>
                <w:szCs w:val="20"/>
                <w:lang w:val="de-DE" w:eastAsia="de-DE"/>
              </w:rPr>
              <w:t>DPD</w:t>
            </w:r>
          </w:p>
        </w:tc>
        <w:tc>
          <w:tcPr>
            <w:tcW w:w="783" w:type="pct"/>
            <w:tcBorders>
              <w:top w:val="nil"/>
              <w:left w:val="nil"/>
              <w:bottom w:val="nil"/>
              <w:right w:val="nil"/>
            </w:tcBorders>
            <w:shd w:val="clear" w:color="auto" w:fill="auto"/>
            <w:noWrap/>
            <w:vAlign w:val="bottom"/>
            <w:hideMark/>
          </w:tcPr>
          <w:p w14:paraId="299E9222"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-0.054</w:t>
            </w:r>
          </w:p>
        </w:tc>
        <w:tc>
          <w:tcPr>
            <w:tcW w:w="783" w:type="pct"/>
            <w:tcBorders>
              <w:top w:val="nil"/>
              <w:left w:val="nil"/>
              <w:bottom w:val="nil"/>
              <w:right w:val="nil"/>
            </w:tcBorders>
            <w:shd w:val="clear" w:color="auto" w:fill="auto"/>
            <w:noWrap/>
            <w:vAlign w:val="bottom"/>
            <w:hideMark/>
          </w:tcPr>
          <w:p w14:paraId="4358E184"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-0.055</w:t>
            </w:r>
          </w:p>
        </w:tc>
        <w:tc>
          <w:tcPr>
            <w:tcW w:w="783" w:type="pct"/>
            <w:tcBorders>
              <w:top w:val="nil"/>
              <w:left w:val="nil"/>
              <w:bottom w:val="nil"/>
              <w:right w:val="nil"/>
            </w:tcBorders>
            <w:shd w:val="clear" w:color="auto" w:fill="auto"/>
            <w:noWrap/>
            <w:vAlign w:val="bottom"/>
            <w:hideMark/>
          </w:tcPr>
          <w:p w14:paraId="43D06383"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-0.053</w:t>
            </w:r>
          </w:p>
        </w:tc>
        <w:tc>
          <w:tcPr>
            <w:tcW w:w="783" w:type="pct"/>
            <w:tcBorders>
              <w:top w:val="nil"/>
              <w:left w:val="nil"/>
              <w:bottom w:val="nil"/>
              <w:right w:val="nil"/>
            </w:tcBorders>
            <w:shd w:val="clear" w:color="auto" w:fill="auto"/>
            <w:noWrap/>
            <w:vAlign w:val="bottom"/>
            <w:hideMark/>
          </w:tcPr>
          <w:p w14:paraId="2C867B46"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-0.054</w:t>
            </w:r>
          </w:p>
        </w:tc>
        <w:tc>
          <w:tcPr>
            <w:tcW w:w="782" w:type="pct"/>
            <w:tcBorders>
              <w:top w:val="nil"/>
              <w:left w:val="nil"/>
              <w:bottom w:val="nil"/>
              <w:right w:val="nil"/>
            </w:tcBorders>
            <w:shd w:val="clear" w:color="auto" w:fill="auto"/>
            <w:noWrap/>
            <w:vAlign w:val="bottom"/>
            <w:hideMark/>
          </w:tcPr>
          <w:p w14:paraId="3E33E85F"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-0.055</w:t>
            </w:r>
          </w:p>
        </w:tc>
      </w:tr>
      <w:tr w:rsidR="008A65FA" w:rsidRPr="008A65FA" w14:paraId="023FC490" w14:textId="77777777" w:rsidTr="00F56AF6">
        <w:trPr>
          <w:trHeight w:val="20"/>
        </w:trPr>
        <w:tc>
          <w:tcPr>
            <w:tcW w:w="1086" w:type="pct"/>
            <w:tcBorders>
              <w:top w:val="nil"/>
              <w:left w:val="nil"/>
              <w:bottom w:val="nil"/>
              <w:right w:val="nil"/>
            </w:tcBorders>
            <w:shd w:val="clear" w:color="auto" w:fill="auto"/>
            <w:noWrap/>
            <w:vAlign w:val="bottom"/>
            <w:hideMark/>
          </w:tcPr>
          <w:p w14:paraId="3C0A5FAD" w14:textId="77777777" w:rsidR="004874AA" w:rsidRPr="00604F53" w:rsidRDefault="004874AA" w:rsidP="004874AA">
            <w:pPr>
              <w:spacing w:after="0" w:line="240" w:lineRule="auto"/>
              <w:rPr>
                <w:rFonts w:ascii="Aptos Narrow" w:eastAsia="Times New Roman" w:hAnsi="Aptos Narrow" w:cs="Times New Roman"/>
                <w:i/>
                <w:iCs/>
                <w:color w:val="000000"/>
                <w:sz w:val="18"/>
                <w:szCs w:val="18"/>
                <w:lang w:val="de-DE" w:eastAsia="de-DE"/>
              </w:rPr>
            </w:pPr>
          </w:p>
        </w:tc>
        <w:tc>
          <w:tcPr>
            <w:tcW w:w="783" w:type="pct"/>
            <w:tcBorders>
              <w:top w:val="nil"/>
              <w:left w:val="nil"/>
              <w:bottom w:val="nil"/>
              <w:right w:val="nil"/>
            </w:tcBorders>
            <w:shd w:val="clear" w:color="auto" w:fill="auto"/>
            <w:noWrap/>
            <w:vAlign w:val="bottom"/>
            <w:hideMark/>
          </w:tcPr>
          <w:p w14:paraId="7505420B"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(0.263)</w:t>
            </w:r>
          </w:p>
        </w:tc>
        <w:tc>
          <w:tcPr>
            <w:tcW w:w="783" w:type="pct"/>
            <w:tcBorders>
              <w:top w:val="nil"/>
              <w:left w:val="nil"/>
              <w:bottom w:val="nil"/>
              <w:right w:val="nil"/>
            </w:tcBorders>
            <w:shd w:val="clear" w:color="auto" w:fill="auto"/>
            <w:noWrap/>
            <w:vAlign w:val="bottom"/>
            <w:hideMark/>
          </w:tcPr>
          <w:p w14:paraId="65C383CC"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(0.260)</w:t>
            </w:r>
          </w:p>
        </w:tc>
        <w:tc>
          <w:tcPr>
            <w:tcW w:w="783" w:type="pct"/>
            <w:tcBorders>
              <w:top w:val="nil"/>
              <w:left w:val="nil"/>
              <w:bottom w:val="nil"/>
              <w:right w:val="nil"/>
            </w:tcBorders>
            <w:shd w:val="clear" w:color="auto" w:fill="auto"/>
            <w:noWrap/>
            <w:vAlign w:val="bottom"/>
            <w:hideMark/>
          </w:tcPr>
          <w:p w14:paraId="18A42737"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(0.271)</w:t>
            </w:r>
          </w:p>
        </w:tc>
        <w:tc>
          <w:tcPr>
            <w:tcW w:w="783" w:type="pct"/>
            <w:tcBorders>
              <w:top w:val="nil"/>
              <w:left w:val="nil"/>
              <w:bottom w:val="nil"/>
              <w:right w:val="nil"/>
            </w:tcBorders>
            <w:shd w:val="clear" w:color="auto" w:fill="auto"/>
            <w:noWrap/>
            <w:vAlign w:val="bottom"/>
            <w:hideMark/>
          </w:tcPr>
          <w:p w14:paraId="6C81375A"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(0.268)</w:t>
            </w:r>
          </w:p>
        </w:tc>
        <w:tc>
          <w:tcPr>
            <w:tcW w:w="782" w:type="pct"/>
            <w:tcBorders>
              <w:top w:val="nil"/>
              <w:left w:val="nil"/>
              <w:bottom w:val="nil"/>
              <w:right w:val="nil"/>
            </w:tcBorders>
            <w:shd w:val="clear" w:color="auto" w:fill="auto"/>
            <w:noWrap/>
            <w:vAlign w:val="bottom"/>
            <w:hideMark/>
          </w:tcPr>
          <w:p w14:paraId="343577C0"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(0.233)</w:t>
            </w:r>
          </w:p>
        </w:tc>
      </w:tr>
      <w:tr w:rsidR="008A65FA" w:rsidRPr="005F6347" w14:paraId="770363AE" w14:textId="77777777" w:rsidTr="00F56AF6">
        <w:trPr>
          <w:trHeight w:val="20"/>
        </w:trPr>
        <w:tc>
          <w:tcPr>
            <w:tcW w:w="1086" w:type="pct"/>
            <w:tcBorders>
              <w:top w:val="nil"/>
              <w:left w:val="nil"/>
              <w:bottom w:val="nil"/>
              <w:right w:val="nil"/>
            </w:tcBorders>
            <w:shd w:val="clear" w:color="auto" w:fill="auto"/>
            <w:noWrap/>
            <w:vAlign w:val="bottom"/>
            <w:hideMark/>
          </w:tcPr>
          <w:p w14:paraId="63648A8C" w14:textId="14AFAA49" w:rsidR="004874AA" w:rsidRPr="00604F53" w:rsidRDefault="004874AA" w:rsidP="004874AA">
            <w:pPr>
              <w:spacing w:after="0" w:line="240" w:lineRule="auto"/>
              <w:rPr>
                <w:rFonts w:ascii="Aptos Narrow" w:eastAsia="Times New Roman" w:hAnsi="Aptos Narrow" w:cs="Times New Roman"/>
                <w:i/>
                <w:iCs/>
                <w:color w:val="000000"/>
                <w:sz w:val="20"/>
                <w:szCs w:val="20"/>
                <w:lang w:val="de-DE" w:eastAsia="de-DE"/>
              </w:rPr>
            </w:pPr>
            <w:r w:rsidRPr="00604F53">
              <w:rPr>
                <w:rFonts w:ascii="Aptos Narrow" w:eastAsia="Times New Roman" w:hAnsi="Aptos Narrow" w:cs="Times New Roman"/>
                <w:i/>
                <w:iCs/>
                <w:color w:val="000000"/>
                <w:sz w:val="20"/>
                <w:szCs w:val="20"/>
                <w:lang w:val="de-DE" w:eastAsia="de-DE"/>
              </w:rPr>
              <w:t>CON 1</w:t>
            </w:r>
            <w:r w:rsidR="000818AE">
              <w:rPr>
                <w:rFonts w:ascii="Aptos Narrow" w:eastAsia="Times New Roman" w:hAnsi="Aptos Narrow" w:cs="Times New Roman"/>
                <w:i/>
                <w:iCs/>
                <w:color w:val="000000"/>
                <w:sz w:val="20"/>
                <w:szCs w:val="20"/>
                <w:lang w:val="de-DE" w:eastAsia="de-DE"/>
              </w:rPr>
              <w:t>1</w:t>
            </w:r>
            <w:r w:rsidRPr="00604F53">
              <w:rPr>
                <w:rFonts w:ascii="Aptos Narrow" w:eastAsia="Times New Roman" w:hAnsi="Aptos Narrow" w:cs="Times New Roman"/>
                <w:i/>
                <w:iCs/>
                <w:color w:val="000000"/>
                <w:sz w:val="20"/>
                <w:szCs w:val="20"/>
                <w:lang w:val="de-DE" w:eastAsia="de-DE"/>
              </w:rPr>
              <w:t>8</w:t>
            </w:r>
          </w:p>
        </w:tc>
        <w:tc>
          <w:tcPr>
            <w:tcW w:w="783" w:type="pct"/>
            <w:tcBorders>
              <w:top w:val="nil"/>
              <w:left w:val="nil"/>
              <w:bottom w:val="nil"/>
              <w:right w:val="nil"/>
            </w:tcBorders>
            <w:shd w:val="clear" w:color="auto" w:fill="auto"/>
            <w:noWrap/>
            <w:vAlign w:val="bottom"/>
            <w:hideMark/>
          </w:tcPr>
          <w:p w14:paraId="23240C95"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-0.007</w:t>
            </w:r>
          </w:p>
        </w:tc>
        <w:tc>
          <w:tcPr>
            <w:tcW w:w="783" w:type="pct"/>
            <w:tcBorders>
              <w:top w:val="nil"/>
              <w:left w:val="nil"/>
              <w:bottom w:val="nil"/>
              <w:right w:val="nil"/>
            </w:tcBorders>
            <w:shd w:val="clear" w:color="auto" w:fill="auto"/>
            <w:noWrap/>
            <w:vAlign w:val="bottom"/>
            <w:hideMark/>
          </w:tcPr>
          <w:p w14:paraId="390373F1"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-0.007</w:t>
            </w:r>
          </w:p>
        </w:tc>
        <w:tc>
          <w:tcPr>
            <w:tcW w:w="783" w:type="pct"/>
            <w:tcBorders>
              <w:top w:val="nil"/>
              <w:left w:val="nil"/>
              <w:bottom w:val="nil"/>
              <w:right w:val="nil"/>
            </w:tcBorders>
            <w:shd w:val="clear" w:color="auto" w:fill="auto"/>
            <w:noWrap/>
            <w:vAlign w:val="bottom"/>
            <w:hideMark/>
          </w:tcPr>
          <w:p w14:paraId="5483A6C9"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-0.008</w:t>
            </w:r>
          </w:p>
        </w:tc>
        <w:tc>
          <w:tcPr>
            <w:tcW w:w="783" w:type="pct"/>
            <w:tcBorders>
              <w:top w:val="nil"/>
              <w:left w:val="nil"/>
              <w:bottom w:val="nil"/>
              <w:right w:val="nil"/>
            </w:tcBorders>
            <w:shd w:val="clear" w:color="auto" w:fill="auto"/>
            <w:noWrap/>
            <w:vAlign w:val="bottom"/>
            <w:hideMark/>
          </w:tcPr>
          <w:p w14:paraId="59A25CBD"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-0.007</w:t>
            </w:r>
          </w:p>
        </w:tc>
        <w:tc>
          <w:tcPr>
            <w:tcW w:w="782" w:type="pct"/>
            <w:tcBorders>
              <w:top w:val="nil"/>
              <w:left w:val="nil"/>
              <w:bottom w:val="nil"/>
              <w:right w:val="nil"/>
            </w:tcBorders>
            <w:shd w:val="clear" w:color="auto" w:fill="auto"/>
            <w:noWrap/>
            <w:vAlign w:val="bottom"/>
            <w:hideMark/>
          </w:tcPr>
          <w:p w14:paraId="44CC91D5"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-0.001</w:t>
            </w:r>
          </w:p>
        </w:tc>
      </w:tr>
      <w:tr w:rsidR="008A65FA" w:rsidRPr="008A65FA" w14:paraId="5F96C8EA" w14:textId="77777777" w:rsidTr="00F56AF6">
        <w:trPr>
          <w:trHeight w:val="20"/>
        </w:trPr>
        <w:tc>
          <w:tcPr>
            <w:tcW w:w="1086" w:type="pct"/>
            <w:tcBorders>
              <w:top w:val="nil"/>
              <w:left w:val="nil"/>
              <w:bottom w:val="nil"/>
              <w:right w:val="nil"/>
            </w:tcBorders>
            <w:shd w:val="clear" w:color="auto" w:fill="auto"/>
            <w:noWrap/>
            <w:vAlign w:val="bottom"/>
            <w:hideMark/>
          </w:tcPr>
          <w:p w14:paraId="5813F91B" w14:textId="77777777" w:rsidR="004874AA" w:rsidRPr="00604F53" w:rsidRDefault="004874AA" w:rsidP="004874AA">
            <w:pPr>
              <w:spacing w:after="0" w:line="240" w:lineRule="auto"/>
              <w:rPr>
                <w:rFonts w:ascii="Aptos Narrow" w:eastAsia="Times New Roman" w:hAnsi="Aptos Narrow" w:cs="Times New Roman"/>
                <w:i/>
                <w:iCs/>
                <w:color w:val="000000"/>
                <w:sz w:val="18"/>
                <w:szCs w:val="18"/>
                <w:lang w:val="de-DE" w:eastAsia="de-DE"/>
              </w:rPr>
            </w:pPr>
          </w:p>
        </w:tc>
        <w:tc>
          <w:tcPr>
            <w:tcW w:w="783" w:type="pct"/>
            <w:tcBorders>
              <w:top w:val="nil"/>
              <w:left w:val="nil"/>
              <w:bottom w:val="nil"/>
              <w:right w:val="nil"/>
            </w:tcBorders>
            <w:shd w:val="clear" w:color="auto" w:fill="auto"/>
            <w:noWrap/>
            <w:vAlign w:val="bottom"/>
            <w:hideMark/>
          </w:tcPr>
          <w:p w14:paraId="1148540F"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(0.764)</w:t>
            </w:r>
          </w:p>
        </w:tc>
        <w:tc>
          <w:tcPr>
            <w:tcW w:w="783" w:type="pct"/>
            <w:tcBorders>
              <w:top w:val="nil"/>
              <w:left w:val="nil"/>
              <w:bottom w:val="nil"/>
              <w:right w:val="nil"/>
            </w:tcBorders>
            <w:shd w:val="clear" w:color="auto" w:fill="auto"/>
            <w:noWrap/>
            <w:vAlign w:val="bottom"/>
            <w:hideMark/>
          </w:tcPr>
          <w:p w14:paraId="1ECD6F5C"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(0.770)</w:t>
            </w:r>
          </w:p>
        </w:tc>
        <w:tc>
          <w:tcPr>
            <w:tcW w:w="783" w:type="pct"/>
            <w:tcBorders>
              <w:top w:val="nil"/>
              <w:left w:val="nil"/>
              <w:bottom w:val="nil"/>
              <w:right w:val="nil"/>
            </w:tcBorders>
            <w:shd w:val="clear" w:color="auto" w:fill="auto"/>
            <w:noWrap/>
            <w:vAlign w:val="bottom"/>
            <w:hideMark/>
          </w:tcPr>
          <w:p w14:paraId="4A35E0D5"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(0.756)</w:t>
            </w:r>
          </w:p>
        </w:tc>
        <w:tc>
          <w:tcPr>
            <w:tcW w:w="783" w:type="pct"/>
            <w:tcBorders>
              <w:top w:val="nil"/>
              <w:left w:val="nil"/>
              <w:bottom w:val="nil"/>
              <w:right w:val="nil"/>
            </w:tcBorders>
            <w:shd w:val="clear" w:color="auto" w:fill="auto"/>
            <w:noWrap/>
            <w:vAlign w:val="bottom"/>
            <w:hideMark/>
          </w:tcPr>
          <w:p w14:paraId="0FFF1F01"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(0.761)</w:t>
            </w:r>
          </w:p>
        </w:tc>
        <w:tc>
          <w:tcPr>
            <w:tcW w:w="782" w:type="pct"/>
            <w:tcBorders>
              <w:top w:val="nil"/>
              <w:left w:val="nil"/>
              <w:bottom w:val="nil"/>
              <w:right w:val="nil"/>
            </w:tcBorders>
            <w:shd w:val="clear" w:color="auto" w:fill="auto"/>
            <w:noWrap/>
            <w:vAlign w:val="bottom"/>
            <w:hideMark/>
          </w:tcPr>
          <w:p w14:paraId="495511C0"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(0.948)</w:t>
            </w:r>
          </w:p>
        </w:tc>
      </w:tr>
      <w:tr w:rsidR="008A65FA" w:rsidRPr="005F6347" w14:paraId="56F1758F" w14:textId="77777777" w:rsidTr="00F56AF6">
        <w:trPr>
          <w:trHeight w:val="20"/>
        </w:trPr>
        <w:tc>
          <w:tcPr>
            <w:tcW w:w="1086" w:type="pct"/>
            <w:tcBorders>
              <w:top w:val="nil"/>
              <w:left w:val="nil"/>
              <w:bottom w:val="nil"/>
              <w:right w:val="nil"/>
            </w:tcBorders>
            <w:shd w:val="clear" w:color="auto" w:fill="auto"/>
            <w:noWrap/>
            <w:vAlign w:val="bottom"/>
            <w:hideMark/>
          </w:tcPr>
          <w:p w14:paraId="36A6B4DD" w14:textId="77777777" w:rsidR="004874AA" w:rsidRPr="00604F53" w:rsidRDefault="004874AA" w:rsidP="004874AA">
            <w:pPr>
              <w:spacing w:after="0" w:line="240" w:lineRule="auto"/>
              <w:rPr>
                <w:rFonts w:ascii="Aptos Narrow" w:eastAsia="Times New Roman" w:hAnsi="Aptos Narrow" w:cs="Times New Roman"/>
                <w:i/>
                <w:iCs/>
                <w:color w:val="000000"/>
                <w:sz w:val="20"/>
                <w:szCs w:val="20"/>
                <w:lang w:val="de-DE" w:eastAsia="de-DE"/>
              </w:rPr>
            </w:pPr>
            <w:r w:rsidRPr="00604F53">
              <w:rPr>
                <w:rFonts w:ascii="Aptos Narrow" w:eastAsia="Times New Roman" w:hAnsi="Aptos Narrow" w:cs="Times New Roman"/>
                <w:i/>
                <w:iCs/>
                <w:color w:val="000000"/>
                <w:sz w:val="20"/>
                <w:szCs w:val="20"/>
                <w:lang w:val="de-DE" w:eastAsia="de-DE"/>
              </w:rPr>
              <w:t>CBPR</w:t>
            </w:r>
          </w:p>
        </w:tc>
        <w:tc>
          <w:tcPr>
            <w:tcW w:w="783" w:type="pct"/>
            <w:tcBorders>
              <w:top w:val="nil"/>
              <w:left w:val="nil"/>
              <w:bottom w:val="nil"/>
              <w:right w:val="nil"/>
            </w:tcBorders>
            <w:shd w:val="clear" w:color="auto" w:fill="auto"/>
            <w:noWrap/>
            <w:vAlign w:val="bottom"/>
            <w:hideMark/>
          </w:tcPr>
          <w:p w14:paraId="347565CA"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0.065</w:t>
            </w:r>
          </w:p>
        </w:tc>
        <w:tc>
          <w:tcPr>
            <w:tcW w:w="783" w:type="pct"/>
            <w:tcBorders>
              <w:top w:val="nil"/>
              <w:left w:val="nil"/>
              <w:bottom w:val="nil"/>
              <w:right w:val="nil"/>
            </w:tcBorders>
            <w:shd w:val="clear" w:color="auto" w:fill="auto"/>
            <w:noWrap/>
            <w:vAlign w:val="bottom"/>
            <w:hideMark/>
          </w:tcPr>
          <w:p w14:paraId="16CED89E"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0.065</w:t>
            </w:r>
          </w:p>
        </w:tc>
        <w:tc>
          <w:tcPr>
            <w:tcW w:w="783" w:type="pct"/>
            <w:tcBorders>
              <w:top w:val="nil"/>
              <w:left w:val="nil"/>
              <w:bottom w:val="nil"/>
              <w:right w:val="nil"/>
            </w:tcBorders>
            <w:shd w:val="clear" w:color="auto" w:fill="auto"/>
            <w:noWrap/>
            <w:vAlign w:val="bottom"/>
            <w:hideMark/>
          </w:tcPr>
          <w:p w14:paraId="1858DDE6"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0.069</w:t>
            </w:r>
          </w:p>
        </w:tc>
        <w:tc>
          <w:tcPr>
            <w:tcW w:w="783" w:type="pct"/>
            <w:tcBorders>
              <w:top w:val="nil"/>
              <w:left w:val="nil"/>
              <w:bottom w:val="nil"/>
              <w:right w:val="nil"/>
            </w:tcBorders>
            <w:shd w:val="clear" w:color="auto" w:fill="auto"/>
            <w:noWrap/>
            <w:vAlign w:val="bottom"/>
            <w:hideMark/>
          </w:tcPr>
          <w:p w14:paraId="24457262"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0.069</w:t>
            </w:r>
          </w:p>
        </w:tc>
        <w:tc>
          <w:tcPr>
            <w:tcW w:w="782" w:type="pct"/>
            <w:tcBorders>
              <w:top w:val="nil"/>
              <w:left w:val="nil"/>
              <w:bottom w:val="nil"/>
              <w:right w:val="nil"/>
            </w:tcBorders>
            <w:shd w:val="clear" w:color="auto" w:fill="auto"/>
            <w:noWrap/>
            <w:vAlign w:val="bottom"/>
            <w:hideMark/>
          </w:tcPr>
          <w:p w14:paraId="1741EB6D"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0.042</w:t>
            </w:r>
          </w:p>
        </w:tc>
      </w:tr>
      <w:tr w:rsidR="008A65FA" w:rsidRPr="008A65FA" w14:paraId="56612A1F" w14:textId="77777777" w:rsidTr="00F56AF6">
        <w:trPr>
          <w:trHeight w:val="20"/>
        </w:trPr>
        <w:tc>
          <w:tcPr>
            <w:tcW w:w="1086" w:type="pct"/>
            <w:tcBorders>
              <w:top w:val="nil"/>
              <w:left w:val="nil"/>
              <w:bottom w:val="nil"/>
              <w:right w:val="nil"/>
            </w:tcBorders>
            <w:shd w:val="clear" w:color="auto" w:fill="auto"/>
            <w:noWrap/>
            <w:vAlign w:val="bottom"/>
            <w:hideMark/>
          </w:tcPr>
          <w:p w14:paraId="0837DB4D" w14:textId="77777777" w:rsidR="004874AA" w:rsidRPr="00604F53" w:rsidRDefault="004874AA" w:rsidP="004874AA">
            <w:pPr>
              <w:spacing w:after="0" w:line="240" w:lineRule="auto"/>
              <w:rPr>
                <w:rFonts w:ascii="Aptos Narrow" w:eastAsia="Times New Roman" w:hAnsi="Aptos Narrow" w:cs="Times New Roman"/>
                <w:i/>
                <w:iCs/>
                <w:color w:val="000000"/>
                <w:sz w:val="18"/>
                <w:szCs w:val="18"/>
                <w:lang w:val="de-DE" w:eastAsia="de-DE"/>
              </w:rPr>
            </w:pPr>
          </w:p>
        </w:tc>
        <w:tc>
          <w:tcPr>
            <w:tcW w:w="783" w:type="pct"/>
            <w:tcBorders>
              <w:top w:val="nil"/>
              <w:left w:val="nil"/>
              <w:bottom w:val="nil"/>
              <w:right w:val="nil"/>
            </w:tcBorders>
            <w:shd w:val="clear" w:color="auto" w:fill="auto"/>
            <w:noWrap/>
            <w:vAlign w:val="bottom"/>
            <w:hideMark/>
          </w:tcPr>
          <w:p w14:paraId="61E4BF1C"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(0.159)</w:t>
            </w:r>
          </w:p>
        </w:tc>
        <w:tc>
          <w:tcPr>
            <w:tcW w:w="783" w:type="pct"/>
            <w:tcBorders>
              <w:top w:val="nil"/>
              <w:left w:val="nil"/>
              <w:bottom w:val="nil"/>
              <w:right w:val="nil"/>
            </w:tcBorders>
            <w:shd w:val="clear" w:color="auto" w:fill="auto"/>
            <w:noWrap/>
            <w:vAlign w:val="bottom"/>
            <w:hideMark/>
          </w:tcPr>
          <w:p w14:paraId="1F848079"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(0.159)</w:t>
            </w:r>
          </w:p>
        </w:tc>
        <w:tc>
          <w:tcPr>
            <w:tcW w:w="783" w:type="pct"/>
            <w:tcBorders>
              <w:top w:val="nil"/>
              <w:left w:val="nil"/>
              <w:bottom w:val="nil"/>
              <w:right w:val="nil"/>
            </w:tcBorders>
            <w:shd w:val="clear" w:color="auto" w:fill="auto"/>
            <w:noWrap/>
            <w:vAlign w:val="bottom"/>
            <w:hideMark/>
          </w:tcPr>
          <w:p w14:paraId="394159A1"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(0.136)</w:t>
            </w:r>
          </w:p>
        </w:tc>
        <w:tc>
          <w:tcPr>
            <w:tcW w:w="783" w:type="pct"/>
            <w:tcBorders>
              <w:top w:val="nil"/>
              <w:left w:val="nil"/>
              <w:bottom w:val="nil"/>
              <w:right w:val="nil"/>
            </w:tcBorders>
            <w:shd w:val="clear" w:color="auto" w:fill="auto"/>
            <w:noWrap/>
            <w:vAlign w:val="bottom"/>
            <w:hideMark/>
          </w:tcPr>
          <w:p w14:paraId="1B184DC2"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(0.136)</w:t>
            </w:r>
          </w:p>
        </w:tc>
        <w:tc>
          <w:tcPr>
            <w:tcW w:w="782" w:type="pct"/>
            <w:tcBorders>
              <w:top w:val="nil"/>
              <w:left w:val="nil"/>
              <w:bottom w:val="nil"/>
              <w:right w:val="nil"/>
            </w:tcBorders>
            <w:shd w:val="clear" w:color="auto" w:fill="auto"/>
            <w:noWrap/>
            <w:vAlign w:val="bottom"/>
            <w:hideMark/>
          </w:tcPr>
          <w:p w14:paraId="0E6BBDE8"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(0.400)</w:t>
            </w:r>
          </w:p>
        </w:tc>
      </w:tr>
      <w:tr w:rsidR="008A65FA" w:rsidRPr="005F6347" w14:paraId="05F77AEA" w14:textId="77777777" w:rsidTr="00F56AF6">
        <w:trPr>
          <w:trHeight w:val="20"/>
        </w:trPr>
        <w:tc>
          <w:tcPr>
            <w:tcW w:w="1086" w:type="pct"/>
            <w:tcBorders>
              <w:top w:val="nil"/>
              <w:left w:val="nil"/>
              <w:bottom w:val="nil"/>
              <w:right w:val="nil"/>
            </w:tcBorders>
            <w:shd w:val="clear" w:color="auto" w:fill="auto"/>
            <w:noWrap/>
            <w:vAlign w:val="bottom"/>
            <w:hideMark/>
          </w:tcPr>
          <w:p w14:paraId="6899D3FB" w14:textId="77777777" w:rsidR="004874AA" w:rsidRPr="00604F53" w:rsidRDefault="004874AA" w:rsidP="004874AA">
            <w:pPr>
              <w:spacing w:after="0" w:line="240" w:lineRule="auto"/>
              <w:rPr>
                <w:rFonts w:ascii="Aptos Narrow" w:eastAsia="Times New Roman" w:hAnsi="Aptos Narrow" w:cs="Times New Roman"/>
                <w:i/>
                <w:iCs/>
                <w:color w:val="000000"/>
                <w:sz w:val="20"/>
                <w:szCs w:val="20"/>
                <w:lang w:val="de-DE" w:eastAsia="de-DE"/>
              </w:rPr>
            </w:pPr>
            <w:r w:rsidRPr="00604F53">
              <w:rPr>
                <w:rFonts w:ascii="Aptos Narrow" w:eastAsia="Times New Roman" w:hAnsi="Aptos Narrow" w:cs="Times New Roman"/>
                <w:i/>
                <w:iCs/>
                <w:color w:val="000000"/>
                <w:sz w:val="20"/>
                <w:szCs w:val="20"/>
                <w:lang w:val="de-DE" w:eastAsia="de-DE"/>
              </w:rPr>
              <w:t>EU</w:t>
            </w:r>
          </w:p>
        </w:tc>
        <w:tc>
          <w:tcPr>
            <w:tcW w:w="783" w:type="pct"/>
            <w:tcBorders>
              <w:top w:val="nil"/>
              <w:left w:val="nil"/>
              <w:bottom w:val="nil"/>
              <w:right w:val="nil"/>
            </w:tcBorders>
            <w:shd w:val="clear" w:color="auto" w:fill="auto"/>
            <w:noWrap/>
            <w:vAlign w:val="bottom"/>
            <w:hideMark/>
          </w:tcPr>
          <w:p w14:paraId="70663386"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0.038</w:t>
            </w:r>
          </w:p>
        </w:tc>
        <w:tc>
          <w:tcPr>
            <w:tcW w:w="783" w:type="pct"/>
            <w:tcBorders>
              <w:top w:val="nil"/>
              <w:left w:val="nil"/>
              <w:bottom w:val="nil"/>
              <w:right w:val="nil"/>
            </w:tcBorders>
            <w:shd w:val="clear" w:color="auto" w:fill="auto"/>
            <w:noWrap/>
            <w:vAlign w:val="bottom"/>
            <w:hideMark/>
          </w:tcPr>
          <w:p w14:paraId="1BD398BD"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0.038</w:t>
            </w:r>
          </w:p>
        </w:tc>
        <w:tc>
          <w:tcPr>
            <w:tcW w:w="783" w:type="pct"/>
            <w:tcBorders>
              <w:top w:val="nil"/>
              <w:left w:val="nil"/>
              <w:bottom w:val="nil"/>
              <w:right w:val="nil"/>
            </w:tcBorders>
            <w:shd w:val="clear" w:color="auto" w:fill="auto"/>
            <w:noWrap/>
            <w:vAlign w:val="bottom"/>
            <w:hideMark/>
          </w:tcPr>
          <w:p w14:paraId="1F974448"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0.039</w:t>
            </w:r>
          </w:p>
        </w:tc>
        <w:tc>
          <w:tcPr>
            <w:tcW w:w="783" w:type="pct"/>
            <w:tcBorders>
              <w:top w:val="nil"/>
              <w:left w:val="nil"/>
              <w:bottom w:val="nil"/>
              <w:right w:val="nil"/>
            </w:tcBorders>
            <w:shd w:val="clear" w:color="auto" w:fill="auto"/>
            <w:noWrap/>
            <w:vAlign w:val="bottom"/>
            <w:hideMark/>
          </w:tcPr>
          <w:p w14:paraId="09234BC9"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0.039</w:t>
            </w:r>
          </w:p>
        </w:tc>
        <w:tc>
          <w:tcPr>
            <w:tcW w:w="782" w:type="pct"/>
            <w:tcBorders>
              <w:top w:val="nil"/>
              <w:left w:val="nil"/>
              <w:bottom w:val="nil"/>
              <w:right w:val="nil"/>
            </w:tcBorders>
            <w:shd w:val="clear" w:color="auto" w:fill="auto"/>
            <w:noWrap/>
            <w:vAlign w:val="bottom"/>
            <w:hideMark/>
          </w:tcPr>
          <w:p w14:paraId="2A1F1864"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0.107</w:t>
            </w:r>
          </w:p>
        </w:tc>
      </w:tr>
      <w:tr w:rsidR="008A65FA" w:rsidRPr="008A65FA" w14:paraId="4E65B0F2" w14:textId="77777777" w:rsidTr="00F56AF6">
        <w:trPr>
          <w:trHeight w:val="20"/>
        </w:trPr>
        <w:tc>
          <w:tcPr>
            <w:tcW w:w="1086" w:type="pct"/>
            <w:tcBorders>
              <w:top w:val="nil"/>
              <w:left w:val="nil"/>
              <w:bottom w:val="nil"/>
              <w:right w:val="nil"/>
            </w:tcBorders>
            <w:shd w:val="clear" w:color="auto" w:fill="auto"/>
            <w:noWrap/>
            <w:vAlign w:val="bottom"/>
            <w:hideMark/>
          </w:tcPr>
          <w:p w14:paraId="02331A89"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p>
        </w:tc>
        <w:tc>
          <w:tcPr>
            <w:tcW w:w="783" w:type="pct"/>
            <w:tcBorders>
              <w:top w:val="nil"/>
              <w:left w:val="nil"/>
              <w:bottom w:val="nil"/>
              <w:right w:val="nil"/>
            </w:tcBorders>
            <w:shd w:val="clear" w:color="auto" w:fill="auto"/>
            <w:noWrap/>
            <w:vAlign w:val="bottom"/>
            <w:hideMark/>
          </w:tcPr>
          <w:p w14:paraId="7D8D9DBB"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(0.706)</w:t>
            </w:r>
          </w:p>
        </w:tc>
        <w:tc>
          <w:tcPr>
            <w:tcW w:w="783" w:type="pct"/>
            <w:tcBorders>
              <w:top w:val="nil"/>
              <w:left w:val="nil"/>
              <w:bottom w:val="nil"/>
              <w:right w:val="nil"/>
            </w:tcBorders>
            <w:shd w:val="clear" w:color="auto" w:fill="auto"/>
            <w:noWrap/>
            <w:vAlign w:val="bottom"/>
            <w:hideMark/>
          </w:tcPr>
          <w:p w14:paraId="3CE91655"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(0.706)</w:t>
            </w:r>
          </w:p>
        </w:tc>
        <w:tc>
          <w:tcPr>
            <w:tcW w:w="783" w:type="pct"/>
            <w:tcBorders>
              <w:top w:val="nil"/>
              <w:left w:val="nil"/>
              <w:bottom w:val="nil"/>
              <w:right w:val="nil"/>
            </w:tcBorders>
            <w:shd w:val="clear" w:color="auto" w:fill="auto"/>
            <w:noWrap/>
            <w:vAlign w:val="bottom"/>
            <w:hideMark/>
          </w:tcPr>
          <w:p w14:paraId="550A8DF9"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(0.697)</w:t>
            </w:r>
          </w:p>
        </w:tc>
        <w:tc>
          <w:tcPr>
            <w:tcW w:w="783" w:type="pct"/>
            <w:tcBorders>
              <w:top w:val="nil"/>
              <w:left w:val="nil"/>
              <w:bottom w:val="nil"/>
              <w:right w:val="nil"/>
            </w:tcBorders>
            <w:shd w:val="clear" w:color="auto" w:fill="auto"/>
            <w:noWrap/>
            <w:vAlign w:val="bottom"/>
            <w:hideMark/>
          </w:tcPr>
          <w:p w14:paraId="10F57428"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(0.697)</w:t>
            </w:r>
          </w:p>
        </w:tc>
        <w:tc>
          <w:tcPr>
            <w:tcW w:w="782" w:type="pct"/>
            <w:tcBorders>
              <w:top w:val="nil"/>
              <w:left w:val="nil"/>
              <w:bottom w:val="nil"/>
              <w:right w:val="nil"/>
            </w:tcBorders>
            <w:shd w:val="clear" w:color="auto" w:fill="auto"/>
            <w:noWrap/>
            <w:vAlign w:val="bottom"/>
            <w:hideMark/>
          </w:tcPr>
          <w:p w14:paraId="3375EF2F" w14:textId="77777777" w:rsidR="004874AA" w:rsidRPr="00F56AF6" w:rsidRDefault="004874AA" w:rsidP="004874AA">
            <w:pPr>
              <w:spacing w:after="0" w:line="240" w:lineRule="auto"/>
              <w:rPr>
                <w:rFonts w:ascii="Aptos Narrow" w:eastAsia="Times New Roman" w:hAnsi="Aptos Narrow" w:cs="Times New Roman"/>
                <w:color w:val="000000"/>
                <w:sz w:val="18"/>
                <w:szCs w:val="18"/>
                <w:lang w:val="de-DE" w:eastAsia="de-DE"/>
              </w:rPr>
            </w:pPr>
            <w:r w:rsidRPr="00F56AF6">
              <w:rPr>
                <w:rFonts w:ascii="Aptos Narrow" w:eastAsia="Times New Roman" w:hAnsi="Aptos Narrow" w:cs="Times New Roman"/>
                <w:color w:val="000000"/>
                <w:sz w:val="18"/>
                <w:szCs w:val="18"/>
                <w:lang w:val="de-DE" w:eastAsia="de-DE"/>
              </w:rPr>
              <w:t>(0.126)</w:t>
            </w:r>
          </w:p>
        </w:tc>
      </w:tr>
      <w:tr w:rsidR="008A65FA" w:rsidRPr="005F6347" w14:paraId="5657A7C0" w14:textId="77777777" w:rsidTr="00F56AF6">
        <w:trPr>
          <w:trHeight w:val="20"/>
        </w:trPr>
        <w:tc>
          <w:tcPr>
            <w:tcW w:w="1086" w:type="pct"/>
            <w:tcBorders>
              <w:top w:val="nil"/>
              <w:left w:val="nil"/>
              <w:bottom w:val="nil"/>
              <w:right w:val="nil"/>
            </w:tcBorders>
            <w:shd w:val="clear" w:color="auto" w:fill="auto"/>
            <w:noWrap/>
            <w:vAlign w:val="bottom"/>
            <w:hideMark/>
          </w:tcPr>
          <w:p w14:paraId="2E4209B5"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p>
        </w:tc>
        <w:tc>
          <w:tcPr>
            <w:tcW w:w="783" w:type="pct"/>
            <w:tcBorders>
              <w:top w:val="nil"/>
              <w:left w:val="nil"/>
              <w:bottom w:val="nil"/>
              <w:right w:val="nil"/>
            </w:tcBorders>
            <w:shd w:val="clear" w:color="auto" w:fill="auto"/>
            <w:noWrap/>
            <w:vAlign w:val="bottom"/>
            <w:hideMark/>
          </w:tcPr>
          <w:p w14:paraId="367B3DC5" w14:textId="77777777" w:rsidR="004874AA" w:rsidRPr="005F6347" w:rsidRDefault="004874AA" w:rsidP="004874AA">
            <w:pPr>
              <w:spacing w:after="0" w:line="240" w:lineRule="auto"/>
              <w:rPr>
                <w:rFonts w:ascii="Times New Roman" w:eastAsia="Times New Roman" w:hAnsi="Times New Roman" w:cs="Times New Roman"/>
                <w:sz w:val="20"/>
                <w:szCs w:val="20"/>
                <w:lang w:val="de-DE" w:eastAsia="de-DE"/>
              </w:rPr>
            </w:pPr>
          </w:p>
        </w:tc>
        <w:tc>
          <w:tcPr>
            <w:tcW w:w="783" w:type="pct"/>
            <w:tcBorders>
              <w:top w:val="nil"/>
              <w:left w:val="nil"/>
              <w:bottom w:val="nil"/>
              <w:right w:val="nil"/>
            </w:tcBorders>
            <w:shd w:val="clear" w:color="auto" w:fill="auto"/>
            <w:noWrap/>
            <w:vAlign w:val="bottom"/>
            <w:hideMark/>
          </w:tcPr>
          <w:p w14:paraId="30FD8050" w14:textId="77777777" w:rsidR="004874AA" w:rsidRPr="005F6347" w:rsidRDefault="004874AA" w:rsidP="004874AA">
            <w:pPr>
              <w:spacing w:after="0" w:line="240" w:lineRule="auto"/>
              <w:rPr>
                <w:rFonts w:ascii="Times New Roman" w:eastAsia="Times New Roman" w:hAnsi="Times New Roman" w:cs="Times New Roman"/>
                <w:sz w:val="20"/>
                <w:szCs w:val="20"/>
                <w:lang w:val="de-DE" w:eastAsia="de-DE"/>
              </w:rPr>
            </w:pPr>
          </w:p>
        </w:tc>
        <w:tc>
          <w:tcPr>
            <w:tcW w:w="783" w:type="pct"/>
            <w:tcBorders>
              <w:top w:val="nil"/>
              <w:left w:val="nil"/>
              <w:bottom w:val="nil"/>
              <w:right w:val="nil"/>
            </w:tcBorders>
            <w:shd w:val="clear" w:color="auto" w:fill="auto"/>
            <w:noWrap/>
            <w:vAlign w:val="bottom"/>
            <w:hideMark/>
          </w:tcPr>
          <w:p w14:paraId="08305D6D" w14:textId="77777777" w:rsidR="004874AA" w:rsidRPr="005F6347" w:rsidRDefault="004874AA" w:rsidP="004874AA">
            <w:pPr>
              <w:spacing w:after="0" w:line="240" w:lineRule="auto"/>
              <w:rPr>
                <w:rFonts w:ascii="Times New Roman" w:eastAsia="Times New Roman" w:hAnsi="Times New Roman" w:cs="Times New Roman"/>
                <w:sz w:val="20"/>
                <w:szCs w:val="20"/>
                <w:lang w:val="de-DE" w:eastAsia="de-DE"/>
              </w:rPr>
            </w:pPr>
          </w:p>
        </w:tc>
        <w:tc>
          <w:tcPr>
            <w:tcW w:w="783" w:type="pct"/>
            <w:tcBorders>
              <w:top w:val="nil"/>
              <w:left w:val="nil"/>
              <w:bottom w:val="nil"/>
              <w:right w:val="nil"/>
            </w:tcBorders>
            <w:shd w:val="clear" w:color="auto" w:fill="auto"/>
            <w:noWrap/>
            <w:vAlign w:val="bottom"/>
            <w:hideMark/>
          </w:tcPr>
          <w:p w14:paraId="427CC257" w14:textId="77777777" w:rsidR="004874AA" w:rsidRPr="005F6347" w:rsidRDefault="004874AA" w:rsidP="004874AA">
            <w:pPr>
              <w:spacing w:after="0" w:line="240" w:lineRule="auto"/>
              <w:rPr>
                <w:rFonts w:ascii="Times New Roman" w:eastAsia="Times New Roman" w:hAnsi="Times New Roman" w:cs="Times New Roman"/>
                <w:sz w:val="20"/>
                <w:szCs w:val="20"/>
                <w:lang w:val="de-DE" w:eastAsia="de-DE"/>
              </w:rPr>
            </w:pPr>
          </w:p>
        </w:tc>
        <w:tc>
          <w:tcPr>
            <w:tcW w:w="782" w:type="pct"/>
            <w:tcBorders>
              <w:top w:val="nil"/>
              <w:left w:val="nil"/>
              <w:bottom w:val="nil"/>
              <w:right w:val="nil"/>
            </w:tcBorders>
            <w:shd w:val="clear" w:color="auto" w:fill="auto"/>
            <w:noWrap/>
            <w:vAlign w:val="bottom"/>
            <w:hideMark/>
          </w:tcPr>
          <w:p w14:paraId="47384FBC" w14:textId="77777777" w:rsidR="004874AA" w:rsidRPr="005F6347" w:rsidRDefault="004874AA" w:rsidP="004874AA">
            <w:pPr>
              <w:spacing w:after="0" w:line="240" w:lineRule="auto"/>
              <w:rPr>
                <w:rFonts w:ascii="Times New Roman" w:eastAsia="Times New Roman" w:hAnsi="Times New Roman" w:cs="Times New Roman"/>
                <w:sz w:val="20"/>
                <w:szCs w:val="20"/>
                <w:lang w:val="de-DE" w:eastAsia="de-DE"/>
              </w:rPr>
            </w:pPr>
          </w:p>
        </w:tc>
      </w:tr>
      <w:tr w:rsidR="008A65FA" w:rsidRPr="005F6347" w14:paraId="2E304B7D" w14:textId="77777777" w:rsidTr="00604F53">
        <w:trPr>
          <w:trHeight w:val="20"/>
        </w:trPr>
        <w:tc>
          <w:tcPr>
            <w:tcW w:w="1086" w:type="pct"/>
            <w:tcBorders>
              <w:top w:val="nil"/>
              <w:left w:val="nil"/>
              <w:bottom w:val="single" w:sz="4" w:space="0" w:color="auto"/>
              <w:right w:val="nil"/>
            </w:tcBorders>
            <w:shd w:val="clear" w:color="auto" w:fill="auto"/>
            <w:noWrap/>
            <w:vAlign w:val="center"/>
            <w:hideMark/>
          </w:tcPr>
          <w:p w14:paraId="7BCB6363"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Digital dummy</w:t>
            </w:r>
          </w:p>
        </w:tc>
        <w:tc>
          <w:tcPr>
            <w:tcW w:w="783" w:type="pct"/>
            <w:tcBorders>
              <w:top w:val="nil"/>
              <w:left w:val="nil"/>
              <w:bottom w:val="single" w:sz="4" w:space="0" w:color="auto"/>
              <w:right w:val="nil"/>
            </w:tcBorders>
            <w:shd w:val="clear" w:color="auto" w:fill="auto"/>
            <w:noWrap/>
            <w:vAlign w:val="center"/>
            <w:hideMark/>
          </w:tcPr>
          <w:p w14:paraId="44B0C9B8"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Narrow</w:t>
            </w:r>
          </w:p>
        </w:tc>
        <w:tc>
          <w:tcPr>
            <w:tcW w:w="783" w:type="pct"/>
            <w:tcBorders>
              <w:top w:val="nil"/>
              <w:left w:val="nil"/>
              <w:bottom w:val="single" w:sz="4" w:space="0" w:color="auto"/>
              <w:right w:val="nil"/>
            </w:tcBorders>
            <w:shd w:val="clear" w:color="auto" w:fill="auto"/>
            <w:noWrap/>
            <w:vAlign w:val="center"/>
            <w:hideMark/>
          </w:tcPr>
          <w:p w14:paraId="4D378251"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Narrow</w:t>
            </w:r>
          </w:p>
        </w:tc>
        <w:tc>
          <w:tcPr>
            <w:tcW w:w="783" w:type="pct"/>
            <w:tcBorders>
              <w:top w:val="nil"/>
              <w:left w:val="nil"/>
              <w:bottom w:val="single" w:sz="4" w:space="0" w:color="auto"/>
              <w:right w:val="nil"/>
            </w:tcBorders>
            <w:shd w:val="clear" w:color="auto" w:fill="auto"/>
            <w:noWrap/>
            <w:vAlign w:val="center"/>
            <w:hideMark/>
          </w:tcPr>
          <w:p w14:paraId="658F3B89"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Narrow</w:t>
            </w:r>
          </w:p>
        </w:tc>
        <w:tc>
          <w:tcPr>
            <w:tcW w:w="783" w:type="pct"/>
            <w:tcBorders>
              <w:top w:val="nil"/>
              <w:left w:val="nil"/>
              <w:bottom w:val="single" w:sz="4" w:space="0" w:color="auto"/>
              <w:right w:val="nil"/>
            </w:tcBorders>
            <w:shd w:val="clear" w:color="auto" w:fill="auto"/>
            <w:noWrap/>
            <w:vAlign w:val="center"/>
            <w:hideMark/>
          </w:tcPr>
          <w:p w14:paraId="42EBD601"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Narrow</w:t>
            </w:r>
          </w:p>
        </w:tc>
        <w:tc>
          <w:tcPr>
            <w:tcW w:w="782" w:type="pct"/>
            <w:tcBorders>
              <w:top w:val="nil"/>
              <w:left w:val="nil"/>
              <w:bottom w:val="single" w:sz="4" w:space="0" w:color="auto"/>
              <w:right w:val="nil"/>
            </w:tcBorders>
            <w:shd w:val="clear" w:color="auto" w:fill="auto"/>
            <w:noWrap/>
            <w:vAlign w:val="center"/>
            <w:hideMark/>
          </w:tcPr>
          <w:p w14:paraId="6C7DB908" w14:textId="77777777" w:rsidR="004874AA" w:rsidRPr="00F56AF6" w:rsidRDefault="004874AA" w:rsidP="004874AA">
            <w:pPr>
              <w:spacing w:after="0" w:line="240" w:lineRule="auto"/>
              <w:rPr>
                <w:rFonts w:ascii="Aptos Narrow" w:eastAsia="Times New Roman" w:hAnsi="Aptos Narrow" w:cs="Times New Roman"/>
                <w:color w:val="000000"/>
                <w:sz w:val="20"/>
                <w:szCs w:val="20"/>
                <w:lang w:val="de-DE" w:eastAsia="de-DE"/>
              </w:rPr>
            </w:pPr>
            <w:r w:rsidRPr="00F56AF6">
              <w:rPr>
                <w:rFonts w:ascii="Aptos Narrow" w:eastAsia="Times New Roman" w:hAnsi="Aptos Narrow" w:cs="Times New Roman"/>
                <w:color w:val="000000"/>
                <w:sz w:val="20"/>
                <w:szCs w:val="20"/>
                <w:lang w:val="de-DE" w:eastAsia="de-DE"/>
              </w:rPr>
              <w:t>Broad</w:t>
            </w:r>
          </w:p>
        </w:tc>
      </w:tr>
    </w:tbl>
    <w:p w14:paraId="65E878CF" w14:textId="6068EDE0" w:rsidR="003F6DC5" w:rsidRDefault="00AA1AA3" w:rsidP="0011538D">
      <w:pPr>
        <w:jc w:val="both"/>
        <w:rPr>
          <w:b/>
          <w:bCs/>
        </w:rPr>
      </w:pPr>
      <w:r w:rsidRPr="00633995">
        <w:rPr>
          <w:sz w:val="18"/>
          <w:szCs w:val="18"/>
        </w:rPr>
        <w:t>Notes:</w:t>
      </w:r>
      <w:r>
        <w:rPr>
          <w:sz w:val="18"/>
          <w:szCs w:val="18"/>
        </w:rPr>
        <w:t xml:space="preserve"> Dependent variable: digital exports (EXP). </w:t>
      </w:r>
      <w:r w:rsidRPr="00633995">
        <w:rPr>
          <w:sz w:val="18"/>
          <w:szCs w:val="18"/>
        </w:rPr>
        <w:t xml:space="preserve"> *, **, and *** denote 10%, 5% and 1% significance levels</w:t>
      </w:r>
      <w:r w:rsidR="00107AF7">
        <w:rPr>
          <w:sz w:val="18"/>
          <w:szCs w:val="18"/>
        </w:rPr>
        <w:t>, respectively. P</w:t>
      </w:r>
      <w:r w:rsidRPr="00633995">
        <w:rPr>
          <w:sz w:val="18"/>
          <w:szCs w:val="18"/>
        </w:rPr>
        <w:t>-values in parenthesis.</w:t>
      </w:r>
      <w:r>
        <w:rPr>
          <w:sz w:val="18"/>
          <w:szCs w:val="18"/>
        </w:rPr>
        <w:t xml:space="preserve"> </w:t>
      </w:r>
      <w:r w:rsidR="00882445">
        <w:rPr>
          <w:sz w:val="18"/>
          <w:szCs w:val="18"/>
        </w:rPr>
        <w:t xml:space="preserve">Variable definitions described in Appendix Table </w:t>
      </w:r>
      <w:r w:rsidR="00CC5E29">
        <w:rPr>
          <w:sz w:val="18"/>
          <w:szCs w:val="18"/>
        </w:rPr>
        <w:t>A</w:t>
      </w:r>
      <w:r w:rsidR="00E23087">
        <w:rPr>
          <w:sz w:val="18"/>
          <w:szCs w:val="18"/>
        </w:rPr>
        <w:t>3</w:t>
      </w:r>
      <w:r w:rsidR="00882445">
        <w:rPr>
          <w:sz w:val="18"/>
          <w:szCs w:val="18"/>
        </w:rPr>
        <w:t xml:space="preserve">. </w:t>
      </w:r>
      <w:r>
        <w:rPr>
          <w:sz w:val="18"/>
          <w:szCs w:val="18"/>
        </w:rPr>
        <w:t>Further details o</w:t>
      </w:r>
      <w:r w:rsidR="006C0EF8">
        <w:rPr>
          <w:sz w:val="18"/>
          <w:szCs w:val="18"/>
        </w:rPr>
        <w:t>n</w:t>
      </w:r>
      <w:r>
        <w:rPr>
          <w:sz w:val="18"/>
          <w:szCs w:val="18"/>
        </w:rPr>
        <w:t xml:space="preserve"> the</w:t>
      </w:r>
      <w:r w:rsidR="001B3B67">
        <w:rPr>
          <w:sz w:val="18"/>
          <w:szCs w:val="18"/>
        </w:rPr>
        <w:t>se</w:t>
      </w:r>
      <w:r>
        <w:rPr>
          <w:sz w:val="18"/>
          <w:szCs w:val="18"/>
        </w:rPr>
        <w:t xml:space="preserve"> regressions are provided in Table 1. </w:t>
      </w:r>
    </w:p>
    <w:p w14:paraId="34830F47" w14:textId="6D60242C" w:rsidR="000C372A" w:rsidRPr="00633995" w:rsidRDefault="000C372A" w:rsidP="001740C8">
      <w:pPr>
        <w:spacing w:before="360" w:after="120" w:line="240" w:lineRule="auto"/>
        <w:jc w:val="center"/>
        <w:rPr>
          <w:b/>
          <w:bCs/>
        </w:rPr>
      </w:pPr>
      <w:r w:rsidRPr="00633995">
        <w:rPr>
          <w:b/>
          <w:bCs/>
        </w:rPr>
        <w:t>Appendix</w:t>
      </w:r>
      <w:r>
        <w:rPr>
          <w:b/>
          <w:bCs/>
        </w:rPr>
        <w:t xml:space="preserve"> C: Additional </w:t>
      </w:r>
      <w:r w:rsidR="005B0763">
        <w:rPr>
          <w:b/>
          <w:bCs/>
        </w:rPr>
        <w:t>s</w:t>
      </w:r>
      <w:r>
        <w:rPr>
          <w:b/>
          <w:bCs/>
        </w:rPr>
        <w:t>ynthetic control exhibits and robustness test</w:t>
      </w:r>
      <w:r w:rsidR="00F77DA9">
        <w:rPr>
          <w:b/>
          <w:bCs/>
        </w:rPr>
        <w:t>s</w:t>
      </w:r>
    </w:p>
    <w:p w14:paraId="4CE1C35B" w14:textId="02B0392E" w:rsidR="004D3996" w:rsidRDefault="00D14208" w:rsidP="0011538D">
      <w:pPr>
        <w:jc w:val="both"/>
      </w:pPr>
      <w:r>
        <w:t xml:space="preserve">This appendix summarizes the average </w:t>
      </w:r>
      <w:r w:rsidR="0067466D">
        <w:t xml:space="preserve">effect of </w:t>
      </w:r>
      <w:r>
        <w:t xml:space="preserve">treatment on the treated (ATT) from the </w:t>
      </w:r>
      <w:r w:rsidR="005B0763">
        <w:t xml:space="preserve">synthetic control methods </w:t>
      </w:r>
      <w:r>
        <w:t xml:space="preserve">conducted on different definitions of digital trades and </w:t>
      </w:r>
      <w:r w:rsidR="0027770D">
        <w:t xml:space="preserve">provides the </w:t>
      </w:r>
      <w:r>
        <w:t xml:space="preserve">in-space placebo </w:t>
      </w:r>
      <w:r w:rsidR="0027770D">
        <w:t>test for the main results reported in Figures 4</w:t>
      </w:r>
      <w:r w:rsidR="00571EB7">
        <w:t>-</w:t>
      </w:r>
      <w:r w:rsidR="0027770D">
        <w:t>6.</w:t>
      </w:r>
      <w:r w:rsidR="0067466D">
        <w:t xml:space="preserve"> Appendix </w:t>
      </w:r>
      <w:r>
        <w:t xml:space="preserve">Figures </w:t>
      </w:r>
      <w:r w:rsidR="00B03898">
        <w:t>C1</w:t>
      </w:r>
      <w:r w:rsidR="00571EB7">
        <w:t>-</w:t>
      </w:r>
      <w:r w:rsidR="00B03898">
        <w:t>C3</w:t>
      </w:r>
      <w:r w:rsidR="0027770D">
        <w:t xml:space="preserve"> report the in-space placebo plots related to our preferred </w:t>
      </w:r>
      <w:r w:rsidR="004D3996">
        <w:t xml:space="preserve">narrow </w:t>
      </w:r>
      <w:r w:rsidR="0027770D">
        <w:t>definition of digital trade</w:t>
      </w:r>
      <w:r w:rsidR="003A0594">
        <w:t xml:space="preserve">. </w:t>
      </w:r>
      <w:r w:rsidR="003A0594" w:rsidRPr="00604F53">
        <w:t xml:space="preserve">The purpose is to provide a </w:t>
      </w:r>
      <w:r w:rsidR="00B7719F" w:rsidRPr="00604F53">
        <w:t>test for</w:t>
      </w:r>
      <w:r w:rsidR="003A0594" w:rsidRPr="00604F53">
        <w:t xml:space="preserve"> the main synthetic control</w:t>
      </w:r>
      <w:r w:rsidR="004D3996">
        <w:t xml:space="preserve"> results</w:t>
      </w:r>
      <w:r w:rsidR="003A0594" w:rsidRPr="00604F53">
        <w:t xml:space="preserve">. </w:t>
      </w:r>
      <w:r w:rsidR="004D3996">
        <w:t>T</w:t>
      </w:r>
      <w:r w:rsidR="003A0594" w:rsidRPr="00604F53">
        <w:t xml:space="preserve">he test </w:t>
      </w:r>
      <w:r w:rsidR="004D3996">
        <w:t xml:space="preserve">involves </w:t>
      </w:r>
      <w:r w:rsidR="003A0594" w:rsidRPr="00604F53">
        <w:t>reassign</w:t>
      </w:r>
      <w:r w:rsidR="004D3996">
        <w:t>ing</w:t>
      </w:r>
      <w:r w:rsidR="003A0594" w:rsidRPr="00604F53">
        <w:t xml:space="preserve"> adequacy status </w:t>
      </w:r>
      <w:r w:rsidR="004D3996" w:rsidRPr="00302779">
        <w:t>iteratively</w:t>
      </w:r>
      <w:r w:rsidR="004D3996" w:rsidRPr="004D3996">
        <w:t xml:space="preserve"> </w:t>
      </w:r>
      <w:r w:rsidR="003A0594" w:rsidRPr="00604F53">
        <w:t xml:space="preserve">to all countries in the pool of potential </w:t>
      </w:r>
      <w:r w:rsidR="00B7719F" w:rsidRPr="00604F53">
        <w:t>controls and</w:t>
      </w:r>
      <w:r w:rsidR="003A0594" w:rsidRPr="00604F53">
        <w:t xml:space="preserve"> then averag</w:t>
      </w:r>
      <w:r w:rsidR="004D3996">
        <w:t>ing</w:t>
      </w:r>
      <w:r w:rsidR="003A0594" w:rsidRPr="00604F53">
        <w:t xml:space="preserve"> the discrepancy that is recorded post-adequacy between each of th</w:t>
      </w:r>
      <w:r w:rsidR="004D3996">
        <w:t>ese</w:t>
      </w:r>
      <w:r w:rsidR="003A0594" w:rsidRPr="00604F53">
        <w:t xml:space="preserve"> additional “placebo” synthetic controls. Visually, this is </w:t>
      </w:r>
      <w:r w:rsidR="004D3996">
        <w:t xml:space="preserve">reflected in </w:t>
      </w:r>
      <w:r w:rsidR="003A0594" w:rsidRPr="00604F53">
        <w:t xml:space="preserve">the black dashed line in each panel in Figures </w:t>
      </w:r>
      <w:r w:rsidR="00B03898">
        <w:t>C1</w:t>
      </w:r>
      <w:r w:rsidR="004D3996">
        <w:t>-</w:t>
      </w:r>
      <w:r w:rsidR="00B03898">
        <w:t>C3</w:t>
      </w:r>
      <w:r w:rsidR="003A0594" w:rsidRPr="00604F53">
        <w:t>, w</w:t>
      </w:r>
      <w:r w:rsidR="004D3996">
        <w:t xml:space="preserve">ith </w:t>
      </w:r>
      <w:r w:rsidR="003A0594" w:rsidRPr="00604F53">
        <w:t xml:space="preserve">the light-gray lines </w:t>
      </w:r>
      <w:r w:rsidR="004D3996">
        <w:t xml:space="preserve">representing </w:t>
      </w:r>
      <w:r w:rsidR="003A0594" w:rsidRPr="00604F53">
        <w:t xml:space="preserve">the individual </w:t>
      </w:r>
      <w:r w:rsidR="001740C8">
        <w:t xml:space="preserve">synthetic control analysis </w:t>
      </w:r>
      <w:r w:rsidR="003A0594" w:rsidRPr="00604F53">
        <w:t xml:space="preserve">run on the countries in the control group. The solid black line </w:t>
      </w:r>
      <w:r w:rsidR="004D3996">
        <w:t xml:space="preserve">in each Figure </w:t>
      </w:r>
      <w:r w:rsidR="003A0594" w:rsidRPr="00604F53">
        <w:t xml:space="preserve">refers to the effect of </w:t>
      </w:r>
      <w:r w:rsidR="004D3996">
        <w:t>a</w:t>
      </w:r>
      <w:r w:rsidR="003A0594" w:rsidRPr="00604F53">
        <w:t xml:space="preserve">dequacy on the country </w:t>
      </w:r>
      <w:r w:rsidR="004D3996">
        <w:t xml:space="preserve">being </w:t>
      </w:r>
      <w:r w:rsidR="003A0594" w:rsidRPr="003A0594">
        <w:t>consider</w:t>
      </w:r>
      <w:r w:rsidR="004D3996">
        <w:t>ed</w:t>
      </w:r>
      <w:r w:rsidR="003A0594">
        <w:t xml:space="preserve"> and is the same </w:t>
      </w:r>
      <w:r w:rsidR="004D3996">
        <w:t xml:space="preserve">that is </w:t>
      </w:r>
      <w:r w:rsidR="003A0594">
        <w:t>reported in the plots</w:t>
      </w:r>
      <w:r w:rsidR="004D3996">
        <w:t xml:space="preserve"> in the main text (Section 5)</w:t>
      </w:r>
      <w:r w:rsidR="003A0594">
        <w:t>.</w:t>
      </w:r>
      <w:r w:rsidR="003A0594" w:rsidRPr="00604F53">
        <w:t xml:space="preserve"> </w:t>
      </w:r>
    </w:p>
    <w:p w14:paraId="52963137" w14:textId="3CC12670" w:rsidR="003A0594" w:rsidRPr="00B03898" w:rsidRDefault="003A0594" w:rsidP="0011538D">
      <w:pPr>
        <w:jc w:val="both"/>
      </w:pPr>
      <w:r w:rsidRPr="00604F53">
        <w:rPr>
          <w:rFonts w:cs="Arial"/>
          <w:color w:val="000000"/>
        </w:rPr>
        <w:t>Compar</w:t>
      </w:r>
      <w:r w:rsidR="00B03898">
        <w:rPr>
          <w:rFonts w:cs="Arial"/>
          <w:color w:val="000000"/>
        </w:rPr>
        <w:t>ing</w:t>
      </w:r>
      <w:r w:rsidRPr="00604F53">
        <w:rPr>
          <w:rFonts w:cs="Arial"/>
          <w:color w:val="000000"/>
        </w:rPr>
        <w:t xml:space="preserve"> the solid line (our main result) with the dashed line and the red ribbon </w:t>
      </w:r>
      <w:r w:rsidR="00B03898">
        <w:rPr>
          <w:rFonts w:cs="Arial"/>
          <w:color w:val="000000"/>
        </w:rPr>
        <w:t xml:space="preserve">indicating </w:t>
      </w:r>
      <w:r w:rsidRPr="00604F53">
        <w:rPr>
          <w:rFonts w:cs="Arial"/>
          <w:color w:val="000000"/>
        </w:rPr>
        <w:t xml:space="preserve">the 95% </w:t>
      </w:r>
      <w:r w:rsidR="00B03898">
        <w:rPr>
          <w:rFonts w:cs="Arial"/>
          <w:color w:val="000000"/>
        </w:rPr>
        <w:t>confidence interval</w:t>
      </w:r>
      <w:r w:rsidRPr="00604F53">
        <w:rPr>
          <w:rFonts w:cs="Arial"/>
          <w:color w:val="000000"/>
        </w:rPr>
        <w:t xml:space="preserve"> for the average effect on the control group </w:t>
      </w:r>
      <w:r w:rsidR="004D3996">
        <w:rPr>
          <w:rFonts w:cs="Arial"/>
          <w:color w:val="000000"/>
        </w:rPr>
        <w:t xml:space="preserve">provides an indication </w:t>
      </w:r>
      <w:r w:rsidRPr="00604F53">
        <w:rPr>
          <w:rFonts w:cs="Arial"/>
          <w:color w:val="000000"/>
        </w:rPr>
        <w:t xml:space="preserve">how much of the </w:t>
      </w:r>
      <w:r w:rsidR="004D3996">
        <w:rPr>
          <w:rFonts w:cs="Arial"/>
          <w:color w:val="000000"/>
        </w:rPr>
        <w:t xml:space="preserve">digital trade </w:t>
      </w:r>
      <w:r w:rsidRPr="00604F53">
        <w:rPr>
          <w:rFonts w:cs="Arial"/>
          <w:color w:val="000000"/>
        </w:rPr>
        <w:t xml:space="preserve">performance of a country can be attributed to the effect of adequacy. Visually, this is verified when the solid line </w:t>
      </w:r>
      <w:r w:rsidR="00B03898">
        <w:rPr>
          <w:rFonts w:cs="Arial"/>
          <w:color w:val="000000"/>
        </w:rPr>
        <w:t xml:space="preserve">extends beyond </w:t>
      </w:r>
      <w:r w:rsidRPr="00604F53">
        <w:rPr>
          <w:rFonts w:cs="Arial"/>
          <w:color w:val="000000"/>
        </w:rPr>
        <w:t xml:space="preserve">the 95% </w:t>
      </w:r>
      <w:r w:rsidR="00B03898">
        <w:rPr>
          <w:rFonts w:cs="Arial"/>
          <w:color w:val="000000"/>
        </w:rPr>
        <w:t>confidence interval once</w:t>
      </w:r>
      <w:r w:rsidRPr="00604F53">
        <w:rPr>
          <w:rFonts w:cs="Arial"/>
          <w:color w:val="000000"/>
        </w:rPr>
        <w:t xml:space="preserve"> adequacy </w:t>
      </w:r>
      <w:r w:rsidR="00400873">
        <w:rPr>
          <w:rFonts w:cs="Arial"/>
          <w:color w:val="000000"/>
        </w:rPr>
        <w:t>has been obtained</w:t>
      </w:r>
      <w:r w:rsidRPr="00604F53">
        <w:rPr>
          <w:rFonts w:cs="Arial"/>
          <w:color w:val="000000"/>
        </w:rPr>
        <w:t>.</w:t>
      </w:r>
    </w:p>
    <w:p w14:paraId="2CB5A9DC" w14:textId="3E53C2B8" w:rsidR="00B47ACD" w:rsidRPr="00633995" w:rsidRDefault="00B47ACD" w:rsidP="00604F53">
      <w:pPr>
        <w:spacing w:before="120" w:after="120" w:line="240" w:lineRule="auto"/>
        <w:jc w:val="both"/>
        <w:rPr>
          <w:b/>
          <w:bCs/>
        </w:rPr>
      </w:pPr>
      <w:r w:rsidRPr="00633995">
        <w:rPr>
          <w:b/>
          <w:bCs/>
        </w:rPr>
        <w:t xml:space="preserve">Appendix Table </w:t>
      </w:r>
      <w:r w:rsidR="00ED1F3C">
        <w:rPr>
          <w:b/>
          <w:bCs/>
        </w:rPr>
        <w:t>C1</w:t>
      </w:r>
      <w:r w:rsidRPr="00633995">
        <w:rPr>
          <w:b/>
          <w:bCs/>
        </w:rPr>
        <w:t xml:space="preserve">: </w:t>
      </w:r>
      <w:r w:rsidR="000C372A">
        <w:rPr>
          <w:b/>
          <w:bCs/>
        </w:rPr>
        <w:t xml:space="preserve">Summary of all </w:t>
      </w:r>
      <w:r w:rsidRPr="00633995">
        <w:rPr>
          <w:b/>
          <w:bCs/>
        </w:rPr>
        <w:t>Synthetic Difference-in-Difference estimates</w:t>
      </w:r>
    </w:p>
    <w:tbl>
      <w:tblPr>
        <w:tblW w:w="9401" w:type="dxa"/>
        <w:tblCellMar>
          <w:left w:w="70" w:type="dxa"/>
          <w:right w:w="70" w:type="dxa"/>
        </w:tblCellMar>
        <w:tblLook w:val="04A0" w:firstRow="1" w:lastRow="0" w:firstColumn="1" w:lastColumn="0" w:noHBand="0" w:noVBand="1"/>
      </w:tblPr>
      <w:tblGrid>
        <w:gridCol w:w="960"/>
        <w:gridCol w:w="3293"/>
        <w:gridCol w:w="992"/>
        <w:gridCol w:w="992"/>
        <w:gridCol w:w="851"/>
        <w:gridCol w:w="850"/>
        <w:gridCol w:w="851"/>
        <w:gridCol w:w="612"/>
      </w:tblGrid>
      <w:tr w:rsidR="00B47ACD" w:rsidRPr="00633995" w14:paraId="47684B07" w14:textId="77777777" w:rsidTr="00604F53">
        <w:trPr>
          <w:trHeight w:val="375"/>
        </w:trPr>
        <w:tc>
          <w:tcPr>
            <w:tcW w:w="960" w:type="dxa"/>
            <w:tcBorders>
              <w:top w:val="single" w:sz="4" w:space="0" w:color="auto"/>
              <w:left w:val="nil"/>
              <w:bottom w:val="nil"/>
              <w:right w:val="nil"/>
            </w:tcBorders>
            <w:shd w:val="clear" w:color="auto" w:fill="auto"/>
            <w:noWrap/>
            <w:vAlign w:val="bottom"/>
            <w:hideMark/>
          </w:tcPr>
          <w:p w14:paraId="50421BF0" w14:textId="77777777" w:rsidR="00B47ACD" w:rsidRPr="00633995" w:rsidRDefault="00B47ACD" w:rsidP="00174267">
            <w:pPr>
              <w:spacing w:after="0" w:line="240" w:lineRule="auto"/>
              <w:jc w:val="both"/>
              <w:rPr>
                <w:rFonts w:ascii="Aptos Narrow" w:eastAsia="Times New Roman" w:hAnsi="Aptos Narrow" w:cstheme="minorHAnsi"/>
                <w:b/>
                <w:bCs/>
                <w:sz w:val="20"/>
                <w:szCs w:val="20"/>
                <w:lang w:eastAsia="it-IT"/>
              </w:rPr>
            </w:pPr>
          </w:p>
        </w:tc>
        <w:tc>
          <w:tcPr>
            <w:tcW w:w="3293" w:type="dxa"/>
            <w:tcBorders>
              <w:top w:val="single" w:sz="4" w:space="0" w:color="auto"/>
              <w:left w:val="nil"/>
              <w:bottom w:val="nil"/>
              <w:right w:val="single" w:sz="4" w:space="0" w:color="auto"/>
            </w:tcBorders>
            <w:shd w:val="clear" w:color="auto" w:fill="auto"/>
            <w:noWrap/>
            <w:vAlign w:val="bottom"/>
            <w:hideMark/>
          </w:tcPr>
          <w:p w14:paraId="133696D0" w14:textId="77777777" w:rsidR="00B47ACD" w:rsidRPr="00633995" w:rsidRDefault="00B47ACD" w:rsidP="00174267">
            <w:pPr>
              <w:spacing w:after="0" w:line="240" w:lineRule="auto"/>
              <w:jc w:val="both"/>
              <w:rPr>
                <w:rFonts w:ascii="Aptos Narrow" w:eastAsia="Times New Roman" w:hAnsi="Aptos Narrow" w:cstheme="minorHAnsi"/>
                <w:b/>
                <w:bCs/>
                <w:sz w:val="20"/>
                <w:szCs w:val="20"/>
                <w:lang w:eastAsia="it-IT"/>
              </w:rPr>
            </w:pPr>
          </w:p>
        </w:tc>
        <w:tc>
          <w:tcPr>
            <w:tcW w:w="1984" w:type="dxa"/>
            <w:gridSpan w:val="2"/>
            <w:tcBorders>
              <w:top w:val="single" w:sz="4" w:space="0" w:color="auto"/>
              <w:left w:val="single" w:sz="4" w:space="0" w:color="auto"/>
              <w:bottom w:val="nil"/>
              <w:right w:val="single" w:sz="4" w:space="0" w:color="auto"/>
            </w:tcBorders>
            <w:shd w:val="clear" w:color="auto" w:fill="auto"/>
            <w:noWrap/>
            <w:vAlign w:val="bottom"/>
            <w:hideMark/>
          </w:tcPr>
          <w:p w14:paraId="30446E20" w14:textId="77777777" w:rsidR="00B47ACD" w:rsidRPr="00513BF1" w:rsidRDefault="00B47ACD" w:rsidP="00604F53">
            <w:pPr>
              <w:spacing w:after="0" w:line="240" w:lineRule="auto"/>
              <w:jc w:val="center"/>
              <w:rPr>
                <w:rFonts w:ascii="Aptos Narrow" w:eastAsia="Times New Roman" w:hAnsi="Aptos Narrow" w:cstheme="minorHAnsi"/>
                <w:b/>
                <w:bCs/>
                <w:color w:val="000000"/>
                <w:sz w:val="20"/>
                <w:szCs w:val="20"/>
                <w:lang w:eastAsia="it-IT"/>
              </w:rPr>
            </w:pPr>
            <w:r w:rsidRPr="00513BF1">
              <w:rPr>
                <w:rFonts w:ascii="Aptos Narrow" w:eastAsia="Times New Roman" w:hAnsi="Aptos Narrow" w:cstheme="minorHAnsi"/>
                <w:b/>
                <w:bCs/>
                <w:color w:val="000000"/>
                <w:sz w:val="20"/>
                <w:szCs w:val="20"/>
                <w:lang w:eastAsia="it-IT"/>
              </w:rPr>
              <w:t>Argentina</w:t>
            </w:r>
          </w:p>
        </w:tc>
        <w:tc>
          <w:tcPr>
            <w:tcW w:w="1701" w:type="dxa"/>
            <w:gridSpan w:val="2"/>
            <w:tcBorders>
              <w:top w:val="single" w:sz="4" w:space="0" w:color="auto"/>
              <w:left w:val="single" w:sz="4" w:space="0" w:color="auto"/>
              <w:bottom w:val="nil"/>
              <w:right w:val="nil"/>
            </w:tcBorders>
            <w:shd w:val="clear" w:color="auto" w:fill="auto"/>
            <w:noWrap/>
            <w:vAlign w:val="bottom"/>
            <w:hideMark/>
          </w:tcPr>
          <w:p w14:paraId="4C417CD1" w14:textId="77777777" w:rsidR="00B47ACD" w:rsidRPr="00513BF1" w:rsidRDefault="00B47ACD" w:rsidP="00604F53">
            <w:pPr>
              <w:spacing w:after="0" w:line="240" w:lineRule="auto"/>
              <w:jc w:val="center"/>
              <w:rPr>
                <w:rFonts w:ascii="Aptos Narrow" w:eastAsia="Times New Roman" w:hAnsi="Aptos Narrow" w:cstheme="minorHAnsi"/>
                <w:b/>
                <w:bCs/>
                <w:color w:val="000000"/>
                <w:sz w:val="20"/>
                <w:szCs w:val="20"/>
                <w:lang w:eastAsia="it-IT"/>
              </w:rPr>
            </w:pPr>
            <w:r w:rsidRPr="00513BF1">
              <w:rPr>
                <w:rFonts w:ascii="Aptos Narrow" w:eastAsia="Times New Roman" w:hAnsi="Aptos Narrow" w:cstheme="minorHAnsi"/>
                <w:b/>
                <w:bCs/>
                <w:color w:val="000000"/>
                <w:sz w:val="20"/>
                <w:szCs w:val="20"/>
                <w:lang w:eastAsia="it-IT"/>
              </w:rPr>
              <w:t>New Zealand</w:t>
            </w:r>
          </w:p>
        </w:tc>
        <w:tc>
          <w:tcPr>
            <w:tcW w:w="1463" w:type="dxa"/>
            <w:gridSpan w:val="2"/>
            <w:tcBorders>
              <w:top w:val="single" w:sz="4" w:space="0" w:color="auto"/>
              <w:left w:val="single" w:sz="4" w:space="0" w:color="auto"/>
              <w:bottom w:val="nil"/>
              <w:right w:val="nil"/>
            </w:tcBorders>
            <w:vAlign w:val="bottom"/>
          </w:tcPr>
          <w:p w14:paraId="075E4ACD" w14:textId="77777777" w:rsidR="00B47ACD" w:rsidRPr="00513BF1" w:rsidRDefault="00B47ACD" w:rsidP="00604F53">
            <w:pPr>
              <w:spacing w:after="0" w:line="240" w:lineRule="auto"/>
              <w:jc w:val="center"/>
              <w:rPr>
                <w:rFonts w:ascii="Aptos Narrow" w:eastAsia="Times New Roman" w:hAnsi="Aptos Narrow" w:cstheme="minorHAnsi"/>
                <w:b/>
                <w:bCs/>
                <w:color w:val="000000"/>
                <w:sz w:val="20"/>
                <w:szCs w:val="20"/>
                <w:lang w:eastAsia="it-IT"/>
              </w:rPr>
            </w:pPr>
            <w:r w:rsidRPr="00513BF1">
              <w:rPr>
                <w:rFonts w:ascii="Aptos Narrow" w:eastAsia="Times New Roman" w:hAnsi="Aptos Narrow" w:cstheme="minorHAnsi"/>
                <w:b/>
                <w:bCs/>
                <w:color w:val="000000"/>
                <w:sz w:val="20"/>
                <w:szCs w:val="20"/>
                <w:lang w:eastAsia="it-IT"/>
              </w:rPr>
              <w:t>Israel</w:t>
            </w:r>
          </w:p>
        </w:tc>
      </w:tr>
      <w:tr w:rsidR="00174267" w:rsidRPr="00633995" w14:paraId="616BCC11" w14:textId="77777777" w:rsidTr="00604F53">
        <w:trPr>
          <w:trHeight w:val="193"/>
        </w:trPr>
        <w:tc>
          <w:tcPr>
            <w:tcW w:w="960" w:type="dxa"/>
            <w:tcBorders>
              <w:top w:val="nil"/>
              <w:left w:val="nil"/>
              <w:bottom w:val="single" w:sz="4" w:space="0" w:color="auto"/>
              <w:right w:val="nil"/>
            </w:tcBorders>
            <w:shd w:val="clear" w:color="auto" w:fill="auto"/>
            <w:noWrap/>
            <w:vAlign w:val="bottom"/>
            <w:hideMark/>
          </w:tcPr>
          <w:p w14:paraId="071319FF" w14:textId="77777777" w:rsidR="00B47ACD" w:rsidRPr="00513BF1" w:rsidRDefault="00B47ACD" w:rsidP="00174267">
            <w:pPr>
              <w:spacing w:after="0" w:line="240" w:lineRule="auto"/>
              <w:jc w:val="both"/>
              <w:rPr>
                <w:rFonts w:ascii="Aptos Narrow" w:eastAsia="Times New Roman" w:hAnsi="Aptos Narrow" w:cstheme="minorHAnsi"/>
                <w:b/>
                <w:bCs/>
                <w:color w:val="000000"/>
                <w:sz w:val="20"/>
                <w:szCs w:val="20"/>
                <w:lang w:eastAsia="it-IT"/>
              </w:rPr>
            </w:pPr>
          </w:p>
        </w:tc>
        <w:tc>
          <w:tcPr>
            <w:tcW w:w="3293" w:type="dxa"/>
            <w:tcBorders>
              <w:top w:val="nil"/>
              <w:left w:val="nil"/>
              <w:bottom w:val="single" w:sz="4" w:space="0" w:color="auto"/>
              <w:right w:val="single" w:sz="4" w:space="0" w:color="auto"/>
            </w:tcBorders>
            <w:shd w:val="clear" w:color="auto" w:fill="auto"/>
            <w:noWrap/>
            <w:vAlign w:val="bottom"/>
            <w:hideMark/>
          </w:tcPr>
          <w:p w14:paraId="02D905EF" w14:textId="77777777" w:rsidR="00B47ACD" w:rsidRPr="00513BF1" w:rsidRDefault="00B47ACD" w:rsidP="00174267">
            <w:pPr>
              <w:spacing w:after="0" w:line="240" w:lineRule="auto"/>
              <w:jc w:val="both"/>
              <w:rPr>
                <w:rFonts w:ascii="Aptos Narrow" w:eastAsia="Times New Roman" w:hAnsi="Aptos Narrow" w:cstheme="minorHAnsi"/>
                <w:b/>
                <w:bCs/>
                <w:sz w:val="20"/>
                <w:szCs w:val="20"/>
                <w:lang w:eastAsia="it-IT"/>
              </w:rPr>
            </w:pPr>
          </w:p>
        </w:tc>
        <w:tc>
          <w:tcPr>
            <w:tcW w:w="992" w:type="dxa"/>
            <w:tcBorders>
              <w:top w:val="nil"/>
              <w:left w:val="single" w:sz="4" w:space="0" w:color="auto"/>
              <w:bottom w:val="single" w:sz="4" w:space="0" w:color="auto"/>
              <w:right w:val="nil"/>
            </w:tcBorders>
            <w:shd w:val="clear" w:color="auto" w:fill="auto"/>
            <w:noWrap/>
            <w:vAlign w:val="center"/>
            <w:hideMark/>
          </w:tcPr>
          <w:p w14:paraId="5AC56170" w14:textId="77777777" w:rsidR="00B47ACD" w:rsidRPr="00513BF1" w:rsidRDefault="00B47ACD" w:rsidP="00174267">
            <w:pPr>
              <w:spacing w:after="0" w:line="240" w:lineRule="auto"/>
              <w:jc w:val="both"/>
              <w:rPr>
                <w:rFonts w:ascii="Aptos Narrow" w:eastAsia="Times New Roman" w:hAnsi="Aptos Narrow" w:cstheme="minorHAnsi"/>
                <w:b/>
                <w:bCs/>
                <w:color w:val="000000"/>
                <w:sz w:val="20"/>
                <w:szCs w:val="20"/>
                <w:lang w:eastAsia="it-IT"/>
              </w:rPr>
            </w:pPr>
            <w:r w:rsidRPr="00513BF1">
              <w:rPr>
                <w:rFonts w:ascii="Aptos Narrow" w:eastAsia="Times New Roman" w:hAnsi="Aptos Narrow" w:cstheme="minorHAnsi"/>
                <w:b/>
                <w:bCs/>
                <w:color w:val="000000"/>
                <w:sz w:val="20"/>
                <w:szCs w:val="20"/>
                <w:lang w:eastAsia="it-IT"/>
              </w:rPr>
              <w:t>ATT</w:t>
            </w:r>
          </w:p>
        </w:tc>
        <w:tc>
          <w:tcPr>
            <w:tcW w:w="992" w:type="dxa"/>
            <w:tcBorders>
              <w:top w:val="nil"/>
              <w:left w:val="nil"/>
              <w:bottom w:val="single" w:sz="4" w:space="0" w:color="auto"/>
              <w:right w:val="single" w:sz="4" w:space="0" w:color="auto"/>
            </w:tcBorders>
            <w:shd w:val="clear" w:color="auto" w:fill="auto"/>
            <w:noWrap/>
            <w:vAlign w:val="center"/>
            <w:hideMark/>
          </w:tcPr>
          <w:p w14:paraId="6137E7B2" w14:textId="77777777" w:rsidR="00B47ACD" w:rsidRPr="00513BF1" w:rsidRDefault="00B47ACD" w:rsidP="00174267">
            <w:pPr>
              <w:spacing w:after="0" w:line="240" w:lineRule="auto"/>
              <w:jc w:val="both"/>
              <w:rPr>
                <w:rFonts w:ascii="Aptos Narrow" w:eastAsia="Times New Roman" w:hAnsi="Aptos Narrow" w:cstheme="minorHAnsi"/>
                <w:b/>
                <w:bCs/>
                <w:color w:val="000000"/>
                <w:sz w:val="20"/>
                <w:szCs w:val="20"/>
                <w:lang w:eastAsia="it-IT"/>
              </w:rPr>
            </w:pPr>
            <w:r w:rsidRPr="00513BF1">
              <w:rPr>
                <w:rFonts w:ascii="Aptos Narrow" w:eastAsia="Times New Roman" w:hAnsi="Aptos Narrow" w:cstheme="minorHAnsi"/>
                <w:b/>
                <w:bCs/>
                <w:color w:val="000000"/>
                <w:sz w:val="20"/>
                <w:szCs w:val="20"/>
                <w:lang w:eastAsia="it-IT"/>
              </w:rPr>
              <w:t>RMSE</w:t>
            </w:r>
          </w:p>
        </w:tc>
        <w:tc>
          <w:tcPr>
            <w:tcW w:w="851" w:type="dxa"/>
            <w:tcBorders>
              <w:top w:val="nil"/>
              <w:left w:val="single" w:sz="4" w:space="0" w:color="auto"/>
              <w:bottom w:val="single" w:sz="4" w:space="0" w:color="auto"/>
              <w:right w:val="single" w:sz="4" w:space="0" w:color="FFFFFF" w:themeColor="background1"/>
            </w:tcBorders>
            <w:vAlign w:val="center"/>
          </w:tcPr>
          <w:p w14:paraId="38C0789F" w14:textId="77777777" w:rsidR="00B47ACD" w:rsidRPr="00513BF1" w:rsidRDefault="00B47ACD" w:rsidP="00174267">
            <w:pPr>
              <w:spacing w:after="0" w:line="240" w:lineRule="auto"/>
              <w:jc w:val="both"/>
              <w:rPr>
                <w:rFonts w:ascii="Aptos Narrow" w:eastAsia="Times New Roman" w:hAnsi="Aptos Narrow" w:cstheme="minorHAnsi"/>
                <w:b/>
                <w:bCs/>
                <w:color w:val="000000"/>
                <w:sz w:val="20"/>
                <w:szCs w:val="20"/>
                <w:lang w:eastAsia="it-IT"/>
              </w:rPr>
            </w:pPr>
            <w:r w:rsidRPr="00513BF1">
              <w:rPr>
                <w:rFonts w:ascii="Aptos Narrow" w:eastAsia="Times New Roman" w:hAnsi="Aptos Narrow" w:cstheme="minorHAnsi"/>
                <w:b/>
                <w:bCs/>
                <w:color w:val="000000"/>
                <w:sz w:val="20"/>
                <w:szCs w:val="20"/>
                <w:lang w:eastAsia="it-IT"/>
              </w:rPr>
              <w:t>ATT</w:t>
            </w:r>
          </w:p>
        </w:tc>
        <w:tc>
          <w:tcPr>
            <w:tcW w:w="850" w:type="dxa"/>
            <w:tcBorders>
              <w:top w:val="nil"/>
              <w:left w:val="single" w:sz="4" w:space="0" w:color="FFFFFF" w:themeColor="background1"/>
              <w:bottom w:val="single" w:sz="4" w:space="0" w:color="auto"/>
              <w:right w:val="nil"/>
            </w:tcBorders>
            <w:vAlign w:val="center"/>
          </w:tcPr>
          <w:p w14:paraId="4AE04740" w14:textId="77777777" w:rsidR="00B47ACD" w:rsidRPr="00513BF1" w:rsidRDefault="00B47ACD" w:rsidP="00174267">
            <w:pPr>
              <w:spacing w:after="0" w:line="240" w:lineRule="auto"/>
              <w:jc w:val="both"/>
              <w:rPr>
                <w:rFonts w:ascii="Aptos Narrow" w:eastAsia="Times New Roman" w:hAnsi="Aptos Narrow" w:cstheme="minorHAnsi"/>
                <w:b/>
                <w:bCs/>
                <w:color w:val="000000"/>
                <w:sz w:val="20"/>
                <w:szCs w:val="20"/>
                <w:lang w:eastAsia="it-IT"/>
              </w:rPr>
            </w:pPr>
            <w:r w:rsidRPr="00513BF1">
              <w:rPr>
                <w:rFonts w:ascii="Aptos Narrow" w:eastAsia="Times New Roman" w:hAnsi="Aptos Narrow" w:cstheme="minorHAnsi"/>
                <w:b/>
                <w:bCs/>
                <w:color w:val="000000"/>
                <w:sz w:val="20"/>
                <w:szCs w:val="20"/>
                <w:lang w:eastAsia="it-IT"/>
              </w:rPr>
              <w:t>RMSE</w:t>
            </w:r>
          </w:p>
        </w:tc>
        <w:tc>
          <w:tcPr>
            <w:tcW w:w="851" w:type="dxa"/>
            <w:tcBorders>
              <w:top w:val="nil"/>
              <w:left w:val="single" w:sz="4" w:space="0" w:color="auto"/>
              <w:bottom w:val="single" w:sz="4" w:space="0" w:color="auto"/>
              <w:right w:val="nil"/>
            </w:tcBorders>
            <w:shd w:val="clear" w:color="auto" w:fill="auto"/>
            <w:noWrap/>
            <w:vAlign w:val="center"/>
            <w:hideMark/>
          </w:tcPr>
          <w:p w14:paraId="191A33C6" w14:textId="77777777" w:rsidR="00B47ACD" w:rsidRPr="00513BF1" w:rsidRDefault="00B47ACD" w:rsidP="00174267">
            <w:pPr>
              <w:spacing w:after="0" w:line="240" w:lineRule="auto"/>
              <w:jc w:val="both"/>
              <w:rPr>
                <w:rFonts w:ascii="Aptos Narrow" w:eastAsia="Times New Roman" w:hAnsi="Aptos Narrow" w:cstheme="minorHAnsi"/>
                <w:b/>
                <w:bCs/>
                <w:color w:val="000000"/>
                <w:sz w:val="20"/>
                <w:szCs w:val="20"/>
                <w:lang w:eastAsia="it-IT"/>
              </w:rPr>
            </w:pPr>
            <w:r w:rsidRPr="00513BF1">
              <w:rPr>
                <w:rFonts w:ascii="Aptos Narrow" w:eastAsia="Times New Roman" w:hAnsi="Aptos Narrow" w:cstheme="minorHAnsi"/>
                <w:b/>
                <w:bCs/>
                <w:color w:val="000000"/>
                <w:sz w:val="20"/>
                <w:szCs w:val="20"/>
                <w:lang w:eastAsia="it-IT"/>
              </w:rPr>
              <w:t>ATT</w:t>
            </w:r>
          </w:p>
        </w:tc>
        <w:tc>
          <w:tcPr>
            <w:tcW w:w="612" w:type="dxa"/>
            <w:tcBorders>
              <w:top w:val="nil"/>
              <w:left w:val="nil"/>
              <w:bottom w:val="single" w:sz="4" w:space="0" w:color="auto"/>
              <w:right w:val="nil"/>
            </w:tcBorders>
            <w:shd w:val="clear" w:color="auto" w:fill="auto"/>
            <w:noWrap/>
            <w:vAlign w:val="center"/>
            <w:hideMark/>
          </w:tcPr>
          <w:p w14:paraId="1D40FE63" w14:textId="77777777" w:rsidR="00B47ACD" w:rsidRPr="00513BF1" w:rsidRDefault="00B47ACD" w:rsidP="00174267">
            <w:pPr>
              <w:spacing w:after="0" w:line="240" w:lineRule="auto"/>
              <w:jc w:val="both"/>
              <w:rPr>
                <w:rFonts w:ascii="Aptos Narrow" w:eastAsia="Times New Roman" w:hAnsi="Aptos Narrow" w:cstheme="minorHAnsi"/>
                <w:b/>
                <w:bCs/>
                <w:color w:val="000000"/>
                <w:sz w:val="20"/>
                <w:szCs w:val="20"/>
                <w:lang w:eastAsia="it-IT"/>
              </w:rPr>
            </w:pPr>
            <w:r w:rsidRPr="00513BF1">
              <w:rPr>
                <w:rFonts w:ascii="Aptos Narrow" w:eastAsia="Times New Roman" w:hAnsi="Aptos Narrow" w:cstheme="minorHAnsi"/>
                <w:b/>
                <w:bCs/>
                <w:color w:val="000000"/>
                <w:sz w:val="20"/>
                <w:szCs w:val="20"/>
                <w:lang w:eastAsia="it-IT"/>
              </w:rPr>
              <w:t>RMSE</w:t>
            </w:r>
          </w:p>
        </w:tc>
      </w:tr>
      <w:tr w:rsidR="00174267" w:rsidRPr="00633995" w14:paraId="1CE8A555" w14:textId="77777777" w:rsidTr="00EE4241">
        <w:trPr>
          <w:trHeight w:val="329"/>
        </w:trPr>
        <w:tc>
          <w:tcPr>
            <w:tcW w:w="960" w:type="dxa"/>
            <w:vMerge w:val="restart"/>
            <w:tcBorders>
              <w:top w:val="single" w:sz="4" w:space="0" w:color="auto"/>
              <w:left w:val="nil"/>
              <w:bottom w:val="nil"/>
              <w:right w:val="nil"/>
            </w:tcBorders>
            <w:shd w:val="clear" w:color="auto" w:fill="auto"/>
            <w:noWrap/>
            <w:vAlign w:val="center"/>
            <w:hideMark/>
          </w:tcPr>
          <w:p w14:paraId="7F80998A" w14:textId="2E61DAEC" w:rsidR="00B47ACD" w:rsidRPr="00633995" w:rsidRDefault="00B47ACD" w:rsidP="00174267">
            <w:pPr>
              <w:spacing w:after="0" w:line="240" w:lineRule="auto"/>
              <w:jc w:val="both"/>
              <w:rPr>
                <w:rFonts w:ascii="Aptos Narrow" w:eastAsia="Times New Roman" w:hAnsi="Aptos Narrow" w:cstheme="minorHAnsi"/>
                <w:color w:val="000000"/>
                <w:sz w:val="20"/>
                <w:szCs w:val="20"/>
                <w:lang w:eastAsia="it-IT"/>
              </w:rPr>
            </w:pPr>
            <w:r w:rsidRPr="00633995">
              <w:rPr>
                <w:rFonts w:ascii="Aptos Narrow" w:eastAsia="Times New Roman" w:hAnsi="Aptos Narrow" w:cstheme="minorHAnsi"/>
                <w:color w:val="000000"/>
                <w:sz w:val="20"/>
                <w:szCs w:val="20"/>
                <w:lang w:eastAsia="it-IT"/>
              </w:rPr>
              <w:t>Digital services and goods</w:t>
            </w:r>
          </w:p>
        </w:tc>
        <w:tc>
          <w:tcPr>
            <w:tcW w:w="3293" w:type="dxa"/>
            <w:tcBorders>
              <w:top w:val="single" w:sz="4" w:space="0" w:color="auto"/>
              <w:left w:val="nil"/>
              <w:bottom w:val="nil"/>
              <w:right w:val="single" w:sz="4" w:space="0" w:color="auto"/>
            </w:tcBorders>
            <w:shd w:val="clear" w:color="auto" w:fill="auto"/>
            <w:noWrap/>
            <w:vAlign w:val="bottom"/>
            <w:hideMark/>
          </w:tcPr>
          <w:p w14:paraId="038F3C85" w14:textId="7B18648D" w:rsidR="00B47ACD" w:rsidRPr="00513BF1" w:rsidRDefault="00E91FF3" w:rsidP="00174267">
            <w:pPr>
              <w:spacing w:after="0" w:line="240" w:lineRule="auto"/>
              <w:jc w:val="both"/>
              <w:rPr>
                <w:rFonts w:ascii="Aptos Narrow" w:eastAsia="Times New Roman" w:hAnsi="Aptos Narrow" w:cstheme="minorHAnsi"/>
                <w:color w:val="000000"/>
                <w:sz w:val="20"/>
                <w:szCs w:val="20"/>
                <w:lang w:eastAsia="it-IT"/>
              </w:rPr>
            </w:pPr>
            <w:r>
              <w:rPr>
                <w:rFonts w:ascii="Aptos Narrow" w:eastAsia="Times New Roman" w:hAnsi="Aptos Narrow" w:cstheme="minorHAnsi"/>
                <w:color w:val="000000"/>
                <w:sz w:val="20"/>
                <w:szCs w:val="20"/>
                <w:lang w:eastAsia="it-IT"/>
              </w:rPr>
              <w:t>Total d</w:t>
            </w:r>
            <w:r w:rsidR="00B47ACD" w:rsidRPr="00513BF1">
              <w:rPr>
                <w:rFonts w:ascii="Aptos Narrow" w:eastAsia="Times New Roman" w:hAnsi="Aptos Narrow" w:cstheme="minorHAnsi"/>
                <w:color w:val="000000"/>
                <w:sz w:val="20"/>
                <w:szCs w:val="20"/>
                <w:lang w:eastAsia="it-IT"/>
              </w:rPr>
              <w:t>igital trade</w:t>
            </w:r>
          </w:p>
        </w:tc>
        <w:tc>
          <w:tcPr>
            <w:tcW w:w="992" w:type="dxa"/>
            <w:tcBorders>
              <w:top w:val="single" w:sz="4" w:space="0" w:color="auto"/>
              <w:left w:val="single" w:sz="4" w:space="0" w:color="auto"/>
              <w:bottom w:val="nil"/>
              <w:right w:val="nil"/>
            </w:tcBorders>
            <w:shd w:val="clear" w:color="auto" w:fill="auto"/>
            <w:noWrap/>
            <w:vAlign w:val="bottom"/>
            <w:hideMark/>
          </w:tcPr>
          <w:p w14:paraId="291177AF"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0.018</w:t>
            </w:r>
          </w:p>
        </w:tc>
        <w:tc>
          <w:tcPr>
            <w:tcW w:w="992" w:type="dxa"/>
            <w:tcBorders>
              <w:top w:val="single" w:sz="4" w:space="0" w:color="auto"/>
              <w:left w:val="nil"/>
              <w:bottom w:val="nil"/>
              <w:right w:val="single" w:sz="4" w:space="0" w:color="auto"/>
            </w:tcBorders>
            <w:shd w:val="clear" w:color="auto" w:fill="auto"/>
            <w:noWrap/>
            <w:vAlign w:val="bottom"/>
            <w:hideMark/>
          </w:tcPr>
          <w:p w14:paraId="1E294559"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0.043</w:t>
            </w:r>
          </w:p>
        </w:tc>
        <w:tc>
          <w:tcPr>
            <w:tcW w:w="851" w:type="dxa"/>
            <w:tcBorders>
              <w:top w:val="single" w:sz="4" w:space="0" w:color="auto"/>
              <w:left w:val="single" w:sz="4" w:space="0" w:color="auto"/>
              <w:bottom w:val="nil"/>
              <w:right w:val="single" w:sz="4" w:space="0" w:color="FFFFFF" w:themeColor="background1"/>
            </w:tcBorders>
            <w:vAlign w:val="bottom"/>
          </w:tcPr>
          <w:p w14:paraId="305639D4"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0.083*</w:t>
            </w:r>
          </w:p>
        </w:tc>
        <w:tc>
          <w:tcPr>
            <w:tcW w:w="850" w:type="dxa"/>
            <w:tcBorders>
              <w:top w:val="single" w:sz="4" w:space="0" w:color="auto"/>
              <w:left w:val="single" w:sz="4" w:space="0" w:color="FFFFFF" w:themeColor="background1"/>
              <w:bottom w:val="nil"/>
              <w:right w:val="nil"/>
            </w:tcBorders>
            <w:vAlign w:val="bottom"/>
          </w:tcPr>
          <w:p w14:paraId="76F55354"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0.001</w:t>
            </w:r>
          </w:p>
        </w:tc>
        <w:tc>
          <w:tcPr>
            <w:tcW w:w="851" w:type="dxa"/>
            <w:tcBorders>
              <w:top w:val="single" w:sz="4" w:space="0" w:color="auto"/>
              <w:left w:val="single" w:sz="4" w:space="0" w:color="auto"/>
              <w:bottom w:val="nil"/>
              <w:right w:val="nil"/>
            </w:tcBorders>
            <w:shd w:val="clear" w:color="auto" w:fill="auto"/>
            <w:noWrap/>
            <w:vAlign w:val="bottom"/>
            <w:hideMark/>
          </w:tcPr>
          <w:p w14:paraId="3C8AAB23"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0.279*</w:t>
            </w:r>
          </w:p>
        </w:tc>
        <w:tc>
          <w:tcPr>
            <w:tcW w:w="612" w:type="dxa"/>
            <w:tcBorders>
              <w:top w:val="single" w:sz="4" w:space="0" w:color="auto"/>
              <w:left w:val="nil"/>
              <w:bottom w:val="nil"/>
              <w:right w:val="nil"/>
            </w:tcBorders>
            <w:shd w:val="clear" w:color="auto" w:fill="auto"/>
            <w:noWrap/>
            <w:vAlign w:val="bottom"/>
            <w:hideMark/>
          </w:tcPr>
          <w:p w14:paraId="2ED42DAA"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0.055</w:t>
            </w:r>
          </w:p>
        </w:tc>
      </w:tr>
      <w:tr w:rsidR="00174267" w:rsidRPr="00633995" w14:paraId="4A42D923" w14:textId="77777777" w:rsidTr="00EE4241">
        <w:trPr>
          <w:trHeight w:val="329"/>
        </w:trPr>
        <w:tc>
          <w:tcPr>
            <w:tcW w:w="960" w:type="dxa"/>
            <w:vMerge/>
            <w:tcBorders>
              <w:top w:val="nil"/>
              <w:left w:val="nil"/>
              <w:bottom w:val="nil"/>
              <w:right w:val="nil"/>
            </w:tcBorders>
            <w:vAlign w:val="center"/>
            <w:hideMark/>
          </w:tcPr>
          <w:p w14:paraId="241B67CD"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p>
        </w:tc>
        <w:tc>
          <w:tcPr>
            <w:tcW w:w="3293" w:type="dxa"/>
            <w:tcBorders>
              <w:top w:val="nil"/>
              <w:left w:val="nil"/>
              <w:bottom w:val="nil"/>
              <w:right w:val="single" w:sz="4" w:space="0" w:color="auto"/>
            </w:tcBorders>
            <w:shd w:val="clear" w:color="auto" w:fill="auto"/>
            <w:noWrap/>
            <w:vAlign w:val="bottom"/>
            <w:hideMark/>
          </w:tcPr>
          <w:p w14:paraId="4A69E69C" w14:textId="71D666BC" w:rsidR="00B47ACD" w:rsidRPr="00513BF1" w:rsidRDefault="00E91FF3" w:rsidP="00174267">
            <w:pPr>
              <w:spacing w:after="0" w:line="240" w:lineRule="auto"/>
              <w:jc w:val="both"/>
              <w:rPr>
                <w:rFonts w:ascii="Aptos Narrow" w:eastAsia="Times New Roman" w:hAnsi="Aptos Narrow" w:cstheme="minorHAnsi"/>
                <w:color w:val="000000"/>
                <w:sz w:val="20"/>
                <w:szCs w:val="20"/>
                <w:lang w:eastAsia="it-IT"/>
              </w:rPr>
            </w:pPr>
            <w:r>
              <w:rPr>
                <w:rFonts w:ascii="Aptos Narrow" w:eastAsia="Times New Roman" w:hAnsi="Aptos Narrow" w:cstheme="minorHAnsi"/>
                <w:color w:val="000000"/>
                <w:sz w:val="20"/>
                <w:szCs w:val="20"/>
                <w:lang w:eastAsia="it-IT"/>
              </w:rPr>
              <w:t>Digital t</w:t>
            </w:r>
            <w:r w:rsidR="00B47ACD" w:rsidRPr="00513BF1">
              <w:rPr>
                <w:rFonts w:ascii="Aptos Narrow" w:eastAsia="Times New Roman" w:hAnsi="Aptos Narrow" w:cstheme="minorHAnsi"/>
                <w:color w:val="000000"/>
                <w:sz w:val="20"/>
                <w:szCs w:val="20"/>
                <w:lang w:eastAsia="it-IT"/>
              </w:rPr>
              <w:t>rade with adequate countries</w:t>
            </w:r>
          </w:p>
        </w:tc>
        <w:tc>
          <w:tcPr>
            <w:tcW w:w="992" w:type="dxa"/>
            <w:tcBorders>
              <w:top w:val="nil"/>
              <w:left w:val="single" w:sz="4" w:space="0" w:color="auto"/>
              <w:bottom w:val="nil"/>
              <w:right w:val="nil"/>
            </w:tcBorders>
            <w:shd w:val="clear" w:color="auto" w:fill="auto"/>
            <w:noWrap/>
            <w:vAlign w:val="bottom"/>
            <w:hideMark/>
          </w:tcPr>
          <w:p w14:paraId="5BC0BEEB"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2,064</w:t>
            </w:r>
            <w:r w:rsidRPr="00513BF1" w:rsidDel="00E32BBE">
              <w:rPr>
                <w:rFonts w:ascii="Aptos Narrow" w:eastAsia="Times New Roman" w:hAnsi="Aptos Narrow" w:cstheme="minorHAnsi"/>
                <w:color w:val="000000"/>
                <w:sz w:val="20"/>
                <w:szCs w:val="20"/>
                <w:lang w:eastAsia="it-IT"/>
              </w:rPr>
              <w:t xml:space="preserve"> </w:t>
            </w:r>
            <w:r w:rsidRPr="00513BF1">
              <w:rPr>
                <w:rFonts w:ascii="Aptos Narrow" w:eastAsia="Times New Roman" w:hAnsi="Aptos Narrow" w:cstheme="minorHAnsi"/>
                <w:color w:val="000000"/>
                <w:sz w:val="20"/>
                <w:szCs w:val="20"/>
                <w:lang w:eastAsia="it-IT"/>
              </w:rPr>
              <w:t>*</w:t>
            </w:r>
          </w:p>
        </w:tc>
        <w:tc>
          <w:tcPr>
            <w:tcW w:w="992" w:type="dxa"/>
            <w:tcBorders>
              <w:top w:val="nil"/>
              <w:left w:val="nil"/>
              <w:bottom w:val="nil"/>
              <w:right w:val="single" w:sz="4" w:space="0" w:color="auto"/>
            </w:tcBorders>
            <w:shd w:val="clear" w:color="auto" w:fill="auto"/>
            <w:noWrap/>
            <w:vAlign w:val="bottom"/>
            <w:hideMark/>
          </w:tcPr>
          <w:p w14:paraId="0C692BD2"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0.000</w:t>
            </w:r>
          </w:p>
        </w:tc>
        <w:tc>
          <w:tcPr>
            <w:tcW w:w="851" w:type="dxa"/>
            <w:tcBorders>
              <w:top w:val="nil"/>
              <w:left w:val="single" w:sz="4" w:space="0" w:color="auto"/>
              <w:bottom w:val="nil"/>
              <w:right w:val="single" w:sz="4" w:space="0" w:color="FFFFFF" w:themeColor="background1"/>
            </w:tcBorders>
            <w:vAlign w:val="bottom"/>
          </w:tcPr>
          <w:p w14:paraId="39C2C0BA"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0,890*</w:t>
            </w:r>
          </w:p>
        </w:tc>
        <w:tc>
          <w:tcPr>
            <w:tcW w:w="850" w:type="dxa"/>
            <w:tcBorders>
              <w:top w:val="nil"/>
              <w:left w:val="single" w:sz="4" w:space="0" w:color="FFFFFF" w:themeColor="background1"/>
              <w:bottom w:val="nil"/>
              <w:right w:val="nil"/>
            </w:tcBorders>
            <w:vAlign w:val="bottom"/>
          </w:tcPr>
          <w:p w14:paraId="7F686433"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0.020</w:t>
            </w:r>
          </w:p>
        </w:tc>
        <w:tc>
          <w:tcPr>
            <w:tcW w:w="851" w:type="dxa"/>
            <w:tcBorders>
              <w:top w:val="nil"/>
              <w:left w:val="single" w:sz="4" w:space="0" w:color="auto"/>
              <w:bottom w:val="nil"/>
              <w:right w:val="nil"/>
            </w:tcBorders>
            <w:shd w:val="clear" w:color="auto" w:fill="auto"/>
            <w:noWrap/>
            <w:vAlign w:val="bottom"/>
            <w:hideMark/>
          </w:tcPr>
          <w:p w14:paraId="62D9076A"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1.655**</w:t>
            </w:r>
          </w:p>
        </w:tc>
        <w:tc>
          <w:tcPr>
            <w:tcW w:w="612" w:type="dxa"/>
            <w:tcBorders>
              <w:top w:val="nil"/>
              <w:left w:val="nil"/>
              <w:bottom w:val="nil"/>
              <w:right w:val="nil"/>
            </w:tcBorders>
            <w:shd w:val="clear" w:color="auto" w:fill="auto"/>
            <w:noWrap/>
            <w:vAlign w:val="bottom"/>
            <w:hideMark/>
          </w:tcPr>
          <w:p w14:paraId="3AFE5655"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0.047</w:t>
            </w:r>
          </w:p>
        </w:tc>
      </w:tr>
      <w:tr w:rsidR="00174267" w:rsidRPr="00633995" w14:paraId="6E9E4505" w14:textId="77777777" w:rsidTr="00EE4241">
        <w:trPr>
          <w:trHeight w:val="329"/>
        </w:trPr>
        <w:tc>
          <w:tcPr>
            <w:tcW w:w="960" w:type="dxa"/>
            <w:vMerge/>
            <w:tcBorders>
              <w:top w:val="nil"/>
              <w:left w:val="nil"/>
              <w:bottom w:val="nil"/>
              <w:right w:val="nil"/>
            </w:tcBorders>
            <w:vAlign w:val="center"/>
            <w:hideMark/>
          </w:tcPr>
          <w:p w14:paraId="019100E4"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p>
        </w:tc>
        <w:tc>
          <w:tcPr>
            <w:tcW w:w="3293" w:type="dxa"/>
            <w:tcBorders>
              <w:top w:val="nil"/>
              <w:left w:val="nil"/>
              <w:bottom w:val="nil"/>
              <w:right w:val="single" w:sz="4" w:space="0" w:color="auto"/>
            </w:tcBorders>
            <w:shd w:val="clear" w:color="auto" w:fill="auto"/>
            <w:noWrap/>
            <w:vAlign w:val="bottom"/>
            <w:hideMark/>
          </w:tcPr>
          <w:p w14:paraId="32DBD0E5" w14:textId="493041B1" w:rsidR="00B47ACD" w:rsidRPr="00633995" w:rsidRDefault="00E91FF3" w:rsidP="00174267">
            <w:pPr>
              <w:spacing w:after="0" w:line="240" w:lineRule="auto"/>
              <w:jc w:val="both"/>
              <w:rPr>
                <w:rFonts w:ascii="Aptos Narrow" w:eastAsia="Times New Roman" w:hAnsi="Aptos Narrow" w:cstheme="minorHAnsi"/>
                <w:color w:val="000000"/>
                <w:sz w:val="20"/>
                <w:szCs w:val="20"/>
                <w:lang w:eastAsia="it-IT"/>
              </w:rPr>
            </w:pPr>
            <w:r>
              <w:rPr>
                <w:rFonts w:ascii="Aptos Narrow" w:eastAsia="Times New Roman" w:hAnsi="Aptos Narrow" w:cstheme="minorHAnsi"/>
                <w:color w:val="000000"/>
                <w:sz w:val="20"/>
                <w:szCs w:val="20"/>
                <w:lang w:eastAsia="it-IT"/>
              </w:rPr>
              <w:t>Digital t</w:t>
            </w:r>
            <w:r w:rsidR="00B47ACD" w:rsidRPr="00633995">
              <w:rPr>
                <w:rFonts w:ascii="Aptos Narrow" w:eastAsia="Times New Roman" w:hAnsi="Aptos Narrow" w:cstheme="minorHAnsi"/>
                <w:color w:val="000000"/>
                <w:sz w:val="20"/>
                <w:szCs w:val="20"/>
                <w:lang w:eastAsia="it-IT"/>
              </w:rPr>
              <w:t>rade with the US</w:t>
            </w:r>
          </w:p>
        </w:tc>
        <w:tc>
          <w:tcPr>
            <w:tcW w:w="992" w:type="dxa"/>
            <w:tcBorders>
              <w:top w:val="nil"/>
              <w:left w:val="single" w:sz="4" w:space="0" w:color="auto"/>
              <w:bottom w:val="nil"/>
              <w:right w:val="nil"/>
            </w:tcBorders>
            <w:shd w:val="clear" w:color="auto" w:fill="auto"/>
            <w:noWrap/>
            <w:vAlign w:val="bottom"/>
            <w:hideMark/>
          </w:tcPr>
          <w:p w14:paraId="35E99F29"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-0.671*</w:t>
            </w:r>
          </w:p>
        </w:tc>
        <w:tc>
          <w:tcPr>
            <w:tcW w:w="992" w:type="dxa"/>
            <w:tcBorders>
              <w:top w:val="nil"/>
              <w:left w:val="nil"/>
              <w:bottom w:val="nil"/>
              <w:right w:val="single" w:sz="4" w:space="0" w:color="auto"/>
            </w:tcBorders>
            <w:shd w:val="clear" w:color="auto" w:fill="auto"/>
            <w:noWrap/>
            <w:vAlign w:val="bottom"/>
            <w:hideMark/>
          </w:tcPr>
          <w:p w14:paraId="5E8BAF30"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0.001</w:t>
            </w:r>
          </w:p>
        </w:tc>
        <w:tc>
          <w:tcPr>
            <w:tcW w:w="851" w:type="dxa"/>
            <w:tcBorders>
              <w:top w:val="nil"/>
              <w:left w:val="single" w:sz="4" w:space="0" w:color="auto"/>
              <w:bottom w:val="nil"/>
              <w:right w:val="single" w:sz="4" w:space="0" w:color="FFFFFF" w:themeColor="background1"/>
            </w:tcBorders>
            <w:vAlign w:val="bottom"/>
          </w:tcPr>
          <w:p w14:paraId="2FCCAAF1"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0,195*</w:t>
            </w:r>
          </w:p>
        </w:tc>
        <w:tc>
          <w:tcPr>
            <w:tcW w:w="850" w:type="dxa"/>
            <w:tcBorders>
              <w:top w:val="nil"/>
              <w:left w:val="single" w:sz="4" w:space="0" w:color="FFFFFF" w:themeColor="background1"/>
              <w:bottom w:val="nil"/>
              <w:right w:val="nil"/>
            </w:tcBorders>
            <w:vAlign w:val="bottom"/>
          </w:tcPr>
          <w:p w14:paraId="59C6A59C"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0.023</w:t>
            </w:r>
          </w:p>
        </w:tc>
        <w:tc>
          <w:tcPr>
            <w:tcW w:w="851" w:type="dxa"/>
            <w:tcBorders>
              <w:top w:val="nil"/>
              <w:left w:val="single" w:sz="4" w:space="0" w:color="auto"/>
              <w:bottom w:val="nil"/>
              <w:right w:val="nil"/>
            </w:tcBorders>
            <w:shd w:val="clear" w:color="auto" w:fill="auto"/>
            <w:noWrap/>
            <w:vAlign w:val="bottom"/>
            <w:hideMark/>
          </w:tcPr>
          <w:p w14:paraId="34CC2525"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0.443*</w:t>
            </w:r>
          </w:p>
        </w:tc>
        <w:tc>
          <w:tcPr>
            <w:tcW w:w="612" w:type="dxa"/>
            <w:tcBorders>
              <w:top w:val="nil"/>
              <w:left w:val="nil"/>
              <w:bottom w:val="nil"/>
              <w:right w:val="nil"/>
            </w:tcBorders>
            <w:shd w:val="clear" w:color="auto" w:fill="auto"/>
            <w:noWrap/>
            <w:vAlign w:val="bottom"/>
            <w:hideMark/>
          </w:tcPr>
          <w:p w14:paraId="16B9BD42"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0.000</w:t>
            </w:r>
          </w:p>
        </w:tc>
      </w:tr>
      <w:tr w:rsidR="00174267" w:rsidRPr="00633995" w14:paraId="74B4EA9B" w14:textId="77777777" w:rsidTr="00EE4241">
        <w:trPr>
          <w:trHeight w:val="329"/>
        </w:trPr>
        <w:tc>
          <w:tcPr>
            <w:tcW w:w="960" w:type="dxa"/>
            <w:vMerge/>
            <w:tcBorders>
              <w:top w:val="nil"/>
              <w:left w:val="nil"/>
              <w:bottom w:val="single" w:sz="4" w:space="0" w:color="auto"/>
              <w:right w:val="nil"/>
            </w:tcBorders>
            <w:vAlign w:val="center"/>
            <w:hideMark/>
          </w:tcPr>
          <w:p w14:paraId="48CACBEC"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p>
        </w:tc>
        <w:tc>
          <w:tcPr>
            <w:tcW w:w="3293" w:type="dxa"/>
            <w:tcBorders>
              <w:top w:val="nil"/>
              <w:left w:val="nil"/>
              <w:bottom w:val="single" w:sz="4" w:space="0" w:color="auto"/>
              <w:right w:val="single" w:sz="4" w:space="0" w:color="auto"/>
            </w:tcBorders>
            <w:shd w:val="clear" w:color="auto" w:fill="auto"/>
            <w:noWrap/>
            <w:vAlign w:val="bottom"/>
            <w:hideMark/>
          </w:tcPr>
          <w:p w14:paraId="26FE075C" w14:textId="5B5505D5" w:rsidR="00B47ACD" w:rsidRPr="00633995" w:rsidRDefault="00B47ACD" w:rsidP="00174267">
            <w:pPr>
              <w:spacing w:after="0" w:line="240" w:lineRule="auto"/>
              <w:jc w:val="both"/>
              <w:rPr>
                <w:rFonts w:ascii="Aptos Narrow" w:eastAsia="Times New Roman" w:hAnsi="Aptos Narrow" w:cstheme="minorHAnsi"/>
                <w:color w:val="000000"/>
                <w:sz w:val="20"/>
                <w:szCs w:val="20"/>
                <w:lang w:eastAsia="it-IT"/>
              </w:rPr>
            </w:pPr>
            <w:r w:rsidRPr="00633995">
              <w:rPr>
                <w:rFonts w:ascii="Aptos Narrow" w:eastAsia="Times New Roman" w:hAnsi="Aptos Narrow" w:cstheme="minorHAnsi"/>
                <w:color w:val="000000"/>
                <w:sz w:val="20"/>
                <w:szCs w:val="20"/>
                <w:lang w:eastAsia="it-IT"/>
              </w:rPr>
              <w:t>Digital trade excl</w:t>
            </w:r>
            <w:r w:rsidR="00EE4241">
              <w:rPr>
                <w:rFonts w:ascii="Aptos Narrow" w:eastAsia="Times New Roman" w:hAnsi="Aptos Narrow" w:cstheme="minorHAnsi"/>
                <w:color w:val="000000"/>
                <w:sz w:val="20"/>
                <w:szCs w:val="20"/>
                <w:lang w:eastAsia="it-IT"/>
              </w:rPr>
              <w:t xml:space="preserve">uding </w:t>
            </w:r>
            <w:r w:rsidRPr="00633995">
              <w:rPr>
                <w:rFonts w:ascii="Aptos Narrow" w:eastAsia="Times New Roman" w:hAnsi="Aptos Narrow" w:cstheme="minorHAnsi"/>
                <w:color w:val="000000"/>
                <w:sz w:val="20"/>
                <w:szCs w:val="20"/>
                <w:lang w:eastAsia="it-IT"/>
              </w:rPr>
              <w:t>US</w:t>
            </w:r>
          </w:p>
        </w:tc>
        <w:tc>
          <w:tcPr>
            <w:tcW w:w="992" w:type="dxa"/>
            <w:tcBorders>
              <w:top w:val="nil"/>
              <w:left w:val="single" w:sz="4" w:space="0" w:color="auto"/>
              <w:bottom w:val="single" w:sz="4" w:space="0" w:color="auto"/>
              <w:right w:val="nil"/>
            </w:tcBorders>
            <w:shd w:val="clear" w:color="auto" w:fill="auto"/>
            <w:noWrap/>
            <w:vAlign w:val="bottom"/>
            <w:hideMark/>
          </w:tcPr>
          <w:p w14:paraId="7A6D1A1A"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6,030*</w:t>
            </w:r>
          </w:p>
        </w:tc>
        <w:tc>
          <w:tcPr>
            <w:tcW w:w="992" w:type="dxa"/>
            <w:tcBorders>
              <w:top w:val="nil"/>
              <w:left w:val="nil"/>
              <w:bottom w:val="single" w:sz="4" w:space="0" w:color="auto"/>
              <w:right w:val="single" w:sz="4" w:space="0" w:color="auto"/>
            </w:tcBorders>
            <w:shd w:val="clear" w:color="auto" w:fill="auto"/>
            <w:noWrap/>
            <w:vAlign w:val="bottom"/>
            <w:hideMark/>
          </w:tcPr>
          <w:p w14:paraId="468F54CD"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0.000</w:t>
            </w:r>
          </w:p>
        </w:tc>
        <w:tc>
          <w:tcPr>
            <w:tcW w:w="851" w:type="dxa"/>
            <w:tcBorders>
              <w:top w:val="nil"/>
              <w:left w:val="single" w:sz="4" w:space="0" w:color="auto"/>
              <w:bottom w:val="single" w:sz="4" w:space="0" w:color="auto"/>
              <w:right w:val="single" w:sz="4" w:space="0" w:color="FFFFFF" w:themeColor="background1"/>
            </w:tcBorders>
            <w:vAlign w:val="bottom"/>
          </w:tcPr>
          <w:p w14:paraId="03B511F8"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4,630*</w:t>
            </w:r>
          </w:p>
        </w:tc>
        <w:tc>
          <w:tcPr>
            <w:tcW w:w="850" w:type="dxa"/>
            <w:tcBorders>
              <w:top w:val="nil"/>
              <w:left w:val="single" w:sz="4" w:space="0" w:color="FFFFFF" w:themeColor="background1"/>
              <w:bottom w:val="single" w:sz="4" w:space="0" w:color="auto"/>
              <w:right w:val="nil"/>
            </w:tcBorders>
            <w:vAlign w:val="bottom"/>
          </w:tcPr>
          <w:p w14:paraId="547F143C"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0.016</w:t>
            </w:r>
          </w:p>
        </w:tc>
        <w:tc>
          <w:tcPr>
            <w:tcW w:w="851" w:type="dxa"/>
            <w:tcBorders>
              <w:top w:val="nil"/>
              <w:left w:val="single" w:sz="4" w:space="0" w:color="auto"/>
              <w:bottom w:val="single" w:sz="4" w:space="0" w:color="auto"/>
              <w:right w:val="nil"/>
            </w:tcBorders>
            <w:shd w:val="clear" w:color="auto" w:fill="auto"/>
            <w:noWrap/>
            <w:vAlign w:val="bottom"/>
            <w:hideMark/>
          </w:tcPr>
          <w:p w14:paraId="2A382408"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5,280*</w:t>
            </w:r>
          </w:p>
        </w:tc>
        <w:tc>
          <w:tcPr>
            <w:tcW w:w="612" w:type="dxa"/>
            <w:tcBorders>
              <w:top w:val="nil"/>
              <w:left w:val="nil"/>
              <w:bottom w:val="single" w:sz="4" w:space="0" w:color="auto"/>
              <w:right w:val="nil"/>
            </w:tcBorders>
            <w:shd w:val="clear" w:color="auto" w:fill="auto"/>
            <w:noWrap/>
            <w:vAlign w:val="bottom"/>
            <w:hideMark/>
          </w:tcPr>
          <w:p w14:paraId="46CAFF67" w14:textId="77777777" w:rsidR="00B47ACD" w:rsidRPr="00513BF1" w:rsidRDefault="00B47ACD" w:rsidP="00174267">
            <w:pPr>
              <w:spacing w:after="0" w:line="240" w:lineRule="auto"/>
              <w:jc w:val="both"/>
              <w:rPr>
                <w:rFonts w:ascii="Aptos Narrow" w:eastAsia="Times New Roman" w:hAnsi="Aptos Narrow" w:cstheme="minorHAnsi"/>
                <w:color w:val="000000"/>
                <w:sz w:val="20"/>
                <w:szCs w:val="20"/>
                <w:lang w:eastAsia="it-IT"/>
              </w:rPr>
            </w:pPr>
            <w:r w:rsidRPr="00513BF1">
              <w:rPr>
                <w:rFonts w:ascii="Aptos Narrow" w:eastAsia="Times New Roman" w:hAnsi="Aptos Narrow" w:cstheme="minorHAnsi"/>
                <w:color w:val="000000"/>
                <w:sz w:val="20"/>
                <w:szCs w:val="20"/>
                <w:lang w:eastAsia="it-IT"/>
              </w:rPr>
              <w:t>0.005</w:t>
            </w:r>
          </w:p>
        </w:tc>
      </w:tr>
    </w:tbl>
    <w:p w14:paraId="33F32B9F" w14:textId="17E63419" w:rsidR="00B47ACD" w:rsidRPr="00607058" w:rsidRDefault="00B47ACD" w:rsidP="0011538D">
      <w:pPr>
        <w:jc w:val="both"/>
        <w:rPr>
          <w:sz w:val="20"/>
          <w:szCs w:val="20"/>
        </w:rPr>
      </w:pPr>
      <w:r w:rsidRPr="00607058">
        <w:rPr>
          <w:sz w:val="20"/>
          <w:szCs w:val="20"/>
        </w:rPr>
        <w:t xml:space="preserve">Notes: ATT = Average </w:t>
      </w:r>
      <w:r w:rsidR="007D0B18" w:rsidRPr="00607058">
        <w:rPr>
          <w:sz w:val="20"/>
          <w:szCs w:val="20"/>
        </w:rPr>
        <w:t>effect of t</w:t>
      </w:r>
      <w:r w:rsidRPr="00607058">
        <w:rPr>
          <w:sz w:val="20"/>
          <w:szCs w:val="20"/>
        </w:rPr>
        <w:t xml:space="preserve">reatment on the </w:t>
      </w:r>
      <w:r w:rsidR="007D0B18" w:rsidRPr="00607058">
        <w:rPr>
          <w:sz w:val="20"/>
          <w:szCs w:val="20"/>
        </w:rPr>
        <w:t>t</w:t>
      </w:r>
      <w:r w:rsidRPr="00607058">
        <w:rPr>
          <w:sz w:val="20"/>
          <w:szCs w:val="20"/>
        </w:rPr>
        <w:t xml:space="preserve">reated. RMSE: Root Mean Squared Error. * </w:t>
      </w:r>
      <w:r w:rsidR="00B7719F" w:rsidRPr="00607058">
        <w:rPr>
          <w:sz w:val="20"/>
          <w:szCs w:val="20"/>
        </w:rPr>
        <w:t>Indicates</w:t>
      </w:r>
      <w:r w:rsidRPr="00607058">
        <w:rPr>
          <w:sz w:val="20"/>
          <w:szCs w:val="20"/>
        </w:rPr>
        <w:t xml:space="preserve"> significance according to the placebo test. </w:t>
      </w:r>
      <w:r w:rsidR="007D0B18" w:rsidRPr="00607058">
        <w:rPr>
          <w:sz w:val="20"/>
          <w:szCs w:val="20"/>
        </w:rPr>
        <w:t xml:space="preserve">See </w:t>
      </w:r>
      <w:r w:rsidRPr="00607058">
        <w:rPr>
          <w:sz w:val="20"/>
          <w:szCs w:val="20"/>
        </w:rPr>
        <w:t>Appendix Table A</w:t>
      </w:r>
      <w:r w:rsidR="00D961BE" w:rsidRPr="00607058">
        <w:rPr>
          <w:sz w:val="20"/>
          <w:szCs w:val="20"/>
        </w:rPr>
        <w:t>5</w:t>
      </w:r>
      <w:r w:rsidRPr="00607058">
        <w:rPr>
          <w:sz w:val="20"/>
          <w:szCs w:val="20"/>
        </w:rPr>
        <w:t xml:space="preserve"> </w:t>
      </w:r>
      <w:r w:rsidR="007D0B18" w:rsidRPr="00607058">
        <w:rPr>
          <w:sz w:val="20"/>
          <w:szCs w:val="20"/>
        </w:rPr>
        <w:t xml:space="preserve">for the definition </w:t>
      </w:r>
      <w:r w:rsidRPr="00607058">
        <w:rPr>
          <w:sz w:val="20"/>
          <w:szCs w:val="20"/>
        </w:rPr>
        <w:t>of digital services and related ICT goods</w:t>
      </w:r>
      <w:r w:rsidR="007D0B18" w:rsidRPr="00607058">
        <w:rPr>
          <w:sz w:val="20"/>
          <w:szCs w:val="20"/>
        </w:rPr>
        <w:t>.</w:t>
      </w:r>
    </w:p>
    <w:p w14:paraId="482F6538" w14:textId="0F9121B7" w:rsidR="0068037A" w:rsidRPr="00633995" w:rsidRDefault="00022B1B" w:rsidP="0011538D">
      <w:pPr>
        <w:jc w:val="both"/>
        <w:rPr>
          <w:rFonts w:cs="CMU Serif"/>
          <w:b/>
          <w:bCs/>
        </w:rPr>
      </w:pPr>
      <w:r w:rsidRPr="00633995">
        <w:rPr>
          <w:rFonts w:cs="CMU Serif"/>
          <w:b/>
          <w:bCs/>
        </w:rPr>
        <w:lastRenderedPageBreak/>
        <w:t>Appendix</w:t>
      </w:r>
      <w:r w:rsidR="0068037A" w:rsidRPr="00633995">
        <w:rPr>
          <w:rFonts w:cs="CMU Serif"/>
          <w:b/>
          <w:bCs/>
        </w:rPr>
        <w:t xml:space="preserve"> Figure </w:t>
      </w:r>
      <w:r w:rsidR="00ED1F3C">
        <w:rPr>
          <w:rFonts w:cs="CMU Serif"/>
          <w:b/>
          <w:bCs/>
        </w:rPr>
        <w:t>C1</w:t>
      </w:r>
      <w:r w:rsidR="0068037A" w:rsidRPr="00633995">
        <w:rPr>
          <w:rFonts w:cs="CMU Serif"/>
          <w:b/>
          <w:bCs/>
        </w:rPr>
        <w:t xml:space="preserve">: in-space placebo </w:t>
      </w:r>
      <w:r w:rsidR="001740C8">
        <w:rPr>
          <w:rFonts w:cs="CMU Serif"/>
          <w:b/>
          <w:bCs/>
        </w:rPr>
        <w:t xml:space="preserve">synthetic control </w:t>
      </w:r>
      <w:r w:rsidR="0068037A" w:rsidRPr="00633995">
        <w:rPr>
          <w:rFonts w:cs="CMU Serif"/>
          <w:b/>
          <w:bCs/>
        </w:rPr>
        <w:t xml:space="preserve">estimates for Argentina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8037A" w:rsidRPr="00633995" w14:paraId="551DBCA6" w14:textId="77777777" w:rsidTr="00B932CD">
        <w:trPr>
          <w:jc w:val="center"/>
        </w:trPr>
        <w:tc>
          <w:tcPr>
            <w:tcW w:w="4508" w:type="dxa"/>
          </w:tcPr>
          <w:p w14:paraId="5D4AEE95" w14:textId="77777777" w:rsidR="0068037A" w:rsidRPr="00633995" w:rsidRDefault="0068037A" w:rsidP="0011538D">
            <w:pPr>
              <w:jc w:val="both"/>
              <w:rPr>
                <w:rFonts w:cs="CMU Serif"/>
                <w:sz w:val="20"/>
                <w:szCs w:val="20"/>
              </w:rPr>
            </w:pPr>
            <w:r w:rsidRPr="00633995">
              <w:t>A: Total digital trade</w:t>
            </w:r>
          </w:p>
        </w:tc>
        <w:tc>
          <w:tcPr>
            <w:tcW w:w="4508" w:type="dxa"/>
          </w:tcPr>
          <w:p w14:paraId="1EAFB0C8" w14:textId="77777777" w:rsidR="0068037A" w:rsidRPr="00633995" w:rsidRDefault="0068037A" w:rsidP="0011538D">
            <w:pPr>
              <w:jc w:val="both"/>
              <w:rPr>
                <w:rFonts w:cs="CMU Serif"/>
                <w:sz w:val="20"/>
                <w:szCs w:val="20"/>
              </w:rPr>
            </w:pPr>
            <w:r w:rsidRPr="00633995">
              <w:t>B: Digital trade to adequate countries</w:t>
            </w:r>
          </w:p>
        </w:tc>
      </w:tr>
      <w:tr w:rsidR="0068037A" w:rsidRPr="00633995" w14:paraId="0121D058" w14:textId="77777777" w:rsidTr="00B932CD">
        <w:trPr>
          <w:jc w:val="center"/>
        </w:trPr>
        <w:tc>
          <w:tcPr>
            <w:tcW w:w="4508" w:type="dxa"/>
          </w:tcPr>
          <w:p w14:paraId="70DB1DE5" w14:textId="1C1049BB" w:rsidR="0068037A" w:rsidRPr="00633995" w:rsidRDefault="0068037A" w:rsidP="0011538D">
            <w:pPr>
              <w:jc w:val="both"/>
              <w:rPr>
                <w:rFonts w:cs="CMU Serif"/>
                <w:sz w:val="20"/>
                <w:szCs w:val="20"/>
              </w:rPr>
            </w:pPr>
            <w:r w:rsidRPr="00513BF1">
              <w:rPr>
                <w:noProof/>
                <w14:ligatures w14:val="standardContextual"/>
              </w:rPr>
              <w:drawing>
                <wp:inline distT="0" distB="0" distL="0" distR="0" wp14:anchorId="37E9489A" wp14:editId="5583D87F">
                  <wp:extent cx="2430126" cy="1620000"/>
                  <wp:effectExtent l="0" t="0" r="0" b="5715"/>
                  <wp:docPr id="455299440" name="Immagine 2" descr="Immagine che contiene testo, Diagramma, diagramm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299440" name="Immagine 2" descr="Immagine che contiene testo, Diagramma, diagramma, linea&#10;&#10;Descrizione generata automaticament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c>
          <w:tcPr>
            <w:tcW w:w="4508" w:type="dxa"/>
          </w:tcPr>
          <w:p w14:paraId="2116C21F" w14:textId="120E1116" w:rsidR="0068037A" w:rsidRPr="00633995" w:rsidRDefault="0068037A" w:rsidP="0011538D">
            <w:pPr>
              <w:jc w:val="both"/>
              <w:rPr>
                <w:rFonts w:cs="CMU Serif"/>
                <w:sz w:val="20"/>
                <w:szCs w:val="20"/>
              </w:rPr>
            </w:pPr>
            <w:r w:rsidRPr="00513BF1">
              <w:rPr>
                <w:noProof/>
                <w14:ligatures w14:val="standardContextual"/>
              </w:rPr>
              <w:drawing>
                <wp:inline distT="0" distB="0" distL="0" distR="0" wp14:anchorId="40B22846" wp14:editId="07D37032">
                  <wp:extent cx="2430126" cy="1620000"/>
                  <wp:effectExtent l="0" t="0" r="0" b="5715"/>
                  <wp:docPr id="1135958552" name="Immagine 4" descr="Immagine che contiene testo, diagramma, Diagramm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58552" name="Immagine 4" descr="Immagine che contiene testo, diagramma, Diagramma, linea&#10;&#10;Descrizione generata automaticament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r>
      <w:tr w:rsidR="0068037A" w:rsidRPr="00633995" w14:paraId="6CB7064D" w14:textId="77777777" w:rsidTr="00B932CD">
        <w:trPr>
          <w:jc w:val="center"/>
        </w:trPr>
        <w:tc>
          <w:tcPr>
            <w:tcW w:w="4508" w:type="dxa"/>
          </w:tcPr>
          <w:p w14:paraId="09427279" w14:textId="3EE0A6E5" w:rsidR="0068037A" w:rsidRPr="00633995" w:rsidRDefault="0068037A" w:rsidP="0011538D">
            <w:pPr>
              <w:jc w:val="both"/>
              <w:rPr>
                <w:rFonts w:cs="CMU Serif"/>
                <w:sz w:val="20"/>
                <w:szCs w:val="20"/>
              </w:rPr>
            </w:pPr>
            <w:r w:rsidRPr="00633995">
              <w:t>C: Digital trade to the US</w:t>
            </w:r>
          </w:p>
        </w:tc>
        <w:tc>
          <w:tcPr>
            <w:tcW w:w="4508" w:type="dxa"/>
          </w:tcPr>
          <w:p w14:paraId="552E4FC4" w14:textId="0F82CE12" w:rsidR="0068037A" w:rsidRPr="00633995" w:rsidRDefault="0068037A" w:rsidP="0011538D">
            <w:pPr>
              <w:jc w:val="both"/>
              <w:rPr>
                <w:rFonts w:cs="CMU Serif"/>
                <w:sz w:val="20"/>
                <w:szCs w:val="20"/>
              </w:rPr>
            </w:pPr>
            <w:r w:rsidRPr="00633995">
              <w:t>D: Digital trade to adequate (excl. the US)</w:t>
            </w:r>
          </w:p>
        </w:tc>
      </w:tr>
      <w:tr w:rsidR="0068037A" w:rsidRPr="00633995" w14:paraId="6A5B53B3" w14:textId="77777777" w:rsidTr="00B932CD">
        <w:trPr>
          <w:jc w:val="center"/>
        </w:trPr>
        <w:tc>
          <w:tcPr>
            <w:tcW w:w="4508" w:type="dxa"/>
          </w:tcPr>
          <w:p w14:paraId="4479B660" w14:textId="104A6299" w:rsidR="0068037A" w:rsidRPr="00633995" w:rsidRDefault="0068037A" w:rsidP="0011538D">
            <w:pPr>
              <w:jc w:val="both"/>
              <w:rPr>
                <w:rFonts w:cs="CMU Serif"/>
                <w:sz w:val="20"/>
                <w:szCs w:val="20"/>
              </w:rPr>
            </w:pPr>
            <w:r w:rsidRPr="00513BF1">
              <w:rPr>
                <w:noProof/>
                <w14:ligatures w14:val="standardContextual"/>
              </w:rPr>
              <w:drawing>
                <wp:inline distT="0" distB="0" distL="0" distR="0" wp14:anchorId="10B52FE6" wp14:editId="70A86910">
                  <wp:extent cx="2430126" cy="1620000"/>
                  <wp:effectExtent l="0" t="0" r="0" b="5715"/>
                  <wp:docPr id="649232402" name="Immagine 6"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232402" name="Immagine 6" descr="Immagine che contiene testo, diagramma, linea, Diagramma&#10;&#10;Descrizione generata automaticament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c>
          <w:tcPr>
            <w:tcW w:w="4508" w:type="dxa"/>
          </w:tcPr>
          <w:p w14:paraId="0C566B34" w14:textId="1BB2010E" w:rsidR="0068037A" w:rsidRPr="00633995" w:rsidRDefault="0068037A" w:rsidP="0011538D">
            <w:pPr>
              <w:jc w:val="both"/>
              <w:rPr>
                <w:rFonts w:cs="CMU Serif"/>
                <w:sz w:val="20"/>
                <w:szCs w:val="20"/>
              </w:rPr>
            </w:pPr>
            <w:r w:rsidRPr="00513BF1">
              <w:rPr>
                <w:noProof/>
                <w14:ligatures w14:val="standardContextual"/>
              </w:rPr>
              <w:drawing>
                <wp:inline distT="0" distB="0" distL="0" distR="0" wp14:anchorId="16DF26B8" wp14:editId="34B3CC11">
                  <wp:extent cx="2430126" cy="1620000"/>
                  <wp:effectExtent l="0" t="0" r="0" b="5715"/>
                  <wp:docPr id="568705533" name="Immagine 8" descr="Immagine che contiene testo, linea, Diagramm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705533" name="Immagine 8" descr="Immagine che contiene testo, linea, Diagramma, diagramma&#10;&#10;Descrizione generata automaticament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r>
    </w:tbl>
    <w:p w14:paraId="4CA6E181" w14:textId="16DBA8D4" w:rsidR="0068037A" w:rsidRPr="00633995" w:rsidRDefault="0068037A" w:rsidP="0011538D">
      <w:pPr>
        <w:jc w:val="both"/>
        <w:rPr>
          <w:rFonts w:cs="CMU Serif"/>
          <w:sz w:val="20"/>
          <w:szCs w:val="20"/>
        </w:rPr>
      </w:pPr>
      <w:r w:rsidRPr="00633995">
        <w:rPr>
          <w:rFonts w:cs="CMU Serif"/>
          <w:sz w:val="20"/>
          <w:szCs w:val="20"/>
        </w:rPr>
        <w:t xml:space="preserve">Note: </w:t>
      </w:r>
      <w:r w:rsidR="00455074">
        <w:rPr>
          <w:rFonts w:cs="CMU Serif"/>
          <w:sz w:val="20"/>
          <w:szCs w:val="20"/>
        </w:rPr>
        <w:t>O</w:t>
      </w:r>
      <w:r w:rsidRPr="00633995">
        <w:rPr>
          <w:rFonts w:cs="CMU Serif"/>
          <w:sz w:val="20"/>
          <w:szCs w:val="20"/>
        </w:rPr>
        <w:t xml:space="preserve">utcome variable is </w:t>
      </w:r>
      <w:r w:rsidR="00455074">
        <w:rPr>
          <w:rFonts w:cs="CMU Serif"/>
          <w:sz w:val="20"/>
          <w:szCs w:val="20"/>
        </w:rPr>
        <w:t xml:space="preserve">the narrow definition of </w:t>
      </w:r>
      <w:r w:rsidRPr="00633995">
        <w:rPr>
          <w:rFonts w:cs="CMU Serif"/>
          <w:sz w:val="20"/>
          <w:szCs w:val="20"/>
        </w:rPr>
        <w:t xml:space="preserve">digital trade as </w:t>
      </w:r>
      <w:r w:rsidR="00455074">
        <w:rPr>
          <w:rFonts w:cs="CMU Serif"/>
          <w:sz w:val="20"/>
          <w:szCs w:val="20"/>
        </w:rPr>
        <w:t xml:space="preserve">defined </w:t>
      </w:r>
      <w:r w:rsidR="00204F0D" w:rsidRPr="00633995">
        <w:rPr>
          <w:rFonts w:cs="CMU Serif"/>
          <w:sz w:val="20"/>
          <w:szCs w:val="20"/>
        </w:rPr>
        <w:t xml:space="preserve">in </w:t>
      </w:r>
      <w:r w:rsidR="00022B1B" w:rsidRPr="00633995">
        <w:rPr>
          <w:rFonts w:cs="CMU Serif"/>
          <w:sz w:val="20"/>
          <w:szCs w:val="20"/>
        </w:rPr>
        <w:t>Appendix</w:t>
      </w:r>
      <w:r w:rsidR="00204F0D" w:rsidRPr="00633995">
        <w:rPr>
          <w:rFonts w:cs="CMU Serif"/>
          <w:sz w:val="20"/>
          <w:szCs w:val="20"/>
        </w:rPr>
        <w:t xml:space="preserve"> Table </w:t>
      </w:r>
      <w:r w:rsidR="00625541" w:rsidRPr="00633995">
        <w:rPr>
          <w:rFonts w:cs="CMU Serif"/>
          <w:sz w:val="20"/>
          <w:szCs w:val="20"/>
        </w:rPr>
        <w:t>A</w:t>
      </w:r>
      <w:r w:rsidR="00D961BE">
        <w:rPr>
          <w:rFonts w:cs="CMU Serif"/>
          <w:sz w:val="20"/>
          <w:szCs w:val="20"/>
        </w:rPr>
        <w:t>5</w:t>
      </w:r>
      <w:r w:rsidR="00204F0D" w:rsidRPr="00633995">
        <w:rPr>
          <w:rFonts w:cs="CMU Serif"/>
          <w:sz w:val="20"/>
          <w:szCs w:val="20"/>
        </w:rPr>
        <w:t>.</w:t>
      </w:r>
    </w:p>
    <w:p w14:paraId="0768741D" w14:textId="1767916F" w:rsidR="00455074" w:rsidRDefault="00455074">
      <w:pPr>
        <w:rPr>
          <w:rFonts w:cs="CMU Serif"/>
          <w:b/>
          <w:bCs/>
        </w:rPr>
      </w:pPr>
    </w:p>
    <w:p w14:paraId="45465932" w14:textId="1D644E2D" w:rsidR="0068037A" w:rsidRPr="00633995" w:rsidRDefault="00022B1B" w:rsidP="0011538D">
      <w:pPr>
        <w:jc w:val="both"/>
        <w:rPr>
          <w:rFonts w:cs="CMU Serif"/>
          <w:b/>
          <w:bCs/>
        </w:rPr>
      </w:pPr>
      <w:r w:rsidRPr="00633995">
        <w:rPr>
          <w:rFonts w:cs="CMU Serif"/>
          <w:b/>
          <w:bCs/>
        </w:rPr>
        <w:t>Appendix</w:t>
      </w:r>
      <w:r w:rsidR="0068037A" w:rsidRPr="00633995">
        <w:rPr>
          <w:rFonts w:cs="CMU Serif"/>
          <w:b/>
          <w:bCs/>
        </w:rPr>
        <w:t xml:space="preserve"> Figure </w:t>
      </w:r>
      <w:r w:rsidR="00ED1F3C">
        <w:rPr>
          <w:rFonts w:cs="CMU Serif"/>
          <w:b/>
          <w:bCs/>
        </w:rPr>
        <w:t>C2</w:t>
      </w:r>
      <w:r w:rsidR="0068037A" w:rsidRPr="00633995">
        <w:rPr>
          <w:rFonts w:cs="CMU Serif"/>
          <w:b/>
          <w:bCs/>
        </w:rPr>
        <w:t xml:space="preserve">: in-space placebo </w:t>
      </w:r>
      <w:r w:rsidR="001740C8">
        <w:rPr>
          <w:rFonts w:cs="CMU Serif"/>
          <w:b/>
          <w:bCs/>
        </w:rPr>
        <w:t>synthetic control</w:t>
      </w:r>
      <w:r w:rsidR="0068037A" w:rsidRPr="00633995">
        <w:rPr>
          <w:rFonts w:cs="CMU Serif"/>
          <w:b/>
          <w:bCs/>
        </w:rPr>
        <w:t xml:space="preserve"> estimates for New Zealand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8037A" w:rsidRPr="00633995" w14:paraId="1631A0DC" w14:textId="77777777" w:rsidTr="00B932CD">
        <w:trPr>
          <w:jc w:val="center"/>
        </w:trPr>
        <w:tc>
          <w:tcPr>
            <w:tcW w:w="4508" w:type="dxa"/>
          </w:tcPr>
          <w:p w14:paraId="36D8A297" w14:textId="77777777" w:rsidR="0068037A" w:rsidRPr="00633995" w:rsidRDefault="0068037A" w:rsidP="0011538D">
            <w:pPr>
              <w:jc w:val="both"/>
              <w:rPr>
                <w:rFonts w:cs="CMU Serif"/>
                <w:sz w:val="20"/>
                <w:szCs w:val="20"/>
              </w:rPr>
            </w:pPr>
            <w:r w:rsidRPr="00633995">
              <w:t>A: Total digital trade</w:t>
            </w:r>
          </w:p>
        </w:tc>
        <w:tc>
          <w:tcPr>
            <w:tcW w:w="4508" w:type="dxa"/>
          </w:tcPr>
          <w:p w14:paraId="2FE24303" w14:textId="77777777" w:rsidR="0068037A" w:rsidRPr="00633995" w:rsidRDefault="0068037A" w:rsidP="0011538D">
            <w:pPr>
              <w:jc w:val="both"/>
              <w:rPr>
                <w:rFonts w:cs="CMU Serif"/>
                <w:sz w:val="20"/>
                <w:szCs w:val="20"/>
              </w:rPr>
            </w:pPr>
            <w:r w:rsidRPr="00633995">
              <w:t>B: Digital trade to adequate countries</w:t>
            </w:r>
          </w:p>
        </w:tc>
      </w:tr>
      <w:tr w:rsidR="0068037A" w:rsidRPr="00633995" w14:paraId="4B2886EF" w14:textId="77777777" w:rsidTr="00B932CD">
        <w:trPr>
          <w:jc w:val="center"/>
        </w:trPr>
        <w:tc>
          <w:tcPr>
            <w:tcW w:w="4508" w:type="dxa"/>
          </w:tcPr>
          <w:p w14:paraId="08F4D870" w14:textId="51933F30" w:rsidR="0068037A" w:rsidRPr="00633995" w:rsidRDefault="009F7C96" w:rsidP="0011538D">
            <w:pPr>
              <w:jc w:val="both"/>
              <w:rPr>
                <w:rFonts w:cs="CMU Serif"/>
                <w:sz w:val="20"/>
                <w:szCs w:val="20"/>
              </w:rPr>
            </w:pPr>
            <w:r w:rsidRPr="00513BF1">
              <w:rPr>
                <w:noProof/>
                <w14:ligatures w14:val="standardContextual"/>
              </w:rPr>
              <w:drawing>
                <wp:inline distT="0" distB="0" distL="0" distR="0" wp14:anchorId="18EBE789" wp14:editId="1A291267">
                  <wp:extent cx="2430000" cy="1619916"/>
                  <wp:effectExtent l="0" t="0" r="0" b="5715"/>
                  <wp:docPr id="44396034" name="Immagine 10" descr="Immagine che contiene linea, diagramma, testo,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96034" name="Immagine 10" descr="Immagine che contiene linea, diagramma, testo, Diagramma&#10;&#10;Descrizione generata automaticament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30000" cy="1619916"/>
                          </a:xfrm>
                          <a:prstGeom prst="rect">
                            <a:avLst/>
                          </a:prstGeom>
                        </pic:spPr>
                      </pic:pic>
                    </a:graphicData>
                  </a:graphic>
                </wp:inline>
              </w:drawing>
            </w:r>
          </w:p>
        </w:tc>
        <w:tc>
          <w:tcPr>
            <w:tcW w:w="4508" w:type="dxa"/>
          </w:tcPr>
          <w:p w14:paraId="3420033A" w14:textId="19D08747" w:rsidR="0068037A" w:rsidRPr="00633995" w:rsidRDefault="009F7C96" w:rsidP="0011538D">
            <w:pPr>
              <w:jc w:val="both"/>
              <w:rPr>
                <w:rFonts w:cs="CMU Serif"/>
                <w:sz w:val="20"/>
                <w:szCs w:val="20"/>
              </w:rPr>
            </w:pPr>
            <w:r w:rsidRPr="00513BF1">
              <w:rPr>
                <w:noProof/>
                <w14:ligatures w14:val="standardContextual"/>
              </w:rPr>
              <w:drawing>
                <wp:inline distT="0" distB="0" distL="0" distR="0" wp14:anchorId="6FE2639D" wp14:editId="3287ADF3">
                  <wp:extent cx="2430126" cy="1620000"/>
                  <wp:effectExtent l="0" t="0" r="0" b="5715"/>
                  <wp:docPr id="8706293" name="Immagine 14"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6293" name="Immagine 14" descr="Immagine che contiene testo, diagramma, linea, Diagramma&#10;&#10;Descrizione generata automaticament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r>
      <w:tr w:rsidR="0068037A" w:rsidRPr="00633995" w14:paraId="4830A43B" w14:textId="77777777" w:rsidTr="00B932CD">
        <w:trPr>
          <w:jc w:val="center"/>
        </w:trPr>
        <w:tc>
          <w:tcPr>
            <w:tcW w:w="4508" w:type="dxa"/>
          </w:tcPr>
          <w:p w14:paraId="6CCD67DF" w14:textId="2D08BACE" w:rsidR="0068037A" w:rsidRPr="00633995" w:rsidRDefault="0068037A" w:rsidP="0011538D">
            <w:pPr>
              <w:jc w:val="both"/>
              <w:rPr>
                <w:rFonts w:cs="CMU Serif"/>
                <w:sz w:val="20"/>
                <w:szCs w:val="20"/>
              </w:rPr>
            </w:pPr>
            <w:r w:rsidRPr="00633995">
              <w:t>C: Digital trade to the US</w:t>
            </w:r>
          </w:p>
        </w:tc>
        <w:tc>
          <w:tcPr>
            <w:tcW w:w="4508" w:type="dxa"/>
          </w:tcPr>
          <w:p w14:paraId="1F16C92E" w14:textId="076E2416" w:rsidR="0068037A" w:rsidRPr="00633995" w:rsidRDefault="0068037A" w:rsidP="0011538D">
            <w:pPr>
              <w:jc w:val="both"/>
              <w:rPr>
                <w:rFonts w:cs="CMU Serif"/>
                <w:sz w:val="20"/>
                <w:szCs w:val="20"/>
              </w:rPr>
            </w:pPr>
            <w:r w:rsidRPr="00633995">
              <w:t>D: Digital trade to adequate (excl. the US)</w:t>
            </w:r>
          </w:p>
        </w:tc>
      </w:tr>
      <w:tr w:rsidR="0068037A" w:rsidRPr="00633995" w14:paraId="3E834099" w14:textId="77777777" w:rsidTr="00B932CD">
        <w:trPr>
          <w:jc w:val="center"/>
        </w:trPr>
        <w:tc>
          <w:tcPr>
            <w:tcW w:w="4508" w:type="dxa"/>
          </w:tcPr>
          <w:p w14:paraId="0D193FF5" w14:textId="3A6F840E" w:rsidR="0068037A" w:rsidRPr="00633995" w:rsidRDefault="009F7C96" w:rsidP="0011538D">
            <w:pPr>
              <w:jc w:val="both"/>
              <w:rPr>
                <w:rFonts w:cs="CMU Serif"/>
                <w:sz w:val="20"/>
                <w:szCs w:val="20"/>
              </w:rPr>
            </w:pPr>
            <w:r w:rsidRPr="00513BF1">
              <w:rPr>
                <w:noProof/>
                <w14:ligatures w14:val="standardContextual"/>
              </w:rPr>
              <w:drawing>
                <wp:inline distT="0" distB="0" distL="0" distR="0" wp14:anchorId="6329D431" wp14:editId="56B32B0E">
                  <wp:extent cx="2430126" cy="1620000"/>
                  <wp:effectExtent l="0" t="0" r="0" b="5715"/>
                  <wp:docPr id="920131566" name="Immagine 15" descr="Immagine che contiene testo, linea, diagramm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131566" name="Immagine 15" descr="Immagine che contiene testo, linea, diagramma, Diagramma&#10;&#10;Descrizione generata automa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c>
          <w:tcPr>
            <w:tcW w:w="4508" w:type="dxa"/>
          </w:tcPr>
          <w:p w14:paraId="1CB74949" w14:textId="1E8954DF" w:rsidR="0068037A" w:rsidRPr="00633995" w:rsidRDefault="009F7C96" w:rsidP="0011538D">
            <w:pPr>
              <w:jc w:val="both"/>
              <w:rPr>
                <w:rFonts w:cs="CMU Serif"/>
                <w:sz w:val="20"/>
                <w:szCs w:val="20"/>
              </w:rPr>
            </w:pPr>
            <w:r w:rsidRPr="00513BF1">
              <w:rPr>
                <w:noProof/>
                <w14:ligatures w14:val="standardContextual"/>
              </w:rPr>
              <w:drawing>
                <wp:inline distT="0" distB="0" distL="0" distR="0" wp14:anchorId="1589BBD1" wp14:editId="38C0C786">
                  <wp:extent cx="2430126" cy="1620000"/>
                  <wp:effectExtent l="0" t="0" r="0" b="5715"/>
                  <wp:docPr id="740885949" name="Immagine 16" descr="Immagine che contiene testo, diagramma, schermat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885949" name="Immagine 16" descr="Immagine che contiene testo, diagramma, schermata, linea&#10;&#10;Descrizione generata automaticament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r>
    </w:tbl>
    <w:p w14:paraId="0F576DA1" w14:textId="77777777" w:rsidR="00455074" w:rsidRPr="00633995" w:rsidRDefault="00455074" w:rsidP="00455074">
      <w:pPr>
        <w:jc w:val="both"/>
        <w:rPr>
          <w:rFonts w:cs="CMU Serif"/>
          <w:sz w:val="20"/>
          <w:szCs w:val="20"/>
        </w:rPr>
      </w:pPr>
      <w:r w:rsidRPr="00633995">
        <w:rPr>
          <w:rFonts w:cs="CMU Serif"/>
          <w:sz w:val="20"/>
          <w:szCs w:val="20"/>
        </w:rPr>
        <w:t xml:space="preserve">Note: </w:t>
      </w:r>
      <w:r>
        <w:rPr>
          <w:rFonts w:cs="CMU Serif"/>
          <w:sz w:val="20"/>
          <w:szCs w:val="20"/>
        </w:rPr>
        <w:t>O</w:t>
      </w:r>
      <w:r w:rsidRPr="00633995">
        <w:rPr>
          <w:rFonts w:cs="CMU Serif"/>
          <w:sz w:val="20"/>
          <w:szCs w:val="20"/>
        </w:rPr>
        <w:t xml:space="preserve">utcome variable is </w:t>
      </w:r>
      <w:r>
        <w:rPr>
          <w:rFonts w:cs="CMU Serif"/>
          <w:sz w:val="20"/>
          <w:szCs w:val="20"/>
        </w:rPr>
        <w:t xml:space="preserve">the narrow definition of </w:t>
      </w:r>
      <w:r w:rsidRPr="00633995">
        <w:rPr>
          <w:rFonts w:cs="CMU Serif"/>
          <w:sz w:val="20"/>
          <w:szCs w:val="20"/>
        </w:rPr>
        <w:t xml:space="preserve">digital trade as </w:t>
      </w:r>
      <w:r>
        <w:rPr>
          <w:rFonts w:cs="CMU Serif"/>
          <w:sz w:val="20"/>
          <w:szCs w:val="20"/>
        </w:rPr>
        <w:t xml:space="preserve">defined </w:t>
      </w:r>
      <w:r w:rsidRPr="00633995">
        <w:rPr>
          <w:rFonts w:cs="CMU Serif"/>
          <w:sz w:val="20"/>
          <w:szCs w:val="20"/>
        </w:rPr>
        <w:t>in Appendix Table A</w:t>
      </w:r>
      <w:r>
        <w:rPr>
          <w:rFonts w:cs="CMU Serif"/>
          <w:sz w:val="20"/>
          <w:szCs w:val="20"/>
        </w:rPr>
        <w:t>5</w:t>
      </w:r>
      <w:r w:rsidRPr="00633995">
        <w:rPr>
          <w:rFonts w:cs="CMU Serif"/>
          <w:sz w:val="20"/>
          <w:szCs w:val="20"/>
        </w:rPr>
        <w:t>.</w:t>
      </w:r>
    </w:p>
    <w:p w14:paraId="29329ADF" w14:textId="4ACFDD7D" w:rsidR="00674D97" w:rsidRPr="00633995" w:rsidRDefault="00674D97" w:rsidP="0011538D">
      <w:pPr>
        <w:jc w:val="both"/>
        <w:rPr>
          <w:rFonts w:cs="CMU Serif"/>
        </w:rPr>
      </w:pPr>
    </w:p>
    <w:p w14:paraId="2D5A5B9C" w14:textId="31A0FD77" w:rsidR="00CA1056" w:rsidRPr="00633995" w:rsidRDefault="00022B1B" w:rsidP="0011538D">
      <w:pPr>
        <w:jc w:val="both"/>
        <w:rPr>
          <w:rFonts w:cs="CMU Serif"/>
          <w:b/>
          <w:bCs/>
        </w:rPr>
      </w:pPr>
      <w:r w:rsidRPr="00633995">
        <w:rPr>
          <w:rFonts w:cs="CMU Serif"/>
          <w:b/>
          <w:bCs/>
        </w:rPr>
        <w:lastRenderedPageBreak/>
        <w:t>Appendix</w:t>
      </w:r>
      <w:r w:rsidR="00CA1056" w:rsidRPr="00633995">
        <w:rPr>
          <w:rFonts w:cs="CMU Serif"/>
          <w:b/>
          <w:bCs/>
        </w:rPr>
        <w:t xml:space="preserve"> Figure </w:t>
      </w:r>
      <w:r w:rsidR="00ED1F3C">
        <w:rPr>
          <w:rFonts w:cs="CMU Serif"/>
          <w:b/>
          <w:bCs/>
        </w:rPr>
        <w:t>C3</w:t>
      </w:r>
      <w:r w:rsidR="00CA1056" w:rsidRPr="00633995">
        <w:rPr>
          <w:rFonts w:cs="CMU Serif"/>
          <w:b/>
          <w:bCs/>
        </w:rPr>
        <w:t xml:space="preserve">: in-space placebo </w:t>
      </w:r>
      <w:r w:rsidR="001740C8">
        <w:rPr>
          <w:rFonts w:cs="CMU Serif"/>
          <w:b/>
          <w:bCs/>
        </w:rPr>
        <w:t xml:space="preserve">synthetic control </w:t>
      </w:r>
      <w:r w:rsidR="00CA1056" w:rsidRPr="00633995">
        <w:rPr>
          <w:rFonts w:cs="CMU Serif"/>
          <w:b/>
          <w:bCs/>
        </w:rPr>
        <w:t xml:space="preserve">estimates for </w:t>
      </w:r>
      <w:r w:rsidR="00D8589F" w:rsidRPr="00633995">
        <w:rPr>
          <w:rFonts w:cs="CMU Serif"/>
          <w:b/>
          <w:bCs/>
        </w:rPr>
        <w:t>Israel</w:t>
      </w:r>
      <w:r w:rsidR="00CA1056" w:rsidRPr="00633995">
        <w:rPr>
          <w:rFonts w:cs="CMU Serif"/>
          <w:b/>
          <w:bCs/>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A1056" w:rsidRPr="00633995" w14:paraId="307F280F" w14:textId="77777777" w:rsidTr="00B932CD">
        <w:trPr>
          <w:jc w:val="center"/>
        </w:trPr>
        <w:tc>
          <w:tcPr>
            <w:tcW w:w="4508" w:type="dxa"/>
          </w:tcPr>
          <w:p w14:paraId="7E792864" w14:textId="77777777" w:rsidR="00CA1056" w:rsidRPr="00633995" w:rsidRDefault="00CA1056" w:rsidP="0011538D">
            <w:pPr>
              <w:jc w:val="both"/>
              <w:rPr>
                <w:rFonts w:cs="CMU Serif"/>
                <w:sz w:val="20"/>
                <w:szCs w:val="20"/>
              </w:rPr>
            </w:pPr>
            <w:r w:rsidRPr="00633995">
              <w:t>A: Total digital trade</w:t>
            </w:r>
          </w:p>
        </w:tc>
        <w:tc>
          <w:tcPr>
            <w:tcW w:w="4508" w:type="dxa"/>
          </w:tcPr>
          <w:p w14:paraId="090F716D" w14:textId="77777777" w:rsidR="00CA1056" w:rsidRPr="00633995" w:rsidRDefault="00CA1056" w:rsidP="0011538D">
            <w:pPr>
              <w:jc w:val="both"/>
              <w:rPr>
                <w:rFonts w:cs="CMU Serif"/>
                <w:sz w:val="20"/>
                <w:szCs w:val="20"/>
              </w:rPr>
            </w:pPr>
            <w:r w:rsidRPr="00633995">
              <w:t>B: Digital trade to adequate countries</w:t>
            </w:r>
          </w:p>
        </w:tc>
      </w:tr>
      <w:tr w:rsidR="00CA1056" w:rsidRPr="00633995" w14:paraId="3F1BB2A3" w14:textId="77777777" w:rsidTr="00B932CD">
        <w:trPr>
          <w:jc w:val="center"/>
        </w:trPr>
        <w:tc>
          <w:tcPr>
            <w:tcW w:w="4508" w:type="dxa"/>
          </w:tcPr>
          <w:p w14:paraId="1930898A" w14:textId="71449B5A" w:rsidR="00CA1056" w:rsidRPr="00633995" w:rsidRDefault="00CA1056" w:rsidP="0011538D">
            <w:pPr>
              <w:jc w:val="both"/>
              <w:rPr>
                <w:rFonts w:cs="CMU Serif"/>
                <w:sz w:val="20"/>
                <w:szCs w:val="20"/>
              </w:rPr>
            </w:pPr>
            <w:r w:rsidRPr="00513BF1">
              <w:rPr>
                <w:b/>
                <w:bCs/>
                <w:noProof/>
                <w14:ligatures w14:val="standardContextual"/>
              </w:rPr>
              <w:drawing>
                <wp:inline distT="0" distB="0" distL="0" distR="0" wp14:anchorId="7008B0EC" wp14:editId="5B6E7D10">
                  <wp:extent cx="2430126" cy="1620000"/>
                  <wp:effectExtent l="0" t="0" r="0" b="5715"/>
                  <wp:docPr id="941072680" name="Immagine 21"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72680" name="Immagine 21" descr="Immagine che contiene testo, diagramma, linea, Diagramma&#10;&#10;Descrizione generata automaticament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c>
          <w:tcPr>
            <w:tcW w:w="4508" w:type="dxa"/>
          </w:tcPr>
          <w:p w14:paraId="76192E8C" w14:textId="36BEB2AC" w:rsidR="00CA1056" w:rsidRPr="00633995" w:rsidRDefault="00CA1056" w:rsidP="0011538D">
            <w:pPr>
              <w:jc w:val="both"/>
              <w:rPr>
                <w:rFonts w:cs="CMU Serif"/>
                <w:sz w:val="20"/>
                <w:szCs w:val="20"/>
              </w:rPr>
            </w:pPr>
            <w:r w:rsidRPr="00513BF1">
              <w:rPr>
                <w:noProof/>
                <w14:ligatures w14:val="standardContextual"/>
              </w:rPr>
              <w:drawing>
                <wp:inline distT="0" distB="0" distL="0" distR="0" wp14:anchorId="4CD944A1" wp14:editId="67CDC0E8">
                  <wp:extent cx="2430126" cy="1620000"/>
                  <wp:effectExtent l="0" t="0" r="0" b="5715"/>
                  <wp:docPr id="1410296706" name="Immagine 22"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96706" name="Immagine 22" descr="Immagine che contiene testo, diagramma, linea, Diagramma&#10;&#10;Descrizione generata automaticament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r>
      <w:tr w:rsidR="00CA1056" w:rsidRPr="00633995" w14:paraId="297EC52C" w14:textId="77777777" w:rsidTr="00B932CD">
        <w:trPr>
          <w:jc w:val="center"/>
        </w:trPr>
        <w:tc>
          <w:tcPr>
            <w:tcW w:w="4508" w:type="dxa"/>
          </w:tcPr>
          <w:p w14:paraId="24A0E1C5" w14:textId="54E1B138" w:rsidR="00CA1056" w:rsidRPr="00633995" w:rsidRDefault="00CA1056" w:rsidP="0011538D">
            <w:pPr>
              <w:jc w:val="both"/>
              <w:rPr>
                <w:rFonts w:cs="CMU Serif"/>
                <w:sz w:val="20"/>
                <w:szCs w:val="20"/>
              </w:rPr>
            </w:pPr>
            <w:r w:rsidRPr="00633995">
              <w:t>C: Digital trade to the US</w:t>
            </w:r>
          </w:p>
        </w:tc>
        <w:tc>
          <w:tcPr>
            <w:tcW w:w="4508" w:type="dxa"/>
          </w:tcPr>
          <w:p w14:paraId="4B021224" w14:textId="6C2B43E4" w:rsidR="00CA1056" w:rsidRPr="00633995" w:rsidRDefault="00CA1056" w:rsidP="0011538D">
            <w:pPr>
              <w:jc w:val="both"/>
              <w:rPr>
                <w:rFonts w:cs="CMU Serif"/>
                <w:sz w:val="20"/>
                <w:szCs w:val="20"/>
              </w:rPr>
            </w:pPr>
            <w:r w:rsidRPr="00633995">
              <w:t>D: Digital trade to adequate (excl. the US)</w:t>
            </w:r>
          </w:p>
        </w:tc>
      </w:tr>
      <w:tr w:rsidR="00CA1056" w:rsidRPr="00633995" w14:paraId="2B681621" w14:textId="77777777" w:rsidTr="00B932CD">
        <w:trPr>
          <w:jc w:val="center"/>
        </w:trPr>
        <w:tc>
          <w:tcPr>
            <w:tcW w:w="4508" w:type="dxa"/>
          </w:tcPr>
          <w:p w14:paraId="7F5EF781" w14:textId="6340EB74" w:rsidR="00CA1056" w:rsidRPr="00633995" w:rsidRDefault="00CA1056" w:rsidP="0011538D">
            <w:pPr>
              <w:jc w:val="both"/>
              <w:rPr>
                <w:rFonts w:cs="CMU Serif"/>
                <w:sz w:val="20"/>
                <w:szCs w:val="20"/>
              </w:rPr>
            </w:pPr>
            <w:r w:rsidRPr="00513BF1">
              <w:rPr>
                <w:noProof/>
                <w14:ligatures w14:val="standardContextual"/>
              </w:rPr>
              <w:drawing>
                <wp:inline distT="0" distB="0" distL="0" distR="0" wp14:anchorId="4C95AAAD" wp14:editId="488D1790">
                  <wp:extent cx="2430126" cy="1620000"/>
                  <wp:effectExtent l="0" t="0" r="0" b="5715"/>
                  <wp:docPr id="2146529056" name="Immagine 23"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29056" name="Immagine 23" descr="Immagine che contiene testo, diagramma, linea, Diagramma&#10;&#10;Descrizione generata automaticament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c>
          <w:tcPr>
            <w:tcW w:w="4508" w:type="dxa"/>
          </w:tcPr>
          <w:p w14:paraId="794A1DD9" w14:textId="55A3D7F5" w:rsidR="00CA1056" w:rsidRPr="00633995" w:rsidRDefault="00CA1056" w:rsidP="0011538D">
            <w:pPr>
              <w:jc w:val="both"/>
              <w:rPr>
                <w:rFonts w:cs="CMU Serif"/>
                <w:sz w:val="20"/>
                <w:szCs w:val="20"/>
              </w:rPr>
            </w:pPr>
            <w:r w:rsidRPr="00513BF1">
              <w:rPr>
                <w:noProof/>
                <w14:ligatures w14:val="standardContextual"/>
              </w:rPr>
              <w:drawing>
                <wp:inline distT="0" distB="0" distL="0" distR="0" wp14:anchorId="09A0C300" wp14:editId="5872D61E">
                  <wp:extent cx="2430126" cy="1620000"/>
                  <wp:effectExtent l="0" t="0" r="0" b="5715"/>
                  <wp:docPr id="344533214" name="Immagine 24"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533214" name="Immagine 24" descr="Immagine che contiene testo, diagramma, linea, Diagramma&#10;&#10;Descrizione generata automaticament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430126" cy="1620000"/>
                          </a:xfrm>
                          <a:prstGeom prst="rect">
                            <a:avLst/>
                          </a:prstGeom>
                        </pic:spPr>
                      </pic:pic>
                    </a:graphicData>
                  </a:graphic>
                </wp:inline>
              </w:drawing>
            </w:r>
          </w:p>
        </w:tc>
      </w:tr>
    </w:tbl>
    <w:p w14:paraId="61619658" w14:textId="77777777" w:rsidR="00455074" w:rsidRPr="00633995" w:rsidRDefault="00455074" w:rsidP="00455074">
      <w:pPr>
        <w:jc w:val="both"/>
        <w:rPr>
          <w:rFonts w:cs="CMU Serif"/>
          <w:sz w:val="20"/>
          <w:szCs w:val="20"/>
        </w:rPr>
      </w:pPr>
      <w:r w:rsidRPr="00633995">
        <w:rPr>
          <w:rFonts w:cs="CMU Serif"/>
          <w:sz w:val="20"/>
          <w:szCs w:val="20"/>
        </w:rPr>
        <w:t xml:space="preserve">Note: </w:t>
      </w:r>
      <w:r>
        <w:rPr>
          <w:rFonts w:cs="CMU Serif"/>
          <w:sz w:val="20"/>
          <w:szCs w:val="20"/>
        </w:rPr>
        <w:t>O</w:t>
      </w:r>
      <w:r w:rsidRPr="00633995">
        <w:rPr>
          <w:rFonts w:cs="CMU Serif"/>
          <w:sz w:val="20"/>
          <w:szCs w:val="20"/>
        </w:rPr>
        <w:t xml:space="preserve">utcome variable is </w:t>
      </w:r>
      <w:r>
        <w:rPr>
          <w:rFonts w:cs="CMU Serif"/>
          <w:sz w:val="20"/>
          <w:szCs w:val="20"/>
        </w:rPr>
        <w:t xml:space="preserve">the narrow definition of </w:t>
      </w:r>
      <w:r w:rsidRPr="00633995">
        <w:rPr>
          <w:rFonts w:cs="CMU Serif"/>
          <w:sz w:val="20"/>
          <w:szCs w:val="20"/>
        </w:rPr>
        <w:t xml:space="preserve">digital trade as </w:t>
      </w:r>
      <w:r>
        <w:rPr>
          <w:rFonts w:cs="CMU Serif"/>
          <w:sz w:val="20"/>
          <w:szCs w:val="20"/>
        </w:rPr>
        <w:t xml:space="preserve">defined </w:t>
      </w:r>
      <w:r w:rsidRPr="00633995">
        <w:rPr>
          <w:rFonts w:cs="CMU Serif"/>
          <w:sz w:val="20"/>
          <w:szCs w:val="20"/>
        </w:rPr>
        <w:t>in Appendix Table A</w:t>
      </w:r>
      <w:r>
        <w:rPr>
          <w:rFonts w:cs="CMU Serif"/>
          <w:sz w:val="20"/>
          <w:szCs w:val="20"/>
        </w:rPr>
        <w:t>5</w:t>
      </w:r>
      <w:r w:rsidRPr="00633995">
        <w:rPr>
          <w:rFonts w:cs="CMU Serif"/>
          <w:sz w:val="20"/>
          <w:szCs w:val="20"/>
        </w:rPr>
        <w:t>.</w:t>
      </w:r>
    </w:p>
    <w:bookmarkEnd w:id="0"/>
    <w:bookmarkEnd w:id="1"/>
    <w:p w14:paraId="2D263DB3" w14:textId="1DD3BC04" w:rsidR="003234F5" w:rsidRPr="005816DE" w:rsidRDefault="003234F5" w:rsidP="00604F53"/>
    <w:sectPr w:rsidR="003234F5" w:rsidRPr="005816DE" w:rsidSect="003937BE">
      <w:footnotePr>
        <w:numRestart w:val="eachSect"/>
      </w:footnotePr>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A8390" w14:textId="77777777" w:rsidR="00FC617D" w:rsidRPr="00633995" w:rsidRDefault="00FC617D" w:rsidP="00A65275">
      <w:pPr>
        <w:spacing w:after="0" w:line="240" w:lineRule="auto"/>
      </w:pPr>
      <w:r w:rsidRPr="00633995">
        <w:separator/>
      </w:r>
    </w:p>
  </w:endnote>
  <w:endnote w:type="continuationSeparator" w:id="0">
    <w:p w14:paraId="2245CA82" w14:textId="77777777" w:rsidR="00FC617D" w:rsidRPr="00633995" w:rsidRDefault="00FC617D" w:rsidP="00A65275">
      <w:pPr>
        <w:spacing w:after="0" w:line="240" w:lineRule="auto"/>
      </w:pPr>
      <w:r w:rsidRPr="006339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MU Serif">
    <w:altName w:val="Mongolian Baiti"/>
    <w:charset w:val="00"/>
    <w:family w:val="modern"/>
    <w:pitch w:val="variable"/>
    <w:sig w:usb0="E10002FF" w:usb1="5201E9EB" w:usb2="02020004"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95949647"/>
      <w:docPartObj>
        <w:docPartGallery w:val="Page Numbers (Bottom of Page)"/>
        <w:docPartUnique/>
      </w:docPartObj>
    </w:sdtPr>
    <w:sdtContent>
      <w:p w14:paraId="6BAD2743" w14:textId="0F605187" w:rsidR="008358CC" w:rsidRPr="00633995" w:rsidRDefault="008358CC">
        <w:pPr>
          <w:pStyle w:val="Footer"/>
          <w:jc w:val="center"/>
          <w:rPr>
            <w:sz w:val="20"/>
            <w:szCs w:val="20"/>
          </w:rPr>
        </w:pPr>
        <w:r w:rsidRPr="00513BF1">
          <w:rPr>
            <w:sz w:val="20"/>
            <w:szCs w:val="20"/>
          </w:rPr>
          <w:fldChar w:fldCharType="begin"/>
        </w:r>
        <w:r w:rsidRPr="00633995">
          <w:rPr>
            <w:sz w:val="20"/>
            <w:szCs w:val="20"/>
          </w:rPr>
          <w:instrText xml:space="preserve"> PAGE   \* MERGEFORMAT </w:instrText>
        </w:r>
        <w:r w:rsidRPr="00513BF1">
          <w:rPr>
            <w:sz w:val="20"/>
            <w:szCs w:val="20"/>
          </w:rPr>
          <w:fldChar w:fldCharType="separate"/>
        </w:r>
        <w:r w:rsidRPr="00513BF1">
          <w:rPr>
            <w:sz w:val="20"/>
            <w:szCs w:val="20"/>
          </w:rPr>
          <w:t>2</w:t>
        </w:r>
        <w:r w:rsidRPr="00513BF1">
          <w:rPr>
            <w:sz w:val="20"/>
            <w:szCs w:val="20"/>
          </w:rPr>
          <w:fldChar w:fldCharType="end"/>
        </w:r>
      </w:p>
    </w:sdtContent>
  </w:sdt>
  <w:p w14:paraId="04B72BC5" w14:textId="77777777" w:rsidR="008358CC" w:rsidRPr="00633995" w:rsidRDefault="008358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7E546" w14:textId="4468F069" w:rsidR="007D21B3" w:rsidRPr="00633995" w:rsidRDefault="007D21B3">
    <w:pPr>
      <w:pStyle w:val="Footer"/>
      <w:jc w:val="center"/>
    </w:pPr>
  </w:p>
  <w:p w14:paraId="6B15DE34" w14:textId="77777777" w:rsidR="00021C69" w:rsidRPr="00633995" w:rsidRDefault="00021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6C074" w14:textId="77777777" w:rsidR="00FC617D" w:rsidRPr="00633995" w:rsidRDefault="00FC617D" w:rsidP="00A65275">
      <w:pPr>
        <w:spacing w:after="0" w:line="240" w:lineRule="auto"/>
      </w:pPr>
      <w:r w:rsidRPr="00633995">
        <w:separator/>
      </w:r>
    </w:p>
  </w:footnote>
  <w:footnote w:type="continuationSeparator" w:id="0">
    <w:p w14:paraId="32D61B45" w14:textId="77777777" w:rsidR="00FC617D" w:rsidRPr="00633995" w:rsidRDefault="00FC617D" w:rsidP="00A65275">
      <w:pPr>
        <w:spacing w:after="0" w:line="240" w:lineRule="auto"/>
      </w:pPr>
      <w:r w:rsidRPr="00633995">
        <w:continuationSeparator/>
      </w:r>
    </w:p>
  </w:footnote>
  <w:footnote w:id="1">
    <w:p w14:paraId="76264E08" w14:textId="5BBE923B" w:rsidR="00A65275" w:rsidRPr="00633995" w:rsidRDefault="00A65275" w:rsidP="0011538D">
      <w:pPr>
        <w:pStyle w:val="FootnoteText"/>
        <w:jc w:val="both"/>
      </w:pPr>
      <w:r w:rsidRPr="00633995">
        <w:rPr>
          <w:rStyle w:val="FootnoteReference"/>
        </w:rPr>
        <w:footnoteRef/>
      </w:r>
      <w:r w:rsidRPr="00633995">
        <w:t xml:space="preserve"> </w:t>
      </w:r>
      <w:r w:rsidR="006C62E2">
        <w:t>Email</w:t>
      </w:r>
      <w:r w:rsidR="008261EC">
        <w:t xml:space="preserve"> addresses</w:t>
      </w:r>
      <w:r w:rsidR="006C62E2">
        <w:t xml:space="preserve">: </w:t>
      </w:r>
      <w:hyperlink r:id="rId1" w:history="1">
        <w:r w:rsidR="006C62E2" w:rsidRPr="009F156D">
          <w:rPr>
            <w:rStyle w:val="Hyperlink"/>
          </w:rPr>
          <w:t>Bernard.hoekman@eui.eu</w:t>
        </w:r>
      </w:hyperlink>
      <w:r w:rsidR="006C62E2">
        <w:t xml:space="preserve">; </w:t>
      </w:r>
      <w:hyperlink r:id="rId2" w:history="1">
        <w:r w:rsidR="00F63CA9" w:rsidRPr="009F156D">
          <w:rPr>
            <w:rStyle w:val="Hyperlink"/>
          </w:rPr>
          <w:t>Martina.Ferracane@eui.eu</w:t>
        </w:r>
      </w:hyperlink>
      <w:r w:rsidR="00BA3AA2" w:rsidRPr="00BA3AA2">
        <w:t xml:space="preserve">; </w:t>
      </w:r>
      <w:hyperlink r:id="rId3" w:history="1">
        <w:r w:rsidR="00F63CA9" w:rsidRPr="009F156D">
          <w:rPr>
            <w:rStyle w:val="Hyperlink"/>
          </w:rPr>
          <w:t>Filippo.santi6@unibo.it</w:t>
        </w:r>
      </w:hyperlink>
      <w:r w:rsidR="00F63CA9">
        <w:t xml:space="preserve">; </w:t>
      </w:r>
      <w:hyperlink r:id="rId4" w:history="1">
        <w:r w:rsidR="008261EC" w:rsidRPr="009F156D">
          <w:rPr>
            <w:rStyle w:val="Hyperlink"/>
          </w:rPr>
          <w:t>erik.vandermarel@ecipe.org</w:t>
        </w:r>
      </w:hyperlink>
      <w:r w:rsidR="008261EC">
        <w:t xml:space="preserve">. </w:t>
      </w:r>
      <w:r w:rsidRPr="00633995">
        <w:t>We are grateful to</w:t>
      </w:r>
      <w:r w:rsidR="00C72E2B">
        <w:t xml:space="preserve"> two reviewers, </w:t>
      </w:r>
      <w:r w:rsidR="00F61F7D" w:rsidRPr="00633995">
        <w:t xml:space="preserve">Ingo Borchert, </w:t>
      </w:r>
      <w:r w:rsidR="004D2B50" w:rsidRPr="00633995">
        <w:t>Mira Burri</w:t>
      </w:r>
      <w:r w:rsidR="001F247C" w:rsidRPr="00633995">
        <w:t>,</w:t>
      </w:r>
      <w:r w:rsidR="004D2B50" w:rsidRPr="00633995">
        <w:t xml:space="preserve"> </w:t>
      </w:r>
      <w:r w:rsidR="00D95DD7" w:rsidRPr="00633995">
        <w:t xml:space="preserve">Elisabeth Christen, </w:t>
      </w:r>
      <w:r w:rsidR="005A4B63" w:rsidRPr="00633995">
        <w:t xml:space="preserve">Paola Conconi, </w:t>
      </w:r>
      <w:r w:rsidRPr="00633995">
        <w:t xml:space="preserve">Mattia Di Ubaldo, Javier Lopez-Gonzelez, Peter Herman, Richard Kneller, </w:t>
      </w:r>
      <w:r w:rsidR="00F61F7D" w:rsidRPr="00633995">
        <w:t xml:space="preserve">Douglas Nelson, </w:t>
      </w:r>
      <w:r w:rsidRPr="00633995">
        <w:t xml:space="preserve">Hildegunn Nordås, </w:t>
      </w:r>
      <w:r w:rsidR="00F61F7D" w:rsidRPr="00633995">
        <w:t xml:space="preserve">Sarah Oliver, </w:t>
      </w:r>
      <w:r w:rsidRPr="00633995">
        <w:t>Hein Roelfsema, Maarja Saluste, Rohit Ticku, Jan Tscheke, Alan Winters and participants in</w:t>
      </w:r>
      <w:r w:rsidR="001F247C" w:rsidRPr="00633995">
        <w:t xml:space="preserve"> workshops and seminars </w:t>
      </w:r>
      <w:r w:rsidRPr="00633995">
        <w:t xml:space="preserve">at </w:t>
      </w:r>
      <w:r w:rsidR="001F247C" w:rsidRPr="00633995">
        <w:t xml:space="preserve">the EUI, University of Florence, </w:t>
      </w:r>
      <w:r w:rsidRPr="00633995">
        <w:t>Ӧrebro University, USITC</w:t>
      </w:r>
      <w:r w:rsidR="00476087" w:rsidRPr="00633995">
        <w:t>,</w:t>
      </w:r>
      <w:r w:rsidRPr="00633995">
        <w:t xml:space="preserve"> </w:t>
      </w:r>
      <w:r w:rsidR="00476087" w:rsidRPr="00633995">
        <w:t xml:space="preserve">University of Sussex and the 2024 International Political Economy Society conference for comments </w:t>
      </w:r>
      <w:r w:rsidRPr="00633995">
        <w:t xml:space="preserve">and suggestions on earlier drafts. Elena Sisto </w:t>
      </w:r>
      <w:r w:rsidR="00191207" w:rsidRPr="00633995">
        <w:t xml:space="preserve">and Lars </w:t>
      </w:r>
      <w:r w:rsidR="00AD0470" w:rsidRPr="00633995">
        <w:t xml:space="preserve">Vandelaar </w:t>
      </w:r>
      <w:r w:rsidR="00482FD3" w:rsidRPr="00633995">
        <w:t>provided excellent research assistance</w:t>
      </w:r>
      <w:r w:rsidRPr="00633995">
        <w:t xml:space="preserve">. This work was supported by the </w:t>
      </w:r>
      <w:r w:rsidR="001F247C" w:rsidRPr="00633995">
        <w:t>Centre for Inclusive Trade Policy, Economic and Social Research Council (UK), grant number ES/W002434/1</w:t>
      </w:r>
      <w:r w:rsidRPr="00633995">
        <w:t xml:space="preserve"> </w:t>
      </w:r>
      <w:r w:rsidR="002B1B8B">
        <w:t xml:space="preserve">and </w:t>
      </w:r>
      <w:r w:rsidR="0001776E" w:rsidRPr="00792037">
        <w:t>draws on a broader research programme supported by the European Research Council, grant no. 101142666-PIANO-ERC-2023-ADG</w:t>
      </w:r>
      <w:r w:rsidR="0001776E" w:rsidRPr="00633995">
        <w:t xml:space="preserve"> </w:t>
      </w:r>
      <w:r w:rsidRPr="00633995">
        <w:t xml:space="preserve">(Hoekman).  </w:t>
      </w:r>
    </w:p>
  </w:footnote>
  <w:footnote w:id="2">
    <w:p w14:paraId="5ADC9252" w14:textId="76F03544" w:rsidR="00E03DA9" w:rsidRPr="00633995" w:rsidRDefault="00E03DA9" w:rsidP="00E03DA9">
      <w:pPr>
        <w:pStyle w:val="FootnoteText"/>
        <w:jc w:val="both"/>
      </w:pPr>
      <w:r w:rsidRPr="00633995">
        <w:rPr>
          <w:rStyle w:val="FootnoteReference"/>
        </w:rPr>
        <w:footnoteRef/>
      </w:r>
      <w:r w:rsidRPr="001329D9">
        <w:t xml:space="preserve"> </w:t>
      </w:r>
      <w:r w:rsidR="006548AF" w:rsidRPr="00633995">
        <w:t>Ferracane and van der Marel (2021) and Sun and Trefler (2023)</w:t>
      </w:r>
      <w:r w:rsidR="006548AF">
        <w:t xml:space="preserve">. </w:t>
      </w:r>
      <w:r w:rsidRPr="00633995">
        <w:t>Other studies assessing economic impacts of the GDPR focus on online outcomes or welfare rather than trade</w:t>
      </w:r>
      <w:r>
        <w:t xml:space="preserve">. </w:t>
      </w:r>
      <w:r w:rsidRPr="001329D9">
        <w:t xml:space="preserve">Recent research in this vein includes </w:t>
      </w:r>
      <w:r w:rsidRPr="00633995">
        <w:t xml:space="preserve">Goldfarb and Trefler (2018), </w:t>
      </w:r>
      <w:r w:rsidRPr="001329D9">
        <w:t>Goldberg et al. (2023) and Aridor et al. (2023)</w:t>
      </w:r>
      <w:r w:rsidRPr="00633995">
        <w:t>.</w:t>
      </w:r>
    </w:p>
  </w:footnote>
  <w:footnote w:id="3">
    <w:p w14:paraId="3C08B90B" w14:textId="092E169B" w:rsidR="00753DC4" w:rsidRPr="00633995" w:rsidRDefault="00753DC4" w:rsidP="0011538D">
      <w:pPr>
        <w:pStyle w:val="FootnoteText"/>
        <w:jc w:val="both"/>
      </w:pPr>
      <w:r w:rsidRPr="00633995">
        <w:rPr>
          <w:rStyle w:val="FootnoteReference"/>
        </w:rPr>
        <w:footnoteRef/>
      </w:r>
      <w:r w:rsidRPr="00633995">
        <w:t xml:space="preserve"> EU Regulation on the Protection of Natural Persons with Regard to the Processing of Personal Data and on the Free Movement of Such Data (27 April 2016) Regulation (EU) 2016/679 (GDPR) and Repealing Directive 95/46/EC (repealed 24 May 2018) OJ L 119/1.</w:t>
      </w:r>
    </w:p>
  </w:footnote>
  <w:footnote w:id="4">
    <w:p w14:paraId="6702DFBC" w14:textId="306CFC0C" w:rsidR="00BC4D22" w:rsidRPr="00633995" w:rsidRDefault="00BC4D22" w:rsidP="0011538D">
      <w:pPr>
        <w:pStyle w:val="FootnoteText"/>
        <w:jc w:val="both"/>
      </w:pPr>
      <w:r w:rsidRPr="00633995">
        <w:rPr>
          <w:rStyle w:val="FootnoteReference"/>
        </w:rPr>
        <w:footnoteRef/>
      </w:r>
      <w:r w:rsidRPr="00633995">
        <w:t xml:space="preserve"> Frey and Presidente (2024) find that the GDPR reduces profits by about </w:t>
      </w:r>
      <w:r w:rsidR="00995DD1">
        <w:t>8</w:t>
      </w:r>
      <w:r w:rsidRPr="00633995">
        <w:t xml:space="preserve"> percent</w:t>
      </w:r>
      <w:r w:rsidR="00F63CDA">
        <w:t xml:space="preserve"> and sales by 2 percent</w:t>
      </w:r>
      <w:r w:rsidRPr="00633995">
        <w:t>, driven by compliance costs for firms in handling European personal data.</w:t>
      </w:r>
    </w:p>
  </w:footnote>
  <w:footnote w:id="5">
    <w:p w14:paraId="40037C0D" w14:textId="77777777" w:rsidR="00B564DC" w:rsidRPr="00633995" w:rsidRDefault="00B564DC" w:rsidP="0011538D">
      <w:pPr>
        <w:pStyle w:val="FootnoteText"/>
        <w:jc w:val="both"/>
      </w:pPr>
      <w:r w:rsidRPr="00633995">
        <w:rPr>
          <w:rStyle w:val="FootnoteReference"/>
        </w:rPr>
        <w:footnoteRef/>
      </w:r>
      <w:r w:rsidRPr="00633995">
        <w:t xml:space="preserve"> See e.g. De Brito, Kauffmann, and Pelkmans (2016). </w:t>
      </w:r>
    </w:p>
  </w:footnote>
  <w:footnote w:id="6">
    <w:p w14:paraId="4821B9CC" w14:textId="64225863" w:rsidR="00EA48BA" w:rsidRPr="00633995" w:rsidRDefault="00EA48BA" w:rsidP="00EA48BA">
      <w:pPr>
        <w:pStyle w:val="FootnoteText"/>
        <w:jc w:val="both"/>
      </w:pPr>
      <w:r w:rsidRPr="00633995">
        <w:rPr>
          <w:rStyle w:val="FootnoteReference"/>
        </w:rPr>
        <w:footnoteRef/>
      </w:r>
      <w:r w:rsidRPr="00633995">
        <w:t xml:space="preserve"> The network of EU adequacy decisions is an example of the type of discriminatory club analyzed by Davis (2023).</w:t>
      </w:r>
    </w:p>
  </w:footnote>
  <w:footnote w:id="7">
    <w:p w14:paraId="63857FF1" w14:textId="4642B23F" w:rsidR="00AD0A9D" w:rsidRDefault="00AD0A9D" w:rsidP="00AD0A9D">
      <w:pPr>
        <w:pStyle w:val="FootnoteText"/>
      </w:pPr>
      <w:r>
        <w:rPr>
          <w:rStyle w:val="FootnoteReference"/>
        </w:rPr>
        <w:footnoteRef/>
      </w:r>
      <w:r>
        <w:t xml:space="preserve"> Adequacy decisions are </w:t>
      </w:r>
      <w:r w:rsidRPr="00AD0A9D">
        <w:t>de</w:t>
      </w:r>
      <w:r>
        <w:t xml:space="preserve">termined </w:t>
      </w:r>
      <w:r w:rsidRPr="00AD0A9D">
        <w:t>by DG Justice</w:t>
      </w:r>
      <w:r>
        <w:t xml:space="preserve">, not DG Trade, </w:t>
      </w:r>
      <w:r w:rsidR="00242191">
        <w:t xml:space="preserve">which is much more insulated from trade-related business lobbying. The role of DG Justice and political (foreign policy) considerations in the process of according adequacy </w:t>
      </w:r>
      <w:r>
        <w:t>further reduc</w:t>
      </w:r>
      <w:r w:rsidR="00242191">
        <w:t>es</w:t>
      </w:r>
      <w:r>
        <w:t xml:space="preserve"> a</w:t>
      </w:r>
      <w:r w:rsidRPr="00AD0A9D">
        <w:t>ny endogeneity concern</w:t>
      </w:r>
      <w:r>
        <w:t>s</w:t>
      </w:r>
      <w:r w:rsidRPr="00AD0A9D">
        <w:t xml:space="preserve">. </w:t>
      </w:r>
    </w:p>
  </w:footnote>
  <w:footnote w:id="8">
    <w:p w14:paraId="72AA999A" w14:textId="6375FE6D" w:rsidR="00DB29F4" w:rsidRPr="00633995" w:rsidRDefault="00DB29F4" w:rsidP="0011538D">
      <w:pPr>
        <w:pStyle w:val="FootnoteText"/>
        <w:jc w:val="both"/>
      </w:pPr>
      <w:r w:rsidRPr="00633995">
        <w:rPr>
          <w:rStyle w:val="FootnoteReference"/>
        </w:rPr>
        <w:footnoteRef/>
      </w:r>
      <w:r w:rsidRPr="00633995">
        <w:t xml:space="preserve"> </w:t>
      </w:r>
      <w:r w:rsidR="00B70E7D" w:rsidRPr="00633995">
        <w:t xml:space="preserve">As discussed below, </w:t>
      </w:r>
      <w:r w:rsidR="00331517" w:rsidRPr="00633995">
        <w:t>adequacy decisions granted to the U</w:t>
      </w:r>
      <w:r w:rsidRPr="00633995">
        <w:t xml:space="preserve">S </w:t>
      </w:r>
      <w:r w:rsidR="00B70E7D" w:rsidRPr="00633995">
        <w:t xml:space="preserve">are </w:t>
      </w:r>
      <w:r w:rsidR="00B70E7D" w:rsidRPr="00633995">
        <w:rPr>
          <w:i/>
          <w:iCs/>
        </w:rPr>
        <w:t>sui generis</w:t>
      </w:r>
      <w:r w:rsidRPr="00633995">
        <w:t>.</w:t>
      </w:r>
    </w:p>
  </w:footnote>
  <w:footnote w:id="9">
    <w:p w14:paraId="6E66E5FA" w14:textId="3257192E" w:rsidR="009E6C72" w:rsidRPr="00633995" w:rsidRDefault="009E6C72" w:rsidP="0011538D">
      <w:pPr>
        <w:pStyle w:val="FootnoteText"/>
        <w:jc w:val="both"/>
      </w:pPr>
      <w:r w:rsidRPr="00633995">
        <w:rPr>
          <w:rStyle w:val="FootnoteReference"/>
        </w:rPr>
        <w:footnoteRef/>
      </w:r>
      <w:r w:rsidRPr="00633995">
        <w:t xml:space="preserve"> </w:t>
      </w:r>
      <w:r w:rsidR="008478B3" w:rsidRPr="00633995">
        <w:t xml:space="preserve">The </w:t>
      </w:r>
      <w:r w:rsidRPr="00633995">
        <w:t>E</w:t>
      </w:r>
      <w:r w:rsidR="00FE37C7">
        <w:t xml:space="preserve">uropean Economic Area comprises the </w:t>
      </w:r>
      <w:r w:rsidR="008478B3" w:rsidRPr="00633995">
        <w:t xml:space="preserve">EU countries </w:t>
      </w:r>
      <w:r w:rsidR="004C492E">
        <w:t xml:space="preserve">plus </w:t>
      </w:r>
      <w:r w:rsidRPr="00633995">
        <w:t>Norway, Iceland, and Lichtenstein</w:t>
      </w:r>
      <w:r w:rsidR="008220EC" w:rsidRPr="00633995">
        <w:t>.</w:t>
      </w:r>
    </w:p>
  </w:footnote>
  <w:footnote w:id="10">
    <w:p w14:paraId="6C71A2DF" w14:textId="3A9CAC67" w:rsidR="004D7250" w:rsidRPr="00513BF1" w:rsidRDefault="004D7250" w:rsidP="0011538D">
      <w:pPr>
        <w:pStyle w:val="FootnoteText"/>
        <w:jc w:val="both"/>
      </w:pPr>
      <w:r w:rsidRPr="00633995">
        <w:rPr>
          <w:rStyle w:val="FootnoteReference"/>
        </w:rPr>
        <w:footnoteRef/>
      </w:r>
      <w:r w:rsidRPr="00633995">
        <w:t xml:space="preserve"> </w:t>
      </w:r>
      <w:r w:rsidRPr="00513BF1">
        <w:t xml:space="preserve">The GDPR only marginally changed the framework for personal data transfers compared to the 1995 </w:t>
      </w:r>
      <w:r w:rsidR="00DD2F23">
        <w:t>Data Protection Directive</w:t>
      </w:r>
      <w:r w:rsidRPr="00513BF1">
        <w:t xml:space="preserve">, but it significantly raised the stakes of violating these rules by introducing fines up to 4% of the total worldwide annual turnover of an undertaking for the preceding financial year. </w:t>
      </w:r>
    </w:p>
  </w:footnote>
  <w:footnote w:id="11">
    <w:p w14:paraId="56012899" w14:textId="2E1214D5" w:rsidR="00CD439B" w:rsidRPr="00633995" w:rsidRDefault="00CD439B" w:rsidP="0011538D">
      <w:pPr>
        <w:pStyle w:val="FootnoteText"/>
        <w:jc w:val="both"/>
      </w:pPr>
      <w:r w:rsidRPr="00633995">
        <w:rPr>
          <w:rStyle w:val="FootnoteReference"/>
        </w:rPr>
        <w:footnoteRef/>
      </w:r>
      <w:r w:rsidRPr="00633995">
        <w:t xml:space="preserve"> </w:t>
      </w:r>
      <w:r w:rsidR="00222191" w:rsidRPr="00633995">
        <w:t>In addition to these contract</w:t>
      </w:r>
      <w:r w:rsidR="00A63813" w:rsidRPr="00633995">
        <w:t>ual</w:t>
      </w:r>
      <w:r w:rsidR="00222191" w:rsidRPr="00633995">
        <w:t xml:space="preserve"> </w:t>
      </w:r>
      <w:r w:rsidR="001F7466" w:rsidRPr="00633995">
        <w:t>mechanisms</w:t>
      </w:r>
      <w:r w:rsidR="00222191" w:rsidRPr="00633995">
        <w:t xml:space="preserve">, firms </w:t>
      </w:r>
      <w:r w:rsidR="00E040A6" w:rsidRPr="00633995">
        <w:t xml:space="preserve">seeking </w:t>
      </w:r>
      <w:r w:rsidR="001E1E32" w:rsidRPr="00633995">
        <w:t xml:space="preserve">to transfer EU personal data </w:t>
      </w:r>
      <w:r w:rsidR="00222191" w:rsidRPr="00633995">
        <w:t>can also use certain derogations, such as the consent of the data subject for every cross-border transfer of personal data</w:t>
      </w:r>
      <w:r w:rsidR="00C6327A" w:rsidRPr="00633995">
        <w:t>.</w:t>
      </w:r>
      <w:r w:rsidR="00222191" w:rsidRPr="00633995">
        <w:t xml:space="preserve"> </w:t>
      </w:r>
      <w:r w:rsidR="00BB1C55" w:rsidRPr="00513BF1">
        <w:t xml:space="preserve">These </w:t>
      </w:r>
      <w:r w:rsidR="00C6327A" w:rsidRPr="00513BF1">
        <w:t>derogations are considered restrictive by the European Data Protection Board</w:t>
      </w:r>
      <w:r w:rsidRPr="00513BF1">
        <w:t>, especially for large-scale transfers of data</w:t>
      </w:r>
      <w:r w:rsidR="001E1E32" w:rsidRPr="00513BF1">
        <w:t xml:space="preserve"> </w:t>
      </w:r>
      <w:r w:rsidRPr="00513BF1">
        <w:t>(Saluste, 2021).</w:t>
      </w:r>
      <w:r w:rsidR="009425A4" w:rsidRPr="00513BF1">
        <w:t xml:space="preserve"> </w:t>
      </w:r>
      <w:r w:rsidR="00952D5B" w:rsidRPr="00513BF1">
        <w:t>S</w:t>
      </w:r>
      <w:r w:rsidR="009425A4" w:rsidRPr="00513BF1">
        <w:t xml:space="preserve">urveys </w:t>
      </w:r>
      <w:r w:rsidR="00952D5B" w:rsidRPr="00513BF1">
        <w:t xml:space="preserve">have shown </w:t>
      </w:r>
      <w:r w:rsidR="009425A4" w:rsidRPr="00513BF1">
        <w:t xml:space="preserve">that both </w:t>
      </w:r>
      <w:r w:rsidR="00DD2F23" w:rsidRPr="00513BF1">
        <w:t>binding corporate rules and standard contractual clauses</w:t>
      </w:r>
      <w:r w:rsidR="00DD2F23" w:rsidRPr="00513BF1">
        <w:t xml:space="preserve"> </w:t>
      </w:r>
      <w:r w:rsidR="009425A4" w:rsidRPr="00513BF1">
        <w:t>are widely used by European companies to transfer personal data abroad</w:t>
      </w:r>
      <w:r w:rsidR="00F52192" w:rsidRPr="00513BF1">
        <w:t xml:space="preserve"> in the absence of an adequacy decision</w:t>
      </w:r>
      <w:r w:rsidR="009425A4" w:rsidRPr="00513BF1">
        <w:t xml:space="preserve"> (Business Europe</w:t>
      </w:r>
      <w:r w:rsidR="00F52192" w:rsidRPr="00513BF1">
        <w:t xml:space="preserve"> et al.</w:t>
      </w:r>
      <w:r w:rsidR="009425A4" w:rsidRPr="00513BF1">
        <w:t>, 2020).</w:t>
      </w:r>
    </w:p>
  </w:footnote>
  <w:footnote w:id="12">
    <w:p w14:paraId="6958F7DC" w14:textId="1A497B18" w:rsidR="006D2546" w:rsidRPr="00513BF1" w:rsidRDefault="006D2546" w:rsidP="0011538D">
      <w:pPr>
        <w:pStyle w:val="FootnoteText"/>
        <w:jc w:val="both"/>
      </w:pPr>
      <w:r w:rsidRPr="00633995">
        <w:rPr>
          <w:rStyle w:val="FootnoteReference"/>
        </w:rPr>
        <w:footnoteRef/>
      </w:r>
      <w:r w:rsidRPr="00633995">
        <w:t xml:space="preserve"> </w:t>
      </w:r>
      <w:r w:rsidR="008D0C15">
        <w:t>F</w:t>
      </w:r>
      <w:r w:rsidRPr="00633995">
        <w:t>irms trading services are typically smaller on average</w:t>
      </w:r>
      <w:r w:rsidR="009C4A35">
        <w:t xml:space="preserve"> as shown by</w:t>
      </w:r>
      <w:r w:rsidR="007375D4" w:rsidRPr="00633995">
        <w:t xml:space="preserve"> </w:t>
      </w:r>
      <w:r w:rsidRPr="00633995">
        <w:t>Bento and Restuccia</w:t>
      </w:r>
      <w:r w:rsidR="007375D4" w:rsidRPr="00633995">
        <w:t xml:space="preserve"> (</w:t>
      </w:r>
      <w:r w:rsidRPr="00633995">
        <w:t>2021</w:t>
      </w:r>
      <w:r w:rsidR="007375D4" w:rsidRPr="00633995">
        <w:t>)</w:t>
      </w:r>
      <w:r w:rsidR="003B63D7">
        <w:t xml:space="preserve"> </w:t>
      </w:r>
      <w:r w:rsidR="0001507F" w:rsidRPr="00633995">
        <w:t>and</w:t>
      </w:r>
      <w:r w:rsidRPr="00633995">
        <w:t xml:space="preserve"> Breinlich and Criscuolo</w:t>
      </w:r>
      <w:r w:rsidR="007375D4" w:rsidRPr="00633995">
        <w:t xml:space="preserve"> (</w:t>
      </w:r>
      <w:r w:rsidRPr="00633995">
        <w:t>2011).</w:t>
      </w:r>
    </w:p>
  </w:footnote>
  <w:footnote w:id="13">
    <w:p w14:paraId="76ADEF01" w14:textId="2CBB43AB" w:rsidR="00753DC4" w:rsidRPr="00633995" w:rsidRDefault="00753DC4" w:rsidP="0011538D">
      <w:pPr>
        <w:pStyle w:val="FootnoteText"/>
        <w:jc w:val="both"/>
      </w:pPr>
      <w:r w:rsidRPr="00633995">
        <w:rPr>
          <w:rStyle w:val="FootnoteReference"/>
        </w:rPr>
        <w:footnoteRef/>
      </w:r>
      <w:r w:rsidRPr="00633995">
        <w:t xml:space="preserve"> GDPR, Art. 45.</w:t>
      </w:r>
    </w:p>
  </w:footnote>
  <w:footnote w:id="14">
    <w:p w14:paraId="4CBD5C68" w14:textId="5669ABEB" w:rsidR="008D4FA6" w:rsidRPr="00633995" w:rsidRDefault="008D4FA6" w:rsidP="0011538D">
      <w:pPr>
        <w:pStyle w:val="FootnoteText"/>
        <w:jc w:val="both"/>
      </w:pPr>
      <w:r w:rsidRPr="00633995">
        <w:rPr>
          <w:rStyle w:val="FootnoteReference"/>
        </w:rPr>
        <w:footnoteRef/>
      </w:r>
      <w:r w:rsidRPr="00633995">
        <w:t xml:space="preserve"> </w:t>
      </w:r>
      <w:r w:rsidR="008D0C15">
        <w:t>T</w:t>
      </w:r>
      <w:r w:rsidRPr="00633995">
        <w:t xml:space="preserve">he criteria </w:t>
      </w:r>
      <w:r w:rsidR="008D0C15">
        <w:t xml:space="preserve">for adequacy </w:t>
      </w:r>
      <w:r w:rsidR="004B68D9" w:rsidRPr="00633995">
        <w:t>include</w:t>
      </w:r>
      <w:r w:rsidR="004A5FEB" w:rsidRPr="00633995">
        <w:t xml:space="preserve"> </w:t>
      </w:r>
      <w:r w:rsidR="004B68D9" w:rsidRPr="00633995">
        <w:t>“the overall political relationship with the third country in question, in particular with respect to the promotion of common values and shared objectives at international level</w:t>
      </w:r>
      <w:r w:rsidR="008D0C15">
        <w:t>.”</w:t>
      </w:r>
      <w:r w:rsidR="004B68D9" w:rsidRPr="00633995">
        <w:t xml:space="preserve"> </w:t>
      </w:r>
      <w:r w:rsidRPr="00633995">
        <w:t>European Commission (2017</w:t>
      </w:r>
      <w:r w:rsidR="008D0C15">
        <w:t>, p. 6</w:t>
      </w:r>
      <w:r w:rsidRPr="00633995">
        <w:t>)</w:t>
      </w:r>
      <w:r w:rsidR="004B68D9" w:rsidRPr="00633995">
        <w:t xml:space="preserve">. </w:t>
      </w:r>
    </w:p>
  </w:footnote>
  <w:footnote w:id="15">
    <w:p w14:paraId="67305BF9" w14:textId="7C6D0657" w:rsidR="003C221D" w:rsidRPr="00633995" w:rsidRDefault="003C221D" w:rsidP="0011538D">
      <w:pPr>
        <w:pStyle w:val="FootnoteText"/>
        <w:jc w:val="both"/>
      </w:pPr>
      <w:r w:rsidRPr="00633995">
        <w:rPr>
          <w:rStyle w:val="FootnoteReference"/>
        </w:rPr>
        <w:footnoteRef/>
      </w:r>
      <w:r w:rsidRPr="00633995">
        <w:t xml:space="preserve"> </w:t>
      </w:r>
      <w:r w:rsidR="009A0636" w:rsidRPr="00633995">
        <w:t xml:space="preserve">CJEU, Case C-362/14, Maximillian Schrems v Data Protection Commissioner, ECLI:EU:C:2015:650 (Schrems I). </w:t>
      </w:r>
    </w:p>
  </w:footnote>
  <w:footnote w:id="16">
    <w:p w14:paraId="3553422B" w14:textId="3B11409C" w:rsidR="009A0636" w:rsidRPr="00513BF1" w:rsidRDefault="009A0636" w:rsidP="0011538D">
      <w:pPr>
        <w:pStyle w:val="FootnoteText"/>
        <w:jc w:val="both"/>
      </w:pPr>
      <w:r w:rsidRPr="00633995">
        <w:rPr>
          <w:rStyle w:val="FootnoteReference"/>
        </w:rPr>
        <w:footnoteRef/>
      </w:r>
      <w:r w:rsidRPr="00633995">
        <w:t xml:space="preserve"> CJEU, C-311/18, Data Protection Commissioner v Facebook Ireland Ltd, Maximillian Schrems, ECLI:EU:C:2020:559 (Schrems II).</w:t>
      </w:r>
    </w:p>
  </w:footnote>
  <w:footnote w:id="17">
    <w:p w14:paraId="300FB858" w14:textId="38C9EA71" w:rsidR="00DA061D" w:rsidRPr="00633995" w:rsidRDefault="00DA061D" w:rsidP="0011538D">
      <w:pPr>
        <w:pStyle w:val="FootnoteText"/>
        <w:jc w:val="both"/>
      </w:pPr>
      <w:r w:rsidRPr="00633995">
        <w:rPr>
          <w:rStyle w:val="FootnoteReference"/>
        </w:rPr>
        <w:footnoteRef/>
      </w:r>
      <w:r w:rsidRPr="00633995">
        <w:t xml:space="preserve"> Our conceptualization of digital trade is discussed in Section 3.</w:t>
      </w:r>
      <w:r w:rsidR="002A1753">
        <w:t>2</w:t>
      </w:r>
      <w:r w:rsidRPr="00633995">
        <w:t>.</w:t>
      </w:r>
    </w:p>
  </w:footnote>
  <w:footnote w:id="18">
    <w:p w14:paraId="22C23A35" w14:textId="77777777" w:rsidR="008A3E24" w:rsidRPr="00633995" w:rsidRDefault="008A3E24" w:rsidP="0011538D">
      <w:pPr>
        <w:pStyle w:val="FootnoteText"/>
        <w:jc w:val="both"/>
      </w:pPr>
      <w:r w:rsidRPr="00633995">
        <w:rPr>
          <w:rStyle w:val="FootnoteReference"/>
        </w:rPr>
        <w:footnoteRef/>
      </w:r>
      <w:r w:rsidRPr="00633995">
        <w:t xml:space="preserve"> A</w:t>
      </w:r>
      <w:r w:rsidRPr="00513BF1">
        <w:t xml:space="preserve"> test of the equality of coefficients one year before and one year after adequacy rejects the null hypothesis (no difference between the two) with p-values of 0.0004 or smaller.</w:t>
      </w:r>
      <w:r w:rsidRPr="00633995">
        <w:t xml:space="preserve"> </w:t>
      </w:r>
    </w:p>
  </w:footnote>
  <w:footnote w:id="19">
    <w:p w14:paraId="737FDA7D" w14:textId="7E1B841F" w:rsidR="00386FE7" w:rsidRDefault="00386FE7" w:rsidP="00386FE7">
      <w:pPr>
        <w:pStyle w:val="FootnoteText"/>
      </w:pPr>
      <w:r>
        <w:rPr>
          <w:rStyle w:val="FootnoteReference"/>
        </w:rPr>
        <w:footnoteRef/>
      </w:r>
      <w:r>
        <w:t xml:space="preserve"> G</w:t>
      </w:r>
      <w:r w:rsidRPr="00B60BA4">
        <w:t>ravity models for services trade have been developed by Anderson et al. (2018)</w:t>
      </w:r>
      <w:r w:rsidR="00A12BBF">
        <w:t xml:space="preserve"> and</w:t>
      </w:r>
      <w:r w:rsidRPr="00B60BA4">
        <w:t xml:space="preserve"> Reverdy (2023)</w:t>
      </w:r>
      <w:r w:rsidR="00A12BBF">
        <w:t xml:space="preserve">. </w:t>
      </w:r>
      <w:r>
        <w:t>Yotov (2024)</w:t>
      </w:r>
      <w:r w:rsidR="00A12BBF">
        <w:t xml:space="preserve"> discusses the current standard in gravity estimation</w:t>
      </w:r>
      <w:r>
        <w:t>.</w:t>
      </w:r>
    </w:p>
  </w:footnote>
  <w:footnote w:id="20">
    <w:p w14:paraId="777AA778" w14:textId="77777777" w:rsidR="005F186C" w:rsidRDefault="005F186C" w:rsidP="005F186C">
      <w:pPr>
        <w:pStyle w:val="FootnoteText"/>
      </w:pPr>
      <w:r>
        <w:rPr>
          <w:rStyle w:val="FootnoteReference"/>
        </w:rPr>
        <w:footnoteRef/>
      </w:r>
      <w:r>
        <w:t xml:space="preserve"> The ITA eliminated tariffs on most ICT products. See </w:t>
      </w:r>
      <w:r w:rsidRPr="00AC72B2">
        <w:t>Gnutzmann-Mkrtchyan</w:t>
      </w:r>
      <w:r>
        <w:t xml:space="preserve"> and</w:t>
      </w:r>
      <w:r w:rsidRPr="00AC72B2">
        <w:t xml:space="preserve"> Henn (2018).</w:t>
      </w:r>
    </w:p>
  </w:footnote>
  <w:footnote w:id="21">
    <w:p w14:paraId="3777A946" w14:textId="4AC8B35D" w:rsidR="005F186C" w:rsidRDefault="005F186C" w:rsidP="005F186C">
      <w:pPr>
        <w:pStyle w:val="FootnoteText"/>
      </w:pPr>
      <w:r w:rsidRPr="004D7CAB">
        <w:rPr>
          <w:rStyle w:val="FootnoteReference"/>
        </w:rPr>
        <w:footnoteRef/>
      </w:r>
      <w:r w:rsidRPr="004D7CAB">
        <w:t xml:space="preserve"> Since our interest is in </w:t>
      </w:r>
      <w:r>
        <w:t>examining</w:t>
      </w:r>
      <w:r w:rsidRPr="004D7CAB">
        <w:t xml:space="preserve"> the effect of adequacy on digital trade between the EU and specific partners </w:t>
      </w:r>
      <w:r>
        <w:t>granted</w:t>
      </w:r>
      <w:r w:rsidRPr="004D7CAB">
        <w:t xml:space="preserve"> adequacy, we do not include intra-EU digital trade. </w:t>
      </w:r>
      <w:r>
        <w:t xml:space="preserve">Moreover, including EU members as adequacy granted countries could bias our results as they are adequate by definition. </w:t>
      </w:r>
    </w:p>
  </w:footnote>
  <w:footnote w:id="22">
    <w:p w14:paraId="61A25DDD" w14:textId="664754DD" w:rsidR="005F186C" w:rsidRPr="00515650" w:rsidRDefault="005F186C" w:rsidP="00604F53">
      <w:pPr>
        <w:spacing w:after="0" w:line="240" w:lineRule="auto"/>
        <w:jc w:val="both"/>
        <w:rPr>
          <w:lang w:val="it-IT"/>
        </w:rPr>
      </w:pPr>
      <w:r w:rsidRPr="00604F53">
        <w:rPr>
          <w:sz w:val="20"/>
          <w:szCs w:val="20"/>
          <w:vertAlign w:val="superscript"/>
        </w:rPr>
        <w:footnoteRef/>
      </w:r>
      <w:r w:rsidRPr="00515650">
        <w:rPr>
          <w:sz w:val="20"/>
          <w:szCs w:val="20"/>
        </w:rPr>
        <w:t xml:space="preserve"> </w:t>
      </w:r>
      <w:r w:rsidR="00626144">
        <w:rPr>
          <w:sz w:val="20"/>
          <w:szCs w:val="20"/>
        </w:rPr>
        <w:t>T</w:t>
      </w:r>
      <w:r w:rsidRPr="00515650">
        <w:rPr>
          <w:sz w:val="20"/>
          <w:szCs w:val="20"/>
        </w:rPr>
        <w:t xml:space="preserve">he specification </w:t>
      </w:r>
      <w:r w:rsidR="00626144">
        <w:rPr>
          <w:sz w:val="20"/>
          <w:szCs w:val="20"/>
        </w:rPr>
        <w:t xml:space="preserve">in equation (1) captures </w:t>
      </w:r>
      <w:r w:rsidRPr="00515650">
        <w:rPr>
          <w:sz w:val="20"/>
          <w:szCs w:val="20"/>
        </w:rPr>
        <w:t xml:space="preserve">the presence of fixed trade costs. Following Anderson (2011, p. 139), </w:t>
      </w:r>
      <w:r w:rsidRPr="00515650">
        <w:rPr>
          <w:sz w:val="20"/>
          <w:szCs w:val="20"/>
        </w:rPr>
        <w:t/>
      </w:r>
      <w:r w:rsidRPr="00515650">
        <w:rPr>
          <w:sz w:val="20"/>
          <w:szCs w:val="20"/>
        </w:rPr>
        <w:t xml:space="preserve">“[…] The iceberg metaphor still applies when allowing for a fixed cost, as if a chunk of the iceberg breaks off from the mother glacier. Mathematically, the generalized iceberg trade cost is linear in the volume shipped. […]”. Arkolakis et al. (2012) </w:t>
      </w:r>
      <w:r w:rsidRPr="00515650">
        <w:rPr>
          <w:sz w:val="20"/>
          <w:szCs w:val="20"/>
        </w:rPr>
        <w:t/>
      </w:r>
      <w:r w:rsidRPr="00515650">
        <w:rPr>
          <w:sz w:val="20"/>
          <w:szCs w:val="20"/>
        </w:rPr>
        <w:t>demonstrate how fixed trade cost</w:t>
      </w:r>
      <w:r w:rsidR="00626144">
        <w:rPr>
          <w:sz w:val="20"/>
          <w:szCs w:val="20"/>
        </w:rPr>
        <w:t>s</w:t>
      </w:r>
      <w:r w:rsidRPr="00515650">
        <w:rPr>
          <w:sz w:val="20"/>
          <w:szCs w:val="20"/>
        </w:rPr>
        <w:t xml:space="preserve"> can enter the trade cost function multiplicatively in models with monopolistic competition. </w:t>
      </w:r>
      <w:r w:rsidRPr="00515650">
        <w:rPr>
          <w:sz w:val="20"/>
          <w:szCs w:val="20"/>
        </w:rPr>
        <w:t/>
      </w:r>
    </w:p>
  </w:footnote>
  <w:footnote w:id="23">
    <w:p w14:paraId="0D99C18A" w14:textId="77777777" w:rsidR="005F186C" w:rsidRPr="00633995" w:rsidRDefault="005F186C" w:rsidP="005F186C">
      <w:pPr>
        <w:pStyle w:val="FootnoteText"/>
        <w:jc w:val="both"/>
      </w:pPr>
      <w:r w:rsidRPr="00633995">
        <w:rPr>
          <w:rStyle w:val="FootnoteReference"/>
        </w:rPr>
        <w:footnoteRef/>
      </w:r>
      <w:r w:rsidRPr="00633995">
        <w:t xml:space="preserve"> T</w:t>
      </w:r>
      <w:r>
        <w:t>he selected set of fixed effects</w:t>
      </w:r>
      <w:r w:rsidRPr="00633995">
        <w:t xml:space="preserve"> </w:t>
      </w:r>
      <w:r>
        <w:t xml:space="preserve">also </w:t>
      </w:r>
      <w:r w:rsidRPr="00633995">
        <w:t>control</w:t>
      </w:r>
      <w:r>
        <w:t>s</w:t>
      </w:r>
      <w:r w:rsidRPr="00633995">
        <w:t xml:space="preserve"> for any changes in domestic data protection regulatory regimes, including possible changes that are implemented by a country to ensure convergence with EU norms.</w:t>
      </w:r>
    </w:p>
  </w:footnote>
  <w:footnote w:id="24">
    <w:p w14:paraId="7D0A27DA" w14:textId="2324F0EC" w:rsidR="000E6586" w:rsidRPr="000E6586" w:rsidRDefault="000E6586">
      <w:pPr>
        <w:pStyle w:val="FootnoteText"/>
      </w:pPr>
      <w:r>
        <w:rPr>
          <w:rStyle w:val="FootnoteReference"/>
        </w:rPr>
        <w:footnoteRef/>
      </w:r>
      <w:r>
        <w:t xml:space="preserve"> </w:t>
      </w:r>
      <w:r>
        <w:rPr>
          <w:i/>
          <w:iCs/>
        </w:rPr>
        <w:t xml:space="preserve">ADQ </w:t>
      </w:r>
      <w:r>
        <w:t xml:space="preserve">and </w:t>
      </w:r>
      <w:r>
        <w:rPr>
          <w:i/>
          <w:iCs/>
        </w:rPr>
        <w:t xml:space="preserve">CLB </w:t>
      </w:r>
      <w:r>
        <w:t xml:space="preserve">effects will be reflected in </w:t>
      </w:r>
      <m:oMath>
        <m:sSub>
          <m:sSubPr>
            <m:ctrlPr>
              <w:rPr>
                <w:rFonts w:ascii="Cambria Math" w:hAnsi="Cambria Math"/>
                <w:i/>
              </w:rPr>
            </m:ctrlPr>
          </m:sSubPr>
          <m:e>
            <m:r>
              <w:rPr>
                <w:rFonts w:ascii="Cambria Math" w:hAnsi="Cambria Math"/>
              </w:rPr>
              <m:t>T</m:t>
            </m:r>
          </m:e>
          <m:sub>
            <m:r>
              <w:rPr>
                <w:rFonts w:ascii="Cambria Math" w:hAnsi="Cambria Math"/>
              </w:rPr>
              <m:t>ijkt</m:t>
            </m:r>
          </m:sub>
        </m:sSub>
      </m:oMath>
      <w:r>
        <w:t xml:space="preserve"> </w:t>
      </w:r>
      <w:r>
        <w:t>(Equation 1).</w:t>
      </w:r>
    </w:p>
  </w:footnote>
  <w:footnote w:id="25">
    <w:p w14:paraId="5B369824" w14:textId="77777777" w:rsidR="005F186C" w:rsidRPr="00220897" w:rsidRDefault="005F186C" w:rsidP="005F186C">
      <w:pPr>
        <w:pStyle w:val="FootnoteText"/>
      </w:pPr>
      <w:r>
        <w:rPr>
          <w:rStyle w:val="FootnoteReference"/>
        </w:rPr>
        <w:footnoteRef/>
      </w:r>
      <w:r>
        <w:t xml:space="preserve"> By construction, the four adequacy variables are dummies and are mutually exclusive within any given country dyad. Practically, this means that the four dummies will be assigned a value of one in the following bilateral country cases: (1) EU-ADQ; (2) ADQ-ADQ; (3) EU-US; (4) US-ADQ, where EU are EU members and ADQ are the adequacy-granted countries other than the U.S. I</w:t>
      </w:r>
      <w:r>
        <w:rPr>
          <w:rFonts w:eastAsiaTheme="minorEastAsia"/>
        </w:rPr>
        <w:t>n equation (5) case (1) is captured by th</w:t>
      </w:r>
      <w:r>
        <w:t xml:space="preserve">e term </w:t>
      </w:r>
      <m:oMath>
        <m:sSub>
          <m:sSubPr>
            <m:ctrlPr>
              <w:rPr>
                <w:rFonts w:ascii="Cambria Math" w:hAnsi="Cambria Math"/>
                <w:i/>
              </w:rPr>
            </m:ctrlPr>
          </m:sSubPr>
          <m:e>
            <m:r>
              <w:rPr>
                <w:rFonts w:ascii="Cambria Math" w:hAnsi="Cambria Math"/>
              </w:rPr>
              <m:t>RADQ</m:t>
            </m:r>
          </m:e>
          <m:sub>
            <m:r>
              <w:rPr>
                <w:rFonts w:ascii="Cambria Math" w:hAnsi="Cambria Math"/>
              </w:rPr>
              <m:t>ijt</m:t>
            </m:r>
          </m:sub>
        </m:sSub>
      </m:oMath>
      <w:r>
        <w:rPr>
          <w:rFonts w:eastAsiaTheme="minorEastAsia"/>
        </w:rPr>
        <w:t xml:space="preserve">; case (2) by </w:t>
      </w:r>
      <m:oMath>
        <m:sSub>
          <m:sSubPr>
            <m:ctrlPr>
              <w:rPr>
                <w:rFonts w:ascii="Cambria Math" w:hAnsi="Cambria Math"/>
                <w:i/>
              </w:rPr>
            </m:ctrlPr>
          </m:sSubPr>
          <m:e>
            <m:r>
              <w:rPr>
                <w:rFonts w:ascii="Cambria Math" w:hAnsi="Cambria Math"/>
              </w:rPr>
              <m:t>RADQ Club</m:t>
            </m:r>
          </m:e>
          <m:sub>
            <m:r>
              <w:rPr>
                <w:rFonts w:ascii="Cambria Math" w:hAnsi="Cambria Math"/>
              </w:rPr>
              <m:t>ijt</m:t>
            </m:r>
          </m:sub>
        </m:sSub>
      </m:oMath>
      <w:r>
        <w:rPr>
          <w:rFonts w:eastAsiaTheme="minorEastAsia"/>
        </w:rPr>
        <w:t xml:space="preserve">, case (3) by </w:t>
      </w:r>
      <m:oMath>
        <m:r>
          <w:rPr>
            <w:rFonts w:ascii="Cambria Math" w:eastAsiaTheme="minorEastAsia" w:hAnsi="Cambria Math"/>
          </w:rPr>
          <m:t>SH/P</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ijt</m:t>
            </m:r>
          </m:sub>
        </m:sSub>
      </m:oMath>
      <w:r>
        <w:rPr>
          <w:rFonts w:eastAsiaTheme="minorEastAsia"/>
        </w:rPr>
        <w:t xml:space="preserve">; and finally case (4) by </w:t>
      </w:r>
      <m:oMath>
        <m:r>
          <w:rPr>
            <w:rFonts w:ascii="Cambria Math" w:eastAsiaTheme="minorEastAsia" w:hAnsi="Cambria Math"/>
          </w:rPr>
          <m:t>SH/P</m:t>
        </m:r>
        <m:sSub>
          <m:sSubPr>
            <m:ctrlPr>
              <w:rPr>
                <w:rFonts w:ascii="Cambria Math" w:eastAsiaTheme="minorEastAsia" w:hAnsi="Cambria Math"/>
                <w:i/>
              </w:rPr>
            </m:ctrlPr>
          </m:sSubPr>
          <m:e>
            <m:r>
              <w:rPr>
                <w:rFonts w:ascii="Cambria Math" w:eastAsiaTheme="minorEastAsia" w:hAnsi="Cambria Math"/>
              </w:rPr>
              <m:t xml:space="preserve">S </m:t>
            </m:r>
            <m:r>
              <w:rPr>
                <w:rFonts w:ascii="Cambria Math" w:hAnsi="Cambria Math"/>
              </w:rPr>
              <m:t>Club</m:t>
            </m:r>
          </m:e>
          <m:sub>
            <m:r>
              <w:rPr>
                <w:rFonts w:ascii="Cambria Math" w:eastAsiaTheme="minorEastAsia" w:hAnsi="Cambria Math"/>
              </w:rPr>
              <m:t>ijt</m:t>
            </m:r>
          </m:sub>
        </m:sSub>
      </m:oMath>
      <w:r>
        <w:rPr>
          <w:rFonts w:eastAsiaTheme="minorEastAsia"/>
        </w:rPr>
        <w:t xml:space="preserve">. For all </w:t>
      </w:r>
      <w:r w:rsidRPr="00571D83">
        <w:rPr>
          <w:rFonts w:eastAsiaTheme="minorEastAsia"/>
        </w:rPr>
        <w:t xml:space="preserve">other </w:t>
      </w:r>
      <w:r>
        <w:rPr>
          <w:rFonts w:eastAsiaTheme="minorEastAsia"/>
        </w:rPr>
        <w:t xml:space="preserve">bilateral </w:t>
      </w:r>
      <w:r w:rsidRPr="00571D83">
        <w:rPr>
          <w:rFonts w:eastAsiaTheme="minorEastAsia"/>
        </w:rPr>
        <w:t xml:space="preserve">combinations </w:t>
      </w:r>
      <w:r>
        <w:rPr>
          <w:rFonts w:eastAsiaTheme="minorEastAsia"/>
        </w:rPr>
        <w:t>in the</w:t>
      </w:r>
      <w:r w:rsidRPr="00571D83">
        <w:rPr>
          <w:rFonts w:eastAsiaTheme="minorEastAsia"/>
        </w:rPr>
        <w:t xml:space="preserve"> four dummies </w:t>
      </w:r>
      <w:r>
        <w:rPr>
          <w:rFonts w:eastAsiaTheme="minorEastAsia"/>
        </w:rPr>
        <w:t xml:space="preserve">will be </w:t>
      </w:r>
      <w:r w:rsidRPr="00571D83">
        <w:rPr>
          <w:rFonts w:eastAsiaTheme="minorEastAsia"/>
        </w:rPr>
        <w:t>set to zero.</w:t>
      </w:r>
    </w:p>
  </w:footnote>
  <w:footnote w:id="26">
    <w:p w14:paraId="04A702A2" w14:textId="77777777" w:rsidR="00386FE7" w:rsidRDefault="00386FE7" w:rsidP="00386FE7">
      <w:pPr>
        <w:pStyle w:val="FootnoteText"/>
      </w:pPr>
      <w:r>
        <w:rPr>
          <w:rStyle w:val="FootnoteReference"/>
        </w:rPr>
        <w:footnoteRef/>
      </w:r>
      <w:r>
        <w:t xml:space="preserve"> This number is derived by taking the total number of times such words are mentioned in the purpose description divided by the total number of firms that are listed, i.e. (1,217/2,675) * 100 = 45.5 percent. </w:t>
      </w:r>
    </w:p>
  </w:footnote>
  <w:footnote w:id="27">
    <w:p w14:paraId="161CBCA6" w14:textId="0912A087" w:rsidR="00386FE7" w:rsidRPr="00DD5D74" w:rsidRDefault="00386FE7" w:rsidP="00386FE7">
      <w:pPr>
        <w:pStyle w:val="FootnoteText"/>
      </w:pPr>
      <w:r w:rsidRPr="00DD5D74">
        <w:rPr>
          <w:rStyle w:val="FootnoteReference"/>
        </w:rPr>
        <w:footnoteRef/>
      </w:r>
      <w:r w:rsidRPr="00DD5D74">
        <w:t xml:space="preserve"> </w:t>
      </w:r>
      <w:r>
        <w:t xml:space="preserve">In </w:t>
      </w:r>
      <w:r w:rsidR="00A43417">
        <w:t xml:space="preserve">the </w:t>
      </w:r>
      <w:r w:rsidRPr="007C1B27">
        <w:t>pooled gravity regressions</w:t>
      </w:r>
      <w:r>
        <w:t xml:space="preserve">, </w:t>
      </w:r>
      <w:r w:rsidRPr="007C1B27">
        <w:t xml:space="preserve">we </w:t>
      </w:r>
      <w:r>
        <w:t xml:space="preserve">use a measure of sectoral data intensity for all </w:t>
      </w:r>
      <w:r w:rsidRPr="007C1B27">
        <w:t>sectors</w:t>
      </w:r>
      <w:r>
        <w:t xml:space="preserve"> </w:t>
      </w:r>
      <m:oMath>
        <m:r>
          <w:rPr>
            <w:rFonts w:ascii="Cambria Math" w:hAnsi="Cambria Math"/>
          </w:rPr>
          <m:t>k</m:t>
        </m:r>
        <m:r>
          <m:rPr>
            <m:sty m:val="p"/>
          </m:rPr>
          <w:rPr>
            <w:rFonts w:ascii="Cambria Math" w:hAnsi="Cambria Math"/>
          </w:rPr>
          <m:t xml:space="preserve">= </m:t>
        </m:r>
        <m:r>
          <w:rPr>
            <w:rFonts w:ascii="Cambria Math" w:hAnsi="Cambria Math"/>
          </w:rPr>
          <m:t>1…K</m:t>
        </m:r>
      </m:oMath>
      <w:r>
        <w:rPr>
          <w:rFonts w:eastAsiaTheme="minorEastAsia"/>
        </w:rPr>
        <w:t xml:space="preserve">, </w:t>
      </w:r>
      <w:r>
        <w:t xml:space="preserve">allowing for the possibility that non-digital </w:t>
      </w:r>
      <w:r w:rsidRPr="007C1B27">
        <w:t xml:space="preserve">industries </w:t>
      </w:r>
      <w:r>
        <w:t xml:space="preserve">may also be </w:t>
      </w:r>
      <w:r w:rsidRPr="007C1B27">
        <w:t>affected by an adequacy agreement.</w:t>
      </w:r>
    </w:p>
  </w:footnote>
  <w:footnote w:id="28">
    <w:p w14:paraId="47C571D8" w14:textId="7BA8D834" w:rsidR="003940E5" w:rsidRPr="00633995" w:rsidRDefault="003940E5" w:rsidP="0011538D">
      <w:pPr>
        <w:pStyle w:val="FootnoteText"/>
        <w:jc w:val="both"/>
      </w:pPr>
      <w:r w:rsidRPr="00633995">
        <w:rPr>
          <w:rStyle w:val="FootnoteReference"/>
        </w:rPr>
        <w:footnoteRef/>
      </w:r>
      <w:r w:rsidRPr="00633995">
        <w:t xml:space="preserve"> </w:t>
      </w:r>
      <w:r w:rsidR="002A290A" w:rsidRPr="00633995">
        <w:t>Given the difficulty of estimating the volume of digitally delivered services, statistics o</w:t>
      </w:r>
      <w:r w:rsidR="00753B84" w:rsidRPr="00633995">
        <w:t>n</w:t>
      </w:r>
      <w:r w:rsidR="002A290A" w:rsidRPr="00633995">
        <w:t xml:space="preserve"> digital services</w:t>
      </w:r>
      <w:r w:rsidR="00753B84" w:rsidRPr="00633995">
        <w:t xml:space="preserve"> trade</w:t>
      </w:r>
      <w:r w:rsidR="002A290A" w:rsidRPr="00633995">
        <w:t xml:space="preserve"> include all services </w:t>
      </w:r>
      <w:r w:rsidR="002A290A" w:rsidRPr="00633995">
        <w:rPr>
          <w:i/>
          <w:iCs/>
        </w:rPr>
        <w:t>potentially</w:t>
      </w:r>
      <w:r w:rsidR="002A290A" w:rsidRPr="00633995">
        <w:t xml:space="preserve"> deliverable, providing an upper-bound estimate of digitally delivered trade</w:t>
      </w:r>
      <w:r w:rsidR="00E06DD6" w:rsidRPr="00633995">
        <w:t>.</w:t>
      </w:r>
      <w:r w:rsidR="002A290A" w:rsidRPr="00633995">
        <w:t xml:space="preserve"> </w:t>
      </w:r>
      <w:r w:rsidR="00753B84" w:rsidRPr="00633995">
        <w:t>S</w:t>
      </w:r>
      <w:r w:rsidR="00E06DD6" w:rsidRPr="00633995">
        <w:t xml:space="preserve">ervices </w:t>
      </w:r>
      <w:r w:rsidR="00753B84" w:rsidRPr="00633995">
        <w:t xml:space="preserve">related to goods trade </w:t>
      </w:r>
      <w:r w:rsidR="00E06DD6" w:rsidRPr="00633995">
        <w:t>such as transport, processing of physical inputs owned by others, maintenance and repair, travel, and construction</w:t>
      </w:r>
      <w:r w:rsidR="00000CC5" w:rsidRPr="00633995">
        <w:t xml:space="preserve"> </w:t>
      </w:r>
      <w:r w:rsidR="00E06DD6" w:rsidRPr="00633995">
        <w:t>are not included in</w:t>
      </w:r>
      <w:r w:rsidR="00753B84" w:rsidRPr="00633995">
        <w:t xml:space="preserve"> the OECD-WTO-IMF-UN (2023) </w:t>
      </w:r>
      <w:r w:rsidR="00E06DD6" w:rsidRPr="00633995">
        <w:t xml:space="preserve">definition of digitally deliverable services as they are not provided over digital networks. </w:t>
      </w:r>
      <w:r w:rsidR="00753B84" w:rsidRPr="00633995">
        <w:t>T</w:t>
      </w:r>
      <w:r w:rsidR="00000CC5" w:rsidRPr="00633995">
        <w:t>hey are</w:t>
      </w:r>
      <w:r w:rsidR="00892AAC" w:rsidRPr="00633995">
        <w:t xml:space="preserve"> </w:t>
      </w:r>
      <w:r w:rsidR="00753B84" w:rsidRPr="00633995">
        <w:t xml:space="preserve">therefore </w:t>
      </w:r>
      <w:r w:rsidR="00892AAC" w:rsidRPr="00633995">
        <w:t xml:space="preserve">not part of our definition of digital sectors heavily reliant on cross-border data flows. </w:t>
      </w:r>
    </w:p>
  </w:footnote>
  <w:footnote w:id="29">
    <w:p w14:paraId="0F9ED296" w14:textId="6F93225C" w:rsidR="00906E6E" w:rsidRPr="00633995" w:rsidRDefault="00906E6E" w:rsidP="0011538D">
      <w:pPr>
        <w:pStyle w:val="FootnoteText"/>
        <w:jc w:val="both"/>
      </w:pPr>
      <w:r w:rsidRPr="00633995">
        <w:rPr>
          <w:rStyle w:val="FootnoteReference"/>
        </w:rPr>
        <w:footnoteRef/>
      </w:r>
      <w:r w:rsidRPr="00633995">
        <w:t xml:space="preserve"> Other sources that record trade in services </w:t>
      </w:r>
      <w:r w:rsidRPr="009D4C1F">
        <w:t xml:space="preserve">such as </w:t>
      </w:r>
      <w:r w:rsidR="009D4C1F" w:rsidRPr="009D4C1F">
        <w:t xml:space="preserve">the </w:t>
      </w:r>
      <w:r w:rsidR="009D4C1F" w:rsidRPr="009D4C1F">
        <w:t>International Trade and Production Database for Estimation</w:t>
      </w:r>
      <w:r w:rsidR="009D4C1F" w:rsidRPr="009D4C1F">
        <w:t xml:space="preserve"> </w:t>
      </w:r>
      <w:r w:rsidR="009D4C1F">
        <w:t xml:space="preserve">(Borchert et al., 2022) </w:t>
      </w:r>
      <w:r w:rsidRPr="009D4C1F">
        <w:t xml:space="preserve">and </w:t>
      </w:r>
      <w:r w:rsidR="009B2203">
        <w:t xml:space="preserve">the OECD-WTO </w:t>
      </w:r>
      <w:r w:rsidR="009B2203" w:rsidRPr="009B2203">
        <w:t>Balanced Trade in Services dataset</w:t>
      </w:r>
      <w:r w:rsidRPr="009D4C1F">
        <w:t xml:space="preserve"> do not distinguish</w:t>
      </w:r>
      <w:r w:rsidRPr="00633995">
        <w:t xml:space="preserve"> between the digital services sectors that are part of our narrow definition. </w:t>
      </w:r>
    </w:p>
  </w:footnote>
  <w:footnote w:id="30">
    <w:p w14:paraId="423EDF53" w14:textId="5BA95BF4" w:rsidR="00906E6E" w:rsidRPr="00633995" w:rsidRDefault="00906E6E" w:rsidP="0011538D">
      <w:pPr>
        <w:pStyle w:val="FootnoteText"/>
        <w:jc w:val="both"/>
      </w:pPr>
      <w:r w:rsidRPr="00633995">
        <w:rPr>
          <w:rStyle w:val="FootnoteReference"/>
        </w:rPr>
        <w:footnoteRef/>
      </w:r>
      <w:r w:rsidRPr="00633995">
        <w:t xml:space="preserve"> This period enables us to incorporate most adequacy decisions, </w:t>
      </w:r>
      <w:r w:rsidR="005B6AD2" w:rsidRPr="00633995">
        <w:t xml:space="preserve">with the exception of </w:t>
      </w:r>
      <w:r w:rsidRPr="00633995">
        <w:t>the most recent decisions for Korea (2021) and the UK</w:t>
      </w:r>
      <w:r w:rsidRPr="00633995">
        <w:rPr>
          <w:rFonts w:eastAsiaTheme="minorEastAsia"/>
        </w:rPr>
        <w:t xml:space="preserve"> (2021). </w:t>
      </w:r>
      <w:r w:rsidRPr="00633995">
        <w:t xml:space="preserve">TiVA does </w:t>
      </w:r>
      <w:r w:rsidR="00857F0A" w:rsidRPr="00633995">
        <w:t xml:space="preserve">not </w:t>
      </w:r>
      <w:r w:rsidRPr="00633995">
        <w:t>report trade data for</w:t>
      </w:r>
      <w:r w:rsidR="005B6AD2" w:rsidRPr="00633995">
        <w:t xml:space="preserve"> Uruguay and</w:t>
      </w:r>
      <w:r w:rsidRPr="00633995">
        <w:t xml:space="preserve"> the five micro-states </w:t>
      </w:r>
      <w:r w:rsidR="005B6AD2" w:rsidRPr="00633995">
        <w:t xml:space="preserve">of </w:t>
      </w:r>
      <w:r w:rsidRPr="00633995">
        <w:t xml:space="preserve">Guernsey, Isle of Man, Jersey, Andorra, and the Faroe Islands. </w:t>
      </w:r>
    </w:p>
  </w:footnote>
  <w:footnote w:id="31">
    <w:p w14:paraId="3A0E693A" w14:textId="74BFFEFC" w:rsidR="005978BE" w:rsidRPr="00633995" w:rsidRDefault="005978BE" w:rsidP="0011538D">
      <w:pPr>
        <w:pStyle w:val="FootnoteText"/>
        <w:jc w:val="both"/>
      </w:pPr>
      <w:r w:rsidRPr="00633995">
        <w:rPr>
          <w:rStyle w:val="FootnoteReference"/>
        </w:rPr>
        <w:footnoteRef/>
      </w:r>
      <w:r w:rsidRPr="00633995">
        <w:t xml:space="preserve"> Since the latter dataset ends in 2019, we fill in missing information for 2020 using data from the WTO.</w:t>
      </w:r>
    </w:p>
  </w:footnote>
  <w:footnote w:id="32">
    <w:p w14:paraId="16D0FE48" w14:textId="0E1D035B" w:rsidR="0000465F" w:rsidRPr="00633995" w:rsidRDefault="0000465F" w:rsidP="0011538D">
      <w:pPr>
        <w:pStyle w:val="FootnoteText"/>
        <w:jc w:val="both"/>
      </w:pPr>
      <w:r w:rsidRPr="00633995">
        <w:rPr>
          <w:rStyle w:val="FootnoteReference"/>
        </w:rPr>
        <w:footnoteRef/>
      </w:r>
      <w:r w:rsidRPr="00633995">
        <w:t xml:space="preserve"> We only include binding provisions on data protection within a specific e-commerce chapter in a PTA. Even though some PTAs include data-related provisions for specific sectors outside an e-commerce chapter, we do not include them</w:t>
      </w:r>
      <w:r w:rsidR="001151F9">
        <w:t xml:space="preserve"> because</w:t>
      </w:r>
      <w:r w:rsidRPr="00633995">
        <w:t xml:space="preserve"> data protection provisions outside a specific e-commerce chapter are less meaningful</w:t>
      </w:r>
      <w:r w:rsidR="001151F9">
        <w:t>. I</w:t>
      </w:r>
      <w:r w:rsidRPr="00633995">
        <w:t>ncluding them in our assessment</w:t>
      </w:r>
      <w:r w:rsidR="001151F9">
        <w:t xml:space="preserve"> may </w:t>
      </w:r>
      <w:r w:rsidRPr="00633995">
        <w:t>potential</w:t>
      </w:r>
      <w:r w:rsidR="001151F9">
        <w:t>ly</w:t>
      </w:r>
      <w:r w:rsidRPr="00633995">
        <w:t xml:space="preserve"> bias our results. We thank Mia Burri for this </w:t>
      </w:r>
      <w:r w:rsidR="00B2500A" w:rsidRPr="00633995">
        <w:t>insight</w:t>
      </w:r>
      <w:r w:rsidRPr="00633995">
        <w:t>.</w:t>
      </w:r>
    </w:p>
  </w:footnote>
  <w:footnote w:id="33">
    <w:p w14:paraId="1D13DC00" w14:textId="4F7D8F73" w:rsidR="003F4F79" w:rsidRPr="00633995" w:rsidRDefault="003F4F79" w:rsidP="0011538D">
      <w:pPr>
        <w:pStyle w:val="FootnoteText"/>
        <w:jc w:val="both"/>
      </w:pPr>
      <w:r w:rsidRPr="00633995">
        <w:rPr>
          <w:rStyle w:val="FootnoteReference"/>
        </w:rPr>
        <w:footnoteRef/>
      </w:r>
      <w:r w:rsidRPr="00633995">
        <w:t xml:space="preserve"> </w:t>
      </w:r>
      <w:r w:rsidR="00AC5642" w:rsidRPr="00633995">
        <w:t>T</w:t>
      </w:r>
      <w:r w:rsidR="00197C22" w:rsidRPr="00633995">
        <w:t xml:space="preserve">he </w:t>
      </w:r>
      <w:r w:rsidR="0087146E" w:rsidRPr="00633995">
        <w:t xml:space="preserve">Data Protection Directive </w:t>
      </w:r>
      <w:r w:rsidR="00197C22" w:rsidRPr="00633995">
        <w:t>entered into force in 1998</w:t>
      </w:r>
      <w:r w:rsidR="00AC5642" w:rsidRPr="00633995">
        <w:t xml:space="preserve"> for the EU15</w:t>
      </w:r>
      <w:r w:rsidR="00197C22" w:rsidRPr="00633995">
        <w:t>. For other European countries</w:t>
      </w:r>
      <w:r w:rsidR="00AC5642" w:rsidRPr="00633995">
        <w:t>,</w:t>
      </w:r>
      <w:r w:rsidR="00183FD7" w:rsidRPr="00633995">
        <w:t xml:space="preserve"> </w:t>
      </w:r>
      <w:r w:rsidR="00197C22" w:rsidRPr="00633995">
        <w:t xml:space="preserve">it applied in 2004, 2007, or 2013, depending on </w:t>
      </w:r>
      <w:r w:rsidR="00906E6E" w:rsidRPr="00633995">
        <w:t xml:space="preserve">the </w:t>
      </w:r>
      <w:r w:rsidR="00197C22" w:rsidRPr="00633995">
        <w:t>date of EU accession. T</w:t>
      </w:r>
      <w:r w:rsidRPr="00633995">
        <w:t xml:space="preserve">he </w:t>
      </w:r>
      <w:r w:rsidR="00197C22" w:rsidRPr="00633995">
        <w:t xml:space="preserve">adoption of </w:t>
      </w:r>
      <w:r w:rsidRPr="00633995">
        <w:t xml:space="preserve">the GDPR in 2018 does not affect this control variable </w:t>
      </w:r>
      <w:r w:rsidR="005604C0">
        <w:t xml:space="preserve">as </w:t>
      </w:r>
      <w:r w:rsidRPr="00633995">
        <w:t xml:space="preserve">both the Directive and Regulation cover a similar set of countries. </w:t>
      </w:r>
    </w:p>
  </w:footnote>
  <w:footnote w:id="34">
    <w:p w14:paraId="6E310D3B" w14:textId="6D276E74" w:rsidR="00FF602F" w:rsidRPr="00513BF1" w:rsidRDefault="00FF602F" w:rsidP="0011538D">
      <w:pPr>
        <w:pStyle w:val="FootnoteText"/>
        <w:jc w:val="both"/>
      </w:pPr>
      <w:r w:rsidRPr="00633995">
        <w:rPr>
          <w:rStyle w:val="FootnoteReference"/>
        </w:rPr>
        <w:footnoteRef/>
      </w:r>
      <w:r w:rsidRPr="00633995">
        <w:t xml:space="preserve"> This </w:t>
      </w:r>
      <w:r w:rsidR="00906E6E" w:rsidRPr="00633995">
        <w:t>C</w:t>
      </w:r>
      <w:r w:rsidRPr="00633995">
        <w:t>onvention also includes an addendum called Convention 181 which covers transfers from Party to non-Party countries.</w:t>
      </w:r>
      <w:r w:rsidR="00466943" w:rsidRPr="00633995">
        <w:rPr>
          <w:sz w:val="22"/>
          <w:szCs w:val="22"/>
        </w:rPr>
        <w:t xml:space="preserve"> </w:t>
      </w:r>
      <w:r w:rsidR="00466943" w:rsidRPr="00633995">
        <w:t xml:space="preserve">Country membership in this </w:t>
      </w:r>
      <w:r w:rsidR="00906E6E" w:rsidRPr="00633995">
        <w:t>C</w:t>
      </w:r>
      <w:r w:rsidR="00466943" w:rsidRPr="00633995">
        <w:t>onvention varies by year.</w:t>
      </w:r>
    </w:p>
  </w:footnote>
  <w:footnote w:id="35">
    <w:p w14:paraId="05904F78" w14:textId="7068FA0A" w:rsidR="000F2B38" w:rsidRPr="00633995" w:rsidRDefault="000F2B38" w:rsidP="0011538D">
      <w:pPr>
        <w:pStyle w:val="FootnoteText"/>
        <w:jc w:val="both"/>
      </w:pPr>
      <w:r w:rsidRPr="00633995">
        <w:rPr>
          <w:rStyle w:val="FootnoteReference"/>
        </w:rPr>
        <w:footnoteRef/>
      </w:r>
      <w:r w:rsidRPr="00633995">
        <w:t xml:space="preserve"> The</w:t>
      </w:r>
      <w:r w:rsidR="00882445">
        <w:t>se rules have</w:t>
      </w:r>
      <w:r w:rsidRPr="00633995">
        <w:t xml:space="preserve"> some similarity with the EU-US </w:t>
      </w:r>
      <w:r w:rsidR="00197C22" w:rsidRPr="00633995">
        <w:t xml:space="preserve">adequacy agreements </w:t>
      </w:r>
      <w:r w:rsidRPr="00633995">
        <w:t xml:space="preserve">in that companies voluntarily subscribe to it, but </w:t>
      </w:r>
      <w:r w:rsidR="00197C22" w:rsidRPr="00633995">
        <w:t xml:space="preserve">differs by relying on </w:t>
      </w:r>
      <w:r w:rsidRPr="00633995">
        <w:t xml:space="preserve">qualified Accountability Agents, recognized by the participating economies, </w:t>
      </w:r>
      <w:r w:rsidR="0098188F" w:rsidRPr="00633995">
        <w:t>which</w:t>
      </w:r>
      <w:r w:rsidRPr="00633995">
        <w:t xml:space="preserve"> certify the policies and practices a company must comply with</w:t>
      </w:r>
      <w:r w:rsidR="0098188F" w:rsidRPr="00633995">
        <w:t xml:space="preserve"> for data protection</w:t>
      </w:r>
      <w:r w:rsidRPr="00633995">
        <w:t xml:space="preserve">. </w:t>
      </w:r>
      <w:r w:rsidR="004B3D5C" w:rsidRPr="00633995">
        <w:t xml:space="preserve"> </w:t>
      </w:r>
    </w:p>
  </w:footnote>
  <w:footnote w:id="36">
    <w:p w14:paraId="17471886" w14:textId="6D7259F6" w:rsidR="00DE161A" w:rsidRPr="00633995" w:rsidRDefault="00DE161A" w:rsidP="0011538D">
      <w:pPr>
        <w:pStyle w:val="FootnoteText"/>
        <w:jc w:val="both"/>
      </w:pPr>
      <w:r w:rsidRPr="00633995">
        <w:rPr>
          <w:rStyle w:val="FootnoteReference"/>
        </w:rPr>
        <w:footnoteRef/>
      </w:r>
      <w:r w:rsidRPr="00633995">
        <w:t xml:space="preserve"> </w:t>
      </w:r>
      <w:r w:rsidR="009B433A" w:rsidRPr="00633995">
        <w:t xml:space="preserve">The </w:t>
      </w:r>
      <w:r w:rsidR="00306E49" w:rsidRPr="00633995">
        <w:t xml:space="preserve">controls </w:t>
      </w:r>
      <w:r w:rsidR="00897C53" w:rsidRPr="00633995">
        <w:t xml:space="preserve">discussed here </w:t>
      </w:r>
      <w:r w:rsidR="00306E49" w:rsidRPr="00633995">
        <w:t>are meant to reduce the bias arising from omitting relevant co-determinants of digital trade</w:t>
      </w:r>
      <w:r w:rsidR="00897C53" w:rsidRPr="00633995">
        <w:t xml:space="preserve">. Since </w:t>
      </w:r>
      <w:r w:rsidR="00306E49" w:rsidRPr="00633995">
        <w:t>their magnitude</w:t>
      </w:r>
      <w:r w:rsidR="00D42B2F" w:rsidRPr="00633995">
        <w:t>, sign</w:t>
      </w:r>
      <w:r w:rsidR="00306E49" w:rsidRPr="00633995">
        <w:t xml:space="preserve"> and significance </w:t>
      </w:r>
      <w:r w:rsidR="00D42B2F" w:rsidRPr="00633995">
        <w:t xml:space="preserve">are </w:t>
      </w:r>
      <w:r w:rsidR="00306E49" w:rsidRPr="00633995">
        <w:t>consistent with the ex</w:t>
      </w:r>
      <w:r w:rsidR="00D42B2F" w:rsidRPr="00633995">
        <w:t>tant</w:t>
      </w:r>
      <w:r w:rsidR="00306E49" w:rsidRPr="00633995">
        <w:t xml:space="preserve"> literature</w:t>
      </w:r>
      <w:r w:rsidR="00897C53" w:rsidRPr="00633995">
        <w:t>,</w:t>
      </w:r>
      <w:r w:rsidR="00306E49" w:rsidRPr="00633995">
        <w:t xml:space="preserve"> we </w:t>
      </w:r>
      <w:r w:rsidR="0094794F" w:rsidRPr="00633995">
        <w:t>do</w:t>
      </w:r>
      <w:r w:rsidR="00306E49" w:rsidRPr="00633995">
        <w:t xml:space="preserve"> not report the coefficients</w:t>
      </w:r>
      <w:r w:rsidR="00897C53" w:rsidRPr="00633995">
        <w:t xml:space="preserve"> in the results tables</w:t>
      </w:r>
      <w:r w:rsidR="009B433A" w:rsidRPr="00633995">
        <w:t xml:space="preserve">. These </w:t>
      </w:r>
      <w:r w:rsidR="0094794F" w:rsidRPr="00633995">
        <w:t xml:space="preserve">are </w:t>
      </w:r>
      <w:r w:rsidR="00C4476C">
        <w:t xml:space="preserve">reported </w:t>
      </w:r>
      <w:r w:rsidR="007A0BE0">
        <w:t>in Appendix B</w:t>
      </w:r>
      <w:r w:rsidR="00306E49" w:rsidRPr="00633995">
        <w:t xml:space="preserve">. </w:t>
      </w:r>
    </w:p>
  </w:footnote>
  <w:footnote w:id="37">
    <w:p w14:paraId="59E3B6A2" w14:textId="25B44E1A" w:rsidR="007A0BE0" w:rsidRDefault="007A0BE0">
      <w:pPr>
        <w:pStyle w:val="FootnoteText"/>
      </w:pPr>
      <w:r>
        <w:rPr>
          <w:rStyle w:val="FootnoteReference"/>
        </w:rPr>
        <w:footnoteRef/>
      </w:r>
      <w:r>
        <w:t xml:space="preserve"> Of the control variables, only WTO membership is significant. See Appendix B.</w:t>
      </w:r>
    </w:p>
  </w:footnote>
  <w:footnote w:id="38">
    <w:p w14:paraId="68A11245" w14:textId="58DDD7FC" w:rsidR="0087146E" w:rsidRPr="00633995" w:rsidRDefault="0087146E" w:rsidP="0011538D">
      <w:pPr>
        <w:pStyle w:val="FootnoteText"/>
        <w:jc w:val="both"/>
      </w:pPr>
      <w:r w:rsidRPr="00633995">
        <w:rPr>
          <w:rStyle w:val="FootnoteReference"/>
        </w:rPr>
        <w:footnoteRef/>
      </w:r>
      <w:r w:rsidRPr="00633995">
        <w:t xml:space="preserve"> In the baseline analysis</w:t>
      </w:r>
      <w:r w:rsidR="007857D9" w:rsidRPr="00633995">
        <w:t>,</w:t>
      </w:r>
      <w:r w:rsidRPr="00633995">
        <w:t xml:space="preserve"> we apply a one-year gap between Safe Harbor and the Privacy Shield frameworks during which there was no data flow agreement between EU members and the US</w:t>
      </w:r>
      <w:r w:rsidR="00183FD7" w:rsidRPr="00633995">
        <w:t>,</w:t>
      </w:r>
      <w:r w:rsidRPr="00633995">
        <w:t xml:space="preserve"> i.e., the </w:t>
      </w:r>
      <w:r w:rsidR="00881241" w:rsidRPr="00633995">
        <w:rPr>
          <w:i/>
          <w:iCs/>
        </w:rPr>
        <w:t xml:space="preserve">SH/PS </w:t>
      </w:r>
      <w:r w:rsidRPr="00633995">
        <w:t xml:space="preserve">dummy is set at zero for 2015. We do the same for the club variables. </w:t>
      </w:r>
    </w:p>
  </w:footnote>
  <w:footnote w:id="39">
    <w:p w14:paraId="2ED11639" w14:textId="4791C60E" w:rsidR="00300EE6" w:rsidRDefault="00300EE6">
      <w:pPr>
        <w:pStyle w:val="FootnoteText"/>
      </w:pPr>
      <w:r>
        <w:rPr>
          <w:rStyle w:val="FootnoteReference"/>
        </w:rPr>
        <w:footnoteRef/>
      </w:r>
      <w:r>
        <w:t xml:space="preserve"> </w:t>
      </w:r>
      <w:r w:rsidR="00E32DBA">
        <w:t xml:space="preserve">The </w:t>
      </w:r>
      <w:r w:rsidR="00E32DBA" w:rsidRPr="00607058">
        <w:rPr>
          <w:i/>
          <w:iCs/>
        </w:rPr>
        <w:t>PTA</w:t>
      </w:r>
      <w:r w:rsidR="00BD0A8A" w:rsidRPr="00607058">
        <w:rPr>
          <w:i/>
          <w:iCs/>
        </w:rPr>
        <w:t>-DP</w:t>
      </w:r>
      <w:r w:rsidR="00E32DBA">
        <w:t xml:space="preserve"> variable </w:t>
      </w:r>
      <w:r w:rsidR="00D53064">
        <w:t xml:space="preserve">is </w:t>
      </w:r>
      <w:r w:rsidR="00E32DBA">
        <w:t xml:space="preserve">mostly </w:t>
      </w:r>
      <w:r w:rsidR="00267685">
        <w:t xml:space="preserve">insignificant except when applying the lags of </w:t>
      </w:r>
      <w:r w:rsidR="00057E4D">
        <w:t xml:space="preserve">both </w:t>
      </w:r>
      <w:r w:rsidR="00D33156">
        <w:t xml:space="preserve">1 </w:t>
      </w:r>
      <w:r w:rsidR="00267685">
        <w:t>and 3 years.</w:t>
      </w:r>
      <w:r w:rsidR="009D0906">
        <w:t xml:space="preserve"> </w:t>
      </w:r>
      <w:r w:rsidR="00D33156">
        <w:t xml:space="preserve">The lagged </w:t>
      </w:r>
      <w:r w:rsidR="00D33156">
        <w:rPr>
          <w:i/>
          <w:iCs/>
        </w:rPr>
        <w:t>PTA-</w:t>
      </w:r>
      <w:r w:rsidR="00D33156" w:rsidRPr="00D33156">
        <w:rPr>
          <w:i/>
          <w:iCs/>
        </w:rPr>
        <w:t>DP</w:t>
      </w:r>
      <w:r w:rsidR="00D33156">
        <w:rPr>
          <w:i/>
          <w:iCs/>
        </w:rPr>
        <w:t xml:space="preserve"> </w:t>
      </w:r>
      <w:r w:rsidR="00D33156">
        <w:t xml:space="preserve">comes out significant </w:t>
      </w:r>
      <w:r w:rsidR="00057E4D">
        <w:t>when applying the lag of 2 and 3 years</w:t>
      </w:r>
      <w:r w:rsidR="00057E4D" w:rsidRPr="00057E4D">
        <w:t xml:space="preserve">. </w:t>
      </w:r>
      <w:r w:rsidR="0072392D" w:rsidRPr="00057E4D">
        <w:t>Furthermore, r</w:t>
      </w:r>
      <w:r w:rsidR="00A70364" w:rsidRPr="00057E4D">
        <w:t>egress</w:t>
      </w:r>
      <w:r w:rsidR="00D53064" w:rsidRPr="00057E4D">
        <w:t xml:space="preserve">ions </w:t>
      </w:r>
      <w:r w:rsidR="00A70364" w:rsidRPr="00057E4D">
        <w:t xml:space="preserve">using </w:t>
      </w:r>
      <w:r w:rsidR="00335D3E" w:rsidRPr="00057E4D">
        <w:t xml:space="preserve">the full </w:t>
      </w:r>
      <w:r w:rsidR="00582B13" w:rsidRPr="00057E4D">
        <w:t>P</w:t>
      </w:r>
      <w:r w:rsidR="00335D3E" w:rsidRPr="00057E4D">
        <w:t>TA dummy d</w:t>
      </w:r>
      <w:r w:rsidR="00E036F1" w:rsidRPr="00057E4D">
        <w:t>o</w:t>
      </w:r>
      <w:r w:rsidR="00310E8E" w:rsidRPr="00057E4D">
        <w:t xml:space="preserve"> not change the significance of the </w:t>
      </w:r>
      <w:r w:rsidR="002341B2">
        <w:t>coefficient results on our adequacy variable</w:t>
      </w:r>
      <w:r w:rsidR="00777859" w:rsidRPr="00057E4D">
        <w:t xml:space="preserve"> but</w:t>
      </w:r>
      <w:r w:rsidR="00310E8E" w:rsidRPr="00057E4D">
        <w:t xml:space="preserve"> </w:t>
      </w:r>
      <w:r w:rsidR="00E036F1" w:rsidRPr="00057E4D">
        <w:t xml:space="preserve">generated </w:t>
      </w:r>
      <w:r w:rsidR="002341B2">
        <w:t xml:space="preserve">a negative </w:t>
      </w:r>
      <w:r w:rsidR="00A210B8">
        <w:t xml:space="preserve">and insignificant </w:t>
      </w:r>
      <w:r w:rsidR="002341B2">
        <w:t>coefficient sign</w:t>
      </w:r>
      <w:r w:rsidR="00536D21">
        <w:t>.</w:t>
      </w:r>
      <w:r w:rsidR="009D0906">
        <w:t xml:space="preserve"> </w:t>
      </w:r>
      <w:r w:rsidR="00777859">
        <w:t xml:space="preserve">Results </w:t>
      </w:r>
      <w:r w:rsidR="00E036F1">
        <w:t xml:space="preserve">are available </w:t>
      </w:r>
      <w:r w:rsidR="00777859">
        <w:t xml:space="preserve">on request. </w:t>
      </w:r>
    </w:p>
  </w:footnote>
  <w:footnote w:id="40">
    <w:p w14:paraId="2FDBB972" w14:textId="3271B2AB" w:rsidR="00C179A2" w:rsidRPr="00633995" w:rsidRDefault="00C179A2" w:rsidP="0011538D">
      <w:pPr>
        <w:pStyle w:val="FootnoteText"/>
        <w:jc w:val="both"/>
      </w:pPr>
      <w:r w:rsidRPr="00633995">
        <w:rPr>
          <w:rStyle w:val="FootnoteReference"/>
        </w:rPr>
        <w:footnoteRef/>
      </w:r>
      <w:r w:rsidRPr="00633995">
        <w:t xml:space="preserve"> Baier and Bergstrand (2007) use the three-way fixed effects</w:t>
      </w:r>
      <w:r w:rsidR="005623B5">
        <w:t xml:space="preserve"> gravity model</w:t>
      </w:r>
      <w:r w:rsidRPr="00633995">
        <w:t xml:space="preserve"> to estimate the impact of </w:t>
      </w:r>
      <w:r w:rsidR="00B1766D">
        <w:t xml:space="preserve">PTAs </w:t>
      </w:r>
      <w:r w:rsidRPr="00633995">
        <w:t xml:space="preserve">on </w:t>
      </w:r>
      <w:r w:rsidR="00A813FF" w:rsidRPr="00633995">
        <w:t>trade</w:t>
      </w:r>
      <w:r w:rsidRPr="00633995">
        <w:t xml:space="preserve">.  </w:t>
      </w:r>
    </w:p>
  </w:footnote>
  <w:footnote w:id="41">
    <w:p w14:paraId="238C673A" w14:textId="20581E19" w:rsidR="00FA6D15" w:rsidRPr="00633995" w:rsidRDefault="00FA6D15" w:rsidP="0011538D">
      <w:pPr>
        <w:pStyle w:val="FootnoteText"/>
        <w:jc w:val="both"/>
      </w:pPr>
      <w:r w:rsidRPr="00633995">
        <w:rPr>
          <w:rStyle w:val="FootnoteReference"/>
        </w:rPr>
        <w:footnoteRef/>
      </w:r>
      <w:r w:rsidRPr="00633995">
        <w:t xml:space="preserve"> This approach builds on a long-standing stream of research initiated by Rajan and Zingales (1998). See Ciccone and Papaioannou (2022) for a review of this literature. </w:t>
      </w:r>
    </w:p>
  </w:footnote>
  <w:footnote w:id="42">
    <w:p w14:paraId="37754D2A" w14:textId="49D67C0B" w:rsidR="00CF149C" w:rsidRPr="00633995" w:rsidRDefault="00CF149C" w:rsidP="0011538D">
      <w:pPr>
        <w:pStyle w:val="FootnoteText"/>
        <w:jc w:val="both"/>
      </w:pPr>
      <w:r w:rsidRPr="00633995">
        <w:rPr>
          <w:rStyle w:val="FootnoteReference"/>
        </w:rPr>
        <w:footnoteRef/>
      </w:r>
      <w:r w:rsidRPr="00633995">
        <w:t xml:space="preserve"> Sectors of activity were manually concorded to the ISIC. If a firm's primary sector is not mentioned but sub-sector activities are reported, we use the latter for our analysis. Appendix Table </w:t>
      </w:r>
      <w:r w:rsidR="006C7A1D" w:rsidRPr="00633995">
        <w:t>A</w:t>
      </w:r>
      <w:r w:rsidR="006C7A1D">
        <w:t>2</w:t>
      </w:r>
      <w:r w:rsidR="006C7A1D" w:rsidRPr="00633995">
        <w:t xml:space="preserve"> </w:t>
      </w:r>
      <w:r w:rsidRPr="00633995">
        <w:t xml:space="preserve">shows the top 10 sectors that rely most on the adequacy framework, covering about 95 percent of all firms. </w:t>
      </w:r>
    </w:p>
  </w:footnote>
  <w:footnote w:id="43">
    <w:p w14:paraId="2A1E14E2" w14:textId="77777777" w:rsidR="00CF149C" w:rsidRPr="00633995" w:rsidRDefault="00CF149C" w:rsidP="0011538D">
      <w:pPr>
        <w:pStyle w:val="FootnoteText"/>
        <w:jc w:val="both"/>
      </w:pPr>
      <w:r w:rsidRPr="00633995">
        <w:rPr>
          <w:rStyle w:val="FootnoteReference"/>
        </w:rPr>
        <w:footnoteRef/>
      </w:r>
      <w:r w:rsidRPr="00633995">
        <w:t xml:space="preserve"> The OECD inter-country input output tables report data for 44 sectors. We exclude agriculture and mining as well as utilities and construction, leaving 35 sectors.  </w:t>
      </w:r>
    </w:p>
  </w:footnote>
  <w:footnote w:id="44">
    <w:p w14:paraId="55D81C48" w14:textId="302A0DA8" w:rsidR="00597231" w:rsidRDefault="00597231">
      <w:pPr>
        <w:pStyle w:val="FootnoteText"/>
      </w:pPr>
      <w:r>
        <w:rPr>
          <w:rStyle w:val="FootnoteReference"/>
        </w:rPr>
        <w:footnoteRef/>
      </w:r>
      <w:r>
        <w:t xml:space="preserve"> </w:t>
      </w:r>
      <w:r w:rsidR="003810ED">
        <w:t xml:space="preserve">This is akin to </w:t>
      </w:r>
      <w:r w:rsidR="009912F6">
        <w:t xml:space="preserve">the </w:t>
      </w:r>
      <w:r w:rsidR="003810ED">
        <w:t xml:space="preserve">shift-share </w:t>
      </w:r>
      <w:r w:rsidR="009912F6">
        <w:t xml:space="preserve">approach </w:t>
      </w:r>
      <w:r w:rsidR="003810ED">
        <w:t>common</w:t>
      </w:r>
      <w:r w:rsidR="00785B18">
        <w:t>ly applied</w:t>
      </w:r>
      <w:r w:rsidR="003810ED">
        <w:t xml:space="preserve"> in the empirical economic literature</w:t>
      </w:r>
      <w:r w:rsidR="00652505">
        <w:t xml:space="preserve">. </w:t>
      </w:r>
      <w:r w:rsidR="009912F6">
        <w:t>W</w:t>
      </w:r>
      <w:r w:rsidR="001C15C5">
        <w:t>hen the intensity measures are interacted with our adequacy and club effect dummies, the</w:t>
      </w:r>
      <w:r w:rsidR="00874662">
        <w:t xml:space="preserve"> ‘shift’</w:t>
      </w:r>
      <w:r w:rsidR="001C15C5">
        <w:t xml:space="preserve"> component</w:t>
      </w:r>
      <w:r w:rsidR="00874662">
        <w:t xml:space="preserve"> </w:t>
      </w:r>
      <w:r w:rsidR="009912F6">
        <w:t xml:space="preserve">is </w:t>
      </w:r>
      <w:r w:rsidR="00874662">
        <w:t>represent</w:t>
      </w:r>
      <w:r w:rsidR="009912F6">
        <w:t>ed</w:t>
      </w:r>
      <w:r w:rsidR="00874662">
        <w:t xml:space="preserve"> </w:t>
      </w:r>
      <w:r w:rsidR="009912F6">
        <w:t xml:space="preserve">by the </w:t>
      </w:r>
      <w:r w:rsidR="008D1177">
        <w:t>adequ</w:t>
      </w:r>
      <w:r w:rsidR="000127D8">
        <w:t xml:space="preserve">acy and club effect, </w:t>
      </w:r>
      <w:r w:rsidR="008E59B8">
        <w:t xml:space="preserve">reflecting </w:t>
      </w:r>
      <w:r w:rsidR="008D1177" w:rsidRPr="008D1177">
        <w:t xml:space="preserve">shifts that </w:t>
      </w:r>
      <w:r w:rsidR="008E59B8">
        <w:t xml:space="preserve">are </w:t>
      </w:r>
      <w:r w:rsidR="008D1177" w:rsidRPr="008D1177">
        <w:t>common to all units</w:t>
      </w:r>
      <w:r w:rsidR="00F34D9F">
        <w:t>,</w:t>
      </w:r>
      <w:r w:rsidR="000127D8">
        <w:t xml:space="preserve"> whereas the ‘share’ component are </w:t>
      </w:r>
      <w:r w:rsidR="008E59B8">
        <w:t>the</w:t>
      </w:r>
      <w:r w:rsidR="000127D8">
        <w:t xml:space="preserve"> exposure shares </w:t>
      </w:r>
      <w:r w:rsidR="008E59B8">
        <w:t xml:space="preserve">that </w:t>
      </w:r>
      <w:r w:rsidR="000127D8">
        <w:t>vary across units</w:t>
      </w:r>
      <w:r w:rsidR="008E59B8">
        <w:t xml:space="preserve"> (</w:t>
      </w:r>
      <w:r w:rsidR="000127D8">
        <w:t>sectors in our case</w:t>
      </w:r>
      <w:r w:rsidR="008E59B8">
        <w:t>)</w:t>
      </w:r>
      <w:r w:rsidR="000127D8">
        <w:t xml:space="preserve">. </w:t>
      </w:r>
      <w:r w:rsidR="00F34D9F">
        <w:t xml:space="preserve">Similar to </w:t>
      </w:r>
      <w:r w:rsidR="008E59B8">
        <w:t xml:space="preserve">analyses </w:t>
      </w:r>
      <w:r w:rsidR="00F34D9F">
        <w:t xml:space="preserve">applying </w:t>
      </w:r>
      <w:r w:rsidR="008E59B8">
        <w:t xml:space="preserve">a shift-share </w:t>
      </w:r>
      <w:r w:rsidR="00F34D9F">
        <w:t xml:space="preserve">approach, the </w:t>
      </w:r>
      <w:r w:rsidR="00C432E0">
        <w:t>latter component sums to one for each unit, i.e. across sectors for each country</w:t>
      </w:r>
      <w:r w:rsidR="00702CA0">
        <w:t xml:space="preserve">, </w:t>
      </w:r>
      <w:r w:rsidR="008E59B8">
        <w:t xml:space="preserve">and </w:t>
      </w:r>
      <w:r w:rsidR="00702CA0">
        <w:t xml:space="preserve">is therefore a weighted average. See </w:t>
      </w:r>
      <w:r w:rsidR="00785B18" w:rsidRPr="00785B18">
        <w:t>Borusyak</w:t>
      </w:r>
      <w:r w:rsidR="00785B18">
        <w:t xml:space="preserve"> et al. (2024). </w:t>
      </w:r>
      <w:r w:rsidR="00C432E0">
        <w:t xml:space="preserve"> </w:t>
      </w:r>
    </w:p>
  </w:footnote>
  <w:footnote w:id="45">
    <w:p w14:paraId="01B177EE" w14:textId="77777777" w:rsidR="007A2712" w:rsidRDefault="007A2712" w:rsidP="007A2712">
      <w:pPr>
        <w:pStyle w:val="FootnoteText"/>
      </w:pPr>
      <w:r>
        <w:rPr>
          <w:rStyle w:val="FootnoteReference"/>
        </w:rPr>
        <w:footnoteRef/>
      </w:r>
      <w:r>
        <w:t xml:space="preserve"> Note, however, that the first Transatlantic adequacy framework (Safe Harbor) was applied in 2000, which leaves one year of identification for our lead variable. Moreover, the negative effect may be driven by the drop in digital exports following the repeal of this arrangement in 2015, which was followed by a recovery in the following year with the adoption of the Privacy Shield framework. </w:t>
      </w:r>
    </w:p>
  </w:footnote>
  <w:footnote w:id="46">
    <w:p w14:paraId="787F894B" w14:textId="51EE0BE2" w:rsidR="007A2712" w:rsidRPr="00633995" w:rsidRDefault="007A2712" w:rsidP="007A2712">
      <w:pPr>
        <w:pStyle w:val="FootnoteText"/>
        <w:jc w:val="both"/>
      </w:pPr>
      <w:r w:rsidRPr="00633995">
        <w:rPr>
          <w:rStyle w:val="FootnoteReference"/>
        </w:rPr>
        <w:footnoteRef/>
      </w:r>
      <w:r w:rsidRPr="00633995">
        <w:t xml:space="preserve"> This effect is </w:t>
      </w:r>
      <w:r w:rsidR="008B77DB">
        <w:t xml:space="preserve">computed </w:t>
      </w:r>
      <w:r w:rsidRPr="00633995">
        <w:t xml:space="preserve">similarly </w:t>
      </w:r>
      <w:r w:rsidR="00CD0D61">
        <w:t>by taking the expected value of the estimated coefficients</w:t>
      </w:r>
      <w:r w:rsidRPr="00633995">
        <w:rPr>
          <w:rFonts w:eastAsiaTheme="minorEastAsia"/>
        </w:rPr>
        <w:t>.</w:t>
      </w:r>
    </w:p>
  </w:footnote>
  <w:footnote w:id="47">
    <w:p w14:paraId="235D4538" w14:textId="2576287F" w:rsidR="002272C3" w:rsidRPr="00633995" w:rsidRDefault="002272C3" w:rsidP="0011538D">
      <w:pPr>
        <w:pStyle w:val="FootnoteText"/>
        <w:jc w:val="both"/>
        <w:rPr>
          <w:rFonts w:cs="CMU Serif"/>
        </w:rPr>
      </w:pPr>
      <w:r w:rsidRPr="00633995">
        <w:rPr>
          <w:rStyle w:val="FootnoteReference"/>
          <w:rFonts w:cs="CMU Serif"/>
        </w:rPr>
        <w:footnoteRef/>
      </w:r>
      <w:r w:rsidRPr="00633995">
        <w:rPr>
          <w:rFonts w:cs="CMU Serif"/>
        </w:rPr>
        <w:t xml:space="preserve"> Hollingsworth and Wing (2022) summarize the set of </w:t>
      </w:r>
      <w:r w:rsidR="008D1DD8" w:rsidRPr="00633995">
        <w:rPr>
          <w:rFonts w:cs="CMU Serif"/>
        </w:rPr>
        <w:t>“</w:t>
      </w:r>
      <w:r w:rsidRPr="00633995">
        <w:rPr>
          <w:rFonts w:cs="CMU Serif"/>
        </w:rPr>
        <w:t>pseudo-identifying</w:t>
      </w:r>
      <w:r w:rsidR="008D1DD8" w:rsidRPr="00633995">
        <w:rPr>
          <w:rFonts w:cs="CMU Serif"/>
        </w:rPr>
        <w:t>”</w:t>
      </w:r>
      <w:r w:rsidRPr="00633995">
        <w:rPr>
          <w:rFonts w:cs="CMU Serif"/>
        </w:rPr>
        <w:t xml:space="preserve"> assumptions and identify a series of threats to the validity of estimates. The assumptions are: (i) no spillover effects (or, no interference between units); (ii) Factor Structure Model (performance of unexposed countries is driven by a set of common factors that vary over time but is constant across countries); (iii) performance of unexposed units is allowed to vary from each other due to an idiosyncratic exogenous shock; (iv) no pre-period perfect multicollinearity of common factors; and (v) existence of weights such that a synthetic counterfactual exists. The five assumptions ensure that a synthetic counterfactual can be constructed and used for causal inference. Assumption (i)</w:t>
      </w:r>
      <w:r w:rsidR="00FA5F2B">
        <w:rPr>
          <w:rFonts w:cs="CMU Serif"/>
        </w:rPr>
        <w:t xml:space="preserve"> hinges on the process leading to an </w:t>
      </w:r>
      <w:r w:rsidR="001C0902">
        <w:rPr>
          <w:rFonts w:cs="CMU Serif"/>
        </w:rPr>
        <w:t>a</w:t>
      </w:r>
      <w:r w:rsidR="00FA5F2B">
        <w:rPr>
          <w:rFonts w:cs="CMU Serif"/>
        </w:rPr>
        <w:t xml:space="preserve">dequacy decision, in particular on the fact that Adequacy </w:t>
      </w:r>
      <w:r w:rsidR="009C22C0">
        <w:rPr>
          <w:rFonts w:cs="CMU Serif"/>
        </w:rPr>
        <w:t xml:space="preserve">in practice is </w:t>
      </w:r>
      <w:r w:rsidR="00FA5F2B">
        <w:rPr>
          <w:rFonts w:cs="CMU Serif"/>
        </w:rPr>
        <w:t xml:space="preserve">largely independent </w:t>
      </w:r>
      <w:r w:rsidR="009C22C0">
        <w:rPr>
          <w:rFonts w:cs="CMU Serif"/>
        </w:rPr>
        <w:t xml:space="preserve">of </w:t>
      </w:r>
      <w:r w:rsidR="00FA5F2B">
        <w:rPr>
          <w:rFonts w:cs="CMU Serif"/>
        </w:rPr>
        <w:t xml:space="preserve">a country’s domestic </w:t>
      </w:r>
      <w:r w:rsidR="009C22C0">
        <w:rPr>
          <w:rFonts w:cs="CMU Serif"/>
        </w:rPr>
        <w:t xml:space="preserve">data protection </w:t>
      </w:r>
      <w:r w:rsidR="00FA5F2B">
        <w:rPr>
          <w:rFonts w:cs="CMU Serif"/>
        </w:rPr>
        <w:t xml:space="preserve">policy. </w:t>
      </w:r>
      <w:r w:rsidR="009C22C0">
        <w:rPr>
          <w:rFonts w:cs="CMU Serif"/>
        </w:rPr>
        <w:t xml:space="preserve">The </w:t>
      </w:r>
      <w:r w:rsidR="0061448A">
        <w:rPr>
          <w:rFonts w:cs="CMU Serif"/>
        </w:rPr>
        <w:t>prospect</w:t>
      </w:r>
      <w:r w:rsidR="009C22C0">
        <w:rPr>
          <w:rFonts w:cs="CMU Serif"/>
        </w:rPr>
        <w:t xml:space="preserve"> of obtaining A</w:t>
      </w:r>
      <w:r w:rsidR="00FA5F2B">
        <w:rPr>
          <w:rFonts w:cs="CMU Serif"/>
        </w:rPr>
        <w:t xml:space="preserve">dequacy </w:t>
      </w:r>
      <w:r w:rsidR="009C22C0">
        <w:rPr>
          <w:rFonts w:cs="CMU Serif"/>
        </w:rPr>
        <w:t xml:space="preserve">is not necessarily enhanced </w:t>
      </w:r>
      <w:r w:rsidR="00FA5F2B">
        <w:rPr>
          <w:rFonts w:cs="CMU Serif"/>
        </w:rPr>
        <w:t>because a country adopt</w:t>
      </w:r>
      <w:r w:rsidR="009C22C0">
        <w:rPr>
          <w:rFonts w:cs="CMU Serif"/>
        </w:rPr>
        <w:t>s a</w:t>
      </w:r>
      <w:r w:rsidR="00FA5F2B">
        <w:rPr>
          <w:rFonts w:cs="CMU Serif"/>
        </w:rPr>
        <w:t xml:space="preserve"> GDPR compliant regulation</w:t>
      </w:r>
      <w:r w:rsidR="009C22C0">
        <w:rPr>
          <w:rFonts w:cs="CMU Serif"/>
        </w:rPr>
        <w:t xml:space="preserve"> – as noted, many countries that have adopted the GDPR have not been granted adequacy, while the US, which does not have a GDPR-type regulation has been accorded adequacy</w:t>
      </w:r>
      <w:r w:rsidR="00FA5F2B">
        <w:rPr>
          <w:rFonts w:cs="CMU Serif"/>
        </w:rPr>
        <w:t xml:space="preserve">. Thus, the positive effect of adequacy on a country’s digital trade might trigger the emulation of </w:t>
      </w:r>
      <w:r w:rsidR="0061448A">
        <w:rPr>
          <w:rFonts w:cs="CMU Serif"/>
        </w:rPr>
        <w:t>its</w:t>
      </w:r>
      <w:r w:rsidR="00FA5F2B">
        <w:rPr>
          <w:rFonts w:cs="CMU Serif"/>
        </w:rPr>
        <w:t xml:space="preserve"> trading partners, but their policy changes would not allow </w:t>
      </w:r>
      <w:r w:rsidR="009C22C0">
        <w:rPr>
          <w:rFonts w:cs="CMU Serif"/>
        </w:rPr>
        <w:t>a</w:t>
      </w:r>
      <w:r w:rsidR="00FA5F2B">
        <w:rPr>
          <w:rFonts w:cs="CMU Serif"/>
        </w:rPr>
        <w:t xml:space="preserve"> country </w:t>
      </w:r>
      <w:r w:rsidR="001C0902">
        <w:rPr>
          <w:rFonts w:cs="CMU Serif"/>
        </w:rPr>
        <w:t xml:space="preserve">with adequacy </w:t>
      </w:r>
      <w:r w:rsidR="00FA5F2B">
        <w:rPr>
          <w:rFonts w:cs="CMU Serif"/>
        </w:rPr>
        <w:t xml:space="preserve">to freely transfer data </w:t>
      </w:r>
      <w:r w:rsidR="009C22C0">
        <w:rPr>
          <w:rFonts w:cs="CMU Serif"/>
        </w:rPr>
        <w:t>a</w:t>
      </w:r>
      <w:r w:rsidR="00FA5F2B">
        <w:rPr>
          <w:rFonts w:cs="CMU Serif"/>
        </w:rPr>
        <w:t>cross</w:t>
      </w:r>
      <w:r w:rsidR="009C22C0">
        <w:rPr>
          <w:rFonts w:cs="CMU Serif"/>
        </w:rPr>
        <w:t xml:space="preserve"> </w:t>
      </w:r>
      <w:r w:rsidR="00FA5F2B">
        <w:rPr>
          <w:rFonts w:cs="CMU Serif"/>
        </w:rPr>
        <w:t>border</w:t>
      </w:r>
      <w:r w:rsidR="009C22C0">
        <w:rPr>
          <w:rFonts w:cs="CMU Serif"/>
        </w:rPr>
        <w:t>s</w:t>
      </w:r>
      <w:r w:rsidR="00FA5F2B">
        <w:rPr>
          <w:rFonts w:cs="CMU Serif"/>
        </w:rPr>
        <w:t xml:space="preserve">. Thus, </w:t>
      </w:r>
      <w:r w:rsidR="00722D6F" w:rsidRPr="00633995">
        <w:rPr>
          <w:rFonts w:cs="CMU Serif"/>
        </w:rPr>
        <w:t xml:space="preserve">adequacy is unlikely to </w:t>
      </w:r>
      <w:r w:rsidRPr="00633995">
        <w:rPr>
          <w:rFonts w:cs="CMU Serif"/>
        </w:rPr>
        <w:t xml:space="preserve">affect </w:t>
      </w:r>
      <w:r w:rsidR="00FA5F2B">
        <w:rPr>
          <w:rFonts w:cs="CMU Serif"/>
        </w:rPr>
        <w:t>the opportunities of</w:t>
      </w:r>
      <w:r w:rsidRPr="00633995">
        <w:rPr>
          <w:rFonts w:cs="CMU Serif"/>
        </w:rPr>
        <w:t xml:space="preserve"> </w:t>
      </w:r>
      <w:r w:rsidR="00722D6F" w:rsidRPr="00633995">
        <w:rPr>
          <w:rFonts w:cs="CMU Serif"/>
        </w:rPr>
        <w:t>other countries that could be considered as</w:t>
      </w:r>
      <w:r w:rsidRPr="00633995">
        <w:rPr>
          <w:rFonts w:cs="CMU Serif"/>
        </w:rPr>
        <w:t xml:space="preserve"> potential controls in the period considered</w:t>
      </w:r>
      <w:r w:rsidR="00FA5F2B">
        <w:rPr>
          <w:rFonts w:cs="CMU Serif"/>
        </w:rPr>
        <w:t xml:space="preserve"> to obtain adequacy themselves</w:t>
      </w:r>
      <w:r w:rsidRPr="00633995">
        <w:rPr>
          <w:rFonts w:cs="CMU Serif"/>
        </w:rPr>
        <w:t xml:space="preserve">. Assumption (v) holds because we were able to generate a synthetic counterfactual, implying the existence of the weights. The remaining assumptions rely on unobserved factors, but the </w:t>
      </w:r>
      <w:r w:rsidR="00722D6F" w:rsidRPr="00633995">
        <w:rPr>
          <w:rFonts w:cs="CMU Serif"/>
        </w:rPr>
        <w:t>restrictions imposed on the donor pool</w:t>
      </w:r>
      <w:r w:rsidRPr="00633995">
        <w:rPr>
          <w:rFonts w:cs="CMU Serif"/>
        </w:rPr>
        <w:t xml:space="preserve"> </w:t>
      </w:r>
      <w:r w:rsidR="00722D6F" w:rsidRPr="00633995">
        <w:rPr>
          <w:rFonts w:cs="CMU Serif"/>
        </w:rPr>
        <w:t xml:space="preserve">for the three case studies </w:t>
      </w:r>
      <w:r w:rsidRPr="00633995">
        <w:rPr>
          <w:rFonts w:cs="CMU Serif"/>
        </w:rPr>
        <w:t xml:space="preserve">provide confidence that </w:t>
      </w:r>
      <w:r w:rsidR="00722D6F" w:rsidRPr="00633995">
        <w:rPr>
          <w:rFonts w:cs="CMU Serif"/>
        </w:rPr>
        <w:t xml:space="preserve">all control units </w:t>
      </w:r>
      <w:r w:rsidRPr="00633995">
        <w:rPr>
          <w:rFonts w:cs="CMU Serif"/>
        </w:rPr>
        <w:t>respect all three assumptions. See Abadie (2021)</w:t>
      </w:r>
      <w:r w:rsidR="00710FD9">
        <w:rPr>
          <w:rFonts w:cs="CMU Serif"/>
        </w:rPr>
        <w:t xml:space="preserve"> </w:t>
      </w:r>
      <w:r w:rsidRPr="00633995">
        <w:rPr>
          <w:rFonts w:cs="CMU Serif"/>
        </w:rPr>
        <w:t>for discussion of threats to validity in</w:t>
      </w:r>
      <w:r w:rsidR="001C0902">
        <w:rPr>
          <w:rFonts w:cs="CMU Serif"/>
        </w:rPr>
        <w:t xml:space="preserve"> a synthetic control </w:t>
      </w:r>
      <w:r w:rsidRPr="00633995">
        <w:rPr>
          <w:rFonts w:cs="CMU Serif"/>
        </w:rPr>
        <w:t>setting.</w:t>
      </w:r>
    </w:p>
  </w:footnote>
  <w:footnote w:id="48">
    <w:p w14:paraId="3E61EA09" w14:textId="2C5C0B2A" w:rsidR="00DF368B" w:rsidRDefault="00DF368B">
      <w:pPr>
        <w:pStyle w:val="FootnoteText"/>
      </w:pPr>
      <w:r>
        <w:rPr>
          <w:rStyle w:val="FootnoteReference"/>
        </w:rPr>
        <w:footnoteRef/>
      </w:r>
      <w:r>
        <w:t xml:space="preserve"> This </w:t>
      </w:r>
      <w:r w:rsidRPr="00633995">
        <w:rPr>
          <w:rFonts w:cs="CMU Serif"/>
        </w:rPr>
        <w:t>reflect</w:t>
      </w:r>
      <w:r>
        <w:rPr>
          <w:rFonts w:cs="CMU Serif"/>
        </w:rPr>
        <w:t xml:space="preserve">s </w:t>
      </w:r>
      <w:r w:rsidRPr="00633995">
        <w:rPr>
          <w:rFonts w:cs="CMU Serif"/>
        </w:rPr>
        <w:t xml:space="preserve">the </w:t>
      </w:r>
      <w:r>
        <w:rPr>
          <w:rFonts w:cs="CMU Serif"/>
        </w:rPr>
        <w:t xml:space="preserve">rapid growth </w:t>
      </w:r>
      <w:r w:rsidRPr="00633995">
        <w:rPr>
          <w:rFonts w:cs="CMU Serif"/>
        </w:rPr>
        <w:t xml:space="preserve">of companies such as MercadoLibre, </w:t>
      </w:r>
      <w:r w:rsidR="00563244">
        <w:rPr>
          <w:rFonts w:cs="CMU Serif"/>
        </w:rPr>
        <w:t xml:space="preserve">which has become </w:t>
      </w:r>
      <w:r w:rsidRPr="00633995">
        <w:rPr>
          <w:rFonts w:cs="CMU Serif"/>
        </w:rPr>
        <w:t>the largest on-line e-commerce platform in Latin America</w:t>
      </w:r>
      <w:r w:rsidR="00563244">
        <w:rPr>
          <w:rFonts w:cs="CMU Serif"/>
        </w:rPr>
        <w:t xml:space="preserve"> and has </w:t>
      </w:r>
      <w:r w:rsidRPr="00633995">
        <w:rPr>
          <w:rFonts w:cs="CMU Serif"/>
        </w:rPr>
        <w:t>develop</w:t>
      </w:r>
      <w:r w:rsidR="00563244">
        <w:rPr>
          <w:rFonts w:cs="CMU Serif"/>
        </w:rPr>
        <w:t>ed</w:t>
      </w:r>
      <w:r w:rsidRPr="00633995">
        <w:rPr>
          <w:rFonts w:cs="CMU Serif"/>
        </w:rPr>
        <w:t xml:space="preserve"> a variety of payment services to complement its e-commerce activities</w:t>
      </w:r>
      <w:r>
        <w:rPr>
          <w:rFonts w:cs="CMU Serif"/>
        </w:rPr>
        <w:t>.</w:t>
      </w:r>
    </w:p>
  </w:footnote>
  <w:footnote w:id="49">
    <w:p w14:paraId="4C352A51" w14:textId="1C25C713" w:rsidR="002272C3" w:rsidRPr="00633995" w:rsidRDefault="002272C3" w:rsidP="0011538D">
      <w:pPr>
        <w:pStyle w:val="FootnoteText"/>
        <w:jc w:val="both"/>
        <w:rPr>
          <w:rFonts w:cs="CMU Serif"/>
        </w:rPr>
      </w:pPr>
      <w:r w:rsidRPr="00633995">
        <w:rPr>
          <w:rStyle w:val="FootnoteReference"/>
          <w:rFonts w:cs="CMU Serif"/>
        </w:rPr>
        <w:footnoteRef/>
      </w:r>
      <w:r w:rsidRPr="00633995">
        <w:rPr>
          <w:rFonts w:cs="CMU Serif"/>
        </w:rPr>
        <w:t xml:space="preserve"> Uruguay, the other Latin American country with EU adequacy, is not included </w:t>
      </w:r>
      <w:r w:rsidR="008F3B85" w:rsidRPr="00633995">
        <w:rPr>
          <w:rFonts w:cs="CMU Serif"/>
        </w:rPr>
        <w:t xml:space="preserve">in </w:t>
      </w:r>
      <w:r w:rsidR="00072797">
        <w:rPr>
          <w:rFonts w:cs="CMU Serif"/>
        </w:rPr>
        <w:t xml:space="preserve">the </w:t>
      </w:r>
      <w:r w:rsidR="008F3B85" w:rsidRPr="00633995">
        <w:rPr>
          <w:rFonts w:cs="CMU Serif"/>
        </w:rPr>
        <w:t>TiVA</w:t>
      </w:r>
      <w:r w:rsidR="00072797">
        <w:rPr>
          <w:rFonts w:cs="CMU Serif"/>
        </w:rPr>
        <w:t xml:space="preserve"> database</w:t>
      </w:r>
      <w:r w:rsidR="008F3B85" w:rsidRPr="00633995">
        <w:rPr>
          <w:rFonts w:cs="CMU Serif"/>
        </w:rPr>
        <w:t>.</w:t>
      </w:r>
    </w:p>
  </w:footnote>
  <w:footnote w:id="50">
    <w:p w14:paraId="2EA54F60" w14:textId="1F76168B" w:rsidR="002272C3" w:rsidRPr="00633995" w:rsidRDefault="002272C3" w:rsidP="0011538D">
      <w:pPr>
        <w:pStyle w:val="FootnoteText"/>
        <w:jc w:val="both"/>
        <w:rPr>
          <w:rFonts w:cs="CMU Serif"/>
        </w:rPr>
      </w:pPr>
      <w:r w:rsidRPr="00633995">
        <w:rPr>
          <w:rStyle w:val="FootnoteReference"/>
          <w:rFonts w:cs="CMU Serif"/>
        </w:rPr>
        <w:footnoteRef/>
      </w:r>
      <w:r w:rsidRPr="00633995">
        <w:rPr>
          <w:rFonts w:cs="CMU Serif"/>
        </w:rPr>
        <w:t xml:space="preserve"> Trade in services is sensitive to time zones</w:t>
      </w:r>
      <w:r w:rsidR="00887972" w:rsidRPr="00633995">
        <w:rPr>
          <w:rFonts w:cs="CMU Serif"/>
        </w:rPr>
        <w:t xml:space="preserve"> as shown by </w:t>
      </w:r>
      <w:r w:rsidRPr="00633995">
        <w:rPr>
          <w:rFonts w:cs="CMU Serif"/>
        </w:rPr>
        <w:t xml:space="preserve">Head </w:t>
      </w:r>
      <w:r w:rsidRPr="00633995">
        <w:rPr>
          <w:rFonts w:cs="CMU Serif"/>
          <w:i/>
          <w:iCs/>
        </w:rPr>
        <w:t>et al</w:t>
      </w:r>
      <w:r w:rsidRPr="00633995">
        <w:rPr>
          <w:rFonts w:cs="CMU Serif"/>
        </w:rPr>
        <w:t>.</w:t>
      </w:r>
      <w:r w:rsidR="00887972" w:rsidRPr="00633995">
        <w:rPr>
          <w:rFonts w:cs="CMU Serif"/>
        </w:rPr>
        <w:t xml:space="preserve"> (</w:t>
      </w:r>
      <w:r w:rsidRPr="00633995">
        <w:rPr>
          <w:rFonts w:cs="CMU Serif"/>
        </w:rPr>
        <w:t>200</w:t>
      </w:r>
      <w:r w:rsidR="00FE5721" w:rsidRPr="00633995">
        <w:rPr>
          <w:rFonts w:cs="CMU Serif"/>
        </w:rPr>
        <w:t>9</w:t>
      </w:r>
      <w:r w:rsidRPr="00633995">
        <w:rPr>
          <w:rFonts w:cs="CMU Serif"/>
        </w:rPr>
        <w:t>).</w:t>
      </w:r>
    </w:p>
  </w:footnote>
  <w:footnote w:id="51">
    <w:p w14:paraId="16E2E993" w14:textId="344ABB10" w:rsidR="002272C3" w:rsidRPr="00633995" w:rsidRDefault="002272C3" w:rsidP="0011538D">
      <w:pPr>
        <w:pStyle w:val="FootnoteText"/>
        <w:jc w:val="both"/>
        <w:rPr>
          <w:rFonts w:cs="CMU Serif"/>
        </w:rPr>
      </w:pPr>
      <w:r w:rsidRPr="00633995">
        <w:rPr>
          <w:rStyle w:val="FootnoteReference"/>
          <w:rFonts w:cs="CMU Serif"/>
        </w:rPr>
        <w:footnoteRef/>
      </w:r>
      <w:r w:rsidRPr="00633995">
        <w:rPr>
          <w:rFonts w:cs="CMU Serif"/>
        </w:rPr>
        <w:t xml:space="preserve"> </w:t>
      </w:r>
      <w:r w:rsidR="006874D3" w:rsidRPr="00633995">
        <w:rPr>
          <w:rFonts w:cs="CMU Serif"/>
        </w:rPr>
        <w:t>We consider</w:t>
      </w:r>
      <w:r w:rsidRPr="00633995">
        <w:rPr>
          <w:rFonts w:cs="CMU Serif"/>
        </w:rPr>
        <w:t xml:space="preserve"> </w:t>
      </w:r>
      <m:oMath>
        <m:r>
          <w:rPr>
            <w:rFonts w:ascii="Cambria Math" w:hAnsi="Cambria Math" w:cs="CMU Serif"/>
          </w:rPr>
          <m:t>s=0,…,n</m:t>
        </m:r>
      </m:oMath>
      <w:r w:rsidRPr="00633995">
        <w:rPr>
          <w:rFonts w:cs="CMU Serif"/>
        </w:rPr>
        <w:t xml:space="preserve"> countries,</w:t>
      </w:r>
      <w:r w:rsidR="006874D3" w:rsidRPr="00633995">
        <w:rPr>
          <w:rFonts w:cs="CMU Serif"/>
        </w:rPr>
        <w:t xml:space="preserve"> where</w:t>
      </w:r>
      <w:r w:rsidRPr="00633995">
        <w:rPr>
          <w:rFonts w:cs="CMU Serif"/>
        </w:rPr>
        <w:t xml:space="preserve"> </w:t>
      </w:r>
      <m:oMath>
        <m:r>
          <w:rPr>
            <w:rFonts w:ascii="Cambria Math" w:hAnsi="Cambria Math" w:cs="CMU Serif"/>
          </w:rPr>
          <m:t>s=0</m:t>
        </m:r>
      </m:oMath>
      <w:r w:rsidRPr="00633995">
        <w:rPr>
          <w:rFonts w:cs="CMU Serif"/>
        </w:rPr>
        <w:t xml:space="preserve"> </w:t>
      </w:r>
      <w:r w:rsidR="00103E98">
        <w:rPr>
          <w:rFonts w:cs="CMU Serif"/>
        </w:rPr>
        <w:t xml:space="preserve">is </w:t>
      </w:r>
      <w:r w:rsidRPr="00633995">
        <w:rPr>
          <w:rFonts w:cs="CMU Serif"/>
        </w:rPr>
        <w:t>the treated country and</w:t>
      </w:r>
      <m:oMath>
        <m:r>
          <w:rPr>
            <w:rFonts w:ascii="Cambria Math" w:hAnsi="Cambria Math" w:cs="CMU Serif"/>
          </w:rPr>
          <m:t xml:space="preserve"> s=1, ..,n</m:t>
        </m:r>
      </m:oMath>
      <w:r w:rsidRPr="00633995">
        <w:rPr>
          <w:rFonts w:cs="CMU Serif"/>
        </w:rPr>
        <w:t xml:space="preserve"> the donor pool.</w:t>
      </w:r>
    </w:p>
  </w:footnote>
  <w:footnote w:id="52">
    <w:p w14:paraId="1A275BC2" w14:textId="666B9C0A" w:rsidR="002272C3" w:rsidRPr="00633995" w:rsidRDefault="002272C3" w:rsidP="0011538D">
      <w:pPr>
        <w:pStyle w:val="FootnoteText"/>
        <w:jc w:val="both"/>
        <w:rPr>
          <w:rFonts w:cs="CMU Serif"/>
        </w:rPr>
      </w:pPr>
      <w:r w:rsidRPr="00633995">
        <w:rPr>
          <w:rStyle w:val="FootnoteReference"/>
          <w:rFonts w:cs="CMU Serif"/>
        </w:rPr>
        <w:footnoteRef/>
      </w:r>
      <w:r w:rsidRPr="00633995">
        <w:rPr>
          <w:rFonts w:cs="CMU Serif"/>
        </w:rPr>
        <w:t xml:space="preserve"> </w:t>
      </w:r>
      <w:r w:rsidR="0035511B" w:rsidRPr="00633995">
        <w:rPr>
          <w:rFonts w:cs="CMU Serif"/>
        </w:rPr>
        <w:t xml:space="preserve">Due to </w:t>
      </w:r>
      <w:r w:rsidRPr="00633995">
        <w:rPr>
          <w:rFonts w:cs="CMU Serif"/>
        </w:rPr>
        <w:t xml:space="preserve">its geographic remoteness </w:t>
      </w:r>
      <w:r w:rsidR="006F0998">
        <w:rPr>
          <w:rFonts w:cs="CMU Serif"/>
        </w:rPr>
        <w:t xml:space="preserve">from </w:t>
      </w:r>
      <w:r w:rsidRPr="00633995">
        <w:rPr>
          <w:rFonts w:cs="CMU Serif"/>
        </w:rPr>
        <w:t>the EU, South Africa is included in the donor pool</w:t>
      </w:r>
      <w:r w:rsidR="006874D3" w:rsidRPr="00633995">
        <w:rPr>
          <w:rFonts w:cs="CMU Serif"/>
        </w:rPr>
        <w:t xml:space="preserve"> </w:t>
      </w:r>
      <w:r w:rsidR="00474078" w:rsidRPr="00633995">
        <w:rPr>
          <w:rFonts w:cs="CMU Serif"/>
        </w:rPr>
        <w:t xml:space="preserve">in the </w:t>
      </w:r>
      <w:r w:rsidR="006874D3" w:rsidRPr="00633995">
        <w:rPr>
          <w:rFonts w:cs="CMU Serif"/>
        </w:rPr>
        <w:t>New Zealand case</w:t>
      </w:r>
      <w:r w:rsidRPr="00633995">
        <w:rPr>
          <w:rFonts w:cs="CMU Serif"/>
        </w:rPr>
        <w:t xml:space="preserve">. </w:t>
      </w:r>
      <w:r w:rsidR="00474078" w:rsidRPr="00633995">
        <w:rPr>
          <w:rFonts w:cs="CMU Serif"/>
        </w:rPr>
        <w:t>B</w:t>
      </w:r>
      <w:r w:rsidR="00EF3F35" w:rsidRPr="00633995">
        <w:rPr>
          <w:rFonts w:cs="CMU Serif"/>
        </w:rPr>
        <w:t xml:space="preserve">eing part of the donor pool does not automatically imply that a country </w:t>
      </w:r>
      <w:r w:rsidR="00474078" w:rsidRPr="00633995">
        <w:rPr>
          <w:rFonts w:cs="CMU Serif"/>
        </w:rPr>
        <w:t xml:space="preserve">is part </w:t>
      </w:r>
      <w:r w:rsidR="00EF3F35" w:rsidRPr="00633995">
        <w:rPr>
          <w:rFonts w:cs="CMU Serif"/>
        </w:rPr>
        <w:t xml:space="preserve">of the synthetic control. See </w:t>
      </w:r>
      <w:r w:rsidR="007A0082" w:rsidRPr="00633995">
        <w:rPr>
          <w:rFonts w:cs="CMU Serif"/>
        </w:rPr>
        <w:t>e.g.</w:t>
      </w:r>
      <w:r w:rsidR="00EF3F35" w:rsidRPr="00633995">
        <w:rPr>
          <w:rFonts w:cs="CMU Serif"/>
        </w:rPr>
        <w:t xml:space="preserve"> Abadie (2005) for a discussion</w:t>
      </w:r>
      <w:r w:rsidR="00095F7F" w:rsidRPr="00633995">
        <w:rPr>
          <w:rFonts w:cs="CMU Serif"/>
        </w:rPr>
        <w:t xml:space="preserve"> on this issue</w:t>
      </w:r>
      <w:r w:rsidR="00EF3F35" w:rsidRPr="00633995">
        <w:rPr>
          <w:rFonts w:cs="CMU Serif"/>
        </w:rPr>
        <w:t xml:space="preserve">.  </w:t>
      </w:r>
    </w:p>
  </w:footnote>
  <w:footnote w:id="53">
    <w:p w14:paraId="72F7F385" w14:textId="530FBA74" w:rsidR="002272C3" w:rsidRPr="00633995" w:rsidRDefault="002272C3" w:rsidP="0011538D">
      <w:pPr>
        <w:pStyle w:val="FootnoteText"/>
        <w:jc w:val="both"/>
        <w:rPr>
          <w:rFonts w:cs="CMU Serif"/>
        </w:rPr>
      </w:pPr>
      <w:r w:rsidRPr="00633995">
        <w:rPr>
          <w:rStyle w:val="FootnoteReference"/>
          <w:rFonts w:cs="CMU Serif"/>
        </w:rPr>
        <w:footnoteRef/>
      </w:r>
      <w:r w:rsidRPr="00633995">
        <w:rPr>
          <w:rFonts w:cs="CMU Serif"/>
        </w:rPr>
        <w:t xml:space="preserve"> Abadie (2021) shows that the synthetic control estimator is biased, although bounded and decreasing provided the underlying identifying assumptions are valid. As noted, the set of identifying assumptions hold in both our exercises, although the pre-adequacy period for the Argentina case is relatively short.</w:t>
      </w:r>
    </w:p>
  </w:footnote>
  <w:footnote w:id="54">
    <w:p w14:paraId="2E3E2C92" w14:textId="77777777" w:rsidR="00056FBE" w:rsidRPr="00633995" w:rsidRDefault="00056FBE" w:rsidP="00056FBE">
      <w:pPr>
        <w:pStyle w:val="FootnoteText"/>
        <w:jc w:val="both"/>
        <w:rPr>
          <w:rFonts w:cs="CMU Serif"/>
        </w:rPr>
      </w:pPr>
      <w:r w:rsidRPr="00633995">
        <w:rPr>
          <w:rStyle w:val="FootnoteReference"/>
          <w:rFonts w:cs="CMU Serif"/>
        </w:rPr>
        <w:footnoteRef/>
      </w:r>
      <w:r w:rsidRPr="00633995">
        <w:rPr>
          <w:rFonts w:cs="CMU Serif"/>
        </w:rPr>
        <w:t xml:space="preserve"> Results do not change if we consider digital trade with all countries except the US.</w:t>
      </w:r>
    </w:p>
  </w:footnote>
  <w:footnote w:id="55">
    <w:p w14:paraId="2240BAA0" w14:textId="77777777" w:rsidR="00056FBE" w:rsidRPr="00633995" w:rsidRDefault="00056FBE" w:rsidP="00056FBE">
      <w:pPr>
        <w:spacing w:after="0" w:line="240" w:lineRule="auto"/>
        <w:jc w:val="both"/>
        <w:rPr>
          <w:rFonts w:cs="CMU Serif"/>
          <w:sz w:val="20"/>
          <w:szCs w:val="20"/>
        </w:rPr>
      </w:pPr>
      <w:r w:rsidRPr="00633995">
        <w:rPr>
          <w:rStyle w:val="FootnoteReference"/>
          <w:rFonts w:cs="CMU Serif"/>
          <w:sz w:val="20"/>
          <w:szCs w:val="20"/>
        </w:rPr>
        <w:footnoteRef/>
      </w:r>
      <w:r w:rsidRPr="00633995">
        <w:rPr>
          <w:rStyle w:val="FootnoteReference"/>
          <w:rFonts w:cs="CMU Serif"/>
          <w:sz w:val="20"/>
          <w:szCs w:val="20"/>
        </w:rPr>
        <w:t xml:space="preserve"> </w:t>
      </w:r>
      <w:r w:rsidRPr="00633995">
        <w:rPr>
          <w:rFonts w:cs="CMU Serif"/>
          <w:sz w:val="20"/>
          <w:szCs w:val="20"/>
        </w:rPr>
        <w:t xml:space="preserve">For a clearer comparison, all the estimated ATTs for the three case studies are also reported in Appendix Table </w:t>
      </w:r>
      <w:r>
        <w:rPr>
          <w:rFonts w:cs="CMU Serif"/>
          <w:sz w:val="20"/>
          <w:szCs w:val="20"/>
        </w:rPr>
        <w:t>C1</w:t>
      </w:r>
      <w:r w:rsidRPr="00633995">
        <w:rPr>
          <w:rFonts w:cs="CMU Serif"/>
          <w:sz w:val="20"/>
          <w:szCs w:val="20"/>
        </w:rPr>
        <w:t xml:space="preserve">, where the same exercise is replicated considering a broader definition of trade. </w:t>
      </w:r>
      <w:r w:rsidRPr="00633995">
        <w:rPr>
          <w:rFonts w:cs="CMU Serif"/>
          <w:sz w:val="20"/>
          <w:szCs w:val="20"/>
        </w:rPr>
        <w:br w:type="page"/>
      </w:r>
    </w:p>
    <w:p w14:paraId="284460F2" w14:textId="77777777" w:rsidR="00056FBE" w:rsidRPr="00DD5D74" w:rsidRDefault="00056FBE" w:rsidP="00056FBE">
      <w:pPr>
        <w:pStyle w:val="FootnoteText"/>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F2B94"/>
    <w:multiLevelType w:val="hybridMultilevel"/>
    <w:tmpl w:val="33303AE2"/>
    <w:lvl w:ilvl="0" w:tplc="6C323BFC">
      <w:start w:val="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81848"/>
    <w:multiLevelType w:val="multilevel"/>
    <w:tmpl w:val="91249A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7FC57D7"/>
    <w:multiLevelType w:val="hybridMultilevel"/>
    <w:tmpl w:val="EF26369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50284D"/>
    <w:multiLevelType w:val="hybridMultilevel"/>
    <w:tmpl w:val="E5D813E0"/>
    <w:lvl w:ilvl="0" w:tplc="49AEF5D8">
      <w:start w:val="3"/>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20F4AF4"/>
    <w:multiLevelType w:val="hybridMultilevel"/>
    <w:tmpl w:val="5016AD12"/>
    <w:lvl w:ilvl="0" w:tplc="CE1C8060">
      <w:start w:val="1"/>
      <w:numFmt w:val="bullet"/>
      <w:lvlText w:val="-"/>
      <w:lvlJc w:val="left"/>
      <w:pPr>
        <w:ind w:left="1080" w:hanging="360"/>
      </w:pPr>
      <w:rPr>
        <w:rFonts w:ascii="Aptos" w:eastAsiaTheme="minorHAnsi" w:hAnsi="Aptos"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43A030B"/>
    <w:multiLevelType w:val="hybridMultilevel"/>
    <w:tmpl w:val="EF26369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A0858CD"/>
    <w:multiLevelType w:val="multilevel"/>
    <w:tmpl w:val="1884EB3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9C81F18"/>
    <w:multiLevelType w:val="hybridMultilevel"/>
    <w:tmpl w:val="EE747C1E"/>
    <w:lvl w:ilvl="0" w:tplc="3C88BBB0">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4352479">
    <w:abstractNumId w:val="2"/>
  </w:num>
  <w:num w:numId="2" w16cid:durableId="1397511864">
    <w:abstractNumId w:val="1"/>
  </w:num>
  <w:num w:numId="3" w16cid:durableId="2052335790">
    <w:abstractNumId w:val="4"/>
  </w:num>
  <w:num w:numId="4" w16cid:durableId="1936009273">
    <w:abstractNumId w:val="0"/>
  </w:num>
  <w:num w:numId="5" w16cid:durableId="1727216481">
    <w:abstractNumId w:val="5"/>
  </w:num>
  <w:num w:numId="6" w16cid:durableId="273482110">
    <w:abstractNumId w:val="6"/>
  </w:num>
  <w:num w:numId="7" w16cid:durableId="204488298">
    <w:abstractNumId w:val="7"/>
  </w:num>
  <w:num w:numId="8" w16cid:durableId="8345651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275"/>
    <w:rsid w:val="0000053A"/>
    <w:rsid w:val="00000648"/>
    <w:rsid w:val="000008BE"/>
    <w:rsid w:val="00000CC5"/>
    <w:rsid w:val="000019DB"/>
    <w:rsid w:val="00001B2E"/>
    <w:rsid w:val="00001CFA"/>
    <w:rsid w:val="00002194"/>
    <w:rsid w:val="0000233F"/>
    <w:rsid w:val="0000350A"/>
    <w:rsid w:val="000035D2"/>
    <w:rsid w:val="000038AC"/>
    <w:rsid w:val="00003AD2"/>
    <w:rsid w:val="0000402F"/>
    <w:rsid w:val="0000465F"/>
    <w:rsid w:val="00004C48"/>
    <w:rsid w:val="00005046"/>
    <w:rsid w:val="0000545E"/>
    <w:rsid w:val="00005B6D"/>
    <w:rsid w:val="000067AA"/>
    <w:rsid w:val="00007707"/>
    <w:rsid w:val="00007867"/>
    <w:rsid w:val="00007A7E"/>
    <w:rsid w:val="0001003F"/>
    <w:rsid w:val="000111B0"/>
    <w:rsid w:val="00011834"/>
    <w:rsid w:val="00011878"/>
    <w:rsid w:val="0001222C"/>
    <w:rsid w:val="000127D8"/>
    <w:rsid w:val="00012A06"/>
    <w:rsid w:val="00012E1C"/>
    <w:rsid w:val="00012ED8"/>
    <w:rsid w:val="00012FD8"/>
    <w:rsid w:val="000135C1"/>
    <w:rsid w:val="000137E7"/>
    <w:rsid w:val="00014601"/>
    <w:rsid w:val="00014D97"/>
    <w:rsid w:val="0001507F"/>
    <w:rsid w:val="00015090"/>
    <w:rsid w:val="0001514F"/>
    <w:rsid w:val="0001542F"/>
    <w:rsid w:val="00015B01"/>
    <w:rsid w:val="00015BC8"/>
    <w:rsid w:val="000168E4"/>
    <w:rsid w:val="00016C4A"/>
    <w:rsid w:val="00016C86"/>
    <w:rsid w:val="00017445"/>
    <w:rsid w:val="000174F7"/>
    <w:rsid w:val="0001759C"/>
    <w:rsid w:val="0001776E"/>
    <w:rsid w:val="000218FB"/>
    <w:rsid w:val="0002191E"/>
    <w:rsid w:val="00021C3D"/>
    <w:rsid w:val="00021C69"/>
    <w:rsid w:val="00021E4E"/>
    <w:rsid w:val="00022B1B"/>
    <w:rsid w:val="00022FF9"/>
    <w:rsid w:val="00023218"/>
    <w:rsid w:val="00023F5B"/>
    <w:rsid w:val="00025903"/>
    <w:rsid w:val="00025B42"/>
    <w:rsid w:val="00025EF2"/>
    <w:rsid w:val="00026CC1"/>
    <w:rsid w:val="00027969"/>
    <w:rsid w:val="000302F0"/>
    <w:rsid w:val="00030BFA"/>
    <w:rsid w:val="000313BB"/>
    <w:rsid w:val="00031808"/>
    <w:rsid w:val="000319FF"/>
    <w:rsid w:val="00031B1A"/>
    <w:rsid w:val="00031C5B"/>
    <w:rsid w:val="00032A60"/>
    <w:rsid w:val="0003335D"/>
    <w:rsid w:val="00033466"/>
    <w:rsid w:val="00033FF4"/>
    <w:rsid w:val="0003435D"/>
    <w:rsid w:val="000351F5"/>
    <w:rsid w:val="0003594B"/>
    <w:rsid w:val="000364BE"/>
    <w:rsid w:val="00037D6A"/>
    <w:rsid w:val="00040454"/>
    <w:rsid w:val="000411BE"/>
    <w:rsid w:val="000415C2"/>
    <w:rsid w:val="000422C6"/>
    <w:rsid w:val="00042741"/>
    <w:rsid w:val="00042FE3"/>
    <w:rsid w:val="00043F11"/>
    <w:rsid w:val="0004557A"/>
    <w:rsid w:val="00045617"/>
    <w:rsid w:val="0004601F"/>
    <w:rsid w:val="000464C1"/>
    <w:rsid w:val="000465FD"/>
    <w:rsid w:val="00047079"/>
    <w:rsid w:val="00047832"/>
    <w:rsid w:val="00047BA2"/>
    <w:rsid w:val="00050501"/>
    <w:rsid w:val="00051546"/>
    <w:rsid w:val="00051AD9"/>
    <w:rsid w:val="00053C20"/>
    <w:rsid w:val="000546DF"/>
    <w:rsid w:val="0005510E"/>
    <w:rsid w:val="0005521D"/>
    <w:rsid w:val="000552AF"/>
    <w:rsid w:val="000556E4"/>
    <w:rsid w:val="00055CF6"/>
    <w:rsid w:val="00055F6B"/>
    <w:rsid w:val="0005614E"/>
    <w:rsid w:val="0005636F"/>
    <w:rsid w:val="00056CD8"/>
    <w:rsid w:val="00056DF2"/>
    <w:rsid w:val="00056FBE"/>
    <w:rsid w:val="00057E4D"/>
    <w:rsid w:val="0006122D"/>
    <w:rsid w:val="0006161D"/>
    <w:rsid w:val="000618FF"/>
    <w:rsid w:val="0006191B"/>
    <w:rsid w:val="0006278D"/>
    <w:rsid w:val="00062799"/>
    <w:rsid w:val="00062943"/>
    <w:rsid w:val="000630FC"/>
    <w:rsid w:val="00063BE2"/>
    <w:rsid w:val="0006406B"/>
    <w:rsid w:val="0006415C"/>
    <w:rsid w:val="0006511C"/>
    <w:rsid w:val="000654E4"/>
    <w:rsid w:val="00066BB1"/>
    <w:rsid w:val="00067703"/>
    <w:rsid w:val="000701BE"/>
    <w:rsid w:val="00070562"/>
    <w:rsid w:val="00070BE3"/>
    <w:rsid w:val="000713F9"/>
    <w:rsid w:val="000715DE"/>
    <w:rsid w:val="000717E8"/>
    <w:rsid w:val="00072476"/>
    <w:rsid w:val="0007248C"/>
    <w:rsid w:val="00072797"/>
    <w:rsid w:val="00073460"/>
    <w:rsid w:val="000739BA"/>
    <w:rsid w:val="000749C5"/>
    <w:rsid w:val="00074DC8"/>
    <w:rsid w:val="000759E5"/>
    <w:rsid w:val="00075A8B"/>
    <w:rsid w:val="00075A93"/>
    <w:rsid w:val="00075B1E"/>
    <w:rsid w:val="0007673A"/>
    <w:rsid w:val="0007680D"/>
    <w:rsid w:val="00077F5B"/>
    <w:rsid w:val="000804BC"/>
    <w:rsid w:val="00080CBA"/>
    <w:rsid w:val="00080D78"/>
    <w:rsid w:val="000813A6"/>
    <w:rsid w:val="00081746"/>
    <w:rsid w:val="000818AE"/>
    <w:rsid w:val="00081ED6"/>
    <w:rsid w:val="00082110"/>
    <w:rsid w:val="00082226"/>
    <w:rsid w:val="00082B94"/>
    <w:rsid w:val="000833FF"/>
    <w:rsid w:val="000840E0"/>
    <w:rsid w:val="000867FC"/>
    <w:rsid w:val="00086EF4"/>
    <w:rsid w:val="000875CF"/>
    <w:rsid w:val="00087C55"/>
    <w:rsid w:val="00090DB8"/>
    <w:rsid w:val="000919A1"/>
    <w:rsid w:val="00092F5C"/>
    <w:rsid w:val="00095765"/>
    <w:rsid w:val="00095CA1"/>
    <w:rsid w:val="00095F7F"/>
    <w:rsid w:val="000960DE"/>
    <w:rsid w:val="00097825"/>
    <w:rsid w:val="000A166E"/>
    <w:rsid w:val="000A1730"/>
    <w:rsid w:val="000A2CB2"/>
    <w:rsid w:val="000A371C"/>
    <w:rsid w:val="000A3792"/>
    <w:rsid w:val="000A45AD"/>
    <w:rsid w:val="000A4DF7"/>
    <w:rsid w:val="000A50A4"/>
    <w:rsid w:val="000A50C7"/>
    <w:rsid w:val="000B143B"/>
    <w:rsid w:val="000B1FC6"/>
    <w:rsid w:val="000B1FFB"/>
    <w:rsid w:val="000B26C6"/>
    <w:rsid w:val="000B3E26"/>
    <w:rsid w:val="000B51E9"/>
    <w:rsid w:val="000B596B"/>
    <w:rsid w:val="000B5B83"/>
    <w:rsid w:val="000B66D3"/>
    <w:rsid w:val="000B6B31"/>
    <w:rsid w:val="000B705F"/>
    <w:rsid w:val="000B7511"/>
    <w:rsid w:val="000C1085"/>
    <w:rsid w:val="000C10AF"/>
    <w:rsid w:val="000C1380"/>
    <w:rsid w:val="000C1558"/>
    <w:rsid w:val="000C1988"/>
    <w:rsid w:val="000C26A3"/>
    <w:rsid w:val="000C2CBF"/>
    <w:rsid w:val="000C2E26"/>
    <w:rsid w:val="000C2E5E"/>
    <w:rsid w:val="000C372A"/>
    <w:rsid w:val="000C395F"/>
    <w:rsid w:val="000C483E"/>
    <w:rsid w:val="000C4E05"/>
    <w:rsid w:val="000C5819"/>
    <w:rsid w:val="000C5F5F"/>
    <w:rsid w:val="000C65D9"/>
    <w:rsid w:val="000C6FA7"/>
    <w:rsid w:val="000C71AC"/>
    <w:rsid w:val="000C72C8"/>
    <w:rsid w:val="000C79A8"/>
    <w:rsid w:val="000C7B11"/>
    <w:rsid w:val="000D0855"/>
    <w:rsid w:val="000D244A"/>
    <w:rsid w:val="000D2635"/>
    <w:rsid w:val="000D345D"/>
    <w:rsid w:val="000D36AC"/>
    <w:rsid w:val="000D571A"/>
    <w:rsid w:val="000D5B41"/>
    <w:rsid w:val="000D6B5D"/>
    <w:rsid w:val="000E09F1"/>
    <w:rsid w:val="000E0A1B"/>
    <w:rsid w:val="000E0CEA"/>
    <w:rsid w:val="000E1D7C"/>
    <w:rsid w:val="000E28CB"/>
    <w:rsid w:val="000E301B"/>
    <w:rsid w:val="000E364E"/>
    <w:rsid w:val="000E37E1"/>
    <w:rsid w:val="000E3EE7"/>
    <w:rsid w:val="000E4689"/>
    <w:rsid w:val="000E5754"/>
    <w:rsid w:val="000E5E77"/>
    <w:rsid w:val="000E602A"/>
    <w:rsid w:val="000E62BC"/>
    <w:rsid w:val="000E6586"/>
    <w:rsid w:val="000E7D2C"/>
    <w:rsid w:val="000F0AC6"/>
    <w:rsid w:val="000F1099"/>
    <w:rsid w:val="000F157E"/>
    <w:rsid w:val="000F18D4"/>
    <w:rsid w:val="000F28B9"/>
    <w:rsid w:val="000F2B38"/>
    <w:rsid w:val="000F42F7"/>
    <w:rsid w:val="000F439B"/>
    <w:rsid w:val="000F4854"/>
    <w:rsid w:val="000F5583"/>
    <w:rsid w:val="000F5E87"/>
    <w:rsid w:val="000F6AD8"/>
    <w:rsid w:val="000F790C"/>
    <w:rsid w:val="000F7936"/>
    <w:rsid w:val="000F799E"/>
    <w:rsid w:val="0010019C"/>
    <w:rsid w:val="00100978"/>
    <w:rsid w:val="00100A78"/>
    <w:rsid w:val="00100BD6"/>
    <w:rsid w:val="00102E84"/>
    <w:rsid w:val="00103A68"/>
    <w:rsid w:val="00103E98"/>
    <w:rsid w:val="00104070"/>
    <w:rsid w:val="00105667"/>
    <w:rsid w:val="0010598D"/>
    <w:rsid w:val="00106424"/>
    <w:rsid w:val="0010650F"/>
    <w:rsid w:val="00106993"/>
    <w:rsid w:val="001072BB"/>
    <w:rsid w:val="0010757F"/>
    <w:rsid w:val="00107AF7"/>
    <w:rsid w:val="00107F71"/>
    <w:rsid w:val="00107F9B"/>
    <w:rsid w:val="00110180"/>
    <w:rsid w:val="00111C75"/>
    <w:rsid w:val="00112BD9"/>
    <w:rsid w:val="00112C17"/>
    <w:rsid w:val="001140C3"/>
    <w:rsid w:val="001143E3"/>
    <w:rsid w:val="001146A8"/>
    <w:rsid w:val="00114A9A"/>
    <w:rsid w:val="00114EF6"/>
    <w:rsid w:val="001151F9"/>
    <w:rsid w:val="00115208"/>
    <w:rsid w:val="0011538D"/>
    <w:rsid w:val="00115E00"/>
    <w:rsid w:val="0011614F"/>
    <w:rsid w:val="00116806"/>
    <w:rsid w:val="001168C8"/>
    <w:rsid w:val="00117631"/>
    <w:rsid w:val="001177B3"/>
    <w:rsid w:val="00117863"/>
    <w:rsid w:val="0011794F"/>
    <w:rsid w:val="00120555"/>
    <w:rsid w:val="00120682"/>
    <w:rsid w:val="001207B9"/>
    <w:rsid w:val="00120B19"/>
    <w:rsid w:val="001210DD"/>
    <w:rsid w:val="00123A08"/>
    <w:rsid w:val="00123E81"/>
    <w:rsid w:val="00124B80"/>
    <w:rsid w:val="00124FAE"/>
    <w:rsid w:val="001250CB"/>
    <w:rsid w:val="001259F0"/>
    <w:rsid w:val="00125B35"/>
    <w:rsid w:val="00125FFA"/>
    <w:rsid w:val="00126228"/>
    <w:rsid w:val="0012623B"/>
    <w:rsid w:val="001264DB"/>
    <w:rsid w:val="0012655E"/>
    <w:rsid w:val="001267D7"/>
    <w:rsid w:val="00126BA2"/>
    <w:rsid w:val="00126C56"/>
    <w:rsid w:val="00127599"/>
    <w:rsid w:val="001278B9"/>
    <w:rsid w:val="001278FC"/>
    <w:rsid w:val="001301D3"/>
    <w:rsid w:val="00130810"/>
    <w:rsid w:val="00130AE2"/>
    <w:rsid w:val="0013196F"/>
    <w:rsid w:val="00131C99"/>
    <w:rsid w:val="001322FC"/>
    <w:rsid w:val="00133D54"/>
    <w:rsid w:val="00134E06"/>
    <w:rsid w:val="0013559B"/>
    <w:rsid w:val="00136592"/>
    <w:rsid w:val="00136AC0"/>
    <w:rsid w:val="00136C5F"/>
    <w:rsid w:val="00136E9D"/>
    <w:rsid w:val="0013732C"/>
    <w:rsid w:val="001377DD"/>
    <w:rsid w:val="00137F51"/>
    <w:rsid w:val="001400F3"/>
    <w:rsid w:val="00140B0E"/>
    <w:rsid w:val="00140CA3"/>
    <w:rsid w:val="00141230"/>
    <w:rsid w:val="0014142D"/>
    <w:rsid w:val="00141B2B"/>
    <w:rsid w:val="00141BB2"/>
    <w:rsid w:val="00143A17"/>
    <w:rsid w:val="00144282"/>
    <w:rsid w:val="001448B3"/>
    <w:rsid w:val="0014555D"/>
    <w:rsid w:val="00146448"/>
    <w:rsid w:val="00146C53"/>
    <w:rsid w:val="00146EAF"/>
    <w:rsid w:val="00147182"/>
    <w:rsid w:val="00147194"/>
    <w:rsid w:val="00150BF9"/>
    <w:rsid w:val="00150DCC"/>
    <w:rsid w:val="001510CC"/>
    <w:rsid w:val="001511CE"/>
    <w:rsid w:val="00151268"/>
    <w:rsid w:val="001512DC"/>
    <w:rsid w:val="00151798"/>
    <w:rsid w:val="00151922"/>
    <w:rsid w:val="00151E32"/>
    <w:rsid w:val="00152766"/>
    <w:rsid w:val="00152906"/>
    <w:rsid w:val="001534F3"/>
    <w:rsid w:val="001537BB"/>
    <w:rsid w:val="001539D0"/>
    <w:rsid w:val="00153D48"/>
    <w:rsid w:val="001544A5"/>
    <w:rsid w:val="001547AE"/>
    <w:rsid w:val="00154CC6"/>
    <w:rsid w:val="00155CDC"/>
    <w:rsid w:val="001561E5"/>
    <w:rsid w:val="0015627D"/>
    <w:rsid w:val="00156339"/>
    <w:rsid w:val="0015715D"/>
    <w:rsid w:val="0015771A"/>
    <w:rsid w:val="00157AF2"/>
    <w:rsid w:val="0016066A"/>
    <w:rsid w:val="001607E2"/>
    <w:rsid w:val="00160BF0"/>
    <w:rsid w:val="00160E8A"/>
    <w:rsid w:val="001614F5"/>
    <w:rsid w:val="00161C84"/>
    <w:rsid w:val="001629CD"/>
    <w:rsid w:val="00163022"/>
    <w:rsid w:val="00163057"/>
    <w:rsid w:val="00163BD5"/>
    <w:rsid w:val="0016408D"/>
    <w:rsid w:val="00165CE4"/>
    <w:rsid w:val="0016600B"/>
    <w:rsid w:val="00166839"/>
    <w:rsid w:val="00166D8C"/>
    <w:rsid w:val="00166F89"/>
    <w:rsid w:val="00167847"/>
    <w:rsid w:val="0017068A"/>
    <w:rsid w:val="00170E94"/>
    <w:rsid w:val="001724B4"/>
    <w:rsid w:val="001729C2"/>
    <w:rsid w:val="001739FD"/>
    <w:rsid w:val="00173EA7"/>
    <w:rsid w:val="001740C8"/>
    <w:rsid w:val="00174267"/>
    <w:rsid w:val="00174367"/>
    <w:rsid w:val="00175867"/>
    <w:rsid w:val="00176052"/>
    <w:rsid w:val="0017608C"/>
    <w:rsid w:val="0017654B"/>
    <w:rsid w:val="0017776A"/>
    <w:rsid w:val="00180229"/>
    <w:rsid w:val="00181202"/>
    <w:rsid w:val="00181FB6"/>
    <w:rsid w:val="00181FF6"/>
    <w:rsid w:val="0018291F"/>
    <w:rsid w:val="0018392E"/>
    <w:rsid w:val="00183FD7"/>
    <w:rsid w:val="001842B9"/>
    <w:rsid w:val="001843B3"/>
    <w:rsid w:val="00185348"/>
    <w:rsid w:val="00186024"/>
    <w:rsid w:val="00187027"/>
    <w:rsid w:val="001877D9"/>
    <w:rsid w:val="001902F1"/>
    <w:rsid w:val="00190C80"/>
    <w:rsid w:val="00191207"/>
    <w:rsid w:val="00191B78"/>
    <w:rsid w:val="00192041"/>
    <w:rsid w:val="0019222C"/>
    <w:rsid w:val="00192426"/>
    <w:rsid w:val="001926D7"/>
    <w:rsid w:val="00193C6D"/>
    <w:rsid w:val="001948C9"/>
    <w:rsid w:val="001948CA"/>
    <w:rsid w:val="00195B84"/>
    <w:rsid w:val="00195DD9"/>
    <w:rsid w:val="0019634B"/>
    <w:rsid w:val="00196A26"/>
    <w:rsid w:val="00197144"/>
    <w:rsid w:val="00197434"/>
    <w:rsid w:val="0019789E"/>
    <w:rsid w:val="00197C22"/>
    <w:rsid w:val="001A0370"/>
    <w:rsid w:val="001A07DA"/>
    <w:rsid w:val="001A1A6A"/>
    <w:rsid w:val="001A209C"/>
    <w:rsid w:val="001A256F"/>
    <w:rsid w:val="001A2991"/>
    <w:rsid w:val="001A5B90"/>
    <w:rsid w:val="001A5BF9"/>
    <w:rsid w:val="001A621A"/>
    <w:rsid w:val="001A683B"/>
    <w:rsid w:val="001A6D55"/>
    <w:rsid w:val="001A7052"/>
    <w:rsid w:val="001A738C"/>
    <w:rsid w:val="001B12D7"/>
    <w:rsid w:val="001B1570"/>
    <w:rsid w:val="001B1C30"/>
    <w:rsid w:val="001B1E13"/>
    <w:rsid w:val="001B22E7"/>
    <w:rsid w:val="001B2614"/>
    <w:rsid w:val="001B264E"/>
    <w:rsid w:val="001B281A"/>
    <w:rsid w:val="001B2950"/>
    <w:rsid w:val="001B3003"/>
    <w:rsid w:val="001B35CB"/>
    <w:rsid w:val="001B3B67"/>
    <w:rsid w:val="001B3DA3"/>
    <w:rsid w:val="001B4908"/>
    <w:rsid w:val="001B5007"/>
    <w:rsid w:val="001B6E7E"/>
    <w:rsid w:val="001C0224"/>
    <w:rsid w:val="001C0902"/>
    <w:rsid w:val="001C09B4"/>
    <w:rsid w:val="001C0F0D"/>
    <w:rsid w:val="001C15C5"/>
    <w:rsid w:val="001C24A6"/>
    <w:rsid w:val="001C2C2F"/>
    <w:rsid w:val="001C2F08"/>
    <w:rsid w:val="001C3436"/>
    <w:rsid w:val="001C3694"/>
    <w:rsid w:val="001C419D"/>
    <w:rsid w:val="001C41F9"/>
    <w:rsid w:val="001C4755"/>
    <w:rsid w:val="001C78F9"/>
    <w:rsid w:val="001C7ED1"/>
    <w:rsid w:val="001D1583"/>
    <w:rsid w:val="001D1E3B"/>
    <w:rsid w:val="001D398B"/>
    <w:rsid w:val="001D49D2"/>
    <w:rsid w:val="001D57B6"/>
    <w:rsid w:val="001D5A85"/>
    <w:rsid w:val="001D776B"/>
    <w:rsid w:val="001E0B20"/>
    <w:rsid w:val="001E173A"/>
    <w:rsid w:val="001E1A18"/>
    <w:rsid w:val="001E1D22"/>
    <w:rsid w:val="001E1D6A"/>
    <w:rsid w:val="001E1E32"/>
    <w:rsid w:val="001E26B5"/>
    <w:rsid w:val="001E287D"/>
    <w:rsid w:val="001E2C15"/>
    <w:rsid w:val="001E34C8"/>
    <w:rsid w:val="001E3B8B"/>
    <w:rsid w:val="001E3E34"/>
    <w:rsid w:val="001E414F"/>
    <w:rsid w:val="001E4745"/>
    <w:rsid w:val="001E4C9B"/>
    <w:rsid w:val="001E502F"/>
    <w:rsid w:val="001E56CC"/>
    <w:rsid w:val="001E5951"/>
    <w:rsid w:val="001E6298"/>
    <w:rsid w:val="001E6A95"/>
    <w:rsid w:val="001E6C93"/>
    <w:rsid w:val="001E756A"/>
    <w:rsid w:val="001E7A74"/>
    <w:rsid w:val="001E7E9C"/>
    <w:rsid w:val="001F03EF"/>
    <w:rsid w:val="001F07B9"/>
    <w:rsid w:val="001F0D9F"/>
    <w:rsid w:val="001F0DEE"/>
    <w:rsid w:val="001F12A4"/>
    <w:rsid w:val="001F2232"/>
    <w:rsid w:val="001F247C"/>
    <w:rsid w:val="001F25A2"/>
    <w:rsid w:val="001F42CF"/>
    <w:rsid w:val="001F433B"/>
    <w:rsid w:val="001F45AD"/>
    <w:rsid w:val="001F55B2"/>
    <w:rsid w:val="001F57F9"/>
    <w:rsid w:val="001F5BD5"/>
    <w:rsid w:val="001F5C48"/>
    <w:rsid w:val="001F6249"/>
    <w:rsid w:val="001F6BCD"/>
    <w:rsid w:val="001F7466"/>
    <w:rsid w:val="001F7629"/>
    <w:rsid w:val="001F78A8"/>
    <w:rsid w:val="001F79A7"/>
    <w:rsid w:val="001F7FEF"/>
    <w:rsid w:val="002010CA"/>
    <w:rsid w:val="00201550"/>
    <w:rsid w:val="00201836"/>
    <w:rsid w:val="002022C7"/>
    <w:rsid w:val="00202A92"/>
    <w:rsid w:val="00202AFB"/>
    <w:rsid w:val="00202CFB"/>
    <w:rsid w:val="00203338"/>
    <w:rsid w:val="0020441E"/>
    <w:rsid w:val="00204F0D"/>
    <w:rsid w:val="00205018"/>
    <w:rsid w:val="002051A0"/>
    <w:rsid w:val="00205E53"/>
    <w:rsid w:val="0020707F"/>
    <w:rsid w:val="002076C7"/>
    <w:rsid w:val="00210337"/>
    <w:rsid w:val="002103CC"/>
    <w:rsid w:val="00211348"/>
    <w:rsid w:val="002117FA"/>
    <w:rsid w:val="00212FA7"/>
    <w:rsid w:val="00212FB6"/>
    <w:rsid w:val="00213F30"/>
    <w:rsid w:val="00214143"/>
    <w:rsid w:val="00214B65"/>
    <w:rsid w:val="00214D6D"/>
    <w:rsid w:val="00214DDE"/>
    <w:rsid w:val="00215256"/>
    <w:rsid w:val="00215265"/>
    <w:rsid w:val="002155B8"/>
    <w:rsid w:val="0021563D"/>
    <w:rsid w:val="00215E9C"/>
    <w:rsid w:val="00216021"/>
    <w:rsid w:val="00216D53"/>
    <w:rsid w:val="00217E8D"/>
    <w:rsid w:val="002203F6"/>
    <w:rsid w:val="00220897"/>
    <w:rsid w:val="00221556"/>
    <w:rsid w:val="00221998"/>
    <w:rsid w:val="00221C7B"/>
    <w:rsid w:val="00222191"/>
    <w:rsid w:val="002233BB"/>
    <w:rsid w:val="002244CB"/>
    <w:rsid w:val="0022518A"/>
    <w:rsid w:val="002252EC"/>
    <w:rsid w:val="0022548B"/>
    <w:rsid w:val="00225576"/>
    <w:rsid w:val="002255C8"/>
    <w:rsid w:val="00225AD9"/>
    <w:rsid w:val="00226A7C"/>
    <w:rsid w:val="00226D04"/>
    <w:rsid w:val="002272C3"/>
    <w:rsid w:val="002274FA"/>
    <w:rsid w:val="002275BF"/>
    <w:rsid w:val="002306A1"/>
    <w:rsid w:val="002324D7"/>
    <w:rsid w:val="00232583"/>
    <w:rsid w:val="002329D8"/>
    <w:rsid w:val="00232B5C"/>
    <w:rsid w:val="00233B6D"/>
    <w:rsid w:val="00233EE5"/>
    <w:rsid w:val="00234005"/>
    <w:rsid w:val="0023407E"/>
    <w:rsid w:val="002341B2"/>
    <w:rsid w:val="002342F0"/>
    <w:rsid w:val="00234BD7"/>
    <w:rsid w:val="00234D90"/>
    <w:rsid w:val="00235CB5"/>
    <w:rsid w:val="0023687E"/>
    <w:rsid w:val="00236ED9"/>
    <w:rsid w:val="00237DD5"/>
    <w:rsid w:val="002408EF"/>
    <w:rsid w:val="00240B1E"/>
    <w:rsid w:val="00241FC1"/>
    <w:rsid w:val="00242191"/>
    <w:rsid w:val="002423F2"/>
    <w:rsid w:val="00242C39"/>
    <w:rsid w:val="00242EF2"/>
    <w:rsid w:val="002436CF"/>
    <w:rsid w:val="0024458C"/>
    <w:rsid w:val="00245DEF"/>
    <w:rsid w:val="0024659F"/>
    <w:rsid w:val="0024779D"/>
    <w:rsid w:val="0025075D"/>
    <w:rsid w:val="00250E77"/>
    <w:rsid w:val="00251368"/>
    <w:rsid w:val="00251A7A"/>
    <w:rsid w:val="00251DDE"/>
    <w:rsid w:val="002532A4"/>
    <w:rsid w:val="00253812"/>
    <w:rsid w:val="002539C6"/>
    <w:rsid w:val="00253E2D"/>
    <w:rsid w:val="00254316"/>
    <w:rsid w:val="002544F1"/>
    <w:rsid w:val="0025476D"/>
    <w:rsid w:val="002557B6"/>
    <w:rsid w:val="00255CDE"/>
    <w:rsid w:val="00255D0D"/>
    <w:rsid w:val="00255DB7"/>
    <w:rsid w:val="0025644A"/>
    <w:rsid w:val="002572FA"/>
    <w:rsid w:val="002576A6"/>
    <w:rsid w:val="0025772E"/>
    <w:rsid w:val="0026000F"/>
    <w:rsid w:val="00260134"/>
    <w:rsid w:val="0026081D"/>
    <w:rsid w:val="00260B4F"/>
    <w:rsid w:val="00260E8B"/>
    <w:rsid w:val="00261AEE"/>
    <w:rsid w:val="00262702"/>
    <w:rsid w:val="00262985"/>
    <w:rsid w:val="00262EAC"/>
    <w:rsid w:val="00264A41"/>
    <w:rsid w:val="00265614"/>
    <w:rsid w:val="00265E7F"/>
    <w:rsid w:val="002660C1"/>
    <w:rsid w:val="00266270"/>
    <w:rsid w:val="00266655"/>
    <w:rsid w:val="00266BF8"/>
    <w:rsid w:val="00267685"/>
    <w:rsid w:val="00267793"/>
    <w:rsid w:val="002678D0"/>
    <w:rsid w:val="002679D6"/>
    <w:rsid w:val="00267B11"/>
    <w:rsid w:val="00267D0E"/>
    <w:rsid w:val="00271BD8"/>
    <w:rsid w:val="0027292B"/>
    <w:rsid w:val="00273757"/>
    <w:rsid w:val="002738C0"/>
    <w:rsid w:val="002739A3"/>
    <w:rsid w:val="00274608"/>
    <w:rsid w:val="00274919"/>
    <w:rsid w:val="00274A9B"/>
    <w:rsid w:val="00274FEA"/>
    <w:rsid w:val="00276096"/>
    <w:rsid w:val="00276ADF"/>
    <w:rsid w:val="002775B0"/>
    <w:rsid w:val="0027770D"/>
    <w:rsid w:val="00277B09"/>
    <w:rsid w:val="00282569"/>
    <w:rsid w:val="00282794"/>
    <w:rsid w:val="00282CF0"/>
    <w:rsid w:val="0028323D"/>
    <w:rsid w:val="0028448A"/>
    <w:rsid w:val="00284972"/>
    <w:rsid w:val="00284A5A"/>
    <w:rsid w:val="00284D8D"/>
    <w:rsid w:val="002855E8"/>
    <w:rsid w:val="00285917"/>
    <w:rsid w:val="002865C0"/>
    <w:rsid w:val="0028750B"/>
    <w:rsid w:val="00287F83"/>
    <w:rsid w:val="00290133"/>
    <w:rsid w:val="002905B1"/>
    <w:rsid w:val="002917CC"/>
    <w:rsid w:val="00291BE8"/>
    <w:rsid w:val="002921EC"/>
    <w:rsid w:val="00292605"/>
    <w:rsid w:val="00292AC3"/>
    <w:rsid w:val="00293007"/>
    <w:rsid w:val="00293831"/>
    <w:rsid w:val="00293B25"/>
    <w:rsid w:val="002941E1"/>
    <w:rsid w:val="00294406"/>
    <w:rsid w:val="00294ED9"/>
    <w:rsid w:val="0029589C"/>
    <w:rsid w:val="002959F9"/>
    <w:rsid w:val="00295AD2"/>
    <w:rsid w:val="00295C13"/>
    <w:rsid w:val="0029639C"/>
    <w:rsid w:val="00296E66"/>
    <w:rsid w:val="00296F19"/>
    <w:rsid w:val="002A08AD"/>
    <w:rsid w:val="002A0D07"/>
    <w:rsid w:val="002A0D8A"/>
    <w:rsid w:val="002A13F0"/>
    <w:rsid w:val="002A1410"/>
    <w:rsid w:val="002A1753"/>
    <w:rsid w:val="002A1BC7"/>
    <w:rsid w:val="002A223D"/>
    <w:rsid w:val="002A23D5"/>
    <w:rsid w:val="002A252C"/>
    <w:rsid w:val="002A2706"/>
    <w:rsid w:val="002A290A"/>
    <w:rsid w:val="002A2E29"/>
    <w:rsid w:val="002A32CB"/>
    <w:rsid w:val="002A34C9"/>
    <w:rsid w:val="002A433E"/>
    <w:rsid w:val="002A4FF7"/>
    <w:rsid w:val="002A603C"/>
    <w:rsid w:val="002A64C0"/>
    <w:rsid w:val="002A66FD"/>
    <w:rsid w:val="002A7A8A"/>
    <w:rsid w:val="002B07E2"/>
    <w:rsid w:val="002B0ABA"/>
    <w:rsid w:val="002B0FA2"/>
    <w:rsid w:val="002B104E"/>
    <w:rsid w:val="002B1B8B"/>
    <w:rsid w:val="002B2314"/>
    <w:rsid w:val="002B26F2"/>
    <w:rsid w:val="002B2FD4"/>
    <w:rsid w:val="002B309A"/>
    <w:rsid w:val="002B3259"/>
    <w:rsid w:val="002B3547"/>
    <w:rsid w:val="002B377B"/>
    <w:rsid w:val="002B3B7A"/>
    <w:rsid w:val="002B3F8D"/>
    <w:rsid w:val="002B46F8"/>
    <w:rsid w:val="002B4E26"/>
    <w:rsid w:val="002B5EB6"/>
    <w:rsid w:val="002B6873"/>
    <w:rsid w:val="002B6A45"/>
    <w:rsid w:val="002B71BA"/>
    <w:rsid w:val="002B7795"/>
    <w:rsid w:val="002C021F"/>
    <w:rsid w:val="002C09C2"/>
    <w:rsid w:val="002C18C6"/>
    <w:rsid w:val="002C22F2"/>
    <w:rsid w:val="002C2622"/>
    <w:rsid w:val="002C33C4"/>
    <w:rsid w:val="002C3678"/>
    <w:rsid w:val="002C413D"/>
    <w:rsid w:val="002C42A5"/>
    <w:rsid w:val="002C459E"/>
    <w:rsid w:val="002C46A9"/>
    <w:rsid w:val="002C4983"/>
    <w:rsid w:val="002C4BA3"/>
    <w:rsid w:val="002C4DDD"/>
    <w:rsid w:val="002C55B0"/>
    <w:rsid w:val="002C5833"/>
    <w:rsid w:val="002C5974"/>
    <w:rsid w:val="002C62E1"/>
    <w:rsid w:val="002C76E1"/>
    <w:rsid w:val="002C7C60"/>
    <w:rsid w:val="002D3390"/>
    <w:rsid w:val="002D4573"/>
    <w:rsid w:val="002D47EB"/>
    <w:rsid w:val="002D59C9"/>
    <w:rsid w:val="002D6101"/>
    <w:rsid w:val="002D65DE"/>
    <w:rsid w:val="002D6641"/>
    <w:rsid w:val="002D71BD"/>
    <w:rsid w:val="002E0205"/>
    <w:rsid w:val="002E0525"/>
    <w:rsid w:val="002E05AB"/>
    <w:rsid w:val="002E07C6"/>
    <w:rsid w:val="002E0DE4"/>
    <w:rsid w:val="002E128C"/>
    <w:rsid w:val="002E12A9"/>
    <w:rsid w:val="002E1C7B"/>
    <w:rsid w:val="002E2FAF"/>
    <w:rsid w:val="002E3312"/>
    <w:rsid w:val="002E3D9C"/>
    <w:rsid w:val="002E3FA8"/>
    <w:rsid w:val="002E4083"/>
    <w:rsid w:val="002E447C"/>
    <w:rsid w:val="002E450A"/>
    <w:rsid w:val="002E4861"/>
    <w:rsid w:val="002E6C97"/>
    <w:rsid w:val="002E760D"/>
    <w:rsid w:val="002E7A7D"/>
    <w:rsid w:val="002E7CAB"/>
    <w:rsid w:val="002F0629"/>
    <w:rsid w:val="002F0807"/>
    <w:rsid w:val="002F0816"/>
    <w:rsid w:val="002F0995"/>
    <w:rsid w:val="002F165F"/>
    <w:rsid w:val="002F16B0"/>
    <w:rsid w:val="002F175D"/>
    <w:rsid w:val="002F1C8C"/>
    <w:rsid w:val="002F293C"/>
    <w:rsid w:val="002F301B"/>
    <w:rsid w:val="002F342A"/>
    <w:rsid w:val="002F3520"/>
    <w:rsid w:val="002F3DB2"/>
    <w:rsid w:val="002F3FB8"/>
    <w:rsid w:val="002F43CC"/>
    <w:rsid w:val="002F4411"/>
    <w:rsid w:val="002F477D"/>
    <w:rsid w:val="002F5531"/>
    <w:rsid w:val="002F5C4F"/>
    <w:rsid w:val="002F62D5"/>
    <w:rsid w:val="002F69D6"/>
    <w:rsid w:val="002F755B"/>
    <w:rsid w:val="002F7C55"/>
    <w:rsid w:val="002F7CB7"/>
    <w:rsid w:val="00300020"/>
    <w:rsid w:val="00300EE6"/>
    <w:rsid w:val="003014E3"/>
    <w:rsid w:val="003015B3"/>
    <w:rsid w:val="00302FBE"/>
    <w:rsid w:val="00303A48"/>
    <w:rsid w:val="0030493F"/>
    <w:rsid w:val="00304C3D"/>
    <w:rsid w:val="00305216"/>
    <w:rsid w:val="00305987"/>
    <w:rsid w:val="00306E49"/>
    <w:rsid w:val="00307379"/>
    <w:rsid w:val="00307F39"/>
    <w:rsid w:val="00310E8E"/>
    <w:rsid w:val="00311665"/>
    <w:rsid w:val="003121BA"/>
    <w:rsid w:val="003126A3"/>
    <w:rsid w:val="00312B60"/>
    <w:rsid w:val="00312F50"/>
    <w:rsid w:val="003141D9"/>
    <w:rsid w:val="00316428"/>
    <w:rsid w:val="0031689C"/>
    <w:rsid w:val="003168ED"/>
    <w:rsid w:val="00316A89"/>
    <w:rsid w:val="00316B7D"/>
    <w:rsid w:val="00317C96"/>
    <w:rsid w:val="00320EF7"/>
    <w:rsid w:val="0032161F"/>
    <w:rsid w:val="00321FC1"/>
    <w:rsid w:val="003220C6"/>
    <w:rsid w:val="0032237D"/>
    <w:rsid w:val="00322F5A"/>
    <w:rsid w:val="003234F5"/>
    <w:rsid w:val="00323527"/>
    <w:rsid w:val="00323DBF"/>
    <w:rsid w:val="00325415"/>
    <w:rsid w:val="003258C1"/>
    <w:rsid w:val="00325B07"/>
    <w:rsid w:val="00327660"/>
    <w:rsid w:val="00327F46"/>
    <w:rsid w:val="00327FB1"/>
    <w:rsid w:val="00331517"/>
    <w:rsid w:val="0033194A"/>
    <w:rsid w:val="00333C6B"/>
    <w:rsid w:val="00334A26"/>
    <w:rsid w:val="00334C67"/>
    <w:rsid w:val="00335726"/>
    <w:rsid w:val="00335D3E"/>
    <w:rsid w:val="00335EC8"/>
    <w:rsid w:val="00335ED1"/>
    <w:rsid w:val="003364E3"/>
    <w:rsid w:val="00336588"/>
    <w:rsid w:val="003366E5"/>
    <w:rsid w:val="00337322"/>
    <w:rsid w:val="0033738A"/>
    <w:rsid w:val="003373B2"/>
    <w:rsid w:val="00337664"/>
    <w:rsid w:val="003425B1"/>
    <w:rsid w:val="00342952"/>
    <w:rsid w:val="00342E24"/>
    <w:rsid w:val="0034369E"/>
    <w:rsid w:val="00343709"/>
    <w:rsid w:val="003439B8"/>
    <w:rsid w:val="00343E27"/>
    <w:rsid w:val="00345215"/>
    <w:rsid w:val="00345DCF"/>
    <w:rsid w:val="003466AF"/>
    <w:rsid w:val="00346A95"/>
    <w:rsid w:val="00346BCB"/>
    <w:rsid w:val="00346F35"/>
    <w:rsid w:val="00347199"/>
    <w:rsid w:val="003472B3"/>
    <w:rsid w:val="00350EA6"/>
    <w:rsid w:val="00351F64"/>
    <w:rsid w:val="00352179"/>
    <w:rsid w:val="003523FB"/>
    <w:rsid w:val="003529DB"/>
    <w:rsid w:val="003530CB"/>
    <w:rsid w:val="0035352C"/>
    <w:rsid w:val="00353872"/>
    <w:rsid w:val="00353E65"/>
    <w:rsid w:val="00354625"/>
    <w:rsid w:val="0035502F"/>
    <w:rsid w:val="0035511B"/>
    <w:rsid w:val="00355373"/>
    <w:rsid w:val="003567A8"/>
    <w:rsid w:val="00356857"/>
    <w:rsid w:val="00356E55"/>
    <w:rsid w:val="003575F0"/>
    <w:rsid w:val="00360561"/>
    <w:rsid w:val="00360661"/>
    <w:rsid w:val="00361B4C"/>
    <w:rsid w:val="00361D46"/>
    <w:rsid w:val="00361ECA"/>
    <w:rsid w:val="00362419"/>
    <w:rsid w:val="00363322"/>
    <w:rsid w:val="00363B4B"/>
    <w:rsid w:val="00363CD2"/>
    <w:rsid w:val="003647D1"/>
    <w:rsid w:val="00364C17"/>
    <w:rsid w:val="00364F5A"/>
    <w:rsid w:val="0036541F"/>
    <w:rsid w:val="00365CB6"/>
    <w:rsid w:val="00365DA7"/>
    <w:rsid w:val="00365DED"/>
    <w:rsid w:val="00365ED5"/>
    <w:rsid w:val="0036671F"/>
    <w:rsid w:val="00366858"/>
    <w:rsid w:val="00366E37"/>
    <w:rsid w:val="0036796A"/>
    <w:rsid w:val="003679B3"/>
    <w:rsid w:val="003700BB"/>
    <w:rsid w:val="003701F5"/>
    <w:rsid w:val="003707F4"/>
    <w:rsid w:val="003708FF"/>
    <w:rsid w:val="00370E0D"/>
    <w:rsid w:val="00370F8F"/>
    <w:rsid w:val="00371222"/>
    <w:rsid w:val="00371477"/>
    <w:rsid w:val="003716C6"/>
    <w:rsid w:val="0037251F"/>
    <w:rsid w:val="0037293A"/>
    <w:rsid w:val="00372B87"/>
    <w:rsid w:val="0037302B"/>
    <w:rsid w:val="003734B0"/>
    <w:rsid w:val="00374AE6"/>
    <w:rsid w:val="0037573A"/>
    <w:rsid w:val="0037642C"/>
    <w:rsid w:val="00376A6A"/>
    <w:rsid w:val="003773B9"/>
    <w:rsid w:val="003810ED"/>
    <w:rsid w:val="003815A2"/>
    <w:rsid w:val="00381C4A"/>
    <w:rsid w:val="00383131"/>
    <w:rsid w:val="0038353B"/>
    <w:rsid w:val="00383747"/>
    <w:rsid w:val="00384CB5"/>
    <w:rsid w:val="00384EF9"/>
    <w:rsid w:val="0038571F"/>
    <w:rsid w:val="003858D5"/>
    <w:rsid w:val="00386AD8"/>
    <w:rsid w:val="00386FE7"/>
    <w:rsid w:val="003875CE"/>
    <w:rsid w:val="00390266"/>
    <w:rsid w:val="00390909"/>
    <w:rsid w:val="00390FE7"/>
    <w:rsid w:val="00391460"/>
    <w:rsid w:val="00391C03"/>
    <w:rsid w:val="00391FD9"/>
    <w:rsid w:val="003930D5"/>
    <w:rsid w:val="00393626"/>
    <w:rsid w:val="00393691"/>
    <w:rsid w:val="003937BE"/>
    <w:rsid w:val="00393AA1"/>
    <w:rsid w:val="00393EAD"/>
    <w:rsid w:val="003940E5"/>
    <w:rsid w:val="0039518E"/>
    <w:rsid w:val="00395254"/>
    <w:rsid w:val="0039568D"/>
    <w:rsid w:val="003968A7"/>
    <w:rsid w:val="00396C6E"/>
    <w:rsid w:val="00397533"/>
    <w:rsid w:val="003A0231"/>
    <w:rsid w:val="003A0594"/>
    <w:rsid w:val="003A07CC"/>
    <w:rsid w:val="003A1910"/>
    <w:rsid w:val="003A1BC1"/>
    <w:rsid w:val="003A2C32"/>
    <w:rsid w:val="003A326C"/>
    <w:rsid w:val="003A385B"/>
    <w:rsid w:val="003A3A1A"/>
    <w:rsid w:val="003A4462"/>
    <w:rsid w:val="003A4D3C"/>
    <w:rsid w:val="003A5125"/>
    <w:rsid w:val="003A56E6"/>
    <w:rsid w:val="003A57CB"/>
    <w:rsid w:val="003A5D1B"/>
    <w:rsid w:val="003A6DE1"/>
    <w:rsid w:val="003A7A3A"/>
    <w:rsid w:val="003A7C73"/>
    <w:rsid w:val="003B04D4"/>
    <w:rsid w:val="003B080B"/>
    <w:rsid w:val="003B0F3A"/>
    <w:rsid w:val="003B0F91"/>
    <w:rsid w:val="003B1221"/>
    <w:rsid w:val="003B1907"/>
    <w:rsid w:val="003B1BBA"/>
    <w:rsid w:val="003B1BF5"/>
    <w:rsid w:val="003B1C75"/>
    <w:rsid w:val="003B1D7D"/>
    <w:rsid w:val="003B2640"/>
    <w:rsid w:val="003B2A91"/>
    <w:rsid w:val="003B2FB5"/>
    <w:rsid w:val="003B3F6E"/>
    <w:rsid w:val="003B47DD"/>
    <w:rsid w:val="003B4C0F"/>
    <w:rsid w:val="003B51A3"/>
    <w:rsid w:val="003B58D3"/>
    <w:rsid w:val="003B5BB5"/>
    <w:rsid w:val="003B5E1D"/>
    <w:rsid w:val="003B609B"/>
    <w:rsid w:val="003B63D7"/>
    <w:rsid w:val="003B6A60"/>
    <w:rsid w:val="003C01E0"/>
    <w:rsid w:val="003C034E"/>
    <w:rsid w:val="003C08B8"/>
    <w:rsid w:val="003C1056"/>
    <w:rsid w:val="003C10D1"/>
    <w:rsid w:val="003C126D"/>
    <w:rsid w:val="003C17CF"/>
    <w:rsid w:val="003C1B33"/>
    <w:rsid w:val="003C1DC2"/>
    <w:rsid w:val="003C20FD"/>
    <w:rsid w:val="003C221D"/>
    <w:rsid w:val="003C2774"/>
    <w:rsid w:val="003C294C"/>
    <w:rsid w:val="003C332D"/>
    <w:rsid w:val="003C418D"/>
    <w:rsid w:val="003C4806"/>
    <w:rsid w:val="003C4A27"/>
    <w:rsid w:val="003C4B2A"/>
    <w:rsid w:val="003C4E33"/>
    <w:rsid w:val="003C576A"/>
    <w:rsid w:val="003C5FCA"/>
    <w:rsid w:val="003C60E6"/>
    <w:rsid w:val="003C682E"/>
    <w:rsid w:val="003C6C11"/>
    <w:rsid w:val="003C7334"/>
    <w:rsid w:val="003C7540"/>
    <w:rsid w:val="003D0084"/>
    <w:rsid w:val="003D08BD"/>
    <w:rsid w:val="003D0A22"/>
    <w:rsid w:val="003D0CC3"/>
    <w:rsid w:val="003D1B36"/>
    <w:rsid w:val="003D1E03"/>
    <w:rsid w:val="003D28FC"/>
    <w:rsid w:val="003D2F76"/>
    <w:rsid w:val="003D2FCB"/>
    <w:rsid w:val="003D318A"/>
    <w:rsid w:val="003D3ABA"/>
    <w:rsid w:val="003D4B92"/>
    <w:rsid w:val="003D52A6"/>
    <w:rsid w:val="003D62C5"/>
    <w:rsid w:val="003D6332"/>
    <w:rsid w:val="003D64E0"/>
    <w:rsid w:val="003D65E6"/>
    <w:rsid w:val="003D76C4"/>
    <w:rsid w:val="003E0269"/>
    <w:rsid w:val="003E0B86"/>
    <w:rsid w:val="003E1760"/>
    <w:rsid w:val="003E232C"/>
    <w:rsid w:val="003E2FED"/>
    <w:rsid w:val="003E30DA"/>
    <w:rsid w:val="003E31AE"/>
    <w:rsid w:val="003E399D"/>
    <w:rsid w:val="003E3E40"/>
    <w:rsid w:val="003E3FE3"/>
    <w:rsid w:val="003E462E"/>
    <w:rsid w:val="003E54B5"/>
    <w:rsid w:val="003E59FC"/>
    <w:rsid w:val="003E5B11"/>
    <w:rsid w:val="003E5E41"/>
    <w:rsid w:val="003E62D9"/>
    <w:rsid w:val="003E6C5C"/>
    <w:rsid w:val="003E6D3C"/>
    <w:rsid w:val="003E7650"/>
    <w:rsid w:val="003F0994"/>
    <w:rsid w:val="003F1FB7"/>
    <w:rsid w:val="003F288B"/>
    <w:rsid w:val="003F2F53"/>
    <w:rsid w:val="003F2FB6"/>
    <w:rsid w:val="003F338B"/>
    <w:rsid w:val="003F3647"/>
    <w:rsid w:val="003F3941"/>
    <w:rsid w:val="003F3CBB"/>
    <w:rsid w:val="003F3FC7"/>
    <w:rsid w:val="003F41F2"/>
    <w:rsid w:val="003F4318"/>
    <w:rsid w:val="003F4F79"/>
    <w:rsid w:val="003F6C93"/>
    <w:rsid w:val="003F6DC5"/>
    <w:rsid w:val="003F775B"/>
    <w:rsid w:val="003F794F"/>
    <w:rsid w:val="00400557"/>
    <w:rsid w:val="0040071B"/>
    <w:rsid w:val="00400861"/>
    <w:rsid w:val="00400873"/>
    <w:rsid w:val="004008C9"/>
    <w:rsid w:val="00401006"/>
    <w:rsid w:val="00401850"/>
    <w:rsid w:val="00401C63"/>
    <w:rsid w:val="00401CB5"/>
    <w:rsid w:val="0040227D"/>
    <w:rsid w:val="00402E0F"/>
    <w:rsid w:val="00402F5F"/>
    <w:rsid w:val="00403BE0"/>
    <w:rsid w:val="004047B8"/>
    <w:rsid w:val="00404B1B"/>
    <w:rsid w:val="00404DFC"/>
    <w:rsid w:val="00405FEE"/>
    <w:rsid w:val="0040643D"/>
    <w:rsid w:val="00406BA2"/>
    <w:rsid w:val="00406BAF"/>
    <w:rsid w:val="00406D09"/>
    <w:rsid w:val="00407D73"/>
    <w:rsid w:val="004102D9"/>
    <w:rsid w:val="004111CE"/>
    <w:rsid w:val="00411494"/>
    <w:rsid w:val="004114FE"/>
    <w:rsid w:val="004117E4"/>
    <w:rsid w:val="00411B3D"/>
    <w:rsid w:val="00412797"/>
    <w:rsid w:val="00412A30"/>
    <w:rsid w:val="004131FF"/>
    <w:rsid w:val="00413403"/>
    <w:rsid w:val="0041347B"/>
    <w:rsid w:val="0041376E"/>
    <w:rsid w:val="00413A05"/>
    <w:rsid w:val="00413F27"/>
    <w:rsid w:val="0041412D"/>
    <w:rsid w:val="0041428E"/>
    <w:rsid w:val="004145C1"/>
    <w:rsid w:val="00414F68"/>
    <w:rsid w:val="00415A53"/>
    <w:rsid w:val="00415F6C"/>
    <w:rsid w:val="00416338"/>
    <w:rsid w:val="00416508"/>
    <w:rsid w:val="0041662C"/>
    <w:rsid w:val="00416887"/>
    <w:rsid w:val="00416CAF"/>
    <w:rsid w:val="00417130"/>
    <w:rsid w:val="004201D6"/>
    <w:rsid w:val="0042035B"/>
    <w:rsid w:val="00420962"/>
    <w:rsid w:val="00420B19"/>
    <w:rsid w:val="00420E52"/>
    <w:rsid w:val="004225FD"/>
    <w:rsid w:val="00422F7B"/>
    <w:rsid w:val="00423294"/>
    <w:rsid w:val="004232F1"/>
    <w:rsid w:val="00423516"/>
    <w:rsid w:val="00424637"/>
    <w:rsid w:val="004252D0"/>
    <w:rsid w:val="004256D2"/>
    <w:rsid w:val="00425C46"/>
    <w:rsid w:val="00426889"/>
    <w:rsid w:val="00427084"/>
    <w:rsid w:val="004302B6"/>
    <w:rsid w:val="00430DB8"/>
    <w:rsid w:val="00430DE4"/>
    <w:rsid w:val="00431618"/>
    <w:rsid w:val="00431C87"/>
    <w:rsid w:val="00431F75"/>
    <w:rsid w:val="00431FDB"/>
    <w:rsid w:val="0043260C"/>
    <w:rsid w:val="004328D5"/>
    <w:rsid w:val="0043426B"/>
    <w:rsid w:val="00435B3B"/>
    <w:rsid w:val="00435DBA"/>
    <w:rsid w:val="004365CB"/>
    <w:rsid w:val="0043717A"/>
    <w:rsid w:val="0043726B"/>
    <w:rsid w:val="0043735C"/>
    <w:rsid w:val="00437CE5"/>
    <w:rsid w:val="00437ECB"/>
    <w:rsid w:val="0044039B"/>
    <w:rsid w:val="0044058F"/>
    <w:rsid w:val="004411B9"/>
    <w:rsid w:val="00441678"/>
    <w:rsid w:val="00441842"/>
    <w:rsid w:val="00442154"/>
    <w:rsid w:val="00442359"/>
    <w:rsid w:val="00442596"/>
    <w:rsid w:val="00442818"/>
    <w:rsid w:val="00443AD3"/>
    <w:rsid w:val="00444446"/>
    <w:rsid w:val="00445EB0"/>
    <w:rsid w:val="00446380"/>
    <w:rsid w:val="004470AF"/>
    <w:rsid w:val="0044771D"/>
    <w:rsid w:val="00447AE3"/>
    <w:rsid w:val="0045157A"/>
    <w:rsid w:val="004518C9"/>
    <w:rsid w:val="00451BCE"/>
    <w:rsid w:val="00451E1B"/>
    <w:rsid w:val="0045219B"/>
    <w:rsid w:val="004525DB"/>
    <w:rsid w:val="004525DD"/>
    <w:rsid w:val="00452EB8"/>
    <w:rsid w:val="004539F9"/>
    <w:rsid w:val="00453E5B"/>
    <w:rsid w:val="00455074"/>
    <w:rsid w:val="00455218"/>
    <w:rsid w:val="00455556"/>
    <w:rsid w:val="00455CB4"/>
    <w:rsid w:val="004567F6"/>
    <w:rsid w:val="004572F9"/>
    <w:rsid w:val="00457695"/>
    <w:rsid w:val="00457AA2"/>
    <w:rsid w:val="00461291"/>
    <w:rsid w:val="0046145D"/>
    <w:rsid w:val="0046347F"/>
    <w:rsid w:val="004639C8"/>
    <w:rsid w:val="00463C17"/>
    <w:rsid w:val="00464C27"/>
    <w:rsid w:val="004652D3"/>
    <w:rsid w:val="00466789"/>
    <w:rsid w:val="00466943"/>
    <w:rsid w:val="00467116"/>
    <w:rsid w:val="00467ED9"/>
    <w:rsid w:val="00470575"/>
    <w:rsid w:val="0047086E"/>
    <w:rsid w:val="00471376"/>
    <w:rsid w:val="0047174C"/>
    <w:rsid w:val="00471AF2"/>
    <w:rsid w:val="00471D75"/>
    <w:rsid w:val="004720DC"/>
    <w:rsid w:val="00472205"/>
    <w:rsid w:val="00472DC9"/>
    <w:rsid w:val="00472EBA"/>
    <w:rsid w:val="00473498"/>
    <w:rsid w:val="00473A7B"/>
    <w:rsid w:val="00474078"/>
    <w:rsid w:val="00474340"/>
    <w:rsid w:val="004747C9"/>
    <w:rsid w:val="00474A3A"/>
    <w:rsid w:val="00474B07"/>
    <w:rsid w:val="00474B50"/>
    <w:rsid w:val="004755C2"/>
    <w:rsid w:val="00475AE0"/>
    <w:rsid w:val="00475C40"/>
    <w:rsid w:val="00476087"/>
    <w:rsid w:val="004762BF"/>
    <w:rsid w:val="00476ED1"/>
    <w:rsid w:val="00477028"/>
    <w:rsid w:val="00477C46"/>
    <w:rsid w:val="00477CE5"/>
    <w:rsid w:val="0048113B"/>
    <w:rsid w:val="004811AB"/>
    <w:rsid w:val="0048285C"/>
    <w:rsid w:val="00482FD3"/>
    <w:rsid w:val="004833BD"/>
    <w:rsid w:val="004839A2"/>
    <w:rsid w:val="00483E24"/>
    <w:rsid w:val="0048460B"/>
    <w:rsid w:val="00485954"/>
    <w:rsid w:val="00486AD7"/>
    <w:rsid w:val="00487016"/>
    <w:rsid w:val="004874AA"/>
    <w:rsid w:val="00487E5F"/>
    <w:rsid w:val="004900DE"/>
    <w:rsid w:val="00490EB2"/>
    <w:rsid w:val="00491407"/>
    <w:rsid w:val="00491A56"/>
    <w:rsid w:val="00492178"/>
    <w:rsid w:val="00492628"/>
    <w:rsid w:val="0049285E"/>
    <w:rsid w:val="00493472"/>
    <w:rsid w:val="004936CC"/>
    <w:rsid w:val="00493C9F"/>
    <w:rsid w:val="00493F8C"/>
    <w:rsid w:val="00494489"/>
    <w:rsid w:val="00494A0E"/>
    <w:rsid w:val="00494F62"/>
    <w:rsid w:val="004955F3"/>
    <w:rsid w:val="004956C2"/>
    <w:rsid w:val="00496055"/>
    <w:rsid w:val="0049632B"/>
    <w:rsid w:val="00496547"/>
    <w:rsid w:val="004A0074"/>
    <w:rsid w:val="004A0631"/>
    <w:rsid w:val="004A1555"/>
    <w:rsid w:val="004A16F1"/>
    <w:rsid w:val="004A1853"/>
    <w:rsid w:val="004A1D5D"/>
    <w:rsid w:val="004A20A2"/>
    <w:rsid w:val="004A295D"/>
    <w:rsid w:val="004A2AE0"/>
    <w:rsid w:val="004A319F"/>
    <w:rsid w:val="004A37F2"/>
    <w:rsid w:val="004A3BCD"/>
    <w:rsid w:val="004A4357"/>
    <w:rsid w:val="004A469C"/>
    <w:rsid w:val="004A49F2"/>
    <w:rsid w:val="004A4C76"/>
    <w:rsid w:val="004A50FC"/>
    <w:rsid w:val="004A5168"/>
    <w:rsid w:val="004A5FEB"/>
    <w:rsid w:val="004A6257"/>
    <w:rsid w:val="004A65AD"/>
    <w:rsid w:val="004A6B44"/>
    <w:rsid w:val="004A6B4A"/>
    <w:rsid w:val="004A6CB2"/>
    <w:rsid w:val="004A7752"/>
    <w:rsid w:val="004A7773"/>
    <w:rsid w:val="004A7E09"/>
    <w:rsid w:val="004B02B6"/>
    <w:rsid w:val="004B14A1"/>
    <w:rsid w:val="004B1A82"/>
    <w:rsid w:val="004B1D6B"/>
    <w:rsid w:val="004B215F"/>
    <w:rsid w:val="004B2834"/>
    <w:rsid w:val="004B2BFC"/>
    <w:rsid w:val="004B2C3C"/>
    <w:rsid w:val="004B2E26"/>
    <w:rsid w:val="004B3850"/>
    <w:rsid w:val="004B39A0"/>
    <w:rsid w:val="004B3D5C"/>
    <w:rsid w:val="004B3D91"/>
    <w:rsid w:val="004B4363"/>
    <w:rsid w:val="004B445B"/>
    <w:rsid w:val="004B4739"/>
    <w:rsid w:val="004B496C"/>
    <w:rsid w:val="004B4B97"/>
    <w:rsid w:val="004B5988"/>
    <w:rsid w:val="004B5D84"/>
    <w:rsid w:val="004B5EEB"/>
    <w:rsid w:val="004B659C"/>
    <w:rsid w:val="004B68D9"/>
    <w:rsid w:val="004B6985"/>
    <w:rsid w:val="004B6D8D"/>
    <w:rsid w:val="004C0DC9"/>
    <w:rsid w:val="004C1337"/>
    <w:rsid w:val="004C1671"/>
    <w:rsid w:val="004C20F8"/>
    <w:rsid w:val="004C31A5"/>
    <w:rsid w:val="004C3483"/>
    <w:rsid w:val="004C37DC"/>
    <w:rsid w:val="004C39F1"/>
    <w:rsid w:val="004C436F"/>
    <w:rsid w:val="004C492E"/>
    <w:rsid w:val="004C49BB"/>
    <w:rsid w:val="004C5458"/>
    <w:rsid w:val="004C58DB"/>
    <w:rsid w:val="004C6287"/>
    <w:rsid w:val="004C646A"/>
    <w:rsid w:val="004C6871"/>
    <w:rsid w:val="004C68CB"/>
    <w:rsid w:val="004C7363"/>
    <w:rsid w:val="004D027C"/>
    <w:rsid w:val="004D036C"/>
    <w:rsid w:val="004D0842"/>
    <w:rsid w:val="004D0904"/>
    <w:rsid w:val="004D0B99"/>
    <w:rsid w:val="004D11D0"/>
    <w:rsid w:val="004D15DD"/>
    <w:rsid w:val="004D179A"/>
    <w:rsid w:val="004D194E"/>
    <w:rsid w:val="004D1D23"/>
    <w:rsid w:val="004D1F37"/>
    <w:rsid w:val="004D210D"/>
    <w:rsid w:val="004D26D2"/>
    <w:rsid w:val="004D2AE2"/>
    <w:rsid w:val="004D2B50"/>
    <w:rsid w:val="004D2F1F"/>
    <w:rsid w:val="004D3996"/>
    <w:rsid w:val="004D3C9E"/>
    <w:rsid w:val="004D41C5"/>
    <w:rsid w:val="004D465E"/>
    <w:rsid w:val="004D4750"/>
    <w:rsid w:val="004D4C22"/>
    <w:rsid w:val="004D5007"/>
    <w:rsid w:val="004D56C6"/>
    <w:rsid w:val="004D5FB6"/>
    <w:rsid w:val="004D642E"/>
    <w:rsid w:val="004D6654"/>
    <w:rsid w:val="004D7250"/>
    <w:rsid w:val="004D7266"/>
    <w:rsid w:val="004E0121"/>
    <w:rsid w:val="004E1779"/>
    <w:rsid w:val="004E1EB2"/>
    <w:rsid w:val="004E2037"/>
    <w:rsid w:val="004E3A82"/>
    <w:rsid w:val="004E40F4"/>
    <w:rsid w:val="004E42A6"/>
    <w:rsid w:val="004E42BA"/>
    <w:rsid w:val="004E494C"/>
    <w:rsid w:val="004E5A97"/>
    <w:rsid w:val="004E6687"/>
    <w:rsid w:val="004E682E"/>
    <w:rsid w:val="004E6AC5"/>
    <w:rsid w:val="004E6F00"/>
    <w:rsid w:val="004E7143"/>
    <w:rsid w:val="004E7166"/>
    <w:rsid w:val="004E717E"/>
    <w:rsid w:val="004E7320"/>
    <w:rsid w:val="004E7808"/>
    <w:rsid w:val="004E7E4A"/>
    <w:rsid w:val="004E7F47"/>
    <w:rsid w:val="004F0C3F"/>
    <w:rsid w:val="004F306C"/>
    <w:rsid w:val="004F35DB"/>
    <w:rsid w:val="004F38F6"/>
    <w:rsid w:val="004F3B34"/>
    <w:rsid w:val="004F3F7E"/>
    <w:rsid w:val="004F428D"/>
    <w:rsid w:val="004F4642"/>
    <w:rsid w:val="004F5941"/>
    <w:rsid w:val="004F5B1C"/>
    <w:rsid w:val="004F6521"/>
    <w:rsid w:val="004F7A11"/>
    <w:rsid w:val="0050132C"/>
    <w:rsid w:val="00501AC2"/>
    <w:rsid w:val="0050211A"/>
    <w:rsid w:val="00503AE4"/>
    <w:rsid w:val="00504823"/>
    <w:rsid w:val="005057EE"/>
    <w:rsid w:val="00506612"/>
    <w:rsid w:val="00506718"/>
    <w:rsid w:val="00506B14"/>
    <w:rsid w:val="0050734A"/>
    <w:rsid w:val="0050747F"/>
    <w:rsid w:val="00507B1F"/>
    <w:rsid w:val="00507CAB"/>
    <w:rsid w:val="00507DB8"/>
    <w:rsid w:val="00510104"/>
    <w:rsid w:val="005106DD"/>
    <w:rsid w:val="00510EF5"/>
    <w:rsid w:val="005114A8"/>
    <w:rsid w:val="005125AB"/>
    <w:rsid w:val="00513B8F"/>
    <w:rsid w:val="00513BF1"/>
    <w:rsid w:val="00513CAF"/>
    <w:rsid w:val="0051434C"/>
    <w:rsid w:val="00514791"/>
    <w:rsid w:val="005148D0"/>
    <w:rsid w:val="00514AD5"/>
    <w:rsid w:val="00514F26"/>
    <w:rsid w:val="005150C6"/>
    <w:rsid w:val="00515326"/>
    <w:rsid w:val="00515A8D"/>
    <w:rsid w:val="00515D8A"/>
    <w:rsid w:val="00515FBA"/>
    <w:rsid w:val="005160E7"/>
    <w:rsid w:val="00516470"/>
    <w:rsid w:val="00516580"/>
    <w:rsid w:val="00517154"/>
    <w:rsid w:val="00520915"/>
    <w:rsid w:val="00520E4E"/>
    <w:rsid w:val="00520E93"/>
    <w:rsid w:val="00521A8D"/>
    <w:rsid w:val="00521ADF"/>
    <w:rsid w:val="00522566"/>
    <w:rsid w:val="00524361"/>
    <w:rsid w:val="0052456A"/>
    <w:rsid w:val="005247E9"/>
    <w:rsid w:val="00524A85"/>
    <w:rsid w:val="00525387"/>
    <w:rsid w:val="005253B6"/>
    <w:rsid w:val="00525EBC"/>
    <w:rsid w:val="0052682D"/>
    <w:rsid w:val="00526F3C"/>
    <w:rsid w:val="005275B2"/>
    <w:rsid w:val="00530138"/>
    <w:rsid w:val="00531561"/>
    <w:rsid w:val="00531B3A"/>
    <w:rsid w:val="00531E68"/>
    <w:rsid w:val="005321B4"/>
    <w:rsid w:val="005322DF"/>
    <w:rsid w:val="00532DA8"/>
    <w:rsid w:val="00533503"/>
    <w:rsid w:val="00533603"/>
    <w:rsid w:val="005339F0"/>
    <w:rsid w:val="00533AB3"/>
    <w:rsid w:val="00533C99"/>
    <w:rsid w:val="00533F8E"/>
    <w:rsid w:val="00534F2D"/>
    <w:rsid w:val="005353FA"/>
    <w:rsid w:val="00535AF8"/>
    <w:rsid w:val="00535F0C"/>
    <w:rsid w:val="00536147"/>
    <w:rsid w:val="005361D9"/>
    <w:rsid w:val="005365DA"/>
    <w:rsid w:val="00536D21"/>
    <w:rsid w:val="00537B94"/>
    <w:rsid w:val="00537CFD"/>
    <w:rsid w:val="005401B2"/>
    <w:rsid w:val="00540ECF"/>
    <w:rsid w:val="00541179"/>
    <w:rsid w:val="0054137F"/>
    <w:rsid w:val="00542CA6"/>
    <w:rsid w:val="00543250"/>
    <w:rsid w:val="00543A66"/>
    <w:rsid w:val="00543B59"/>
    <w:rsid w:val="005442E8"/>
    <w:rsid w:val="00545063"/>
    <w:rsid w:val="00545449"/>
    <w:rsid w:val="0054547A"/>
    <w:rsid w:val="00545E17"/>
    <w:rsid w:val="00550162"/>
    <w:rsid w:val="005502EC"/>
    <w:rsid w:val="005507F5"/>
    <w:rsid w:val="005509B1"/>
    <w:rsid w:val="005515FA"/>
    <w:rsid w:val="00551F17"/>
    <w:rsid w:val="00553ABA"/>
    <w:rsid w:val="00553DD5"/>
    <w:rsid w:val="00554454"/>
    <w:rsid w:val="005554FA"/>
    <w:rsid w:val="00556621"/>
    <w:rsid w:val="005572AF"/>
    <w:rsid w:val="00557511"/>
    <w:rsid w:val="00557861"/>
    <w:rsid w:val="00560163"/>
    <w:rsid w:val="005601EB"/>
    <w:rsid w:val="005604C0"/>
    <w:rsid w:val="00560669"/>
    <w:rsid w:val="00561A8F"/>
    <w:rsid w:val="00561CA5"/>
    <w:rsid w:val="005623B5"/>
    <w:rsid w:val="00562EEE"/>
    <w:rsid w:val="005631EB"/>
    <w:rsid w:val="00563244"/>
    <w:rsid w:val="005640F3"/>
    <w:rsid w:val="00564945"/>
    <w:rsid w:val="00565426"/>
    <w:rsid w:val="00565430"/>
    <w:rsid w:val="005655E0"/>
    <w:rsid w:val="00565831"/>
    <w:rsid w:val="00565855"/>
    <w:rsid w:val="0056691F"/>
    <w:rsid w:val="00567035"/>
    <w:rsid w:val="005677DB"/>
    <w:rsid w:val="0057021A"/>
    <w:rsid w:val="005702B5"/>
    <w:rsid w:val="00570D18"/>
    <w:rsid w:val="00571DF5"/>
    <w:rsid w:val="00571EB7"/>
    <w:rsid w:val="00572279"/>
    <w:rsid w:val="005723BF"/>
    <w:rsid w:val="0057270A"/>
    <w:rsid w:val="005728D0"/>
    <w:rsid w:val="00573F05"/>
    <w:rsid w:val="00574297"/>
    <w:rsid w:val="005746EA"/>
    <w:rsid w:val="00574A94"/>
    <w:rsid w:val="00574ABF"/>
    <w:rsid w:val="00574C21"/>
    <w:rsid w:val="00574C41"/>
    <w:rsid w:val="00575DEF"/>
    <w:rsid w:val="0057670D"/>
    <w:rsid w:val="00576E13"/>
    <w:rsid w:val="005775F5"/>
    <w:rsid w:val="00577BB5"/>
    <w:rsid w:val="00580F50"/>
    <w:rsid w:val="0058157C"/>
    <w:rsid w:val="005816DE"/>
    <w:rsid w:val="00581773"/>
    <w:rsid w:val="00581C4A"/>
    <w:rsid w:val="00582B13"/>
    <w:rsid w:val="00582CBC"/>
    <w:rsid w:val="00583616"/>
    <w:rsid w:val="0058374A"/>
    <w:rsid w:val="005837AC"/>
    <w:rsid w:val="00583A5A"/>
    <w:rsid w:val="00583B36"/>
    <w:rsid w:val="00584A2D"/>
    <w:rsid w:val="00584B75"/>
    <w:rsid w:val="00585574"/>
    <w:rsid w:val="00585BF3"/>
    <w:rsid w:val="005862BE"/>
    <w:rsid w:val="0058688A"/>
    <w:rsid w:val="00586E2B"/>
    <w:rsid w:val="00586F47"/>
    <w:rsid w:val="005878D5"/>
    <w:rsid w:val="00587D90"/>
    <w:rsid w:val="00587F5C"/>
    <w:rsid w:val="005901BE"/>
    <w:rsid w:val="005907EE"/>
    <w:rsid w:val="00590981"/>
    <w:rsid w:val="00591987"/>
    <w:rsid w:val="005919F5"/>
    <w:rsid w:val="0059266F"/>
    <w:rsid w:val="0059323A"/>
    <w:rsid w:val="005932D6"/>
    <w:rsid w:val="00593D47"/>
    <w:rsid w:val="00594A5D"/>
    <w:rsid w:val="00595033"/>
    <w:rsid w:val="00595039"/>
    <w:rsid w:val="005951FF"/>
    <w:rsid w:val="00595D6A"/>
    <w:rsid w:val="005968E2"/>
    <w:rsid w:val="00597231"/>
    <w:rsid w:val="00597464"/>
    <w:rsid w:val="005978BE"/>
    <w:rsid w:val="00597E67"/>
    <w:rsid w:val="005A0069"/>
    <w:rsid w:val="005A03F4"/>
    <w:rsid w:val="005A0A14"/>
    <w:rsid w:val="005A1D09"/>
    <w:rsid w:val="005A1E23"/>
    <w:rsid w:val="005A1EEB"/>
    <w:rsid w:val="005A2FDA"/>
    <w:rsid w:val="005A32B7"/>
    <w:rsid w:val="005A3334"/>
    <w:rsid w:val="005A3C33"/>
    <w:rsid w:val="005A4B34"/>
    <w:rsid w:val="005A4B63"/>
    <w:rsid w:val="005A6B55"/>
    <w:rsid w:val="005A747B"/>
    <w:rsid w:val="005B0110"/>
    <w:rsid w:val="005B0763"/>
    <w:rsid w:val="005B0966"/>
    <w:rsid w:val="005B0FCF"/>
    <w:rsid w:val="005B1947"/>
    <w:rsid w:val="005B25EA"/>
    <w:rsid w:val="005B274D"/>
    <w:rsid w:val="005B3460"/>
    <w:rsid w:val="005B34ED"/>
    <w:rsid w:val="005B40E0"/>
    <w:rsid w:val="005B4F9E"/>
    <w:rsid w:val="005B554D"/>
    <w:rsid w:val="005B5947"/>
    <w:rsid w:val="005B6A1D"/>
    <w:rsid w:val="005B6AD2"/>
    <w:rsid w:val="005B6B3B"/>
    <w:rsid w:val="005C0ED4"/>
    <w:rsid w:val="005C0FA3"/>
    <w:rsid w:val="005C1E25"/>
    <w:rsid w:val="005C1E63"/>
    <w:rsid w:val="005C24D1"/>
    <w:rsid w:val="005C4394"/>
    <w:rsid w:val="005C461D"/>
    <w:rsid w:val="005C52B3"/>
    <w:rsid w:val="005C53BD"/>
    <w:rsid w:val="005C6533"/>
    <w:rsid w:val="005C668A"/>
    <w:rsid w:val="005C67CB"/>
    <w:rsid w:val="005C691C"/>
    <w:rsid w:val="005C6BBB"/>
    <w:rsid w:val="005C7020"/>
    <w:rsid w:val="005D075E"/>
    <w:rsid w:val="005D1F60"/>
    <w:rsid w:val="005D1FF6"/>
    <w:rsid w:val="005D2097"/>
    <w:rsid w:val="005D2718"/>
    <w:rsid w:val="005D2898"/>
    <w:rsid w:val="005D2ECB"/>
    <w:rsid w:val="005D34BF"/>
    <w:rsid w:val="005D4699"/>
    <w:rsid w:val="005D54C2"/>
    <w:rsid w:val="005D62C2"/>
    <w:rsid w:val="005D711D"/>
    <w:rsid w:val="005D747D"/>
    <w:rsid w:val="005D7DA2"/>
    <w:rsid w:val="005E0B22"/>
    <w:rsid w:val="005E1691"/>
    <w:rsid w:val="005E18F8"/>
    <w:rsid w:val="005E3678"/>
    <w:rsid w:val="005E3AC1"/>
    <w:rsid w:val="005E418A"/>
    <w:rsid w:val="005E4B3F"/>
    <w:rsid w:val="005E4B75"/>
    <w:rsid w:val="005E5AD4"/>
    <w:rsid w:val="005E6406"/>
    <w:rsid w:val="005E6863"/>
    <w:rsid w:val="005E6954"/>
    <w:rsid w:val="005E6CE5"/>
    <w:rsid w:val="005E7D60"/>
    <w:rsid w:val="005F02BF"/>
    <w:rsid w:val="005F045C"/>
    <w:rsid w:val="005F0F4C"/>
    <w:rsid w:val="005F186C"/>
    <w:rsid w:val="005F1BDD"/>
    <w:rsid w:val="005F20D2"/>
    <w:rsid w:val="005F2A8F"/>
    <w:rsid w:val="005F2BA1"/>
    <w:rsid w:val="005F2C39"/>
    <w:rsid w:val="005F2C94"/>
    <w:rsid w:val="005F2CCB"/>
    <w:rsid w:val="005F2E44"/>
    <w:rsid w:val="005F3480"/>
    <w:rsid w:val="005F36A8"/>
    <w:rsid w:val="005F36E3"/>
    <w:rsid w:val="005F4AC6"/>
    <w:rsid w:val="005F4BE2"/>
    <w:rsid w:val="005F566C"/>
    <w:rsid w:val="005F5676"/>
    <w:rsid w:val="005F5AF0"/>
    <w:rsid w:val="005F6347"/>
    <w:rsid w:val="005F66FD"/>
    <w:rsid w:val="005F6BA3"/>
    <w:rsid w:val="005F6C86"/>
    <w:rsid w:val="005F72DD"/>
    <w:rsid w:val="005F7385"/>
    <w:rsid w:val="006000AA"/>
    <w:rsid w:val="0060049C"/>
    <w:rsid w:val="006020E3"/>
    <w:rsid w:val="006032DC"/>
    <w:rsid w:val="0060368E"/>
    <w:rsid w:val="0060399F"/>
    <w:rsid w:val="00604021"/>
    <w:rsid w:val="00604ACA"/>
    <w:rsid w:val="00604F53"/>
    <w:rsid w:val="0060501C"/>
    <w:rsid w:val="00605506"/>
    <w:rsid w:val="00605596"/>
    <w:rsid w:val="00605D3C"/>
    <w:rsid w:val="006063C6"/>
    <w:rsid w:val="00607058"/>
    <w:rsid w:val="00607522"/>
    <w:rsid w:val="00607C10"/>
    <w:rsid w:val="00610DF0"/>
    <w:rsid w:val="0061193E"/>
    <w:rsid w:val="00611D5D"/>
    <w:rsid w:val="00611EFD"/>
    <w:rsid w:val="00611F47"/>
    <w:rsid w:val="006122EA"/>
    <w:rsid w:val="00613201"/>
    <w:rsid w:val="0061324D"/>
    <w:rsid w:val="00613642"/>
    <w:rsid w:val="00613E29"/>
    <w:rsid w:val="00614041"/>
    <w:rsid w:val="00614473"/>
    <w:rsid w:val="0061448A"/>
    <w:rsid w:val="006145AB"/>
    <w:rsid w:val="00614941"/>
    <w:rsid w:val="00614FD1"/>
    <w:rsid w:val="00615319"/>
    <w:rsid w:val="006157FA"/>
    <w:rsid w:val="00615A93"/>
    <w:rsid w:val="00615BC9"/>
    <w:rsid w:val="00615BDE"/>
    <w:rsid w:val="00615D18"/>
    <w:rsid w:val="00616498"/>
    <w:rsid w:val="00616F2E"/>
    <w:rsid w:val="006171A2"/>
    <w:rsid w:val="006202EE"/>
    <w:rsid w:val="0062048E"/>
    <w:rsid w:val="00621189"/>
    <w:rsid w:val="0062131F"/>
    <w:rsid w:val="006218FB"/>
    <w:rsid w:val="0062275D"/>
    <w:rsid w:val="00622955"/>
    <w:rsid w:val="006229B0"/>
    <w:rsid w:val="006232BD"/>
    <w:rsid w:val="006238CA"/>
    <w:rsid w:val="00624137"/>
    <w:rsid w:val="00624678"/>
    <w:rsid w:val="00624C3B"/>
    <w:rsid w:val="00624E46"/>
    <w:rsid w:val="00624EEB"/>
    <w:rsid w:val="006250AF"/>
    <w:rsid w:val="00625541"/>
    <w:rsid w:val="0062575E"/>
    <w:rsid w:val="00625C1A"/>
    <w:rsid w:val="00626144"/>
    <w:rsid w:val="00626D50"/>
    <w:rsid w:val="00627372"/>
    <w:rsid w:val="006277F9"/>
    <w:rsid w:val="006301C2"/>
    <w:rsid w:val="006301F6"/>
    <w:rsid w:val="006307DE"/>
    <w:rsid w:val="0063087A"/>
    <w:rsid w:val="00630C45"/>
    <w:rsid w:val="00630C76"/>
    <w:rsid w:val="006312AF"/>
    <w:rsid w:val="006312F8"/>
    <w:rsid w:val="00633704"/>
    <w:rsid w:val="00633995"/>
    <w:rsid w:val="00634124"/>
    <w:rsid w:val="00634198"/>
    <w:rsid w:val="006351E2"/>
    <w:rsid w:val="00635721"/>
    <w:rsid w:val="006364A3"/>
    <w:rsid w:val="00637AF0"/>
    <w:rsid w:val="00637D1D"/>
    <w:rsid w:val="00637D8B"/>
    <w:rsid w:val="0064054B"/>
    <w:rsid w:val="006406BB"/>
    <w:rsid w:val="00640A8F"/>
    <w:rsid w:val="0064124B"/>
    <w:rsid w:val="00642F3E"/>
    <w:rsid w:val="00643C8E"/>
    <w:rsid w:val="00643D4C"/>
    <w:rsid w:val="00643DED"/>
    <w:rsid w:val="00644926"/>
    <w:rsid w:val="00644ADC"/>
    <w:rsid w:val="00644B03"/>
    <w:rsid w:val="00645210"/>
    <w:rsid w:val="006458AD"/>
    <w:rsid w:val="00645E56"/>
    <w:rsid w:val="006461B6"/>
    <w:rsid w:val="006462E0"/>
    <w:rsid w:val="006466B5"/>
    <w:rsid w:val="00646A51"/>
    <w:rsid w:val="00647246"/>
    <w:rsid w:val="006478A0"/>
    <w:rsid w:val="00647AEB"/>
    <w:rsid w:val="00647D8F"/>
    <w:rsid w:val="00650712"/>
    <w:rsid w:val="006511E0"/>
    <w:rsid w:val="00652505"/>
    <w:rsid w:val="00652AEE"/>
    <w:rsid w:val="006535EE"/>
    <w:rsid w:val="00653D35"/>
    <w:rsid w:val="00653EF3"/>
    <w:rsid w:val="0065427A"/>
    <w:rsid w:val="0065484A"/>
    <w:rsid w:val="006548AF"/>
    <w:rsid w:val="00655384"/>
    <w:rsid w:val="00656881"/>
    <w:rsid w:val="006575CE"/>
    <w:rsid w:val="00657668"/>
    <w:rsid w:val="0065785D"/>
    <w:rsid w:val="006579AD"/>
    <w:rsid w:val="00657FA4"/>
    <w:rsid w:val="006600C7"/>
    <w:rsid w:val="00660804"/>
    <w:rsid w:val="0066112B"/>
    <w:rsid w:val="00661D95"/>
    <w:rsid w:val="0066280D"/>
    <w:rsid w:val="00662ECD"/>
    <w:rsid w:val="00663AFB"/>
    <w:rsid w:val="00663ECA"/>
    <w:rsid w:val="00664630"/>
    <w:rsid w:val="0066493B"/>
    <w:rsid w:val="00665012"/>
    <w:rsid w:val="0066554A"/>
    <w:rsid w:val="00665DE8"/>
    <w:rsid w:val="00666794"/>
    <w:rsid w:val="006668FF"/>
    <w:rsid w:val="00666B9C"/>
    <w:rsid w:val="00666CB9"/>
    <w:rsid w:val="00666D89"/>
    <w:rsid w:val="00666FE4"/>
    <w:rsid w:val="00667D28"/>
    <w:rsid w:val="00671E13"/>
    <w:rsid w:val="006721B8"/>
    <w:rsid w:val="006723E9"/>
    <w:rsid w:val="00673238"/>
    <w:rsid w:val="0067466D"/>
    <w:rsid w:val="00674D97"/>
    <w:rsid w:val="0067525B"/>
    <w:rsid w:val="00675328"/>
    <w:rsid w:val="00675523"/>
    <w:rsid w:val="00675A71"/>
    <w:rsid w:val="00675FAB"/>
    <w:rsid w:val="00676183"/>
    <w:rsid w:val="006769A2"/>
    <w:rsid w:val="00676D52"/>
    <w:rsid w:val="00677209"/>
    <w:rsid w:val="0067739C"/>
    <w:rsid w:val="00680365"/>
    <w:rsid w:val="0068037A"/>
    <w:rsid w:val="0068080F"/>
    <w:rsid w:val="00680817"/>
    <w:rsid w:val="00681275"/>
    <w:rsid w:val="00681AC0"/>
    <w:rsid w:val="0068233C"/>
    <w:rsid w:val="0068393E"/>
    <w:rsid w:val="006870C8"/>
    <w:rsid w:val="006874D3"/>
    <w:rsid w:val="00687EF0"/>
    <w:rsid w:val="0069004B"/>
    <w:rsid w:val="006902EA"/>
    <w:rsid w:val="006903A2"/>
    <w:rsid w:val="006906A3"/>
    <w:rsid w:val="00691128"/>
    <w:rsid w:val="00691263"/>
    <w:rsid w:val="0069167C"/>
    <w:rsid w:val="0069168D"/>
    <w:rsid w:val="00691A2B"/>
    <w:rsid w:val="00692B05"/>
    <w:rsid w:val="00692F78"/>
    <w:rsid w:val="006930FF"/>
    <w:rsid w:val="00693326"/>
    <w:rsid w:val="0069400B"/>
    <w:rsid w:val="00695BAC"/>
    <w:rsid w:val="006966F9"/>
    <w:rsid w:val="00696E8B"/>
    <w:rsid w:val="0069755E"/>
    <w:rsid w:val="006A019D"/>
    <w:rsid w:val="006A1DC0"/>
    <w:rsid w:val="006A2677"/>
    <w:rsid w:val="006A343C"/>
    <w:rsid w:val="006A3596"/>
    <w:rsid w:val="006A3D2B"/>
    <w:rsid w:val="006A4D0D"/>
    <w:rsid w:val="006A51E9"/>
    <w:rsid w:val="006A5ACC"/>
    <w:rsid w:val="006A6336"/>
    <w:rsid w:val="006A6A5A"/>
    <w:rsid w:val="006A7E63"/>
    <w:rsid w:val="006A7FF7"/>
    <w:rsid w:val="006B118E"/>
    <w:rsid w:val="006B18B1"/>
    <w:rsid w:val="006B1AD9"/>
    <w:rsid w:val="006B1D8A"/>
    <w:rsid w:val="006B3685"/>
    <w:rsid w:val="006B37C3"/>
    <w:rsid w:val="006B3C2D"/>
    <w:rsid w:val="006B4264"/>
    <w:rsid w:val="006B65C3"/>
    <w:rsid w:val="006B6A79"/>
    <w:rsid w:val="006B716E"/>
    <w:rsid w:val="006B7794"/>
    <w:rsid w:val="006B7FB6"/>
    <w:rsid w:val="006C0583"/>
    <w:rsid w:val="006C06BF"/>
    <w:rsid w:val="006C0EF8"/>
    <w:rsid w:val="006C1530"/>
    <w:rsid w:val="006C1A81"/>
    <w:rsid w:val="006C1B46"/>
    <w:rsid w:val="006C1F2F"/>
    <w:rsid w:val="006C201C"/>
    <w:rsid w:val="006C2E7F"/>
    <w:rsid w:val="006C2F8C"/>
    <w:rsid w:val="006C3C83"/>
    <w:rsid w:val="006C400C"/>
    <w:rsid w:val="006C56BF"/>
    <w:rsid w:val="006C5A9B"/>
    <w:rsid w:val="006C62E2"/>
    <w:rsid w:val="006C64D5"/>
    <w:rsid w:val="006C6EA9"/>
    <w:rsid w:val="006C7A1D"/>
    <w:rsid w:val="006D1EB0"/>
    <w:rsid w:val="006D2546"/>
    <w:rsid w:val="006D375D"/>
    <w:rsid w:val="006D38DC"/>
    <w:rsid w:val="006D3A36"/>
    <w:rsid w:val="006D3AAD"/>
    <w:rsid w:val="006D3ECA"/>
    <w:rsid w:val="006D4196"/>
    <w:rsid w:val="006D4530"/>
    <w:rsid w:val="006D5CD5"/>
    <w:rsid w:val="006D62D6"/>
    <w:rsid w:val="006D65A1"/>
    <w:rsid w:val="006D65E0"/>
    <w:rsid w:val="006D76DE"/>
    <w:rsid w:val="006E0419"/>
    <w:rsid w:val="006E0AF4"/>
    <w:rsid w:val="006E1114"/>
    <w:rsid w:val="006E170F"/>
    <w:rsid w:val="006E4E94"/>
    <w:rsid w:val="006E561B"/>
    <w:rsid w:val="006E56CD"/>
    <w:rsid w:val="006E5712"/>
    <w:rsid w:val="006E59AE"/>
    <w:rsid w:val="006E6BFE"/>
    <w:rsid w:val="006E7351"/>
    <w:rsid w:val="006F022E"/>
    <w:rsid w:val="006F0998"/>
    <w:rsid w:val="006F26A2"/>
    <w:rsid w:val="006F2BA1"/>
    <w:rsid w:val="006F2F49"/>
    <w:rsid w:val="006F2F64"/>
    <w:rsid w:val="006F31C7"/>
    <w:rsid w:val="006F4454"/>
    <w:rsid w:val="006F51CD"/>
    <w:rsid w:val="006F6354"/>
    <w:rsid w:val="006F650E"/>
    <w:rsid w:val="006F71F3"/>
    <w:rsid w:val="006F72F3"/>
    <w:rsid w:val="006F7FFA"/>
    <w:rsid w:val="00700626"/>
    <w:rsid w:val="00700CDA"/>
    <w:rsid w:val="00700DFC"/>
    <w:rsid w:val="00700FE6"/>
    <w:rsid w:val="007014C5"/>
    <w:rsid w:val="00701788"/>
    <w:rsid w:val="007023B5"/>
    <w:rsid w:val="007024FB"/>
    <w:rsid w:val="0070264F"/>
    <w:rsid w:val="00702CA0"/>
    <w:rsid w:val="007032EE"/>
    <w:rsid w:val="00703838"/>
    <w:rsid w:val="00703FC6"/>
    <w:rsid w:val="00704054"/>
    <w:rsid w:val="00704B45"/>
    <w:rsid w:val="00704E7B"/>
    <w:rsid w:val="00704F26"/>
    <w:rsid w:val="007051FD"/>
    <w:rsid w:val="007056FD"/>
    <w:rsid w:val="007063B0"/>
    <w:rsid w:val="00706E63"/>
    <w:rsid w:val="00707E8E"/>
    <w:rsid w:val="0071022F"/>
    <w:rsid w:val="00710823"/>
    <w:rsid w:val="0071088A"/>
    <w:rsid w:val="00710DEF"/>
    <w:rsid w:val="00710FD9"/>
    <w:rsid w:val="00711E44"/>
    <w:rsid w:val="007121F2"/>
    <w:rsid w:val="007124AE"/>
    <w:rsid w:val="0071299C"/>
    <w:rsid w:val="00712BF7"/>
    <w:rsid w:val="007131FB"/>
    <w:rsid w:val="0071320A"/>
    <w:rsid w:val="00713557"/>
    <w:rsid w:val="007137C4"/>
    <w:rsid w:val="00713FDE"/>
    <w:rsid w:val="0071497D"/>
    <w:rsid w:val="00714ABD"/>
    <w:rsid w:val="0071507F"/>
    <w:rsid w:val="00715115"/>
    <w:rsid w:val="0071572C"/>
    <w:rsid w:val="0071576F"/>
    <w:rsid w:val="00716AEB"/>
    <w:rsid w:val="0071750F"/>
    <w:rsid w:val="007177D2"/>
    <w:rsid w:val="00717A11"/>
    <w:rsid w:val="00720436"/>
    <w:rsid w:val="00720AEE"/>
    <w:rsid w:val="00721D55"/>
    <w:rsid w:val="00722D09"/>
    <w:rsid w:val="00722D6F"/>
    <w:rsid w:val="00723029"/>
    <w:rsid w:val="0072392D"/>
    <w:rsid w:val="00723E1C"/>
    <w:rsid w:val="0072428D"/>
    <w:rsid w:val="0072436A"/>
    <w:rsid w:val="007244E6"/>
    <w:rsid w:val="00724E6E"/>
    <w:rsid w:val="00725549"/>
    <w:rsid w:val="007258EB"/>
    <w:rsid w:val="007267D9"/>
    <w:rsid w:val="00726A3F"/>
    <w:rsid w:val="00726F1F"/>
    <w:rsid w:val="0072729E"/>
    <w:rsid w:val="00727D7D"/>
    <w:rsid w:val="0073013D"/>
    <w:rsid w:val="0073037D"/>
    <w:rsid w:val="00730D3C"/>
    <w:rsid w:val="00731BC9"/>
    <w:rsid w:val="00732236"/>
    <w:rsid w:val="00733B11"/>
    <w:rsid w:val="007340E9"/>
    <w:rsid w:val="00734BA9"/>
    <w:rsid w:val="007359EE"/>
    <w:rsid w:val="0073637F"/>
    <w:rsid w:val="00736709"/>
    <w:rsid w:val="007375D4"/>
    <w:rsid w:val="0073768F"/>
    <w:rsid w:val="00737B54"/>
    <w:rsid w:val="007405FA"/>
    <w:rsid w:val="00740873"/>
    <w:rsid w:val="00740D4C"/>
    <w:rsid w:val="00740F40"/>
    <w:rsid w:val="00741536"/>
    <w:rsid w:val="00741B0C"/>
    <w:rsid w:val="00741B0E"/>
    <w:rsid w:val="00742FBD"/>
    <w:rsid w:val="00743106"/>
    <w:rsid w:val="00743410"/>
    <w:rsid w:val="00743B3A"/>
    <w:rsid w:val="00743FD3"/>
    <w:rsid w:val="007444AF"/>
    <w:rsid w:val="00744AF3"/>
    <w:rsid w:val="007451CD"/>
    <w:rsid w:val="0074541F"/>
    <w:rsid w:val="0074641D"/>
    <w:rsid w:val="00746D46"/>
    <w:rsid w:val="007476F9"/>
    <w:rsid w:val="00747763"/>
    <w:rsid w:val="00747BF8"/>
    <w:rsid w:val="007505EE"/>
    <w:rsid w:val="0075258C"/>
    <w:rsid w:val="007531B5"/>
    <w:rsid w:val="00753B84"/>
    <w:rsid w:val="00753DC4"/>
    <w:rsid w:val="00753DC9"/>
    <w:rsid w:val="00754FCF"/>
    <w:rsid w:val="00755049"/>
    <w:rsid w:val="007555A8"/>
    <w:rsid w:val="00755649"/>
    <w:rsid w:val="00757034"/>
    <w:rsid w:val="00760662"/>
    <w:rsid w:val="00760D17"/>
    <w:rsid w:val="00760DAB"/>
    <w:rsid w:val="0076113A"/>
    <w:rsid w:val="00761F99"/>
    <w:rsid w:val="00762899"/>
    <w:rsid w:val="007629F6"/>
    <w:rsid w:val="007634D0"/>
    <w:rsid w:val="007635F9"/>
    <w:rsid w:val="0076378E"/>
    <w:rsid w:val="00763813"/>
    <w:rsid w:val="00763FCD"/>
    <w:rsid w:val="00764452"/>
    <w:rsid w:val="00764BE0"/>
    <w:rsid w:val="00764F9E"/>
    <w:rsid w:val="0076594C"/>
    <w:rsid w:val="00766591"/>
    <w:rsid w:val="0076678C"/>
    <w:rsid w:val="00766FD9"/>
    <w:rsid w:val="0076757A"/>
    <w:rsid w:val="0076761B"/>
    <w:rsid w:val="0076776D"/>
    <w:rsid w:val="00767F47"/>
    <w:rsid w:val="00770BDA"/>
    <w:rsid w:val="00771095"/>
    <w:rsid w:val="00771D53"/>
    <w:rsid w:val="007720B1"/>
    <w:rsid w:val="00774011"/>
    <w:rsid w:val="007762DA"/>
    <w:rsid w:val="00776854"/>
    <w:rsid w:val="007768B5"/>
    <w:rsid w:val="00776BD2"/>
    <w:rsid w:val="007773D6"/>
    <w:rsid w:val="00777859"/>
    <w:rsid w:val="00777D6D"/>
    <w:rsid w:val="00780480"/>
    <w:rsid w:val="00781E82"/>
    <w:rsid w:val="007821E8"/>
    <w:rsid w:val="0078287E"/>
    <w:rsid w:val="0078290D"/>
    <w:rsid w:val="00784092"/>
    <w:rsid w:val="00784243"/>
    <w:rsid w:val="00784DF8"/>
    <w:rsid w:val="0078504A"/>
    <w:rsid w:val="007850F1"/>
    <w:rsid w:val="00785341"/>
    <w:rsid w:val="007857D9"/>
    <w:rsid w:val="007858CE"/>
    <w:rsid w:val="00785B18"/>
    <w:rsid w:val="00786208"/>
    <w:rsid w:val="007865EB"/>
    <w:rsid w:val="00787098"/>
    <w:rsid w:val="00787437"/>
    <w:rsid w:val="0078755B"/>
    <w:rsid w:val="00787C0B"/>
    <w:rsid w:val="0079017A"/>
    <w:rsid w:val="0079035B"/>
    <w:rsid w:val="007905B6"/>
    <w:rsid w:val="00790A85"/>
    <w:rsid w:val="00792037"/>
    <w:rsid w:val="0079212F"/>
    <w:rsid w:val="007925DF"/>
    <w:rsid w:val="00793403"/>
    <w:rsid w:val="0079371A"/>
    <w:rsid w:val="00793843"/>
    <w:rsid w:val="00793CCA"/>
    <w:rsid w:val="00793D72"/>
    <w:rsid w:val="00794852"/>
    <w:rsid w:val="00794BF3"/>
    <w:rsid w:val="00795041"/>
    <w:rsid w:val="007952F7"/>
    <w:rsid w:val="00795AC3"/>
    <w:rsid w:val="00795F61"/>
    <w:rsid w:val="007968DB"/>
    <w:rsid w:val="00797908"/>
    <w:rsid w:val="00797A53"/>
    <w:rsid w:val="00797E33"/>
    <w:rsid w:val="007A0082"/>
    <w:rsid w:val="007A023F"/>
    <w:rsid w:val="007A0B4A"/>
    <w:rsid w:val="007A0BE0"/>
    <w:rsid w:val="007A1AD9"/>
    <w:rsid w:val="007A1F46"/>
    <w:rsid w:val="007A220C"/>
    <w:rsid w:val="007A2712"/>
    <w:rsid w:val="007A2D37"/>
    <w:rsid w:val="007A2DCC"/>
    <w:rsid w:val="007A2DD3"/>
    <w:rsid w:val="007A2FC9"/>
    <w:rsid w:val="007A39F9"/>
    <w:rsid w:val="007A4C54"/>
    <w:rsid w:val="007A4D15"/>
    <w:rsid w:val="007A5F5C"/>
    <w:rsid w:val="007A5FA3"/>
    <w:rsid w:val="007A6546"/>
    <w:rsid w:val="007A6ED0"/>
    <w:rsid w:val="007A750D"/>
    <w:rsid w:val="007A7BA9"/>
    <w:rsid w:val="007A7C67"/>
    <w:rsid w:val="007B0A97"/>
    <w:rsid w:val="007B1457"/>
    <w:rsid w:val="007B20C2"/>
    <w:rsid w:val="007B228A"/>
    <w:rsid w:val="007B25F9"/>
    <w:rsid w:val="007B2866"/>
    <w:rsid w:val="007B2C03"/>
    <w:rsid w:val="007B369B"/>
    <w:rsid w:val="007B3868"/>
    <w:rsid w:val="007B430F"/>
    <w:rsid w:val="007B53BB"/>
    <w:rsid w:val="007B59E6"/>
    <w:rsid w:val="007B6788"/>
    <w:rsid w:val="007B69CF"/>
    <w:rsid w:val="007B6F45"/>
    <w:rsid w:val="007C05C7"/>
    <w:rsid w:val="007C0F7E"/>
    <w:rsid w:val="007C109F"/>
    <w:rsid w:val="007C14DC"/>
    <w:rsid w:val="007C15C4"/>
    <w:rsid w:val="007C1B27"/>
    <w:rsid w:val="007C30C6"/>
    <w:rsid w:val="007C33C9"/>
    <w:rsid w:val="007C3EE6"/>
    <w:rsid w:val="007C4260"/>
    <w:rsid w:val="007C42D3"/>
    <w:rsid w:val="007C4364"/>
    <w:rsid w:val="007C4F75"/>
    <w:rsid w:val="007C509E"/>
    <w:rsid w:val="007C5A7A"/>
    <w:rsid w:val="007C5F7B"/>
    <w:rsid w:val="007C5FEE"/>
    <w:rsid w:val="007C6273"/>
    <w:rsid w:val="007C7C3E"/>
    <w:rsid w:val="007D010F"/>
    <w:rsid w:val="007D0704"/>
    <w:rsid w:val="007D07E9"/>
    <w:rsid w:val="007D08D7"/>
    <w:rsid w:val="007D0B18"/>
    <w:rsid w:val="007D12B1"/>
    <w:rsid w:val="007D1573"/>
    <w:rsid w:val="007D16ED"/>
    <w:rsid w:val="007D20D0"/>
    <w:rsid w:val="007D21B3"/>
    <w:rsid w:val="007D21D1"/>
    <w:rsid w:val="007D2883"/>
    <w:rsid w:val="007D2F12"/>
    <w:rsid w:val="007D3010"/>
    <w:rsid w:val="007D38B0"/>
    <w:rsid w:val="007D3F0B"/>
    <w:rsid w:val="007D49B5"/>
    <w:rsid w:val="007D49BA"/>
    <w:rsid w:val="007D4A40"/>
    <w:rsid w:val="007D4C09"/>
    <w:rsid w:val="007D59D8"/>
    <w:rsid w:val="007D5C17"/>
    <w:rsid w:val="007D625E"/>
    <w:rsid w:val="007E07F8"/>
    <w:rsid w:val="007E0AEC"/>
    <w:rsid w:val="007E1C63"/>
    <w:rsid w:val="007E2681"/>
    <w:rsid w:val="007E305E"/>
    <w:rsid w:val="007E3E62"/>
    <w:rsid w:val="007E44D6"/>
    <w:rsid w:val="007E53BF"/>
    <w:rsid w:val="007E63F2"/>
    <w:rsid w:val="007E6ADA"/>
    <w:rsid w:val="007E7235"/>
    <w:rsid w:val="007E7FBE"/>
    <w:rsid w:val="007F02B6"/>
    <w:rsid w:val="007F0436"/>
    <w:rsid w:val="007F0E1D"/>
    <w:rsid w:val="007F0FF5"/>
    <w:rsid w:val="007F10C0"/>
    <w:rsid w:val="007F17C0"/>
    <w:rsid w:val="007F18C0"/>
    <w:rsid w:val="007F1ECE"/>
    <w:rsid w:val="007F2B22"/>
    <w:rsid w:val="007F3D50"/>
    <w:rsid w:val="007F50BB"/>
    <w:rsid w:val="007F5B7E"/>
    <w:rsid w:val="007F5D74"/>
    <w:rsid w:val="007F6CA2"/>
    <w:rsid w:val="007F7169"/>
    <w:rsid w:val="00800D0B"/>
    <w:rsid w:val="00800DF1"/>
    <w:rsid w:val="00801EEE"/>
    <w:rsid w:val="00802F63"/>
    <w:rsid w:val="00803120"/>
    <w:rsid w:val="00803E88"/>
    <w:rsid w:val="00803F0D"/>
    <w:rsid w:val="00803FAA"/>
    <w:rsid w:val="008041DB"/>
    <w:rsid w:val="008041FC"/>
    <w:rsid w:val="00804216"/>
    <w:rsid w:val="0080524A"/>
    <w:rsid w:val="00805A42"/>
    <w:rsid w:val="00806164"/>
    <w:rsid w:val="0080640B"/>
    <w:rsid w:val="00807059"/>
    <w:rsid w:val="00810602"/>
    <w:rsid w:val="00810805"/>
    <w:rsid w:val="008108B4"/>
    <w:rsid w:val="008117EE"/>
    <w:rsid w:val="00812895"/>
    <w:rsid w:val="00814F14"/>
    <w:rsid w:val="00815820"/>
    <w:rsid w:val="0081686F"/>
    <w:rsid w:val="00816E2E"/>
    <w:rsid w:val="00816EF3"/>
    <w:rsid w:val="00817A2F"/>
    <w:rsid w:val="008209BF"/>
    <w:rsid w:val="008213EF"/>
    <w:rsid w:val="008220EC"/>
    <w:rsid w:val="008223C1"/>
    <w:rsid w:val="008223C5"/>
    <w:rsid w:val="00823AE6"/>
    <w:rsid w:val="00823CFE"/>
    <w:rsid w:val="00824527"/>
    <w:rsid w:val="00825519"/>
    <w:rsid w:val="008261EC"/>
    <w:rsid w:val="0082728B"/>
    <w:rsid w:val="008278FC"/>
    <w:rsid w:val="00827E33"/>
    <w:rsid w:val="0083073F"/>
    <w:rsid w:val="00831650"/>
    <w:rsid w:val="00831C4A"/>
    <w:rsid w:val="00831F43"/>
    <w:rsid w:val="008321CC"/>
    <w:rsid w:val="00833D9F"/>
    <w:rsid w:val="00833F1E"/>
    <w:rsid w:val="00834582"/>
    <w:rsid w:val="00835280"/>
    <w:rsid w:val="00835301"/>
    <w:rsid w:val="008358CC"/>
    <w:rsid w:val="00835ADB"/>
    <w:rsid w:val="00835DBE"/>
    <w:rsid w:val="00835F15"/>
    <w:rsid w:val="00836CEB"/>
    <w:rsid w:val="00837F24"/>
    <w:rsid w:val="008411ED"/>
    <w:rsid w:val="00841596"/>
    <w:rsid w:val="00841B2F"/>
    <w:rsid w:val="0084205D"/>
    <w:rsid w:val="008420C1"/>
    <w:rsid w:val="00842E46"/>
    <w:rsid w:val="00843B71"/>
    <w:rsid w:val="00844255"/>
    <w:rsid w:val="008443EF"/>
    <w:rsid w:val="00844701"/>
    <w:rsid w:val="008455CE"/>
    <w:rsid w:val="008457BE"/>
    <w:rsid w:val="0084596D"/>
    <w:rsid w:val="00845C5D"/>
    <w:rsid w:val="0084676E"/>
    <w:rsid w:val="00846E0A"/>
    <w:rsid w:val="00846FCC"/>
    <w:rsid w:val="0084751F"/>
    <w:rsid w:val="008478B3"/>
    <w:rsid w:val="0085127C"/>
    <w:rsid w:val="0085130C"/>
    <w:rsid w:val="00851DDA"/>
    <w:rsid w:val="008528B3"/>
    <w:rsid w:val="00853AF7"/>
    <w:rsid w:val="00853D4E"/>
    <w:rsid w:val="00853E8F"/>
    <w:rsid w:val="00854DD5"/>
    <w:rsid w:val="00856505"/>
    <w:rsid w:val="008575E1"/>
    <w:rsid w:val="008578F3"/>
    <w:rsid w:val="00857E14"/>
    <w:rsid w:val="00857F0A"/>
    <w:rsid w:val="00861A0B"/>
    <w:rsid w:val="00861C45"/>
    <w:rsid w:val="00862281"/>
    <w:rsid w:val="00862A03"/>
    <w:rsid w:val="00863255"/>
    <w:rsid w:val="00863C67"/>
    <w:rsid w:val="0086534C"/>
    <w:rsid w:val="00865D54"/>
    <w:rsid w:val="00866134"/>
    <w:rsid w:val="008676D0"/>
    <w:rsid w:val="008676F3"/>
    <w:rsid w:val="008679D1"/>
    <w:rsid w:val="00867A83"/>
    <w:rsid w:val="00870891"/>
    <w:rsid w:val="0087146E"/>
    <w:rsid w:val="00871E3E"/>
    <w:rsid w:val="008728DB"/>
    <w:rsid w:val="00872B07"/>
    <w:rsid w:val="00872FEB"/>
    <w:rsid w:val="00873083"/>
    <w:rsid w:val="00873922"/>
    <w:rsid w:val="00873EAB"/>
    <w:rsid w:val="00874662"/>
    <w:rsid w:val="00874A35"/>
    <w:rsid w:val="00874E48"/>
    <w:rsid w:val="00875A51"/>
    <w:rsid w:val="00875B04"/>
    <w:rsid w:val="008766BE"/>
    <w:rsid w:val="00876E50"/>
    <w:rsid w:val="00876F2F"/>
    <w:rsid w:val="008778F3"/>
    <w:rsid w:val="00877D1F"/>
    <w:rsid w:val="008806C0"/>
    <w:rsid w:val="008809B6"/>
    <w:rsid w:val="00880E70"/>
    <w:rsid w:val="0088118E"/>
    <w:rsid w:val="00881241"/>
    <w:rsid w:val="0088198D"/>
    <w:rsid w:val="00881FF3"/>
    <w:rsid w:val="0088227C"/>
    <w:rsid w:val="00882430"/>
    <w:rsid w:val="00882445"/>
    <w:rsid w:val="00884673"/>
    <w:rsid w:val="00884C0B"/>
    <w:rsid w:val="00884EDD"/>
    <w:rsid w:val="00884F0E"/>
    <w:rsid w:val="00885A48"/>
    <w:rsid w:val="00886BB8"/>
    <w:rsid w:val="00886BF8"/>
    <w:rsid w:val="008875A1"/>
    <w:rsid w:val="0088793E"/>
    <w:rsid w:val="00887972"/>
    <w:rsid w:val="0089075E"/>
    <w:rsid w:val="00890C82"/>
    <w:rsid w:val="00891E3F"/>
    <w:rsid w:val="00892AAC"/>
    <w:rsid w:val="00892C4C"/>
    <w:rsid w:val="008931FA"/>
    <w:rsid w:val="00893587"/>
    <w:rsid w:val="008937EB"/>
    <w:rsid w:val="00894063"/>
    <w:rsid w:val="008948F8"/>
    <w:rsid w:val="00895294"/>
    <w:rsid w:val="008953EB"/>
    <w:rsid w:val="0089665B"/>
    <w:rsid w:val="0089776C"/>
    <w:rsid w:val="00897C53"/>
    <w:rsid w:val="008A005F"/>
    <w:rsid w:val="008A0708"/>
    <w:rsid w:val="008A07F0"/>
    <w:rsid w:val="008A09F9"/>
    <w:rsid w:val="008A0A80"/>
    <w:rsid w:val="008A1038"/>
    <w:rsid w:val="008A1B03"/>
    <w:rsid w:val="008A1C62"/>
    <w:rsid w:val="008A237F"/>
    <w:rsid w:val="008A2784"/>
    <w:rsid w:val="008A28AC"/>
    <w:rsid w:val="008A294D"/>
    <w:rsid w:val="008A3024"/>
    <w:rsid w:val="008A309E"/>
    <w:rsid w:val="008A31DC"/>
    <w:rsid w:val="008A3E24"/>
    <w:rsid w:val="008A3EC3"/>
    <w:rsid w:val="008A46D7"/>
    <w:rsid w:val="008A47D2"/>
    <w:rsid w:val="008A4903"/>
    <w:rsid w:val="008A5384"/>
    <w:rsid w:val="008A560C"/>
    <w:rsid w:val="008A5A48"/>
    <w:rsid w:val="008A65FA"/>
    <w:rsid w:val="008A7937"/>
    <w:rsid w:val="008A79C7"/>
    <w:rsid w:val="008B0209"/>
    <w:rsid w:val="008B084B"/>
    <w:rsid w:val="008B0899"/>
    <w:rsid w:val="008B15A8"/>
    <w:rsid w:val="008B19B1"/>
    <w:rsid w:val="008B1B62"/>
    <w:rsid w:val="008B1E06"/>
    <w:rsid w:val="008B26F4"/>
    <w:rsid w:val="008B3F99"/>
    <w:rsid w:val="008B41E8"/>
    <w:rsid w:val="008B4786"/>
    <w:rsid w:val="008B5C98"/>
    <w:rsid w:val="008B5FEE"/>
    <w:rsid w:val="008B6053"/>
    <w:rsid w:val="008B70D9"/>
    <w:rsid w:val="008B77DB"/>
    <w:rsid w:val="008C015E"/>
    <w:rsid w:val="008C037D"/>
    <w:rsid w:val="008C0400"/>
    <w:rsid w:val="008C086C"/>
    <w:rsid w:val="008C0FEA"/>
    <w:rsid w:val="008C105D"/>
    <w:rsid w:val="008C1E80"/>
    <w:rsid w:val="008C1FBF"/>
    <w:rsid w:val="008C20F5"/>
    <w:rsid w:val="008C335D"/>
    <w:rsid w:val="008C476A"/>
    <w:rsid w:val="008C4B4C"/>
    <w:rsid w:val="008C5A22"/>
    <w:rsid w:val="008C5ABC"/>
    <w:rsid w:val="008C6551"/>
    <w:rsid w:val="008C680F"/>
    <w:rsid w:val="008C68A0"/>
    <w:rsid w:val="008C68FA"/>
    <w:rsid w:val="008C6B62"/>
    <w:rsid w:val="008C6CB6"/>
    <w:rsid w:val="008C6E88"/>
    <w:rsid w:val="008C7E9F"/>
    <w:rsid w:val="008C7F15"/>
    <w:rsid w:val="008D0C15"/>
    <w:rsid w:val="008D1177"/>
    <w:rsid w:val="008D1230"/>
    <w:rsid w:val="008D1DD8"/>
    <w:rsid w:val="008D1F88"/>
    <w:rsid w:val="008D3185"/>
    <w:rsid w:val="008D31C8"/>
    <w:rsid w:val="008D37DD"/>
    <w:rsid w:val="008D3980"/>
    <w:rsid w:val="008D39B2"/>
    <w:rsid w:val="008D408F"/>
    <w:rsid w:val="008D4271"/>
    <w:rsid w:val="008D46C1"/>
    <w:rsid w:val="008D4FA6"/>
    <w:rsid w:val="008D6FF1"/>
    <w:rsid w:val="008D7E21"/>
    <w:rsid w:val="008E06B5"/>
    <w:rsid w:val="008E06F2"/>
    <w:rsid w:val="008E0A02"/>
    <w:rsid w:val="008E0A59"/>
    <w:rsid w:val="008E0B14"/>
    <w:rsid w:val="008E0C89"/>
    <w:rsid w:val="008E22C8"/>
    <w:rsid w:val="008E28AD"/>
    <w:rsid w:val="008E2A1B"/>
    <w:rsid w:val="008E3B73"/>
    <w:rsid w:val="008E3C30"/>
    <w:rsid w:val="008E3CD0"/>
    <w:rsid w:val="008E41EC"/>
    <w:rsid w:val="008E59B8"/>
    <w:rsid w:val="008E6569"/>
    <w:rsid w:val="008E767B"/>
    <w:rsid w:val="008E7AF7"/>
    <w:rsid w:val="008F01CE"/>
    <w:rsid w:val="008F03DE"/>
    <w:rsid w:val="008F10A9"/>
    <w:rsid w:val="008F112C"/>
    <w:rsid w:val="008F2228"/>
    <w:rsid w:val="008F22EE"/>
    <w:rsid w:val="008F29B5"/>
    <w:rsid w:val="008F2FFC"/>
    <w:rsid w:val="008F335C"/>
    <w:rsid w:val="008F3495"/>
    <w:rsid w:val="008F3B85"/>
    <w:rsid w:val="008F3E90"/>
    <w:rsid w:val="008F4309"/>
    <w:rsid w:val="008F4AE1"/>
    <w:rsid w:val="008F6517"/>
    <w:rsid w:val="008F67FC"/>
    <w:rsid w:val="008F7205"/>
    <w:rsid w:val="008F747B"/>
    <w:rsid w:val="008F7C4D"/>
    <w:rsid w:val="009001D6"/>
    <w:rsid w:val="00900F1C"/>
    <w:rsid w:val="00901446"/>
    <w:rsid w:val="00902178"/>
    <w:rsid w:val="00902932"/>
    <w:rsid w:val="00902FA6"/>
    <w:rsid w:val="00902FAB"/>
    <w:rsid w:val="0090309E"/>
    <w:rsid w:val="00903962"/>
    <w:rsid w:val="009039F6"/>
    <w:rsid w:val="00903B5D"/>
    <w:rsid w:val="00904773"/>
    <w:rsid w:val="00904CF1"/>
    <w:rsid w:val="00905185"/>
    <w:rsid w:val="009058BB"/>
    <w:rsid w:val="00906E6E"/>
    <w:rsid w:val="00907DC1"/>
    <w:rsid w:val="00910C11"/>
    <w:rsid w:val="0091133E"/>
    <w:rsid w:val="00911A79"/>
    <w:rsid w:val="00912E56"/>
    <w:rsid w:val="00913B69"/>
    <w:rsid w:val="0091534D"/>
    <w:rsid w:val="00915DA4"/>
    <w:rsid w:val="00915E09"/>
    <w:rsid w:val="00915E74"/>
    <w:rsid w:val="00915ED9"/>
    <w:rsid w:val="00915F29"/>
    <w:rsid w:val="009166EF"/>
    <w:rsid w:val="00916BE5"/>
    <w:rsid w:val="0091772D"/>
    <w:rsid w:val="00917EAA"/>
    <w:rsid w:val="0092010D"/>
    <w:rsid w:val="009201FB"/>
    <w:rsid w:val="00920AE5"/>
    <w:rsid w:val="0092167B"/>
    <w:rsid w:val="00921B37"/>
    <w:rsid w:val="00921DD3"/>
    <w:rsid w:val="00923F2A"/>
    <w:rsid w:val="00923F83"/>
    <w:rsid w:val="00924313"/>
    <w:rsid w:val="00924839"/>
    <w:rsid w:val="00924C31"/>
    <w:rsid w:val="00924C5F"/>
    <w:rsid w:val="00926183"/>
    <w:rsid w:val="0092741C"/>
    <w:rsid w:val="00927567"/>
    <w:rsid w:val="00927C5A"/>
    <w:rsid w:val="009302C7"/>
    <w:rsid w:val="009306A8"/>
    <w:rsid w:val="0093080E"/>
    <w:rsid w:val="00930B43"/>
    <w:rsid w:val="00930BF3"/>
    <w:rsid w:val="0093195C"/>
    <w:rsid w:val="00932726"/>
    <w:rsid w:val="00933D2A"/>
    <w:rsid w:val="00933DE6"/>
    <w:rsid w:val="00933EA3"/>
    <w:rsid w:val="0093486A"/>
    <w:rsid w:val="009348B9"/>
    <w:rsid w:val="0093492B"/>
    <w:rsid w:val="00934B53"/>
    <w:rsid w:val="00935F00"/>
    <w:rsid w:val="00936549"/>
    <w:rsid w:val="0093760E"/>
    <w:rsid w:val="00937E32"/>
    <w:rsid w:val="00940493"/>
    <w:rsid w:val="0094236C"/>
    <w:rsid w:val="00942443"/>
    <w:rsid w:val="009425A4"/>
    <w:rsid w:val="00942925"/>
    <w:rsid w:val="00943B39"/>
    <w:rsid w:val="00944134"/>
    <w:rsid w:val="00944185"/>
    <w:rsid w:val="00944431"/>
    <w:rsid w:val="009445C8"/>
    <w:rsid w:val="009448B3"/>
    <w:rsid w:val="00945089"/>
    <w:rsid w:val="00946193"/>
    <w:rsid w:val="00946197"/>
    <w:rsid w:val="00946513"/>
    <w:rsid w:val="009468AA"/>
    <w:rsid w:val="009470B0"/>
    <w:rsid w:val="009478F3"/>
    <w:rsid w:val="0094794F"/>
    <w:rsid w:val="00947958"/>
    <w:rsid w:val="00947F5B"/>
    <w:rsid w:val="00951699"/>
    <w:rsid w:val="0095192D"/>
    <w:rsid w:val="0095212E"/>
    <w:rsid w:val="00952D5B"/>
    <w:rsid w:val="00952E5B"/>
    <w:rsid w:val="00953982"/>
    <w:rsid w:val="00953B78"/>
    <w:rsid w:val="00953CC7"/>
    <w:rsid w:val="0095508A"/>
    <w:rsid w:val="00955221"/>
    <w:rsid w:val="009553B6"/>
    <w:rsid w:val="0095548C"/>
    <w:rsid w:val="00955CC4"/>
    <w:rsid w:val="00955E6A"/>
    <w:rsid w:val="00957947"/>
    <w:rsid w:val="009601A2"/>
    <w:rsid w:val="00960B0C"/>
    <w:rsid w:val="00960D5E"/>
    <w:rsid w:val="00961079"/>
    <w:rsid w:val="009618C9"/>
    <w:rsid w:val="009622B1"/>
    <w:rsid w:val="00962782"/>
    <w:rsid w:val="00963148"/>
    <w:rsid w:val="009644CF"/>
    <w:rsid w:val="009646F0"/>
    <w:rsid w:val="00964E9D"/>
    <w:rsid w:val="0096526E"/>
    <w:rsid w:val="0096543C"/>
    <w:rsid w:val="00965966"/>
    <w:rsid w:val="0096607A"/>
    <w:rsid w:val="00966A5A"/>
    <w:rsid w:val="00966C3B"/>
    <w:rsid w:val="00966DD0"/>
    <w:rsid w:val="00967054"/>
    <w:rsid w:val="009678A0"/>
    <w:rsid w:val="00967B38"/>
    <w:rsid w:val="00970160"/>
    <w:rsid w:val="0097131B"/>
    <w:rsid w:val="00971EE0"/>
    <w:rsid w:val="0097200C"/>
    <w:rsid w:val="0097235F"/>
    <w:rsid w:val="00972BFF"/>
    <w:rsid w:val="00972E25"/>
    <w:rsid w:val="0097397E"/>
    <w:rsid w:val="00975601"/>
    <w:rsid w:val="009757F2"/>
    <w:rsid w:val="00976369"/>
    <w:rsid w:val="00976CF1"/>
    <w:rsid w:val="00977854"/>
    <w:rsid w:val="00980EAD"/>
    <w:rsid w:val="0098188F"/>
    <w:rsid w:val="009818C7"/>
    <w:rsid w:val="00981B3C"/>
    <w:rsid w:val="00981CBC"/>
    <w:rsid w:val="009828CF"/>
    <w:rsid w:val="00983607"/>
    <w:rsid w:val="0098397F"/>
    <w:rsid w:val="00983AA7"/>
    <w:rsid w:val="00983C25"/>
    <w:rsid w:val="00983EB6"/>
    <w:rsid w:val="00984155"/>
    <w:rsid w:val="009841DA"/>
    <w:rsid w:val="009843C5"/>
    <w:rsid w:val="009848DE"/>
    <w:rsid w:val="00984D7D"/>
    <w:rsid w:val="009850AD"/>
    <w:rsid w:val="00986641"/>
    <w:rsid w:val="0098699C"/>
    <w:rsid w:val="0098730F"/>
    <w:rsid w:val="00990048"/>
    <w:rsid w:val="00990834"/>
    <w:rsid w:val="0099095A"/>
    <w:rsid w:val="00990A9E"/>
    <w:rsid w:val="00990E2F"/>
    <w:rsid w:val="009912F6"/>
    <w:rsid w:val="00991640"/>
    <w:rsid w:val="00991ABE"/>
    <w:rsid w:val="009928BF"/>
    <w:rsid w:val="00993291"/>
    <w:rsid w:val="009933B8"/>
    <w:rsid w:val="00993430"/>
    <w:rsid w:val="0099554A"/>
    <w:rsid w:val="00995DD1"/>
    <w:rsid w:val="009968F8"/>
    <w:rsid w:val="00997802"/>
    <w:rsid w:val="009A04FB"/>
    <w:rsid w:val="009A0636"/>
    <w:rsid w:val="009A0A93"/>
    <w:rsid w:val="009A0CD6"/>
    <w:rsid w:val="009A1773"/>
    <w:rsid w:val="009A1862"/>
    <w:rsid w:val="009A1E93"/>
    <w:rsid w:val="009A1EF2"/>
    <w:rsid w:val="009A209B"/>
    <w:rsid w:val="009A2174"/>
    <w:rsid w:val="009A21AD"/>
    <w:rsid w:val="009A30FD"/>
    <w:rsid w:val="009A3240"/>
    <w:rsid w:val="009A32E1"/>
    <w:rsid w:val="009A4AA5"/>
    <w:rsid w:val="009A4D1C"/>
    <w:rsid w:val="009A5B8B"/>
    <w:rsid w:val="009A5CEC"/>
    <w:rsid w:val="009A68B1"/>
    <w:rsid w:val="009A6C40"/>
    <w:rsid w:val="009A6CE3"/>
    <w:rsid w:val="009A6D56"/>
    <w:rsid w:val="009A72AD"/>
    <w:rsid w:val="009A7BCA"/>
    <w:rsid w:val="009B010F"/>
    <w:rsid w:val="009B0254"/>
    <w:rsid w:val="009B07EE"/>
    <w:rsid w:val="009B2203"/>
    <w:rsid w:val="009B33D2"/>
    <w:rsid w:val="009B376A"/>
    <w:rsid w:val="009B3995"/>
    <w:rsid w:val="009B433A"/>
    <w:rsid w:val="009B4504"/>
    <w:rsid w:val="009B5375"/>
    <w:rsid w:val="009B57FF"/>
    <w:rsid w:val="009B59DE"/>
    <w:rsid w:val="009B71E8"/>
    <w:rsid w:val="009B779B"/>
    <w:rsid w:val="009B7803"/>
    <w:rsid w:val="009C020A"/>
    <w:rsid w:val="009C0596"/>
    <w:rsid w:val="009C136B"/>
    <w:rsid w:val="009C1A75"/>
    <w:rsid w:val="009C1B36"/>
    <w:rsid w:val="009C1F37"/>
    <w:rsid w:val="009C1FF9"/>
    <w:rsid w:val="009C22C0"/>
    <w:rsid w:val="009C2973"/>
    <w:rsid w:val="009C36B8"/>
    <w:rsid w:val="009C3769"/>
    <w:rsid w:val="009C3F2B"/>
    <w:rsid w:val="009C40C9"/>
    <w:rsid w:val="009C4489"/>
    <w:rsid w:val="009C4A35"/>
    <w:rsid w:val="009C54F8"/>
    <w:rsid w:val="009C567C"/>
    <w:rsid w:val="009C5CBA"/>
    <w:rsid w:val="009C6256"/>
    <w:rsid w:val="009C633B"/>
    <w:rsid w:val="009C6967"/>
    <w:rsid w:val="009C6B2C"/>
    <w:rsid w:val="009C7237"/>
    <w:rsid w:val="009C72DB"/>
    <w:rsid w:val="009C7739"/>
    <w:rsid w:val="009C7941"/>
    <w:rsid w:val="009C7BAD"/>
    <w:rsid w:val="009C7E96"/>
    <w:rsid w:val="009D0339"/>
    <w:rsid w:val="009D0906"/>
    <w:rsid w:val="009D1755"/>
    <w:rsid w:val="009D21C3"/>
    <w:rsid w:val="009D2379"/>
    <w:rsid w:val="009D28BE"/>
    <w:rsid w:val="009D3876"/>
    <w:rsid w:val="009D4B17"/>
    <w:rsid w:val="009D4C1F"/>
    <w:rsid w:val="009D51F7"/>
    <w:rsid w:val="009D52C6"/>
    <w:rsid w:val="009D5553"/>
    <w:rsid w:val="009D580F"/>
    <w:rsid w:val="009D5875"/>
    <w:rsid w:val="009D6890"/>
    <w:rsid w:val="009D6B5C"/>
    <w:rsid w:val="009E08D9"/>
    <w:rsid w:val="009E08F5"/>
    <w:rsid w:val="009E0A11"/>
    <w:rsid w:val="009E1130"/>
    <w:rsid w:val="009E1136"/>
    <w:rsid w:val="009E19E7"/>
    <w:rsid w:val="009E1B3F"/>
    <w:rsid w:val="009E1C74"/>
    <w:rsid w:val="009E2244"/>
    <w:rsid w:val="009E2B71"/>
    <w:rsid w:val="009E366C"/>
    <w:rsid w:val="009E36C9"/>
    <w:rsid w:val="009E36CE"/>
    <w:rsid w:val="009E3BBC"/>
    <w:rsid w:val="009E3FA6"/>
    <w:rsid w:val="009E4147"/>
    <w:rsid w:val="009E4812"/>
    <w:rsid w:val="009E5061"/>
    <w:rsid w:val="009E52EE"/>
    <w:rsid w:val="009E54CA"/>
    <w:rsid w:val="009E5E45"/>
    <w:rsid w:val="009E5F9B"/>
    <w:rsid w:val="009E6C72"/>
    <w:rsid w:val="009E7684"/>
    <w:rsid w:val="009E789F"/>
    <w:rsid w:val="009E794F"/>
    <w:rsid w:val="009E7DE6"/>
    <w:rsid w:val="009E7E68"/>
    <w:rsid w:val="009F06DA"/>
    <w:rsid w:val="009F1214"/>
    <w:rsid w:val="009F2A02"/>
    <w:rsid w:val="009F35E8"/>
    <w:rsid w:val="009F398C"/>
    <w:rsid w:val="009F3F13"/>
    <w:rsid w:val="009F40D1"/>
    <w:rsid w:val="009F4194"/>
    <w:rsid w:val="009F4480"/>
    <w:rsid w:val="009F46AB"/>
    <w:rsid w:val="009F478B"/>
    <w:rsid w:val="009F4A35"/>
    <w:rsid w:val="009F578F"/>
    <w:rsid w:val="009F5B28"/>
    <w:rsid w:val="009F6023"/>
    <w:rsid w:val="009F6896"/>
    <w:rsid w:val="009F6D6D"/>
    <w:rsid w:val="009F6FC9"/>
    <w:rsid w:val="009F7778"/>
    <w:rsid w:val="009F7C96"/>
    <w:rsid w:val="00A002F5"/>
    <w:rsid w:val="00A00737"/>
    <w:rsid w:val="00A0093E"/>
    <w:rsid w:val="00A0186E"/>
    <w:rsid w:val="00A01981"/>
    <w:rsid w:val="00A02ED2"/>
    <w:rsid w:val="00A03055"/>
    <w:rsid w:val="00A03276"/>
    <w:rsid w:val="00A0348C"/>
    <w:rsid w:val="00A0353D"/>
    <w:rsid w:val="00A03612"/>
    <w:rsid w:val="00A05395"/>
    <w:rsid w:val="00A054CE"/>
    <w:rsid w:val="00A055D3"/>
    <w:rsid w:val="00A06901"/>
    <w:rsid w:val="00A06D15"/>
    <w:rsid w:val="00A06E00"/>
    <w:rsid w:val="00A06E4C"/>
    <w:rsid w:val="00A07266"/>
    <w:rsid w:val="00A102BD"/>
    <w:rsid w:val="00A10357"/>
    <w:rsid w:val="00A10504"/>
    <w:rsid w:val="00A10B19"/>
    <w:rsid w:val="00A10E23"/>
    <w:rsid w:val="00A115FF"/>
    <w:rsid w:val="00A118BB"/>
    <w:rsid w:val="00A119C5"/>
    <w:rsid w:val="00A11C0E"/>
    <w:rsid w:val="00A12BBF"/>
    <w:rsid w:val="00A12C2E"/>
    <w:rsid w:val="00A12E6E"/>
    <w:rsid w:val="00A14319"/>
    <w:rsid w:val="00A14550"/>
    <w:rsid w:val="00A16D0A"/>
    <w:rsid w:val="00A16F0A"/>
    <w:rsid w:val="00A171C1"/>
    <w:rsid w:val="00A20BB6"/>
    <w:rsid w:val="00A20BD5"/>
    <w:rsid w:val="00A20BEA"/>
    <w:rsid w:val="00A20F2D"/>
    <w:rsid w:val="00A2101D"/>
    <w:rsid w:val="00A210B8"/>
    <w:rsid w:val="00A21624"/>
    <w:rsid w:val="00A23A79"/>
    <w:rsid w:val="00A25614"/>
    <w:rsid w:val="00A2575A"/>
    <w:rsid w:val="00A258FB"/>
    <w:rsid w:val="00A26530"/>
    <w:rsid w:val="00A27244"/>
    <w:rsid w:val="00A27896"/>
    <w:rsid w:val="00A27910"/>
    <w:rsid w:val="00A303C5"/>
    <w:rsid w:val="00A30836"/>
    <w:rsid w:val="00A30ABE"/>
    <w:rsid w:val="00A31BFA"/>
    <w:rsid w:val="00A329EA"/>
    <w:rsid w:val="00A338A5"/>
    <w:rsid w:val="00A3478B"/>
    <w:rsid w:val="00A34A28"/>
    <w:rsid w:val="00A3529A"/>
    <w:rsid w:val="00A353D5"/>
    <w:rsid w:val="00A35A90"/>
    <w:rsid w:val="00A35B7A"/>
    <w:rsid w:val="00A3617D"/>
    <w:rsid w:val="00A362F5"/>
    <w:rsid w:val="00A36D0E"/>
    <w:rsid w:val="00A3746D"/>
    <w:rsid w:val="00A37AF7"/>
    <w:rsid w:val="00A37F2B"/>
    <w:rsid w:val="00A402AB"/>
    <w:rsid w:val="00A404C2"/>
    <w:rsid w:val="00A413FF"/>
    <w:rsid w:val="00A424E4"/>
    <w:rsid w:val="00A427E8"/>
    <w:rsid w:val="00A43417"/>
    <w:rsid w:val="00A43624"/>
    <w:rsid w:val="00A43748"/>
    <w:rsid w:val="00A44008"/>
    <w:rsid w:val="00A44ECA"/>
    <w:rsid w:val="00A45461"/>
    <w:rsid w:val="00A458F5"/>
    <w:rsid w:val="00A46121"/>
    <w:rsid w:val="00A46C23"/>
    <w:rsid w:val="00A50B5E"/>
    <w:rsid w:val="00A51094"/>
    <w:rsid w:val="00A51BAA"/>
    <w:rsid w:val="00A51C5B"/>
    <w:rsid w:val="00A51F1D"/>
    <w:rsid w:val="00A524EC"/>
    <w:rsid w:val="00A52AAA"/>
    <w:rsid w:val="00A53293"/>
    <w:rsid w:val="00A534D5"/>
    <w:rsid w:val="00A5366C"/>
    <w:rsid w:val="00A53E66"/>
    <w:rsid w:val="00A546CD"/>
    <w:rsid w:val="00A549F5"/>
    <w:rsid w:val="00A54A16"/>
    <w:rsid w:val="00A555EC"/>
    <w:rsid w:val="00A557C3"/>
    <w:rsid w:val="00A55C75"/>
    <w:rsid w:val="00A56251"/>
    <w:rsid w:val="00A565D8"/>
    <w:rsid w:val="00A56CEA"/>
    <w:rsid w:val="00A57662"/>
    <w:rsid w:val="00A57CEC"/>
    <w:rsid w:val="00A57EBA"/>
    <w:rsid w:val="00A61752"/>
    <w:rsid w:val="00A622EF"/>
    <w:rsid w:val="00A6274C"/>
    <w:rsid w:val="00A62E49"/>
    <w:rsid w:val="00A632C5"/>
    <w:rsid w:val="00A63813"/>
    <w:rsid w:val="00A648EC"/>
    <w:rsid w:val="00A64EA3"/>
    <w:rsid w:val="00A65275"/>
    <w:rsid w:val="00A65421"/>
    <w:rsid w:val="00A6607B"/>
    <w:rsid w:val="00A66D3C"/>
    <w:rsid w:val="00A70364"/>
    <w:rsid w:val="00A70C19"/>
    <w:rsid w:val="00A70F95"/>
    <w:rsid w:val="00A714D7"/>
    <w:rsid w:val="00A71558"/>
    <w:rsid w:val="00A71850"/>
    <w:rsid w:val="00A723F1"/>
    <w:rsid w:val="00A72B09"/>
    <w:rsid w:val="00A73C3F"/>
    <w:rsid w:val="00A7461C"/>
    <w:rsid w:val="00A7502F"/>
    <w:rsid w:val="00A800BE"/>
    <w:rsid w:val="00A8016F"/>
    <w:rsid w:val="00A810DB"/>
    <w:rsid w:val="00A810EE"/>
    <w:rsid w:val="00A813FF"/>
    <w:rsid w:val="00A81690"/>
    <w:rsid w:val="00A82916"/>
    <w:rsid w:val="00A831E2"/>
    <w:rsid w:val="00A83B50"/>
    <w:rsid w:val="00A84DBD"/>
    <w:rsid w:val="00A84EAA"/>
    <w:rsid w:val="00A852EF"/>
    <w:rsid w:val="00A8635F"/>
    <w:rsid w:val="00A863D7"/>
    <w:rsid w:val="00A8697F"/>
    <w:rsid w:val="00A86C17"/>
    <w:rsid w:val="00A86C54"/>
    <w:rsid w:val="00A875CF"/>
    <w:rsid w:val="00A876D6"/>
    <w:rsid w:val="00A87959"/>
    <w:rsid w:val="00A87C0C"/>
    <w:rsid w:val="00A87D6F"/>
    <w:rsid w:val="00A910AD"/>
    <w:rsid w:val="00A91A4B"/>
    <w:rsid w:val="00A91DBD"/>
    <w:rsid w:val="00A92515"/>
    <w:rsid w:val="00A92638"/>
    <w:rsid w:val="00A9294D"/>
    <w:rsid w:val="00A93C30"/>
    <w:rsid w:val="00A94465"/>
    <w:rsid w:val="00A94D41"/>
    <w:rsid w:val="00A95139"/>
    <w:rsid w:val="00A9577A"/>
    <w:rsid w:val="00A96033"/>
    <w:rsid w:val="00A96190"/>
    <w:rsid w:val="00A96A00"/>
    <w:rsid w:val="00A96B86"/>
    <w:rsid w:val="00A974BD"/>
    <w:rsid w:val="00A97895"/>
    <w:rsid w:val="00AA0B73"/>
    <w:rsid w:val="00AA0FCC"/>
    <w:rsid w:val="00AA10A8"/>
    <w:rsid w:val="00AA1AA3"/>
    <w:rsid w:val="00AA1B39"/>
    <w:rsid w:val="00AA1F5D"/>
    <w:rsid w:val="00AA1F8F"/>
    <w:rsid w:val="00AA254A"/>
    <w:rsid w:val="00AA2584"/>
    <w:rsid w:val="00AA2CA5"/>
    <w:rsid w:val="00AA2DA6"/>
    <w:rsid w:val="00AA2EBF"/>
    <w:rsid w:val="00AA49E6"/>
    <w:rsid w:val="00AA4D5E"/>
    <w:rsid w:val="00AA511F"/>
    <w:rsid w:val="00AA526E"/>
    <w:rsid w:val="00AA5DA9"/>
    <w:rsid w:val="00AA6037"/>
    <w:rsid w:val="00AA6C48"/>
    <w:rsid w:val="00AA7A25"/>
    <w:rsid w:val="00AB06A1"/>
    <w:rsid w:val="00AB3151"/>
    <w:rsid w:val="00AB401E"/>
    <w:rsid w:val="00AB4DE7"/>
    <w:rsid w:val="00AB4FB2"/>
    <w:rsid w:val="00AC051D"/>
    <w:rsid w:val="00AC0AE8"/>
    <w:rsid w:val="00AC1CC8"/>
    <w:rsid w:val="00AC1F27"/>
    <w:rsid w:val="00AC2D2B"/>
    <w:rsid w:val="00AC3455"/>
    <w:rsid w:val="00AC3C06"/>
    <w:rsid w:val="00AC3EB4"/>
    <w:rsid w:val="00AC444C"/>
    <w:rsid w:val="00AC5642"/>
    <w:rsid w:val="00AC56DD"/>
    <w:rsid w:val="00AC5C40"/>
    <w:rsid w:val="00AC61C9"/>
    <w:rsid w:val="00AC6A46"/>
    <w:rsid w:val="00AC6E65"/>
    <w:rsid w:val="00AC71B2"/>
    <w:rsid w:val="00AC72B2"/>
    <w:rsid w:val="00AC75A3"/>
    <w:rsid w:val="00AC7A9C"/>
    <w:rsid w:val="00AC7D20"/>
    <w:rsid w:val="00AC7D30"/>
    <w:rsid w:val="00AD0025"/>
    <w:rsid w:val="00AD03CD"/>
    <w:rsid w:val="00AD0470"/>
    <w:rsid w:val="00AD0A9D"/>
    <w:rsid w:val="00AD0B02"/>
    <w:rsid w:val="00AD0F2D"/>
    <w:rsid w:val="00AD113B"/>
    <w:rsid w:val="00AD1502"/>
    <w:rsid w:val="00AD173B"/>
    <w:rsid w:val="00AD2247"/>
    <w:rsid w:val="00AD2EAB"/>
    <w:rsid w:val="00AD36C1"/>
    <w:rsid w:val="00AD38A4"/>
    <w:rsid w:val="00AD3D71"/>
    <w:rsid w:val="00AD45B1"/>
    <w:rsid w:val="00AD5482"/>
    <w:rsid w:val="00AD5E22"/>
    <w:rsid w:val="00AD66F6"/>
    <w:rsid w:val="00AD74EC"/>
    <w:rsid w:val="00AD7921"/>
    <w:rsid w:val="00AE22E4"/>
    <w:rsid w:val="00AE268E"/>
    <w:rsid w:val="00AE2E53"/>
    <w:rsid w:val="00AE36A3"/>
    <w:rsid w:val="00AE39E3"/>
    <w:rsid w:val="00AE3B25"/>
    <w:rsid w:val="00AE4079"/>
    <w:rsid w:val="00AE6453"/>
    <w:rsid w:val="00AE65C2"/>
    <w:rsid w:val="00AE6749"/>
    <w:rsid w:val="00AE6D71"/>
    <w:rsid w:val="00AE6DC0"/>
    <w:rsid w:val="00AE7144"/>
    <w:rsid w:val="00AE76DF"/>
    <w:rsid w:val="00AF023E"/>
    <w:rsid w:val="00AF08DA"/>
    <w:rsid w:val="00AF0AD9"/>
    <w:rsid w:val="00AF13DF"/>
    <w:rsid w:val="00AF148E"/>
    <w:rsid w:val="00AF1848"/>
    <w:rsid w:val="00AF25DD"/>
    <w:rsid w:val="00AF29A0"/>
    <w:rsid w:val="00AF42F6"/>
    <w:rsid w:val="00AF466A"/>
    <w:rsid w:val="00AF53B7"/>
    <w:rsid w:val="00AF6A51"/>
    <w:rsid w:val="00AF6B48"/>
    <w:rsid w:val="00AF6E38"/>
    <w:rsid w:val="00AF7313"/>
    <w:rsid w:val="00AF7A9C"/>
    <w:rsid w:val="00AF7AEE"/>
    <w:rsid w:val="00AF7B7A"/>
    <w:rsid w:val="00B006FE"/>
    <w:rsid w:val="00B01DC3"/>
    <w:rsid w:val="00B026F3"/>
    <w:rsid w:val="00B03371"/>
    <w:rsid w:val="00B03898"/>
    <w:rsid w:val="00B04BFC"/>
    <w:rsid w:val="00B052C0"/>
    <w:rsid w:val="00B059E6"/>
    <w:rsid w:val="00B05B18"/>
    <w:rsid w:val="00B065DC"/>
    <w:rsid w:val="00B06E8D"/>
    <w:rsid w:val="00B07C23"/>
    <w:rsid w:val="00B07E81"/>
    <w:rsid w:val="00B07EA0"/>
    <w:rsid w:val="00B100A7"/>
    <w:rsid w:val="00B102AA"/>
    <w:rsid w:val="00B10382"/>
    <w:rsid w:val="00B10F1D"/>
    <w:rsid w:val="00B114A7"/>
    <w:rsid w:val="00B1176C"/>
    <w:rsid w:val="00B1264D"/>
    <w:rsid w:val="00B127D1"/>
    <w:rsid w:val="00B139D3"/>
    <w:rsid w:val="00B140D7"/>
    <w:rsid w:val="00B14DEE"/>
    <w:rsid w:val="00B15164"/>
    <w:rsid w:val="00B157FB"/>
    <w:rsid w:val="00B16433"/>
    <w:rsid w:val="00B1645E"/>
    <w:rsid w:val="00B16A8C"/>
    <w:rsid w:val="00B1766D"/>
    <w:rsid w:val="00B20630"/>
    <w:rsid w:val="00B20A33"/>
    <w:rsid w:val="00B210ED"/>
    <w:rsid w:val="00B211A8"/>
    <w:rsid w:val="00B21389"/>
    <w:rsid w:val="00B215A8"/>
    <w:rsid w:val="00B21B62"/>
    <w:rsid w:val="00B21F5D"/>
    <w:rsid w:val="00B22B23"/>
    <w:rsid w:val="00B23094"/>
    <w:rsid w:val="00B2331C"/>
    <w:rsid w:val="00B23574"/>
    <w:rsid w:val="00B24C20"/>
    <w:rsid w:val="00B24DBE"/>
    <w:rsid w:val="00B2500A"/>
    <w:rsid w:val="00B25152"/>
    <w:rsid w:val="00B251D1"/>
    <w:rsid w:val="00B253F6"/>
    <w:rsid w:val="00B2581D"/>
    <w:rsid w:val="00B258D5"/>
    <w:rsid w:val="00B26029"/>
    <w:rsid w:val="00B263A4"/>
    <w:rsid w:val="00B2642E"/>
    <w:rsid w:val="00B26655"/>
    <w:rsid w:val="00B26F95"/>
    <w:rsid w:val="00B270B1"/>
    <w:rsid w:val="00B2765A"/>
    <w:rsid w:val="00B27B8A"/>
    <w:rsid w:val="00B30624"/>
    <w:rsid w:val="00B31522"/>
    <w:rsid w:val="00B32125"/>
    <w:rsid w:val="00B33AD6"/>
    <w:rsid w:val="00B35795"/>
    <w:rsid w:val="00B35ACE"/>
    <w:rsid w:val="00B35D01"/>
    <w:rsid w:val="00B35F5E"/>
    <w:rsid w:val="00B36AA1"/>
    <w:rsid w:val="00B37734"/>
    <w:rsid w:val="00B37898"/>
    <w:rsid w:val="00B4022B"/>
    <w:rsid w:val="00B4066E"/>
    <w:rsid w:val="00B40C5D"/>
    <w:rsid w:val="00B40FEB"/>
    <w:rsid w:val="00B413A7"/>
    <w:rsid w:val="00B44119"/>
    <w:rsid w:val="00B44168"/>
    <w:rsid w:val="00B4513D"/>
    <w:rsid w:val="00B470DF"/>
    <w:rsid w:val="00B471F5"/>
    <w:rsid w:val="00B4770A"/>
    <w:rsid w:val="00B47ACD"/>
    <w:rsid w:val="00B503D4"/>
    <w:rsid w:val="00B5094A"/>
    <w:rsid w:val="00B5106A"/>
    <w:rsid w:val="00B5190B"/>
    <w:rsid w:val="00B51C3F"/>
    <w:rsid w:val="00B5241B"/>
    <w:rsid w:val="00B52AE9"/>
    <w:rsid w:val="00B52CFC"/>
    <w:rsid w:val="00B53187"/>
    <w:rsid w:val="00B534B7"/>
    <w:rsid w:val="00B53FBD"/>
    <w:rsid w:val="00B5479F"/>
    <w:rsid w:val="00B5502C"/>
    <w:rsid w:val="00B557A3"/>
    <w:rsid w:val="00B55BD8"/>
    <w:rsid w:val="00B55C8A"/>
    <w:rsid w:val="00B564DC"/>
    <w:rsid w:val="00B57239"/>
    <w:rsid w:val="00B60172"/>
    <w:rsid w:val="00B60FBA"/>
    <w:rsid w:val="00B61DAC"/>
    <w:rsid w:val="00B6283D"/>
    <w:rsid w:val="00B635F6"/>
    <w:rsid w:val="00B6368A"/>
    <w:rsid w:val="00B638D7"/>
    <w:rsid w:val="00B63C58"/>
    <w:rsid w:val="00B640D6"/>
    <w:rsid w:val="00B65462"/>
    <w:rsid w:val="00B65BBE"/>
    <w:rsid w:val="00B66CB9"/>
    <w:rsid w:val="00B70333"/>
    <w:rsid w:val="00B70419"/>
    <w:rsid w:val="00B70778"/>
    <w:rsid w:val="00B7080B"/>
    <w:rsid w:val="00B70CAB"/>
    <w:rsid w:val="00B70E7D"/>
    <w:rsid w:val="00B71904"/>
    <w:rsid w:val="00B71D1C"/>
    <w:rsid w:val="00B72A5F"/>
    <w:rsid w:val="00B73281"/>
    <w:rsid w:val="00B73644"/>
    <w:rsid w:val="00B736EB"/>
    <w:rsid w:val="00B73B7E"/>
    <w:rsid w:val="00B741B1"/>
    <w:rsid w:val="00B75B43"/>
    <w:rsid w:val="00B75E66"/>
    <w:rsid w:val="00B760E7"/>
    <w:rsid w:val="00B76D28"/>
    <w:rsid w:val="00B7719F"/>
    <w:rsid w:val="00B77385"/>
    <w:rsid w:val="00B77A7D"/>
    <w:rsid w:val="00B77E67"/>
    <w:rsid w:val="00B77EA6"/>
    <w:rsid w:val="00B80284"/>
    <w:rsid w:val="00B81190"/>
    <w:rsid w:val="00B817AD"/>
    <w:rsid w:val="00B819DD"/>
    <w:rsid w:val="00B81EFE"/>
    <w:rsid w:val="00B827B1"/>
    <w:rsid w:val="00B82993"/>
    <w:rsid w:val="00B82A32"/>
    <w:rsid w:val="00B82B34"/>
    <w:rsid w:val="00B83370"/>
    <w:rsid w:val="00B8379B"/>
    <w:rsid w:val="00B83A8A"/>
    <w:rsid w:val="00B84453"/>
    <w:rsid w:val="00B844A2"/>
    <w:rsid w:val="00B84721"/>
    <w:rsid w:val="00B84815"/>
    <w:rsid w:val="00B84A51"/>
    <w:rsid w:val="00B851D0"/>
    <w:rsid w:val="00B86757"/>
    <w:rsid w:val="00B87580"/>
    <w:rsid w:val="00B8758C"/>
    <w:rsid w:val="00B8787F"/>
    <w:rsid w:val="00B879CE"/>
    <w:rsid w:val="00B909B2"/>
    <w:rsid w:val="00B90F25"/>
    <w:rsid w:val="00B91498"/>
    <w:rsid w:val="00B91666"/>
    <w:rsid w:val="00B91F25"/>
    <w:rsid w:val="00B92B22"/>
    <w:rsid w:val="00B92D84"/>
    <w:rsid w:val="00B932CD"/>
    <w:rsid w:val="00B93DAD"/>
    <w:rsid w:val="00B94079"/>
    <w:rsid w:val="00B9422B"/>
    <w:rsid w:val="00B94A8F"/>
    <w:rsid w:val="00B9583F"/>
    <w:rsid w:val="00B963F6"/>
    <w:rsid w:val="00B96D2F"/>
    <w:rsid w:val="00B96F3A"/>
    <w:rsid w:val="00B971D0"/>
    <w:rsid w:val="00B9748A"/>
    <w:rsid w:val="00B97551"/>
    <w:rsid w:val="00B97F7F"/>
    <w:rsid w:val="00BA02F7"/>
    <w:rsid w:val="00BA1194"/>
    <w:rsid w:val="00BA1278"/>
    <w:rsid w:val="00BA20F7"/>
    <w:rsid w:val="00BA22D7"/>
    <w:rsid w:val="00BA26A3"/>
    <w:rsid w:val="00BA2896"/>
    <w:rsid w:val="00BA28D1"/>
    <w:rsid w:val="00BA3637"/>
    <w:rsid w:val="00BA3AA2"/>
    <w:rsid w:val="00BA3ECB"/>
    <w:rsid w:val="00BA5065"/>
    <w:rsid w:val="00BA545B"/>
    <w:rsid w:val="00BA5C9D"/>
    <w:rsid w:val="00BA5D58"/>
    <w:rsid w:val="00BA5DD1"/>
    <w:rsid w:val="00BA786E"/>
    <w:rsid w:val="00BA7E57"/>
    <w:rsid w:val="00BB0130"/>
    <w:rsid w:val="00BB0197"/>
    <w:rsid w:val="00BB0CFB"/>
    <w:rsid w:val="00BB1C55"/>
    <w:rsid w:val="00BB21D1"/>
    <w:rsid w:val="00BB293C"/>
    <w:rsid w:val="00BB2DDF"/>
    <w:rsid w:val="00BB2F10"/>
    <w:rsid w:val="00BB40D7"/>
    <w:rsid w:val="00BB4714"/>
    <w:rsid w:val="00BB4F6F"/>
    <w:rsid w:val="00BB690A"/>
    <w:rsid w:val="00BB7079"/>
    <w:rsid w:val="00BB78B7"/>
    <w:rsid w:val="00BC03D6"/>
    <w:rsid w:val="00BC0975"/>
    <w:rsid w:val="00BC0D01"/>
    <w:rsid w:val="00BC14A6"/>
    <w:rsid w:val="00BC151E"/>
    <w:rsid w:val="00BC1BFD"/>
    <w:rsid w:val="00BC21D3"/>
    <w:rsid w:val="00BC2CDB"/>
    <w:rsid w:val="00BC2E75"/>
    <w:rsid w:val="00BC3734"/>
    <w:rsid w:val="00BC4081"/>
    <w:rsid w:val="00BC4D22"/>
    <w:rsid w:val="00BC55FD"/>
    <w:rsid w:val="00BC5785"/>
    <w:rsid w:val="00BC5A9F"/>
    <w:rsid w:val="00BC5BE2"/>
    <w:rsid w:val="00BC6962"/>
    <w:rsid w:val="00BC6A84"/>
    <w:rsid w:val="00BC6F6F"/>
    <w:rsid w:val="00BC79F6"/>
    <w:rsid w:val="00BC7CB8"/>
    <w:rsid w:val="00BD0040"/>
    <w:rsid w:val="00BD02F8"/>
    <w:rsid w:val="00BD04EC"/>
    <w:rsid w:val="00BD0A75"/>
    <w:rsid w:val="00BD0A8A"/>
    <w:rsid w:val="00BD18D7"/>
    <w:rsid w:val="00BD2356"/>
    <w:rsid w:val="00BD43F4"/>
    <w:rsid w:val="00BD47A4"/>
    <w:rsid w:val="00BD4BAB"/>
    <w:rsid w:val="00BD4D8C"/>
    <w:rsid w:val="00BD51C7"/>
    <w:rsid w:val="00BD6694"/>
    <w:rsid w:val="00BD7663"/>
    <w:rsid w:val="00BD7E4A"/>
    <w:rsid w:val="00BE03B4"/>
    <w:rsid w:val="00BE04F5"/>
    <w:rsid w:val="00BE1BA7"/>
    <w:rsid w:val="00BE2374"/>
    <w:rsid w:val="00BE257F"/>
    <w:rsid w:val="00BE27FF"/>
    <w:rsid w:val="00BE2D40"/>
    <w:rsid w:val="00BE3966"/>
    <w:rsid w:val="00BE3AF2"/>
    <w:rsid w:val="00BE3B9A"/>
    <w:rsid w:val="00BE40A0"/>
    <w:rsid w:val="00BE4204"/>
    <w:rsid w:val="00BE4D8E"/>
    <w:rsid w:val="00BE4E99"/>
    <w:rsid w:val="00BE5334"/>
    <w:rsid w:val="00BE57BF"/>
    <w:rsid w:val="00BE5AF5"/>
    <w:rsid w:val="00BE5B67"/>
    <w:rsid w:val="00BE61FD"/>
    <w:rsid w:val="00BE65E8"/>
    <w:rsid w:val="00BE67F4"/>
    <w:rsid w:val="00BE69BC"/>
    <w:rsid w:val="00BE7830"/>
    <w:rsid w:val="00BE7AF6"/>
    <w:rsid w:val="00BF071F"/>
    <w:rsid w:val="00BF1775"/>
    <w:rsid w:val="00BF17E6"/>
    <w:rsid w:val="00BF19B1"/>
    <w:rsid w:val="00BF1DF0"/>
    <w:rsid w:val="00BF359D"/>
    <w:rsid w:val="00BF3A78"/>
    <w:rsid w:val="00BF3DE1"/>
    <w:rsid w:val="00BF4BC7"/>
    <w:rsid w:val="00BF5E4A"/>
    <w:rsid w:val="00BF6073"/>
    <w:rsid w:val="00BF61B5"/>
    <w:rsid w:val="00BF7BFB"/>
    <w:rsid w:val="00C01176"/>
    <w:rsid w:val="00C01CDD"/>
    <w:rsid w:val="00C02E07"/>
    <w:rsid w:val="00C04EE1"/>
    <w:rsid w:val="00C04F22"/>
    <w:rsid w:val="00C0506D"/>
    <w:rsid w:val="00C05089"/>
    <w:rsid w:val="00C059FE"/>
    <w:rsid w:val="00C06767"/>
    <w:rsid w:val="00C0764B"/>
    <w:rsid w:val="00C0779A"/>
    <w:rsid w:val="00C07B92"/>
    <w:rsid w:val="00C1016B"/>
    <w:rsid w:val="00C101A8"/>
    <w:rsid w:val="00C11CF2"/>
    <w:rsid w:val="00C11D6B"/>
    <w:rsid w:val="00C12620"/>
    <w:rsid w:val="00C12673"/>
    <w:rsid w:val="00C1292F"/>
    <w:rsid w:val="00C130DD"/>
    <w:rsid w:val="00C134D9"/>
    <w:rsid w:val="00C13656"/>
    <w:rsid w:val="00C13B07"/>
    <w:rsid w:val="00C140D7"/>
    <w:rsid w:val="00C14182"/>
    <w:rsid w:val="00C1447F"/>
    <w:rsid w:val="00C14629"/>
    <w:rsid w:val="00C14ACC"/>
    <w:rsid w:val="00C14EDA"/>
    <w:rsid w:val="00C15EA7"/>
    <w:rsid w:val="00C171BF"/>
    <w:rsid w:val="00C173D4"/>
    <w:rsid w:val="00C179A2"/>
    <w:rsid w:val="00C17B80"/>
    <w:rsid w:val="00C2007E"/>
    <w:rsid w:val="00C20724"/>
    <w:rsid w:val="00C219D8"/>
    <w:rsid w:val="00C22980"/>
    <w:rsid w:val="00C23698"/>
    <w:rsid w:val="00C236F2"/>
    <w:rsid w:val="00C237EA"/>
    <w:rsid w:val="00C242EC"/>
    <w:rsid w:val="00C263C0"/>
    <w:rsid w:val="00C26AA3"/>
    <w:rsid w:val="00C30D33"/>
    <w:rsid w:val="00C317C0"/>
    <w:rsid w:val="00C31FB9"/>
    <w:rsid w:val="00C3235B"/>
    <w:rsid w:val="00C3260F"/>
    <w:rsid w:val="00C3292C"/>
    <w:rsid w:val="00C3294F"/>
    <w:rsid w:val="00C33724"/>
    <w:rsid w:val="00C34BC0"/>
    <w:rsid w:val="00C34F06"/>
    <w:rsid w:val="00C3505E"/>
    <w:rsid w:val="00C3515A"/>
    <w:rsid w:val="00C35823"/>
    <w:rsid w:val="00C35C98"/>
    <w:rsid w:val="00C35DF0"/>
    <w:rsid w:val="00C3650A"/>
    <w:rsid w:val="00C36B00"/>
    <w:rsid w:val="00C37003"/>
    <w:rsid w:val="00C37306"/>
    <w:rsid w:val="00C377C0"/>
    <w:rsid w:val="00C37D91"/>
    <w:rsid w:val="00C40792"/>
    <w:rsid w:val="00C40912"/>
    <w:rsid w:val="00C40F16"/>
    <w:rsid w:val="00C42F27"/>
    <w:rsid w:val="00C432E0"/>
    <w:rsid w:val="00C4350C"/>
    <w:rsid w:val="00C43AC7"/>
    <w:rsid w:val="00C43C14"/>
    <w:rsid w:val="00C4476C"/>
    <w:rsid w:val="00C44ECC"/>
    <w:rsid w:val="00C45DC7"/>
    <w:rsid w:val="00C467C5"/>
    <w:rsid w:val="00C4702B"/>
    <w:rsid w:val="00C4725E"/>
    <w:rsid w:val="00C5035C"/>
    <w:rsid w:val="00C5036C"/>
    <w:rsid w:val="00C50D9F"/>
    <w:rsid w:val="00C517EC"/>
    <w:rsid w:val="00C5278F"/>
    <w:rsid w:val="00C537BC"/>
    <w:rsid w:val="00C53E1C"/>
    <w:rsid w:val="00C53F42"/>
    <w:rsid w:val="00C541EF"/>
    <w:rsid w:val="00C554DE"/>
    <w:rsid w:val="00C555A5"/>
    <w:rsid w:val="00C55825"/>
    <w:rsid w:val="00C56BCB"/>
    <w:rsid w:val="00C56EEC"/>
    <w:rsid w:val="00C57C06"/>
    <w:rsid w:val="00C6076C"/>
    <w:rsid w:val="00C6092C"/>
    <w:rsid w:val="00C615F3"/>
    <w:rsid w:val="00C62058"/>
    <w:rsid w:val="00C62D71"/>
    <w:rsid w:val="00C62F02"/>
    <w:rsid w:val="00C63158"/>
    <w:rsid w:val="00C6327A"/>
    <w:rsid w:val="00C63D72"/>
    <w:rsid w:val="00C63EF4"/>
    <w:rsid w:val="00C644FC"/>
    <w:rsid w:val="00C6476E"/>
    <w:rsid w:val="00C64DC0"/>
    <w:rsid w:val="00C6574F"/>
    <w:rsid w:val="00C65F50"/>
    <w:rsid w:val="00C65FE0"/>
    <w:rsid w:val="00C67236"/>
    <w:rsid w:val="00C6769F"/>
    <w:rsid w:val="00C67826"/>
    <w:rsid w:val="00C67C28"/>
    <w:rsid w:val="00C70A05"/>
    <w:rsid w:val="00C70ABD"/>
    <w:rsid w:val="00C70B2B"/>
    <w:rsid w:val="00C71FF0"/>
    <w:rsid w:val="00C7202F"/>
    <w:rsid w:val="00C7263D"/>
    <w:rsid w:val="00C72C99"/>
    <w:rsid w:val="00C72E2B"/>
    <w:rsid w:val="00C74AEF"/>
    <w:rsid w:val="00C74B2E"/>
    <w:rsid w:val="00C74BB3"/>
    <w:rsid w:val="00C75B19"/>
    <w:rsid w:val="00C76611"/>
    <w:rsid w:val="00C76F51"/>
    <w:rsid w:val="00C7711E"/>
    <w:rsid w:val="00C773EF"/>
    <w:rsid w:val="00C77492"/>
    <w:rsid w:val="00C77517"/>
    <w:rsid w:val="00C77C57"/>
    <w:rsid w:val="00C77DF6"/>
    <w:rsid w:val="00C80148"/>
    <w:rsid w:val="00C80CCC"/>
    <w:rsid w:val="00C81529"/>
    <w:rsid w:val="00C81D41"/>
    <w:rsid w:val="00C81FC1"/>
    <w:rsid w:val="00C828E2"/>
    <w:rsid w:val="00C83296"/>
    <w:rsid w:val="00C838F2"/>
    <w:rsid w:val="00C83A4F"/>
    <w:rsid w:val="00C83D3C"/>
    <w:rsid w:val="00C84C76"/>
    <w:rsid w:val="00C85526"/>
    <w:rsid w:val="00C8630D"/>
    <w:rsid w:val="00C86AB9"/>
    <w:rsid w:val="00C87651"/>
    <w:rsid w:val="00C87F27"/>
    <w:rsid w:val="00C87FDF"/>
    <w:rsid w:val="00C908F0"/>
    <w:rsid w:val="00C9171D"/>
    <w:rsid w:val="00C917CC"/>
    <w:rsid w:val="00C917F9"/>
    <w:rsid w:val="00C91D45"/>
    <w:rsid w:val="00C9310C"/>
    <w:rsid w:val="00C93FE3"/>
    <w:rsid w:val="00C95705"/>
    <w:rsid w:val="00C95C72"/>
    <w:rsid w:val="00C95F72"/>
    <w:rsid w:val="00C96FAF"/>
    <w:rsid w:val="00C97AAA"/>
    <w:rsid w:val="00CA00C6"/>
    <w:rsid w:val="00CA1056"/>
    <w:rsid w:val="00CA11CA"/>
    <w:rsid w:val="00CA1DB6"/>
    <w:rsid w:val="00CA1DEE"/>
    <w:rsid w:val="00CA24A3"/>
    <w:rsid w:val="00CA2515"/>
    <w:rsid w:val="00CA3B05"/>
    <w:rsid w:val="00CA4514"/>
    <w:rsid w:val="00CA5036"/>
    <w:rsid w:val="00CA584C"/>
    <w:rsid w:val="00CA5CB2"/>
    <w:rsid w:val="00CA5E55"/>
    <w:rsid w:val="00CA6FCA"/>
    <w:rsid w:val="00CA744C"/>
    <w:rsid w:val="00CB07F2"/>
    <w:rsid w:val="00CB09A5"/>
    <w:rsid w:val="00CB2EA7"/>
    <w:rsid w:val="00CB2F27"/>
    <w:rsid w:val="00CB36A8"/>
    <w:rsid w:val="00CB3863"/>
    <w:rsid w:val="00CB47F6"/>
    <w:rsid w:val="00CB56B9"/>
    <w:rsid w:val="00CB6204"/>
    <w:rsid w:val="00CB6581"/>
    <w:rsid w:val="00CB70D4"/>
    <w:rsid w:val="00CB7190"/>
    <w:rsid w:val="00CC0202"/>
    <w:rsid w:val="00CC07B6"/>
    <w:rsid w:val="00CC091A"/>
    <w:rsid w:val="00CC0C74"/>
    <w:rsid w:val="00CC0D68"/>
    <w:rsid w:val="00CC0F6C"/>
    <w:rsid w:val="00CC143C"/>
    <w:rsid w:val="00CC14A8"/>
    <w:rsid w:val="00CC14E3"/>
    <w:rsid w:val="00CC1622"/>
    <w:rsid w:val="00CC1A18"/>
    <w:rsid w:val="00CC294B"/>
    <w:rsid w:val="00CC2B27"/>
    <w:rsid w:val="00CC2BA7"/>
    <w:rsid w:val="00CC2C34"/>
    <w:rsid w:val="00CC3285"/>
    <w:rsid w:val="00CC3D73"/>
    <w:rsid w:val="00CC4A5B"/>
    <w:rsid w:val="00CC4DDE"/>
    <w:rsid w:val="00CC5E29"/>
    <w:rsid w:val="00CC6F36"/>
    <w:rsid w:val="00CC71B0"/>
    <w:rsid w:val="00CD03BF"/>
    <w:rsid w:val="00CD0428"/>
    <w:rsid w:val="00CD0D61"/>
    <w:rsid w:val="00CD0F7E"/>
    <w:rsid w:val="00CD1476"/>
    <w:rsid w:val="00CD24EE"/>
    <w:rsid w:val="00CD2F50"/>
    <w:rsid w:val="00CD3FF0"/>
    <w:rsid w:val="00CD439B"/>
    <w:rsid w:val="00CD4524"/>
    <w:rsid w:val="00CD6D32"/>
    <w:rsid w:val="00CD6DBA"/>
    <w:rsid w:val="00CD794C"/>
    <w:rsid w:val="00CE00E6"/>
    <w:rsid w:val="00CE1ADD"/>
    <w:rsid w:val="00CE2C79"/>
    <w:rsid w:val="00CE3AD9"/>
    <w:rsid w:val="00CE3C75"/>
    <w:rsid w:val="00CE3FC7"/>
    <w:rsid w:val="00CE481D"/>
    <w:rsid w:val="00CE4C7A"/>
    <w:rsid w:val="00CE4CB9"/>
    <w:rsid w:val="00CE4EE5"/>
    <w:rsid w:val="00CE5509"/>
    <w:rsid w:val="00CE55B0"/>
    <w:rsid w:val="00CE59A9"/>
    <w:rsid w:val="00CE6F55"/>
    <w:rsid w:val="00CE7369"/>
    <w:rsid w:val="00CE7A6C"/>
    <w:rsid w:val="00CF01E5"/>
    <w:rsid w:val="00CF05C0"/>
    <w:rsid w:val="00CF13BF"/>
    <w:rsid w:val="00CF149C"/>
    <w:rsid w:val="00CF1A0D"/>
    <w:rsid w:val="00CF1E6A"/>
    <w:rsid w:val="00CF2C24"/>
    <w:rsid w:val="00CF2F69"/>
    <w:rsid w:val="00CF30C0"/>
    <w:rsid w:val="00CF34BC"/>
    <w:rsid w:val="00CF36A2"/>
    <w:rsid w:val="00CF3F27"/>
    <w:rsid w:val="00CF4017"/>
    <w:rsid w:val="00CF4ACB"/>
    <w:rsid w:val="00CF4D2E"/>
    <w:rsid w:val="00CF5007"/>
    <w:rsid w:val="00CF724C"/>
    <w:rsid w:val="00CF7AE1"/>
    <w:rsid w:val="00CF7D6B"/>
    <w:rsid w:val="00D036C3"/>
    <w:rsid w:val="00D03B5C"/>
    <w:rsid w:val="00D04187"/>
    <w:rsid w:val="00D04C17"/>
    <w:rsid w:val="00D050A3"/>
    <w:rsid w:val="00D057FE"/>
    <w:rsid w:val="00D05DC0"/>
    <w:rsid w:val="00D060E4"/>
    <w:rsid w:val="00D06133"/>
    <w:rsid w:val="00D067EB"/>
    <w:rsid w:val="00D1067F"/>
    <w:rsid w:val="00D10B85"/>
    <w:rsid w:val="00D110E6"/>
    <w:rsid w:val="00D11101"/>
    <w:rsid w:val="00D12DC9"/>
    <w:rsid w:val="00D133BB"/>
    <w:rsid w:val="00D13A80"/>
    <w:rsid w:val="00D13FF6"/>
    <w:rsid w:val="00D14208"/>
    <w:rsid w:val="00D14212"/>
    <w:rsid w:val="00D147C1"/>
    <w:rsid w:val="00D1595C"/>
    <w:rsid w:val="00D15977"/>
    <w:rsid w:val="00D1598D"/>
    <w:rsid w:val="00D16509"/>
    <w:rsid w:val="00D1698D"/>
    <w:rsid w:val="00D16A0F"/>
    <w:rsid w:val="00D173BF"/>
    <w:rsid w:val="00D17D19"/>
    <w:rsid w:val="00D17E95"/>
    <w:rsid w:val="00D20E24"/>
    <w:rsid w:val="00D210B9"/>
    <w:rsid w:val="00D2169C"/>
    <w:rsid w:val="00D218E9"/>
    <w:rsid w:val="00D21925"/>
    <w:rsid w:val="00D21BFE"/>
    <w:rsid w:val="00D233D6"/>
    <w:rsid w:val="00D23575"/>
    <w:rsid w:val="00D2437B"/>
    <w:rsid w:val="00D24AF5"/>
    <w:rsid w:val="00D24E0F"/>
    <w:rsid w:val="00D253DB"/>
    <w:rsid w:val="00D2569A"/>
    <w:rsid w:val="00D25B3A"/>
    <w:rsid w:val="00D27778"/>
    <w:rsid w:val="00D27986"/>
    <w:rsid w:val="00D3073F"/>
    <w:rsid w:val="00D30F47"/>
    <w:rsid w:val="00D3125D"/>
    <w:rsid w:val="00D31569"/>
    <w:rsid w:val="00D3183A"/>
    <w:rsid w:val="00D31ADB"/>
    <w:rsid w:val="00D31F6F"/>
    <w:rsid w:val="00D322F7"/>
    <w:rsid w:val="00D323D2"/>
    <w:rsid w:val="00D32698"/>
    <w:rsid w:val="00D32859"/>
    <w:rsid w:val="00D33156"/>
    <w:rsid w:val="00D33745"/>
    <w:rsid w:val="00D33A92"/>
    <w:rsid w:val="00D33C4F"/>
    <w:rsid w:val="00D343A9"/>
    <w:rsid w:val="00D3488A"/>
    <w:rsid w:val="00D358B5"/>
    <w:rsid w:val="00D363C9"/>
    <w:rsid w:val="00D36ADA"/>
    <w:rsid w:val="00D37255"/>
    <w:rsid w:val="00D403DF"/>
    <w:rsid w:val="00D40DE5"/>
    <w:rsid w:val="00D41293"/>
    <w:rsid w:val="00D42466"/>
    <w:rsid w:val="00D42958"/>
    <w:rsid w:val="00D42ACA"/>
    <w:rsid w:val="00D42B2F"/>
    <w:rsid w:val="00D4318D"/>
    <w:rsid w:val="00D43266"/>
    <w:rsid w:val="00D43535"/>
    <w:rsid w:val="00D435C0"/>
    <w:rsid w:val="00D44515"/>
    <w:rsid w:val="00D44EE6"/>
    <w:rsid w:val="00D44F64"/>
    <w:rsid w:val="00D45609"/>
    <w:rsid w:val="00D4638F"/>
    <w:rsid w:val="00D4690A"/>
    <w:rsid w:val="00D46D89"/>
    <w:rsid w:val="00D47336"/>
    <w:rsid w:val="00D47627"/>
    <w:rsid w:val="00D47720"/>
    <w:rsid w:val="00D47990"/>
    <w:rsid w:val="00D47AFC"/>
    <w:rsid w:val="00D502A2"/>
    <w:rsid w:val="00D506F3"/>
    <w:rsid w:val="00D50BCC"/>
    <w:rsid w:val="00D50CDE"/>
    <w:rsid w:val="00D53064"/>
    <w:rsid w:val="00D533A7"/>
    <w:rsid w:val="00D537A6"/>
    <w:rsid w:val="00D5450B"/>
    <w:rsid w:val="00D549EC"/>
    <w:rsid w:val="00D54A89"/>
    <w:rsid w:val="00D54FE6"/>
    <w:rsid w:val="00D55000"/>
    <w:rsid w:val="00D55523"/>
    <w:rsid w:val="00D56C86"/>
    <w:rsid w:val="00D57D35"/>
    <w:rsid w:val="00D57E40"/>
    <w:rsid w:val="00D6060F"/>
    <w:rsid w:val="00D60A8A"/>
    <w:rsid w:val="00D60F79"/>
    <w:rsid w:val="00D610B7"/>
    <w:rsid w:val="00D618D2"/>
    <w:rsid w:val="00D6199D"/>
    <w:rsid w:val="00D61A23"/>
    <w:rsid w:val="00D61CF2"/>
    <w:rsid w:val="00D634B5"/>
    <w:rsid w:val="00D64B95"/>
    <w:rsid w:val="00D66CFE"/>
    <w:rsid w:val="00D67735"/>
    <w:rsid w:val="00D67B31"/>
    <w:rsid w:val="00D7042E"/>
    <w:rsid w:val="00D7098E"/>
    <w:rsid w:val="00D70DAB"/>
    <w:rsid w:val="00D71158"/>
    <w:rsid w:val="00D71AF5"/>
    <w:rsid w:val="00D7293F"/>
    <w:rsid w:val="00D72C2B"/>
    <w:rsid w:val="00D74429"/>
    <w:rsid w:val="00D74C18"/>
    <w:rsid w:val="00D752B3"/>
    <w:rsid w:val="00D757D9"/>
    <w:rsid w:val="00D76223"/>
    <w:rsid w:val="00D7639B"/>
    <w:rsid w:val="00D763AB"/>
    <w:rsid w:val="00D76B30"/>
    <w:rsid w:val="00D76D46"/>
    <w:rsid w:val="00D77935"/>
    <w:rsid w:val="00D77C80"/>
    <w:rsid w:val="00D77CDD"/>
    <w:rsid w:val="00D8146F"/>
    <w:rsid w:val="00D82B72"/>
    <w:rsid w:val="00D8307D"/>
    <w:rsid w:val="00D84102"/>
    <w:rsid w:val="00D84649"/>
    <w:rsid w:val="00D84952"/>
    <w:rsid w:val="00D84B2A"/>
    <w:rsid w:val="00D84B35"/>
    <w:rsid w:val="00D8589F"/>
    <w:rsid w:val="00D85BC1"/>
    <w:rsid w:val="00D86F9B"/>
    <w:rsid w:val="00D870B3"/>
    <w:rsid w:val="00D90E2D"/>
    <w:rsid w:val="00D910E1"/>
    <w:rsid w:val="00D91227"/>
    <w:rsid w:val="00D91624"/>
    <w:rsid w:val="00D9237E"/>
    <w:rsid w:val="00D9320D"/>
    <w:rsid w:val="00D93F3E"/>
    <w:rsid w:val="00D94323"/>
    <w:rsid w:val="00D9542A"/>
    <w:rsid w:val="00D957E2"/>
    <w:rsid w:val="00D95DD7"/>
    <w:rsid w:val="00D961BE"/>
    <w:rsid w:val="00D97238"/>
    <w:rsid w:val="00D97725"/>
    <w:rsid w:val="00D97A4D"/>
    <w:rsid w:val="00D97CCB"/>
    <w:rsid w:val="00D97E99"/>
    <w:rsid w:val="00DA00C5"/>
    <w:rsid w:val="00DA061D"/>
    <w:rsid w:val="00DA0F08"/>
    <w:rsid w:val="00DA1214"/>
    <w:rsid w:val="00DA21EE"/>
    <w:rsid w:val="00DA2AA7"/>
    <w:rsid w:val="00DA2FF1"/>
    <w:rsid w:val="00DA3081"/>
    <w:rsid w:val="00DA3E97"/>
    <w:rsid w:val="00DA4EF9"/>
    <w:rsid w:val="00DA566F"/>
    <w:rsid w:val="00DA5BCC"/>
    <w:rsid w:val="00DA5FFC"/>
    <w:rsid w:val="00DA6152"/>
    <w:rsid w:val="00DA678B"/>
    <w:rsid w:val="00DA67E1"/>
    <w:rsid w:val="00DA799F"/>
    <w:rsid w:val="00DA7BB2"/>
    <w:rsid w:val="00DA7C25"/>
    <w:rsid w:val="00DB0B2D"/>
    <w:rsid w:val="00DB1339"/>
    <w:rsid w:val="00DB18CB"/>
    <w:rsid w:val="00DB1903"/>
    <w:rsid w:val="00DB1E35"/>
    <w:rsid w:val="00DB1F2B"/>
    <w:rsid w:val="00DB252D"/>
    <w:rsid w:val="00DB279F"/>
    <w:rsid w:val="00DB29F4"/>
    <w:rsid w:val="00DB2E25"/>
    <w:rsid w:val="00DB318D"/>
    <w:rsid w:val="00DB3B2F"/>
    <w:rsid w:val="00DB3D1A"/>
    <w:rsid w:val="00DB5736"/>
    <w:rsid w:val="00DB6D34"/>
    <w:rsid w:val="00DB6E3F"/>
    <w:rsid w:val="00DB6EBC"/>
    <w:rsid w:val="00DB74AC"/>
    <w:rsid w:val="00DB7643"/>
    <w:rsid w:val="00DB7CDF"/>
    <w:rsid w:val="00DC0080"/>
    <w:rsid w:val="00DC05B1"/>
    <w:rsid w:val="00DC1014"/>
    <w:rsid w:val="00DC1822"/>
    <w:rsid w:val="00DC2187"/>
    <w:rsid w:val="00DC2D1E"/>
    <w:rsid w:val="00DC3053"/>
    <w:rsid w:val="00DC360F"/>
    <w:rsid w:val="00DC3AC2"/>
    <w:rsid w:val="00DC491A"/>
    <w:rsid w:val="00DC491D"/>
    <w:rsid w:val="00DC50C2"/>
    <w:rsid w:val="00DC5101"/>
    <w:rsid w:val="00DC52DD"/>
    <w:rsid w:val="00DC55DF"/>
    <w:rsid w:val="00DC5F7B"/>
    <w:rsid w:val="00DC63EF"/>
    <w:rsid w:val="00DC6707"/>
    <w:rsid w:val="00DC68DB"/>
    <w:rsid w:val="00DC6C24"/>
    <w:rsid w:val="00DC7282"/>
    <w:rsid w:val="00DC77D7"/>
    <w:rsid w:val="00DC7AC8"/>
    <w:rsid w:val="00DD0183"/>
    <w:rsid w:val="00DD0D34"/>
    <w:rsid w:val="00DD0F29"/>
    <w:rsid w:val="00DD1474"/>
    <w:rsid w:val="00DD14A3"/>
    <w:rsid w:val="00DD163A"/>
    <w:rsid w:val="00DD1C70"/>
    <w:rsid w:val="00DD2ED6"/>
    <w:rsid w:val="00DD2F23"/>
    <w:rsid w:val="00DD2F3E"/>
    <w:rsid w:val="00DD3D54"/>
    <w:rsid w:val="00DD3FE0"/>
    <w:rsid w:val="00DD43E6"/>
    <w:rsid w:val="00DD490D"/>
    <w:rsid w:val="00DD5424"/>
    <w:rsid w:val="00DD563F"/>
    <w:rsid w:val="00DD5D74"/>
    <w:rsid w:val="00DD604B"/>
    <w:rsid w:val="00DD65E5"/>
    <w:rsid w:val="00DD6680"/>
    <w:rsid w:val="00DD7AD5"/>
    <w:rsid w:val="00DE002A"/>
    <w:rsid w:val="00DE0189"/>
    <w:rsid w:val="00DE0206"/>
    <w:rsid w:val="00DE02CA"/>
    <w:rsid w:val="00DE0631"/>
    <w:rsid w:val="00DE0AE3"/>
    <w:rsid w:val="00DE161A"/>
    <w:rsid w:val="00DE2CBE"/>
    <w:rsid w:val="00DE2E51"/>
    <w:rsid w:val="00DE3279"/>
    <w:rsid w:val="00DE32D8"/>
    <w:rsid w:val="00DE35CD"/>
    <w:rsid w:val="00DE3CAE"/>
    <w:rsid w:val="00DE42B8"/>
    <w:rsid w:val="00DE61DD"/>
    <w:rsid w:val="00DE65E9"/>
    <w:rsid w:val="00DE6D6D"/>
    <w:rsid w:val="00DE7279"/>
    <w:rsid w:val="00DE72BA"/>
    <w:rsid w:val="00DE75E2"/>
    <w:rsid w:val="00DE7977"/>
    <w:rsid w:val="00DF13DE"/>
    <w:rsid w:val="00DF20E1"/>
    <w:rsid w:val="00DF233A"/>
    <w:rsid w:val="00DF2843"/>
    <w:rsid w:val="00DF29CD"/>
    <w:rsid w:val="00DF368B"/>
    <w:rsid w:val="00DF4448"/>
    <w:rsid w:val="00DF4567"/>
    <w:rsid w:val="00DF518F"/>
    <w:rsid w:val="00DF5517"/>
    <w:rsid w:val="00DF5C93"/>
    <w:rsid w:val="00DF6678"/>
    <w:rsid w:val="00DF6746"/>
    <w:rsid w:val="00DF689B"/>
    <w:rsid w:val="00DF79A1"/>
    <w:rsid w:val="00DF7DD8"/>
    <w:rsid w:val="00E018B7"/>
    <w:rsid w:val="00E01AC0"/>
    <w:rsid w:val="00E01E3F"/>
    <w:rsid w:val="00E0253E"/>
    <w:rsid w:val="00E02634"/>
    <w:rsid w:val="00E02C73"/>
    <w:rsid w:val="00E03054"/>
    <w:rsid w:val="00E03078"/>
    <w:rsid w:val="00E0346E"/>
    <w:rsid w:val="00E036F1"/>
    <w:rsid w:val="00E03DA9"/>
    <w:rsid w:val="00E040A6"/>
    <w:rsid w:val="00E04792"/>
    <w:rsid w:val="00E05318"/>
    <w:rsid w:val="00E06945"/>
    <w:rsid w:val="00E06D3F"/>
    <w:rsid w:val="00E06DD6"/>
    <w:rsid w:val="00E06EEF"/>
    <w:rsid w:val="00E07736"/>
    <w:rsid w:val="00E100BB"/>
    <w:rsid w:val="00E10136"/>
    <w:rsid w:val="00E1087B"/>
    <w:rsid w:val="00E130B8"/>
    <w:rsid w:val="00E13305"/>
    <w:rsid w:val="00E13510"/>
    <w:rsid w:val="00E13DB2"/>
    <w:rsid w:val="00E13FDE"/>
    <w:rsid w:val="00E15807"/>
    <w:rsid w:val="00E16CFE"/>
    <w:rsid w:val="00E17188"/>
    <w:rsid w:val="00E1748D"/>
    <w:rsid w:val="00E17F38"/>
    <w:rsid w:val="00E206F9"/>
    <w:rsid w:val="00E2112B"/>
    <w:rsid w:val="00E2119A"/>
    <w:rsid w:val="00E21323"/>
    <w:rsid w:val="00E22958"/>
    <w:rsid w:val="00E22ED0"/>
    <w:rsid w:val="00E23087"/>
    <w:rsid w:val="00E23D56"/>
    <w:rsid w:val="00E23E63"/>
    <w:rsid w:val="00E2544A"/>
    <w:rsid w:val="00E2699D"/>
    <w:rsid w:val="00E269B4"/>
    <w:rsid w:val="00E26CBD"/>
    <w:rsid w:val="00E27D4B"/>
    <w:rsid w:val="00E3054F"/>
    <w:rsid w:val="00E307CA"/>
    <w:rsid w:val="00E308C0"/>
    <w:rsid w:val="00E30B23"/>
    <w:rsid w:val="00E30FDA"/>
    <w:rsid w:val="00E31208"/>
    <w:rsid w:val="00E31413"/>
    <w:rsid w:val="00E31690"/>
    <w:rsid w:val="00E327F6"/>
    <w:rsid w:val="00E32BA6"/>
    <w:rsid w:val="00E32BBE"/>
    <w:rsid w:val="00E32D41"/>
    <w:rsid w:val="00E32DBA"/>
    <w:rsid w:val="00E33004"/>
    <w:rsid w:val="00E33AA2"/>
    <w:rsid w:val="00E33CB7"/>
    <w:rsid w:val="00E33F71"/>
    <w:rsid w:val="00E34344"/>
    <w:rsid w:val="00E34ED6"/>
    <w:rsid w:val="00E36A3C"/>
    <w:rsid w:val="00E36F2A"/>
    <w:rsid w:val="00E37C0D"/>
    <w:rsid w:val="00E40237"/>
    <w:rsid w:val="00E40AE1"/>
    <w:rsid w:val="00E421B6"/>
    <w:rsid w:val="00E42607"/>
    <w:rsid w:val="00E42D26"/>
    <w:rsid w:val="00E42E9F"/>
    <w:rsid w:val="00E43230"/>
    <w:rsid w:val="00E432D7"/>
    <w:rsid w:val="00E43E6D"/>
    <w:rsid w:val="00E440CF"/>
    <w:rsid w:val="00E4415B"/>
    <w:rsid w:val="00E4446A"/>
    <w:rsid w:val="00E4499C"/>
    <w:rsid w:val="00E45307"/>
    <w:rsid w:val="00E456AB"/>
    <w:rsid w:val="00E46B1F"/>
    <w:rsid w:val="00E47B36"/>
    <w:rsid w:val="00E47DBF"/>
    <w:rsid w:val="00E50009"/>
    <w:rsid w:val="00E5041D"/>
    <w:rsid w:val="00E50A62"/>
    <w:rsid w:val="00E50BB2"/>
    <w:rsid w:val="00E51D6A"/>
    <w:rsid w:val="00E51FBA"/>
    <w:rsid w:val="00E528EF"/>
    <w:rsid w:val="00E53E1B"/>
    <w:rsid w:val="00E53FB4"/>
    <w:rsid w:val="00E54F2D"/>
    <w:rsid w:val="00E5557E"/>
    <w:rsid w:val="00E559F2"/>
    <w:rsid w:val="00E55B69"/>
    <w:rsid w:val="00E55B72"/>
    <w:rsid w:val="00E55E86"/>
    <w:rsid w:val="00E56E58"/>
    <w:rsid w:val="00E571B3"/>
    <w:rsid w:val="00E6028D"/>
    <w:rsid w:val="00E60438"/>
    <w:rsid w:val="00E6075A"/>
    <w:rsid w:val="00E61CE4"/>
    <w:rsid w:val="00E634F4"/>
    <w:rsid w:val="00E63B46"/>
    <w:rsid w:val="00E63FEF"/>
    <w:rsid w:val="00E66067"/>
    <w:rsid w:val="00E6668F"/>
    <w:rsid w:val="00E668E3"/>
    <w:rsid w:val="00E66B06"/>
    <w:rsid w:val="00E66BC7"/>
    <w:rsid w:val="00E674D1"/>
    <w:rsid w:val="00E67744"/>
    <w:rsid w:val="00E717DF"/>
    <w:rsid w:val="00E71A87"/>
    <w:rsid w:val="00E71E7B"/>
    <w:rsid w:val="00E72509"/>
    <w:rsid w:val="00E73285"/>
    <w:rsid w:val="00E73928"/>
    <w:rsid w:val="00E741CC"/>
    <w:rsid w:val="00E748A9"/>
    <w:rsid w:val="00E75C6E"/>
    <w:rsid w:val="00E75E00"/>
    <w:rsid w:val="00E760D8"/>
    <w:rsid w:val="00E76678"/>
    <w:rsid w:val="00E76D9F"/>
    <w:rsid w:val="00E779DE"/>
    <w:rsid w:val="00E805C8"/>
    <w:rsid w:val="00E80A2C"/>
    <w:rsid w:val="00E81384"/>
    <w:rsid w:val="00E820EE"/>
    <w:rsid w:val="00E82931"/>
    <w:rsid w:val="00E82A0B"/>
    <w:rsid w:val="00E82A71"/>
    <w:rsid w:val="00E8306B"/>
    <w:rsid w:val="00E8330B"/>
    <w:rsid w:val="00E83DA0"/>
    <w:rsid w:val="00E85D3D"/>
    <w:rsid w:val="00E86574"/>
    <w:rsid w:val="00E87626"/>
    <w:rsid w:val="00E87811"/>
    <w:rsid w:val="00E878B4"/>
    <w:rsid w:val="00E910BD"/>
    <w:rsid w:val="00E91FF3"/>
    <w:rsid w:val="00E93802"/>
    <w:rsid w:val="00E94539"/>
    <w:rsid w:val="00E952FA"/>
    <w:rsid w:val="00E955DF"/>
    <w:rsid w:val="00E95A27"/>
    <w:rsid w:val="00E95A46"/>
    <w:rsid w:val="00E960E3"/>
    <w:rsid w:val="00E96871"/>
    <w:rsid w:val="00E97344"/>
    <w:rsid w:val="00E973DE"/>
    <w:rsid w:val="00E97EAD"/>
    <w:rsid w:val="00E97F65"/>
    <w:rsid w:val="00EA01B2"/>
    <w:rsid w:val="00EA0208"/>
    <w:rsid w:val="00EA0549"/>
    <w:rsid w:val="00EA0A78"/>
    <w:rsid w:val="00EA0C10"/>
    <w:rsid w:val="00EA116F"/>
    <w:rsid w:val="00EA15FA"/>
    <w:rsid w:val="00EA1995"/>
    <w:rsid w:val="00EA2C7A"/>
    <w:rsid w:val="00EA3F0B"/>
    <w:rsid w:val="00EA4432"/>
    <w:rsid w:val="00EA48BA"/>
    <w:rsid w:val="00EA4EA1"/>
    <w:rsid w:val="00EA54EE"/>
    <w:rsid w:val="00EA6624"/>
    <w:rsid w:val="00EA6D05"/>
    <w:rsid w:val="00EA6E60"/>
    <w:rsid w:val="00EA7568"/>
    <w:rsid w:val="00EA79C7"/>
    <w:rsid w:val="00EA7C81"/>
    <w:rsid w:val="00EA7DA4"/>
    <w:rsid w:val="00EB0C07"/>
    <w:rsid w:val="00EB0E26"/>
    <w:rsid w:val="00EB251D"/>
    <w:rsid w:val="00EB266D"/>
    <w:rsid w:val="00EB26B6"/>
    <w:rsid w:val="00EB2F1D"/>
    <w:rsid w:val="00EB358F"/>
    <w:rsid w:val="00EB3D03"/>
    <w:rsid w:val="00EB587B"/>
    <w:rsid w:val="00EB6082"/>
    <w:rsid w:val="00EB6272"/>
    <w:rsid w:val="00EB6624"/>
    <w:rsid w:val="00EB68E8"/>
    <w:rsid w:val="00EB6C2A"/>
    <w:rsid w:val="00EB7019"/>
    <w:rsid w:val="00EB7183"/>
    <w:rsid w:val="00EB72AD"/>
    <w:rsid w:val="00EB72E6"/>
    <w:rsid w:val="00EC0744"/>
    <w:rsid w:val="00EC2092"/>
    <w:rsid w:val="00EC2157"/>
    <w:rsid w:val="00EC4813"/>
    <w:rsid w:val="00EC4B9E"/>
    <w:rsid w:val="00EC61D4"/>
    <w:rsid w:val="00EC66CD"/>
    <w:rsid w:val="00EC691B"/>
    <w:rsid w:val="00EC7233"/>
    <w:rsid w:val="00EC73BB"/>
    <w:rsid w:val="00EC7A43"/>
    <w:rsid w:val="00ED031D"/>
    <w:rsid w:val="00ED0891"/>
    <w:rsid w:val="00ED101C"/>
    <w:rsid w:val="00ED1573"/>
    <w:rsid w:val="00ED1F3C"/>
    <w:rsid w:val="00ED2A3A"/>
    <w:rsid w:val="00ED2D93"/>
    <w:rsid w:val="00ED3486"/>
    <w:rsid w:val="00ED36E9"/>
    <w:rsid w:val="00ED3D2E"/>
    <w:rsid w:val="00ED43BA"/>
    <w:rsid w:val="00ED5115"/>
    <w:rsid w:val="00ED51DB"/>
    <w:rsid w:val="00ED5B4D"/>
    <w:rsid w:val="00ED5C0A"/>
    <w:rsid w:val="00ED6B56"/>
    <w:rsid w:val="00ED6D6F"/>
    <w:rsid w:val="00ED6DB2"/>
    <w:rsid w:val="00ED71F5"/>
    <w:rsid w:val="00EE02B3"/>
    <w:rsid w:val="00EE0838"/>
    <w:rsid w:val="00EE0F72"/>
    <w:rsid w:val="00EE162E"/>
    <w:rsid w:val="00EE1881"/>
    <w:rsid w:val="00EE1E7D"/>
    <w:rsid w:val="00EE2E38"/>
    <w:rsid w:val="00EE4241"/>
    <w:rsid w:val="00EE5CC9"/>
    <w:rsid w:val="00EF0D1B"/>
    <w:rsid w:val="00EF0D6B"/>
    <w:rsid w:val="00EF1A3A"/>
    <w:rsid w:val="00EF35AB"/>
    <w:rsid w:val="00EF395F"/>
    <w:rsid w:val="00EF3BE8"/>
    <w:rsid w:val="00EF3F35"/>
    <w:rsid w:val="00EF3FA2"/>
    <w:rsid w:val="00EF41B6"/>
    <w:rsid w:val="00EF49A6"/>
    <w:rsid w:val="00EF4B7B"/>
    <w:rsid w:val="00EF4C25"/>
    <w:rsid w:val="00EF4E5E"/>
    <w:rsid w:val="00EF5A3C"/>
    <w:rsid w:val="00EF6117"/>
    <w:rsid w:val="00EF61C9"/>
    <w:rsid w:val="00EF626C"/>
    <w:rsid w:val="00EF6458"/>
    <w:rsid w:val="00EF6A45"/>
    <w:rsid w:val="00EF7515"/>
    <w:rsid w:val="00EF777B"/>
    <w:rsid w:val="00EF7B35"/>
    <w:rsid w:val="00F00DFB"/>
    <w:rsid w:val="00F00F57"/>
    <w:rsid w:val="00F01000"/>
    <w:rsid w:val="00F022F8"/>
    <w:rsid w:val="00F0264D"/>
    <w:rsid w:val="00F02A97"/>
    <w:rsid w:val="00F03521"/>
    <w:rsid w:val="00F03877"/>
    <w:rsid w:val="00F0404D"/>
    <w:rsid w:val="00F040B4"/>
    <w:rsid w:val="00F04EEE"/>
    <w:rsid w:val="00F05257"/>
    <w:rsid w:val="00F05282"/>
    <w:rsid w:val="00F05548"/>
    <w:rsid w:val="00F07195"/>
    <w:rsid w:val="00F07FA5"/>
    <w:rsid w:val="00F108C7"/>
    <w:rsid w:val="00F10D0A"/>
    <w:rsid w:val="00F11193"/>
    <w:rsid w:val="00F118CC"/>
    <w:rsid w:val="00F12478"/>
    <w:rsid w:val="00F12E6C"/>
    <w:rsid w:val="00F140FD"/>
    <w:rsid w:val="00F14BA1"/>
    <w:rsid w:val="00F14F02"/>
    <w:rsid w:val="00F15601"/>
    <w:rsid w:val="00F15751"/>
    <w:rsid w:val="00F16255"/>
    <w:rsid w:val="00F16A30"/>
    <w:rsid w:val="00F175E0"/>
    <w:rsid w:val="00F17857"/>
    <w:rsid w:val="00F17AC7"/>
    <w:rsid w:val="00F17B2B"/>
    <w:rsid w:val="00F17B31"/>
    <w:rsid w:val="00F20287"/>
    <w:rsid w:val="00F217E6"/>
    <w:rsid w:val="00F219AD"/>
    <w:rsid w:val="00F23357"/>
    <w:rsid w:val="00F23D5D"/>
    <w:rsid w:val="00F240D7"/>
    <w:rsid w:val="00F2470B"/>
    <w:rsid w:val="00F2507F"/>
    <w:rsid w:val="00F256FB"/>
    <w:rsid w:val="00F25E0A"/>
    <w:rsid w:val="00F25FEE"/>
    <w:rsid w:val="00F268B6"/>
    <w:rsid w:val="00F26D85"/>
    <w:rsid w:val="00F27401"/>
    <w:rsid w:val="00F334BA"/>
    <w:rsid w:val="00F33508"/>
    <w:rsid w:val="00F33B7C"/>
    <w:rsid w:val="00F34CAA"/>
    <w:rsid w:val="00F34D9F"/>
    <w:rsid w:val="00F35BFD"/>
    <w:rsid w:val="00F35FFD"/>
    <w:rsid w:val="00F36864"/>
    <w:rsid w:val="00F3734F"/>
    <w:rsid w:val="00F3735D"/>
    <w:rsid w:val="00F377EC"/>
    <w:rsid w:val="00F37DF5"/>
    <w:rsid w:val="00F37EE5"/>
    <w:rsid w:val="00F413B6"/>
    <w:rsid w:val="00F414F7"/>
    <w:rsid w:val="00F4195A"/>
    <w:rsid w:val="00F41F23"/>
    <w:rsid w:val="00F42BA9"/>
    <w:rsid w:val="00F44732"/>
    <w:rsid w:val="00F44E77"/>
    <w:rsid w:val="00F45CCA"/>
    <w:rsid w:val="00F45D8E"/>
    <w:rsid w:val="00F45E77"/>
    <w:rsid w:val="00F46391"/>
    <w:rsid w:val="00F46BC1"/>
    <w:rsid w:val="00F46D76"/>
    <w:rsid w:val="00F471E3"/>
    <w:rsid w:val="00F47D10"/>
    <w:rsid w:val="00F5089F"/>
    <w:rsid w:val="00F5180F"/>
    <w:rsid w:val="00F51E44"/>
    <w:rsid w:val="00F51EA1"/>
    <w:rsid w:val="00F520ED"/>
    <w:rsid w:val="00F52192"/>
    <w:rsid w:val="00F524A8"/>
    <w:rsid w:val="00F52E48"/>
    <w:rsid w:val="00F5364D"/>
    <w:rsid w:val="00F53672"/>
    <w:rsid w:val="00F53E90"/>
    <w:rsid w:val="00F555FC"/>
    <w:rsid w:val="00F56AF6"/>
    <w:rsid w:val="00F57F71"/>
    <w:rsid w:val="00F60465"/>
    <w:rsid w:val="00F615AA"/>
    <w:rsid w:val="00F61F7D"/>
    <w:rsid w:val="00F6263C"/>
    <w:rsid w:val="00F63693"/>
    <w:rsid w:val="00F63CA9"/>
    <w:rsid w:val="00F63CDA"/>
    <w:rsid w:val="00F64260"/>
    <w:rsid w:val="00F6431D"/>
    <w:rsid w:val="00F64404"/>
    <w:rsid w:val="00F649BC"/>
    <w:rsid w:val="00F64C66"/>
    <w:rsid w:val="00F64D39"/>
    <w:rsid w:val="00F66FAE"/>
    <w:rsid w:val="00F66FF0"/>
    <w:rsid w:val="00F67B14"/>
    <w:rsid w:val="00F67C2B"/>
    <w:rsid w:val="00F67F66"/>
    <w:rsid w:val="00F70406"/>
    <w:rsid w:val="00F71540"/>
    <w:rsid w:val="00F71830"/>
    <w:rsid w:val="00F718EC"/>
    <w:rsid w:val="00F724EF"/>
    <w:rsid w:val="00F7286F"/>
    <w:rsid w:val="00F72CA2"/>
    <w:rsid w:val="00F73F08"/>
    <w:rsid w:val="00F74567"/>
    <w:rsid w:val="00F74A0E"/>
    <w:rsid w:val="00F74E39"/>
    <w:rsid w:val="00F74E85"/>
    <w:rsid w:val="00F750A5"/>
    <w:rsid w:val="00F7525F"/>
    <w:rsid w:val="00F7591D"/>
    <w:rsid w:val="00F759A4"/>
    <w:rsid w:val="00F75A71"/>
    <w:rsid w:val="00F75BC3"/>
    <w:rsid w:val="00F75F65"/>
    <w:rsid w:val="00F761CB"/>
    <w:rsid w:val="00F762AB"/>
    <w:rsid w:val="00F76392"/>
    <w:rsid w:val="00F7699F"/>
    <w:rsid w:val="00F77DA9"/>
    <w:rsid w:val="00F8038F"/>
    <w:rsid w:val="00F80606"/>
    <w:rsid w:val="00F80D96"/>
    <w:rsid w:val="00F81096"/>
    <w:rsid w:val="00F818C5"/>
    <w:rsid w:val="00F818ED"/>
    <w:rsid w:val="00F82202"/>
    <w:rsid w:val="00F828F3"/>
    <w:rsid w:val="00F82E3C"/>
    <w:rsid w:val="00F83425"/>
    <w:rsid w:val="00F8348E"/>
    <w:rsid w:val="00F83B49"/>
    <w:rsid w:val="00F853FA"/>
    <w:rsid w:val="00F8558F"/>
    <w:rsid w:val="00F8595D"/>
    <w:rsid w:val="00F85CE8"/>
    <w:rsid w:val="00F86955"/>
    <w:rsid w:val="00F86A5A"/>
    <w:rsid w:val="00F87756"/>
    <w:rsid w:val="00F87B5A"/>
    <w:rsid w:val="00F87BC0"/>
    <w:rsid w:val="00F87C89"/>
    <w:rsid w:val="00F92B01"/>
    <w:rsid w:val="00F9386E"/>
    <w:rsid w:val="00F93DF3"/>
    <w:rsid w:val="00F94075"/>
    <w:rsid w:val="00F955B0"/>
    <w:rsid w:val="00F959D1"/>
    <w:rsid w:val="00F95ADB"/>
    <w:rsid w:val="00F95CCA"/>
    <w:rsid w:val="00F97464"/>
    <w:rsid w:val="00F9777C"/>
    <w:rsid w:val="00FA063E"/>
    <w:rsid w:val="00FA076B"/>
    <w:rsid w:val="00FA0D33"/>
    <w:rsid w:val="00FA0F5B"/>
    <w:rsid w:val="00FA1CB6"/>
    <w:rsid w:val="00FA21A1"/>
    <w:rsid w:val="00FA2483"/>
    <w:rsid w:val="00FA2F43"/>
    <w:rsid w:val="00FA33A5"/>
    <w:rsid w:val="00FA34BA"/>
    <w:rsid w:val="00FA4056"/>
    <w:rsid w:val="00FA458C"/>
    <w:rsid w:val="00FA46ED"/>
    <w:rsid w:val="00FA59C9"/>
    <w:rsid w:val="00FA5ACD"/>
    <w:rsid w:val="00FA5F2B"/>
    <w:rsid w:val="00FA6222"/>
    <w:rsid w:val="00FA69ED"/>
    <w:rsid w:val="00FA6D15"/>
    <w:rsid w:val="00FA6F8A"/>
    <w:rsid w:val="00FA741C"/>
    <w:rsid w:val="00FA752B"/>
    <w:rsid w:val="00FA7F06"/>
    <w:rsid w:val="00FB05AA"/>
    <w:rsid w:val="00FB1B1A"/>
    <w:rsid w:val="00FB1B51"/>
    <w:rsid w:val="00FB1FAB"/>
    <w:rsid w:val="00FB27A0"/>
    <w:rsid w:val="00FB31EC"/>
    <w:rsid w:val="00FB352D"/>
    <w:rsid w:val="00FB382C"/>
    <w:rsid w:val="00FB3F6E"/>
    <w:rsid w:val="00FB4569"/>
    <w:rsid w:val="00FB494D"/>
    <w:rsid w:val="00FB4D78"/>
    <w:rsid w:val="00FB504F"/>
    <w:rsid w:val="00FB565C"/>
    <w:rsid w:val="00FB657F"/>
    <w:rsid w:val="00FB6683"/>
    <w:rsid w:val="00FB6F32"/>
    <w:rsid w:val="00FB70AF"/>
    <w:rsid w:val="00FB78B1"/>
    <w:rsid w:val="00FB78EE"/>
    <w:rsid w:val="00FC02A2"/>
    <w:rsid w:val="00FC0EC5"/>
    <w:rsid w:val="00FC0F42"/>
    <w:rsid w:val="00FC18B1"/>
    <w:rsid w:val="00FC2D0B"/>
    <w:rsid w:val="00FC385E"/>
    <w:rsid w:val="00FC3A83"/>
    <w:rsid w:val="00FC48D4"/>
    <w:rsid w:val="00FC4C0B"/>
    <w:rsid w:val="00FC590C"/>
    <w:rsid w:val="00FC5D66"/>
    <w:rsid w:val="00FC5F00"/>
    <w:rsid w:val="00FC617D"/>
    <w:rsid w:val="00FC6461"/>
    <w:rsid w:val="00FC6558"/>
    <w:rsid w:val="00FC69A6"/>
    <w:rsid w:val="00FC6D8D"/>
    <w:rsid w:val="00FC738E"/>
    <w:rsid w:val="00FD02F8"/>
    <w:rsid w:val="00FD0453"/>
    <w:rsid w:val="00FD08B6"/>
    <w:rsid w:val="00FD101A"/>
    <w:rsid w:val="00FD192A"/>
    <w:rsid w:val="00FD21C4"/>
    <w:rsid w:val="00FD2F90"/>
    <w:rsid w:val="00FD34C7"/>
    <w:rsid w:val="00FD3878"/>
    <w:rsid w:val="00FD3A35"/>
    <w:rsid w:val="00FD3C4D"/>
    <w:rsid w:val="00FD421C"/>
    <w:rsid w:val="00FD4C0B"/>
    <w:rsid w:val="00FD4EE0"/>
    <w:rsid w:val="00FD543C"/>
    <w:rsid w:val="00FD675B"/>
    <w:rsid w:val="00FD7258"/>
    <w:rsid w:val="00FE06AB"/>
    <w:rsid w:val="00FE0A31"/>
    <w:rsid w:val="00FE0BAC"/>
    <w:rsid w:val="00FE0F0E"/>
    <w:rsid w:val="00FE0F31"/>
    <w:rsid w:val="00FE1342"/>
    <w:rsid w:val="00FE14CD"/>
    <w:rsid w:val="00FE1FB8"/>
    <w:rsid w:val="00FE27E8"/>
    <w:rsid w:val="00FE2CDB"/>
    <w:rsid w:val="00FE36D3"/>
    <w:rsid w:val="00FE37C7"/>
    <w:rsid w:val="00FE3D45"/>
    <w:rsid w:val="00FE3E0A"/>
    <w:rsid w:val="00FE45EC"/>
    <w:rsid w:val="00FE4C2C"/>
    <w:rsid w:val="00FE50F8"/>
    <w:rsid w:val="00FE5721"/>
    <w:rsid w:val="00FE5936"/>
    <w:rsid w:val="00FE61D6"/>
    <w:rsid w:val="00FE674D"/>
    <w:rsid w:val="00FE6936"/>
    <w:rsid w:val="00FE741B"/>
    <w:rsid w:val="00FE7545"/>
    <w:rsid w:val="00FE7639"/>
    <w:rsid w:val="00FF0D1B"/>
    <w:rsid w:val="00FF0D94"/>
    <w:rsid w:val="00FF0E05"/>
    <w:rsid w:val="00FF10D5"/>
    <w:rsid w:val="00FF1237"/>
    <w:rsid w:val="00FF1C08"/>
    <w:rsid w:val="00FF29C2"/>
    <w:rsid w:val="00FF29D9"/>
    <w:rsid w:val="00FF3008"/>
    <w:rsid w:val="00FF32C5"/>
    <w:rsid w:val="00FF3471"/>
    <w:rsid w:val="00FF40D3"/>
    <w:rsid w:val="00FF45D5"/>
    <w:rsid w:val="00FF487E"/>
    <w:rsid w:val="00FF5A83"/>
    <w:rsid w:val="00FF5C64"/>
    <w:rsid w:val="00FF5CC1"/>
    <w:rsid w:val="00FF602F"/>
    <w:rsid w:val="00FF6862"/>
    <w:rsid w:val="00FF7036"/>
    <w:rsid w:val="00FF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DB900"/>
  <w15:chartTrackingRefBased/>
  <w15:docId w15:val="{97E99726-02C4-47FC-BFD3-2C9C55205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4C9"/>
    <w:rPr>
      <w:kern w:val="0"/>
      <w:lang w:val="en-US"/>
      <w14:ligatures w14:val="none"/>
    </w:rPr>
  </w:style>
  <w:style w:type="paragraph" w:styleId="Heading1">
    <w:name w:val="heading 1"/>
    <w:basedOn w:val="Normal"/>
    <w:next w:val="Normal"/>
    <w:link w:val="Heading1Char"/>
    <w:uiPriority w:val="9"/>
    <w:qFormat/>
    <w:rsid w:val="00A65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65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52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52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52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52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2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2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2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2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652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52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52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52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52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2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2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275"/>
    <w:rPr>
      <w:rFonts w:eastAsiaTheme="majorEastAsia" w:cstheme="majorBidi"/>
      <w:color w:val="272727" w:themeColor="text1" w:themeTint="D8"/>
    </w:rPr>
  </w:style>
  <w:style w:type="paragraph" w:styleId="Title">
    <w:name w:val="Title"/>
    <w:basedOn w:val="Normal"/>
    <w:next w:val="Normal"/>
    <w:link w:val="TitleChar"/>
    <w:uiPriority w:val="10"/>
    <w:qFormat/>
    <w:rsid w:val="00A65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2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2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2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275"/>
    <w:pPr>
      <w:spacing w:before="160"/>
      <w:jc w:val="center"/>
    </w:pPr>
    <w:rPr>
      <w:i/>
      <w:iCs/>
      <w:color w:val="404040" w:themeColor="text1" w:themeTint="BF"/>
    </w:rPr>
  </w:style>
  <w:style w:type="character" w:customStyle="1" w:styleId="QuoteChar">
    <w:name w:val="Quote Char"/>
    <w:basedOn w:val="DefaultParagraphFont"/>
    <w:link w:val="Quote"/>
    <w:uiPriority w:val="29"/>
    <w:rsid w:val="00A65275"/>
    <w:rPr>
      <w:i/>
      <w:iCs/>
      <w:color w:val="404040" w:themeColor="text1" w:themeTint="BF"/>
    </w:rPr>
  </w:style>
  <w:style w:type="paragraph" w:styleId="ListParagraph">
    <w:name w:val="List Paragraph"/>
    <w:basedOn w:val="Normal"/>
    <w:uiPriority w:val="34"/>
    <w:qFormat/>
    <w:rsid w:val="00A65275"/>
    <w:pPr>
      <w:ind w:left="720"/>
      <w:contextualSpacing/>
    </w:pPr>
  </w:style>
  <w:style w:type="character" w:styleId="IntenseEmphasis">
    <w:name w:val="Intense Emphasis"/>
    <w:basedOn w:val="DefaultParagraphFont"/>
    <w:uiPriority w:val="21"/>
    <w:qFormat/>
    <w:rsid w:val="00A65275"/>
    <w:rPr>
      <w:i/>
      <w:iCs/>
      <w:color w:val="0F4761" w:themeColor="accent1" w:themeShade="BF"/>
    </w:rPr>
  </w:style>
  <w:style w:type="paragraph" w:styleId="IntenseQuote">
    <w:name w:val="Intense Quote"/>
    <w:basedOn w:val="Normal"/>
    <w:next w:val="Normal"/>
    <w:link w:val="IntenseQuoteChar"/>
    <w:uiPriority w:val="30"/>
    <w:qFormat/>
    <w:rsid w:val="00A65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5275"/>
    <w:rPr>
      <w:i/>
      <w:iCs/>
      <w:color w:val="0F4761" w:themeColor="accent1" w:themeShade="BF"/>
    </w:rPr>
  </w:style>
  <w:style w:type="character" w:styleId="IntenseReference">
    <w:name w:val="Intense Reference"/>
    <w:basedOn w:val="DefaultParagraphFont"/>
    <w:uiPriority w:val="32"/>
    <w:qFormat/>
    <w:rsid w:val="00A65275"/>
    <w:rPr>
      <w:b/>
      <w:bCs/>
      <w:smallCaps/>
      <w:color w:val="0F4761" w:themeColor="accent1" w:themeShade="BF"/>
      <w:spacing w:val="5"/>
    </w:rPr>
  </w:style>
  <w:style w:type="paragraph" w:styleId="FootnoteText">
    <w:name w:val="footnote text"/>
    <w:aliases w:val="fn,footnote text,Footnote ak,Footnotes,ft,Footnote Text Char1,Footnote Text Char Char,fn Char Char,footnote text Char Char,Footnotes Char Char,Footnote ak Char Char,footnote text Char1,fn ca,Footnote Text Char1 Char Char,ADB,f"/>
    <w:basedOn w:val="Normal"/>
    <w:link w:val="FootnoteTextChar"/>
    <w:uiPriority w:val="99"/>
    <w:unhideWhenUsed/>
    <w:qFormat/>
    <w:rsid w:val="00A65275"/>
    <w:pPr>
      <w:spacing w:after="0" w:line="240" w:lineRule="auto"/>
    </w:pPr>
    <w:rPr>
      <w:sz w:val="20"/>
      <w:szCs w:val="20"/>
    </w:rPr>
  </w:style>
  <w:style w:type="character" w:customStyle="1" w:styleId="FootnoteTextChar">
    <w:name w:val="Footnote Text Char"/>
    <w:aliases w:val="fn Char,footnote text Char,Footnote ak Char,Footnotes Char,ft Char,Footnote Text Char1 Char,Footnote Text Char Char Char,fn Char Char Char,footnote text Char Char Char,Footnotes Char Char Char,Footnote ak Char Char Char,fn ca Char"/>
    <w:basedOn w:val="DefaultParagraphFont"/>
    <w:link w:val="FootnoteText"/>
    <w:uiPriority w:val="99"/>
    <w:rsid w:val="00A65275"/>
    <w:rPr>
      <w:kern w:val="0"/>
      <w:sz w:val="20"/>
      <w:szCs w:val="20"/>
      <w14:ligatures w14:val="none"/>
    </w:rPr>
  </w:style>
  <w:style w:type="character" w:styleId="FootnoteReference">
    <w:name w:val="footnote reference"/>
    <w:aliases w:val="de nota al pie,Ref,16 Point,Superscript 6 Point,ftref, BVI fnr,Footnote Reference 2,BVI fnr,Char Char Char Char Car Char,RSC_WP (footnote reference),Error-Fußnotenzeichen5,Error-Fußnotenzeichen6,Error-Fußnotenzeichen3,fr"/>
    <w:basedOn w:val="DefaultParagraphFont"/>
    <w:uiPriority w:val="99"/>
    <w:unhideWhenUsed/>
    <w:qFormat/>
    <w:rsid w:val="00A65275"/>
    <w:rPr>
      <w:vertAlign w:val="superscript"/>
    </w:rPr>
  </w:style>
  <w:style w:type="paragraph" w:styleId="Footer">
    <w:name w:val="footer"/>
    <w:basedOn w:val="Normal"/>
    <w:link w:val="FooterChar"/>
    <w:uiPriority w:val="99"/>
    <w:unhideWhenUsed/>
    <w:rsid w:val="00B211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1A8"/>
    <w:rPr>
      <w:kern w:val="0"/>
      <w14:ligatures w14:val="none"/>
    </w:rPr>
  </w:style>
  <w:style w:type="table" w:styleId="TableGrid">
    <w:name w:val="Table Grid"/>
    <w:basedOn w:val="TableNormal"/>
    <w:uiPriority w:val="39"/>
    <w:rsid w:val="002272C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241B"/>
    <w:pPr>
      <w:spacing w:after="0" w:line="240" w:lineRule="auto"/>
    </w:pPr>
    <w:rPr>
      <w:kern w:val="0"/>
      <w:lang w:val="en-US"/>
      <w14:ligatures w14:val="none"/>
    </w:rPr>
  </w:style>
  <w:style w:type="character" w:styleId="CommentReference">
    <w:name w:val="annotation reference"/>
    <w:basedOn w:val="DefaultParagraphFont"/>
    <w:uiPriority w:val="99"/>
    <w:semiHidden/>
    <w:unhideWhenUsed/>
    <w:rsid w:val="00FE1FB8"/>
    <w:rPr>
      <w:sz w:val="16"/>
      <w:szCs w:val="16"/>
    </w:rPr>
  </w:style>
  <w:style w:type="paragraph" w:styleId="CommentText">
    <w:name w:val="annotation text"/>
    <w:basedOn w:val="Normal"/>
    <w:link w:val="CommentTextChar"/>
    <w:uiPriority w:val="99"/>
    <w:unhideWhenUsed/>
    <w:rsid w:val="00FE1FB8"/>
    <w:pPr>
      <w:spacing w:line="240" w:lineRule="auto"/>
    </w:pPr>
    <w:rPr>
      <w:sz w:val="20"/>
      <w:szCs w:val="20"/>
    </w:rPr>
  </w:style>
  <w:style w:type="character" w:customStyle="1" w:styleId="CommentTextChar">
    <w:name w:val="Comment Text Char"/>
    <w:basedOn w:val="DefaultParagraphFont"/>
    <w:link w:val="CommentText"/>
    <w:uiPriority w:val="99"/>
    <w:rsid w:val="00FE1FB8"/>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FE1FB8"/>
    <w:rPr>
      <w:b/>
      <w:bCs/>
    </w:rPr>
  </w:style>
  <w:style w:type="character" w:customStyle="1" w:styleId="CommentSubjectChar">
    <w:name w:val="Comment Subject Char"/>
    <w:basedOn w:val="CommentTextChar"/>
    <w:link w:val="CommentSubject"/>
    <w:uiPriority w:val="99"/>
    <w:semiHidden/>
    <w:rsid w:val="00FE1FB8"/>
    <w:rPr>
      <w:b/>
      <w:bCs/>
      <w:kern w:val="0"/>
      <w:sz w:val="20"/>
      <w:szCs w:val="20"/>
      <w:lang w:val="en-US"/>
      <w14:ligatures w14:val="none"/>
    </w:rPr>
  </w:style>
  <w:style w:type="character" w:styleId="PlaceholderText">
    <w:name w:val="Placeholder Text"/>
    <w:basedOn w:val="DefaultParagraphFont"/>
    <w:uiPriority w:val="99"/>
    <w:semiHidden/>
    <w:rsid w:val="0024779D"/>
    <w:rPr>
      <w:color w:val="666666"/>
    </w:rPr>
  </w:style>
  <w:style w:type="paragraph" w:styleId="NormalWeb">
    <w:name w:val="Normal (Web)"/>
    <w:basedOn w:val="Normal"/>
    <w:uiPriority w:val="99"/>
    <w:semiHidden/>
    <w:unhideWhenUsed/>
    <w:rsid w:val="001D57B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EndnoteText">
    <w:name w:val="endnote text"/>
    <w:basedOn w:val="Normal"/>
    <w:link w:val="EndnoteTextChar"/>
    <w:uiPriority w:val="99"/>
    <w:semiHidden/>
    <w:unhideWhenUsed/>
    <w:rsid w:val="00F217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17E6"/>
    <w:rPr>
      <w:kern w:val="0"/>
      <w:sz w:val="20"/>
      <w:szCs w:val="20"/>
      <w:lang w:val="en-US"/>
      <w14:ligatures w14:val="none"/>
    </w:rPr>
  </w:style>
  <w:style w:type="character" w:styleId="EndnoteReference">
    <w:name w:val="endnote reference"/>
    <w:basedOn w:val="DefaultParagraphFont"/>
    <w:uiPriority w:val="99"/>
    <w:semiHidden/>
    <w:unhideWhenUsed/>
    <w:rsid w:val="00F217E6"/>
    <w:rPr>
      <w:vertAlign w:val="superscript"/>
    </w:rPr>
  </w:style>
  <w:style w:type="character" w:styleId="Hyperlink">
    <w:name w:val="Hyperlink"/>
    <w:basedOn w:val="DefaultParagraphFont"/>
    <w:uiPriority w:val="99"/>
    <w:unhideWhenUsed/>
    <w:rsid w:val="000804BC"/>
    <w:rPr>
      <w:color w:val="467886" w:themeColor="hyperlink"/>
      <w:u w:val="single"/>
    </w:rPr>
  </w:style>
  <w:style w:type="character" w:styleId="UnresolvedMention">
    <w:name w:val="Unresolved Mention"/>
    <w:basedOn w:val="DefaultParagraphFont"/>
    <w:uiPriority w:val="99"/>
    <w:semiHidden/>
    <w:unhideWhenUsed/>
    <w:rsid w:val="000804BC"/>
    <w:rPr>
      <w:color w:val="605E5C"/>
      <w:shd w:val="clear" w:color="auto" w:fill="E1DFDD"/>
    </w:rPr>
  </w:style>
  <w:style w:type="character" w:styleId="FollowedHyperlink">
    <w:name w:val="FollowedHyperlink"/>
    <w:basedOn w:val="DefaultParagraphFont"/>
    <w:uiPriority w:val="99"/>
    <w:semiHidden/>
    <w:unhideWhenUsed/>
    <w:rsid w:val="000B143B"/>
    <w:rPr>
      <w:color w:val="96607D" w:themeColor="followedHyperlink"/>
      <w:u w:val="single"/>
    </w:rPr>
  </w:style>
  <w:style w:type="paragraph" w:styleId="Header">
    <w:name w:val="header"/>
    <w:basedOn w:val="Normal"/>
    <w:link w:val="HeaderChar"/>
    <w:uiPriority w:val="99"/>
    <w:unhideWhenUsed/>
    <w:rsid w:val="003E3E40"/>
    <w:pPr>
      <w:tabs>
        <w:tab w:val="center" w:pos="4819"/>
        <w:tab w:val="right" w:pos="9638"/>
      </w:tabs>
      <w:spacing w:after="0" w:line="240" w:lineRule="auto"/>
    </w:pPr>
  </w:style>
  <w:style w:type="character" w:customStyle="1" w:styleId="HeaderChar">
    <w:name w:val="Header Char"/>
    <w:basedOn w:val="DefaultParagraphFont"/>
    <w:link w:val="Header"/>
    <w:uiPriority w:val="99"/>
    <w:rsid w:val="003E3E40"/>
    <w:rPr>
      <w:kern w:val="0"/>
      <w:lang w:val="en-US"/>
      <w14:ligatures w14:val="none"/>
    </w:rPr>
  </w:style>
  <w:style w:type="character" w:styleId="Emphasis">
    <w:name w:val="Emphasis"/>
    <w:basedOn w:val="DefaultParagraphFont"/>
    <w:uiPriority w:val="20"/>
    <w:qFormat/>
    <w:rsid w:val="005F18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2453">
      <w:bodyDiv w:val="1"/>
      <w:marLeft w:val="0"/>
      <w:marRight w:val="0"/>
      <w:marTop w:val="0"/>
      <w:marBottom w:val="0"/>
      <w:divBdr>
        <w:top w:val="none" w:sz="0" w:space="0" w:color="auto"/>
        <w:left w:val="none" w:sz="0" w:space="0" w:color="auto"/>
        <w:bottom w:val="none" w:sz="0" w:space="0" w:color="auto"/>
        <w:right w:val="none" w:sz="0" w:space="0" w:color="auto"/>
      </w:divBdr>
    </w:div>
    <w:div w:id="8145879">
      <w:bodyDiv w:val="1"/>
      <w:marLeft w:val="0"/>
      <w:marRight w:val="0"/>
      <w:marTop w:val="0"/>
      <w:marBottom w:val="0"/>
      <w:divBdr>
        <w:top w:val="none" w:sz="0" w:space="0" w:color="auto"/>
        <w:left w:val="none" w:sz="0" w:space="0" w:color="auto"/>
        <w:bottom w:val="none" w:sz="0" w:space="0" w:color="auto"/>
        <w:right w:val="none" w:sz="0" w:space="0" w:color="auto"/>
      </w:divBdr>
    </w:div>
    <w:div w:id="56827268">
      <w:bodyDiv w:val="1"/>
      <w:marLeft w:val="0"/>
      <w:marRight w:val="0"/>
      <w:marTop w:val="0"/>
      <w:marBottom w:val="0"/>
      <w:divBdr>
        <w:top w:val="none" w:sz="0" w:space="0" w:color="auto"/>
        <w:left w:val="none" w:sz="0" w:space="0" w:color="auto"/>
        <w:bottom w:val="none" w:sz="0" w:space="0" w:color="auto"/>
        <w:right w:val="none" w:sz="0" w:space="0" w:color="auto"/>
      </w:divBdr>
    </w:div>
    <w:div w:id="111478414">
      <w:bodyDiv w:val="1"/>
      <w:marLeft w:val="0"/>
      <w:marRight w:val="0"/>
      <w:marTop w:val="0"/>
      <w:marBottom w:val="0"/>
      <w:divBdr>
        <w:top w:val="none" w:sz="0" w:space="0" w:color="auto"/>
        <w:left w:val="none" w:sz="0" w:space="0" w:color="auto"/>
        <w:bottom w:val="none" w:sz="0" w:space="0" w:color="auto"/>
        <w:right w:val="none" w:sz="0" w:space="0" w:color="auto"/>
      </w:divBdr>
    </w:div>
    <w:div w:id="129783120">
      <w:bodyDiv w:val="1"/>
      <w:marLeft w:val="0"/>
      <w:marRight w:val="0"/>
      <w:marTop w:val="0"/>
      <w:marBottom w:val="0"/>
      <w:divBdr>
        <w:top w:val="none" w:sz="0" w:space="0" w:color="auto"/>
        <w:left w:val="none" w:sz="0" w:space="0" w:color="auto"/>
        <w:bottom w:val="none" w:sz="0" w:space="0" w:color="auto"/>
        <w:right w:val="none" w:sz="0" w:space="0" w:color="auto"/>
      </w:divBdr>
    </w:div>
    <w:div w:id="172569821">
      <w:bodyDiv w:val="1"/>
      <w:marLeft w:val="0"/>
      <w:marRight w:val="0"/>
      <w:marTop w:val="0"/>
      <w:marBottom w:val="0"/>
      <w:divBdr>
        <w:top w:val="none" w:sz="0" w:space="0" w:color="auto"/>
        <w:left w:val="none" w:sz="0" w:space="0" w:color="auto"/>
        <w:bottom w:val="none" w:sz="0" w:space="0" w:color="auto"/>
        <w:right w:val="none" w:sz="0" w:space="0" w:color="auto"/>
      </w:divBdr>
      <w:divsChild>
        <w:div w:id="296878657">
          <w:marLeft w:val="0"/>
          <w:marRight w:val="0"/>
          <w:marTop w:val="0"/>
          <w:marBottom w:val="0"/>
          <w:divBdr>
            <w:top w:val="none" w:sz="0" w:space="0" w:color="auto"/>
            <w:left w:val="none" w:sz="0" w:space="0" w:color="auto"/>
            <w:bottom w:val="none" w:sz="0" w:space="0" w:color="auto"/>
            <w:right w:val="none" w:sz="0" w:space="0" w:color="auto"/>
          </w:divBdr>
          <w:divsChild>
            <w:div w:id="1333604462">
              <w:marLeft w:val="0"/>
              <w:marRight w:val="0"/>
              <w:marTop w:val="0"/>
              <w:marBottom w:val="0"/>
              <w:divBdr>
                <w:top w:val="none" w:sz="0" w:space="0" w:color="auto"/>
                <w:left w:val="none" w:sz="0" w:space="0" w:color="auto"/>
                <w:bottom w:val="none" w:sz="0" w:space="0" w:color="auto"/>
                <w:right w:val="none" w:sz="0" w:space="0" w:color="auto"/>
              </w:divBdr>
              <w:divsChild>
                <w:div w:id="66783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2909">
      <w:bodyDiv w:val="1"/>
      <w:marLeft w:val="0"/>
      <w:marRight w:val="0"/>
      <w:marTop w:val="0"/>
      <w:marBottom w:val="0"/>
      <w:divBdr>
        <w:top w:val="none" w:sz="0" w:space="0" w:color="auto"/>
        <w:left w:val="none" w:sz="0" w:space="0" w:color="auto"/>
        <w:bottom w:val="none" w:sz="0" w:space="0" w:color="auto"/>
        <w:right w:val="none" w:sz="0" w:space="0" w:color="auto"/>
      </w:divBdr>
    </w:div>
    <w:div w:id="230778567">
      <w:bodyDiv w:val="1"/>
      <w:marLeft w:val="0"/>
      <w:marRight w:val="0"/>
      <w:marTop w:val="0"/>
      <w:marBottom w:val="0"/>
      <w:divBdr>
        <w:top w:val="none" w:sz="0" w:space="0" w:color="auto"/>
        <w:left w:val="none" w:sz="0" w:space="0" w:color="auto"/>
        <w:bottom w:val="none" w:sz="0" w:space="0" w:color="auto"/>
        <w:right w:val="none" w:sz="0" w:space="0" w:color="auto"/>
      </w:divBdr>
      <w:divsChild>
        <w:div w:id="1464538717">
          <w:marLeft w:val="0"/>
          <w:marRight w:val="0"/>
          <w:marTop w:val="0"/>
          <w:marBottom w:val="0"/>
          <w:divBdr>
            <w:top w:val="none" w:sz="0" w:space="0" w:color="auto"/>
            <w:left w:val="none" w:sz="0" w:space="0" w:color="auto"/>
            <w:bottom w:val="none" w:sz="0" w:space="0" w:color="auto"/>
            <w:right w:val="none" w:sz="0" w:space="0" w:color="auto"/>
          </w:divBdr>
          <w:divsChild>
            <w:div w:id="317854487">
              <w:marLeft w:val="0"/>
              <w:marRight w:val="0"/>
              <w:marTop w:val="0"/>
              <w:marBottom w:val="0"/>
              <w:divBdr>
                <w:top w:val="none" w:sz="0" w:space="0" w:color="auto"/>
                <w:left w:val="none" w:sz="0" w:space="0" w:color="auto"/>
                <w:bottom w:val="none" w:sz="0" w:space="0" w:color="auto"/>
                <w:right w:val="none" w:sz="0" w:space="0" w:color="auto"/>
              </w:divBdr>
              <w:divsChild>
                <w:div w:id="106734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078149">
      <w:bodyDiv w:val="1"/>
      <w:marLeft w:val="0"/>
      <w:marRight w:val="0"/>
      <w:marTop w:val="0"/>
      <w:marBottom w:val="0"/>
      <w:divBdr>
        <w:top w:val="none" w:sz="0" w:space="0" w:color="auto"/>
        <w:left w:val="none" w:sz="0" w:space="0" w:color="auto"/>
        <w:bottom w:val="none" w:sz="0" w:space="0" w:color="auto"/>
        <w:right w:val="none" w:sz="0" w:space="0" w:color="auto"/>
      </w:divBdr>
      <w:divsChild>
        <w:div w:id="313722327">
          <w:marLeft w:val="0"/>
          <w:marRight w:val="0"/>
          <w:marTop w:val="0"/>
          <w:marBottom w:val="0"/>
          <w:divBdr>
            <w:top w:val="none" w:sz="0" w:space="0" w:color="auto"/>
            <w:left w:val="none" w:sz="0" w:space="0" w:color="auto"/>
            <w:bottom w:val="none" w:sz="0" w:space="0" w:color="auto"/>
            <w:right w:val="none" w:sz="0" w:space="0" w:color="auto"/>
          </w:divBdr>
          <w:divsChild>
            <w:div w:id="1161237586">
              <w:marLeft w:val="0"/>
              <w:marRight w:val="0"/>
              <w:marTop w:val="0"/>
              <w:marBottom w:val="0"/>
              <w:divBdr>
                <w:top w:val="none" w:sz="0" w:space="0" w:color="auto"/>
                <w:left w:val="none" w:sz="0" w:space="0" w:color="auto"/>
                <w:bottom w:val="none" w:sz="0" w:space="0" w:color="auto"/>
                <w:right w:val="none" w:sz="0" w:space="0" w:color="auto"/>
              </w:divBdr>
              <w:divsChild>
                <w:div w:id="20012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65777">
      <w:bodyDiv w:val="1"/>
      <w:marLeft w:val="0"/>
      <w:marRight w:val="0"/>
      <w:marTop w:val="0"/>
      <w:marBottom w:val="0"/>
      <w:divBdr>
        <w:top w:val="none" w:sz="0" w:space="0" w:color="auto"/>
        <w:left w:val="none" w:sz="0" w:space="0" w:color="auto"/>
        <w:bottom w:val="none" w:sz="0" w:space="0" w:color="auto"/>
        <w:right w:val="none" w:sz="0" w:space="0" w:color="auto"/>
      </w:divBdr>
      <w:divsChild>
        <w:div w:id="1774470896">
          <w:marLeft w:val="0"/>
          <w:marRight w:val="0"/>
          <w:marTop w:val="0"/>
          <w:marBottom w:val="0"/>
          <w:divBdr>
            <w:top w:val="none" w:sz="0" w:space="0" w:color="auto"/>
            <w:left w:val="none" w:sz="0" w:space="0" w:color="auto"/>
            <w:bottom w:val="none" w:sz="0" w:space="0" w:color="auto"/>
            <w:right w:val="none" w:sz="0" w:space="0" w:color="auto"/>
          </w:divBdr>
          <w:divsChild>
            <w:div w:id="1301039829">
              <w:marLeft w:val="0"/>
              <w:marRight w:val="0"/>
              <w:marTop w:val="0"/>
              <w:marBottom w:val="0"/>
              <w:divBdr>
                <w:top w:val="none" w:sz="0" w:space="0" w:color="auto"/>
                <w:left w:val="none" w:sz="0" w:space="0" w:color="auto"/>
                <w:bottom w:val="none" w:sz="0" w:space="0" w:color="auto"/>
                <w:right w:val="none" w:sz="0" w:space="0" w:color="auto"/>
              </w:divBdr>
              <w:divsChild>
                <w:div w:id="122264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773739">
      <w:bodyDiv w:val="1"/>
      <w:marLeft w:val="0"/>
      <w:marRight w:val="0"/>
      <w:marTop w:val="0"/>
      <w:marBottom w:val="0"/>
      <w:divBdr>
        <w:top w:val="none" w:sz="0" w:space="0" w:color="auto"/>
        <w:left w:val="none" w:sz="0" w:space="0" w:color="auto"/>
        <w:bottom w:val="none" w:sz="0" w:space="0" w:color="auto"/>
        <w:right w:val="none" w:sz="0" w:space="0" w:color="auto"/>
      </w:divBdr>
    </w:div>
    <w:div w:id="336808002">
      <w:bodyDiv w:val="1"/>
      <w:marLeft w:val="0"/>
      <w:marRight w:val="0"/>
      <w:marTop w:val="0"/>
      <w:marBottom w:val="0"/>
      <w:divBdr>
        <w:top w:val="none" w:sz="0" w:space="0" w:color="auto"/>
        <w:left w:val="none" w:sz="0" w:space="0" w:color="auto"/>
        <w:bottom w:val="none" w:sz="0" w:space="0" w:color="auto"/>
        <w:right w:val="none" w:sz="0" w:space="0" w:color="auto"/>
      </w:divBdr>
    </w:div>
    <w:div w:id="344793203">
      <w:bodyDiv w:val="1"/>
      <w:marLeft w:val="0"/>
      <w:marRight w:val="0"/>
      <w:marTop w:val="0"/>
      <w:marBottom w:val="0"/>
      <w:divBdr>
        <w:top w:val="none" w:sz="0" w:space="0" w:color="auto"/>
        <w:left w:val="none" w:sz="0" w:space="0" w:color="auto"/>
        <w:bottom w:val="none" w:sz="0" w:space="0" w:color="auto"/>
        <w:right w:val="none" w:sz="0" w:space="0" w:color="auto"/>
      </w:divBdr>
      <w:divsChild>
        <w:div w:id="479885975">
          <w:marLeft w:val="0"/>
          <w:marRight w:val="0"/>
          <w:marTop w:val="0"/>
          <w:marBottom w:val="0"/>
          <w:divBdr>
            <w:top w:val="none" w:sz="0" w:space="0" w:color="auto"/>
            <w:left w:val="none" w:sz="0" w:space="0" w:color="auto"/>
            <w:bottom w:val="none" w:sz="0" w:space="0" w:color="auto"/>
            <w:right w:val="none" w:sz="0" w:space="0" w:color="auto"/>
          </w:divBdr>
          <w:divsChild>
            <w:div w:id="497231271">
              <w:marLeft w:val="0"/>
              <w:marRight w:val="0"/>
              <w:marTop w:val="0"/>
              <w:marBottom w:val="0"/>
              <w:divBdr>
                <w:top w:val="none" w:sz="0" w:space="0" w:color="auto"/>
                <w:left w:val="none" w:sz="0" w:space="0" w:color="auto"/>
                <w:bottom w:val="none" w:sz="0" w:space="0" w:color="auto"/>
                <w:right w:val="none" w:sz="0" w:space="0" w:color="auto"/>
              </w:divBdr>
              <w:divsChild>
                <w:div w:id="26569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364351">
      <w:bodyDiv w:val="1"/>
      <w:marLeft w:val="0"/>
      <w:marRight w:val="0"/>
      <w:marTop w:val="0"/>
      <w:marBottom w:val="0"/>
      <w:divBdr>
        <w:top w:val="none" w:sz="0" w:space="0" w:color="auto"/>
        <w:left w:val="none" w:sz="0" w:space="0" w:color="auto"/>
        <w:bottom w:val="none" w:sz="0" w:space="0" w:color="auto"/>
        <w:right w:val="none" w:sz="0" w:space="0" w:color="auto"/>
      </w:divBdr>
      <w:divsChild>
        <w:div w:id="1448037102">
          <w:marLeft w:val="0"/>
          <w:marRight w:val="0"/>
          <w:marTop w:val="0"/>
          <w:marBottom w:val="0"/>
          <w:divBdr>
            <w:top w:val="none" w:sz="0" w:space="0" w:color="auto"/>
            <w:left w:val="none" w:sz="0" w:space="0" w:color="auto"/>
            <w:bottom w:val="none" w:sz="0" w:space="0" w:color="auto"/>
            <w:right w:val="none" w:sz="0" w:space="0" w:color="auto"/>
          </w:divBdr>
          <w:divsChild>
            <w:div w:id="1672173556">
              <w:marLeft w:val="0"/>
              <w:marRight w:val="0"/>
              <w:marTop w:val="0"/>
              <w:marBottom w:val="0"/>
              <w:divBdr>
                <w:top w:val="none" w:sz="0" w:space="0" w:color="auto"/>
                <w:left w:val="none" w:sz="0" w:space="0" w:color="auto"/>
                <w:bottom w:val="none" w:sz="0" w:space="0" w:color="auto"/>
                <w:right w:val="none" w:sz="0" w:space="0" w:color="auto"/>
              </w:divBdr>
              <w:divsChild>
                <w:div w:id="235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83424">
      <w:bodyDiv w:val="1"/>
      <w:marLeft w:val="0"/>
      <w:marRight w:val="0"/>
      <w:marTop w:val="0"/>
      <w:marBottom w:val="0"/>
      <w:divBdr>
        <w:top w:val="none" w:sz="0" w:space="0" w:color="auto"/>
        <w:left w:val="none" w:sz="0" w:space="0" w:color="auto"/>
        <w:bottom w:val="none" w:sz="0" w:space="0" w:color="auto"/>
        <w:right w:val="none" w:sz="0" w:space="0" w:color="auto"/>
      </w:divBdr>
    </w:div>
    <w:div w:id="448209811">
      <w:bodyDiv w:val="1"/>
      <w:marLeft w:val="0"/>
      <w:marRight w:val="0"/>
      <w:marTop w:val="0"/>
      <w:marBottom w:val="0"/>
      <w:divBdr>
        <w:top w:val="none" w:sz="0" w:space="0" w:color="auto"/>
        <w:left w:val="none" w:sz="0" w:space="0" w:color="auto"/>
        <w:bottom w:val="none" w:sz="0" w:space="0" w:color="auto"/>
        <w:right w:val="none" w:sz="0" w:space="0" w:color="auto"/>
      </w:divBdr>
    </w:div>
    <w:div w:id="462625627">
      <w:bodyDiv w:val="1"/>
      <w:marLeft w:val="0"/>
      <w:marRight w:val="0"/>
      <w:marTop w:val="0"/>
      <w:marBottom w:val="0"/>
      <w:divBdr>
        <w:top w:val="none" w:sz="0" w:space="0" w:color="auto"/>
        <w:left w:val="none" w:sz="0" w:space="0" w:color="auto"/>
        <w:bottom w:val="none" w:sz="0" w:space="0" w:color="auto"/>
        <w:right w:val="none" w:sz="0" w:space="0" w:color="auto"/>
      </w:divBdr>
    </w:div>
    <w:div w:id="491918716">
      <w:bodyDiv w:val="1"/>
      <w:marLeft w:val="0"/>
      <w:marRight w:val="0"/>
      <w:marTop w:val="0"/>
      <w:marBottom w:val="0"/>
      <w:divBdr>
        <w:top w:val="none" w:sz="0" w:space="0" w:color="auto"/>
        <w:left w:val="none" w:sz="0" w:space="0" w:color="auto"/>
        <w:bottom w:val="none" w:sz="0" w:space="0" w:color="auto"/>
        <w:right w:val="none" w:sz="0" w:space="0" w:color="auto"/>
      </w:divBdr>
      <w:divsChild>
        <w:div w:id="1024283604">
          <w:marLeft w:val="0"/>
          <w:marRight w:val="0"/>
          <w:marTop w:val="0"/>
          <w:marBottom w:val="0"/>
          <w:divBdr>
            <w:top w:val="none" w:sz="0" w:space="0" w:color="auto"/>
            <w:left w:val="none" w:sz="0" w:space="0" w:color="auto"/>
            <w:bottom w:val="none" w:sz="0" w:space="0" w:color="auto"/>
            <w:right w:val="none" w:sz="0" w:space="0" w:color="auto"/>
          </w:divBdr>
          <w:divsChild>
            <w:div w:id="1438451874">
              <w:marLeft w:val="0"/>
              <w:marRight w:val="0"/>
              <w:marTop w:val="0"/>
              <w:marBottom w:val="0"/>
              <w:divBdr>
                <w:top w:val="none" w:sz="0" w:space="0" w:color="auto"/>
                <w:left w:val="none" w:sz="0" w:space="0" w:color="auto"/>
                <w:bottom w:val="none" w:sz="0" w:space="0" w:color="auto"/>
                <w:right w:val="none" w:sz="0" w:space="0" w:color="auto"/>
              </w:divBdr>
              <w:divsChild>
                <w:div w:id="157555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126790">
      <w:bodyDiv w:val="1"/>
      <w:marLeft w:val="0"/>
      <w:marRight w:val="0"/>
      <w:marTop w:val="0"/>
      <w:marBottom w:val="0"/>
      <w:divBdr>
        <w:top w:val="none" w:sz="0" w:space="0" w:color="auto"/>
        <w:left w:val="none" w:sz="0" w:space="0" w:color="auto"/>
        <w:bottom w:val="none" w:sz="0" w:space="0" w:color="auto"/>
        <w:right w:val="none" w:sz="0" w:space="0" w:color="auto"/>
      </w:divBdr>
    </w:div>
    <w:div w:id="506336520">
      <w:bodyDiv w:val="1"/>
      <w:marLeft w:val="0"/>
      <w:marRight w:val="0"/>
      <w:marTop w:val="0"/>
      <w:marBottom w:val="0"/>
      <w:divBdr>
        <w:top w:val="none" w:sz="0" w:space="0" w:color="auto"/>
        <w:left w:val="none" w:sz="0" w:space="0" w:color="auto"/>
        <w:bottom w:val="none" w:sz="0" w:space="0" w:color="auto"/>
        <w:right w:val="none" w:sz="0" w:space="0" w:color="auto"/>
      </w:divBdr>
    </w:div>
    <w:div w:id="696320947">
      <w:bodyDiv w:val="1"/>
      <w:marLeft w:val="0"/>
      <w:marRight w:val="0"/>
      <w:marTop w:val="0"/>
      <w:marBottom w:val="0"/>
      <w:divBdr>
        <w:top w:val="none" w:sz="0" w:space="0" w:color="auto"/>
        <w:left w:val="none" w:sz="0" w:space="0" w:color="auto"/>
        <w:bottom w:val="none" w:sz="0" w:space="0" w:color="auto"/>
        <w:right w:val="none" w:sz="0" w:space="0" w:color="auto"/>
      </w:divBdr>
      <w:divsChild>
        <w:div w:id="1348945859">
          <w:marLeft w:val="0"/>
          <w:marRight w:val="0"/>
          <w:marTop w:val="0"/>
          <w:marBottom w:val="0"/>
          <w:divBdr>
            <w:top w:val="none" w:sz="0" w:space="0" w:color="auto"/>
            <w:left w:val="none" w:sz="0" w:space="0" w:color="auto"/>
            <w:bottom w:val="none" w:sz="0" w:space="0" w:color="auto"/>
            <w:right w:val="none" w:sz="0" w:space="0" w:color="auto"/>
          </w:divBdr>
          <w:divsChild>
            <w:div w:id="896817634">
              <w:marLeft w:val="0"/>
              <w:marRight w:val="0"/>
              <w:marTop w:val="0"/>
              <w:marBottom w:val="0"/>
              <w:divBdr>
                <w:top w:val="none" w:sz="0" w:space="0" w:color="auto"/>
                <w:left w:val="none" w:sz="0" w:space="0" w:color="auto"/>
                <w:bottom w:val="none" w:sz="0" w:space="0" w:color="auto"/>
                <w:right w:val="none" w:sz="0" w:space="0" w:color="auto"/>
              </w:divBdr>
              <w:divsChild>
                <w:div w:id="118936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599764">
      <w:bodyDiv w:val="1"/>
      <w:marLeft w:val="0"/>
      <w:marRight w:val="0"/>
      <w:marTop w:val="0"/>
      <w:marBottom w:val="0"/>
      <w:divBdr>
        <w:top w:val="none" w:sz="0" w:space="0" w:color="auto"/>
        <w:left w:val="none" w:sz="0" w:space="0" w:color="auto"/>
        <w:bottom w:val="none" w:sz="0" w:space="0" w:color="auto"/>
        <w:right w:val="none" w:sz="0" w:space="0" w:color="auto"/>
      </w:divBdr>
      <w:divsChild>
        <w:div w:id="33429013">
          <w:marLeft w:val="0"/>
          <w:marRight w:val="0"/>
          <w:marTop w:val="0"/>
          <w:marBottom w:val="0"/>
          <w:divBdr>
            <w:top w:val="none" w:sz="0" w:space="0" w:color="auto"/>
            <w:left w:val="none" w:sz="0" w:space="0" w:color="auto"/>
            <w:bottom w:val="none" w:sz="0" w:space="0" w:color="auto"/>
            <w:right w:val="none" w:sz="0" w:space="0" w:color="auto"/>
          </w:divBdr>
          <w:divsChild>
            <w:div w:id="1561792947">
              <w:marLeft w:val="0"/>
              <w:marRight w:val="0"/>
              <w:marTop w:val="0"/>
              <w:marBottom w:val="0"/>
              <w:divBdr>
                <w:top w:val="none" w:sz="0" w:space="0" w:color="auto"/>
                <w:left w:val="none" w:sz="0" w:space="0" w:color="auto"/>
                <w:bottom w:val="none" w:sz="0" w:space="0" w:color="auto"/>
                <w:right w:val="none" w:sz="0" w:space="0" w:color="auto"/>
              </w:divBdr>
              <w:divsChild>
                <w:div w:id="80061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19733">
      <w:bodyDiv w:val="1"/>
      <w:marLeft w:val="0"/>
      <w:marRight w:val="0"/>
      <w:marTop w:val="0"/>
      <w:marBottom w:val="0"/>
      <w:divBdr>
        <w:top w:val="none" w:sz="0" w:space="0" w:color="auto"/>
        <w:left w:val="none" w:sz="0" w:space="0" w:color="auto"/>
        <w:bottom w:val="none" w:sz="0" w:space="0" w:color="auto"/>
        <w:right w:val="none" w:sz="0" w:space="0" w:color="auto"/>
      </w:divBdr>
    </w:div>
    <w:div w:id="813177596">
      <w:bodyDiv w:val="1"/>
      <w:marLeft w:val="0"/>
      <w:marRight w:val="0"/>
      <w:marTop w:val="0"/>
      <w:marBottom w:val="0"/>
      <w:divBdr>
        <w:top w:val="none" w:sz="0" w:space="0" w:color="auto"/>
        <w:left w:val="none" w:sz="0" w:space="0" w:color="auto"/>
        <w:bottom w:val="none" w:sz="0" w:space="0" w:color="auto"/>
        <w:right w:val="none" w:sz="0" w:space="0" w:color="auto"/>
      </w:divBdr>
    </w:div>
    <w:div w:id="920992967">
      <w:bodyDiv w:val="1"/>
      <w:marLeft w:val="0"/>
      <w:marRight w:val="0"/>
      <w:marTop w:val="0"/>
      <w:marBottom w:val="0"/>
      <w:divBdr>
        <w:top w:val="none" w:sz="0" w:space="0" w:color="auto"/>
        <w:left w:val="none" w:sz="0" w:space="0" w:color="auto"/>
        <w:bottom w:val="none" w:sz="0" w:space="0" w:color="auto"/>
        <w:right w:val="none" w:sz="0" w:space="0" w:color="auto"/>
      </w:divBdr>
      <w:divsChild>
        <w:div w:id="205218971">
          <w:marLeft w:val="0"/>
          <w:marRight w:val="0"/>
          <w:marTop w:val="0"/>
          <w:marBottom w:val="0"/>
          <w:divBdr>
            <w:top w:val="none" w:sz="0" w:space="0" w:color="auto"/>
            <w:left w:val="none" w:sz="0" w:space="0" w:color="auto"/>
            <w:bottom w:val="none" w:sz="0" w:space="0" w:color="auto"/>
            <w:right w:val="none" w:sz="0" w:space="0" w:color="auto"/>
          </w:divBdr>
          <w:divsChild>
            <w:div w:id="1335960388">
              <w:marLeft w:val="0"/>
              <w:marRight w:val="0"/>
              <w:marTop w:val="0"/>
              <w:marBottom w:val="0"/>
              <w:divBdr>
                <w:top w:val="none" w:sz="0" w:space="0" w:color="auto"/>
                <w:left w:val="none" w:sz="0" w:space="0" w:color="auto"/>
                <w:bottom w:val="none" w:sz="0" w:space="0" w:color="auto"/>
                <w:right w:val="none" w:sz="0" w:space="0" w:color="auto"/>
              </w:divBdr>
              <w:divsChild>
                <w:div w:id="2524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89305">
      <w:bodyDiv w:val="1"/>
      <w:marLeft w:val="0"/>
      <w:marRight w:val="0"/>
      <w:marTop w:val="0"/>
      <w:marBottom w:val="0"/>
      <w:divBdr>
        <w:top w:val="none" w:sz="0" w:space="0" w:color="auto"/>
        <w:left w:val="none" w:sz="0" w:space="0" w:color="auto"/>
        <w:bottom w:val="none" w:sz="0" w:space="0" w:color="auto"/>
        <w:right w:val="none" w:sz="0" w:space="0" w:color="auto"/>
      </w:divBdr>
    </w:div>
    <w:div w:id="1038360192">
      <w:bodyDiv w:val="1"/>
      <w:marLeft w:val="0"/>
      <w:marRight w:val="0"/>
      <w:marTop w:val="0"/>
      <w:marBottom w:val="0"/>
      <w:divBdr>
        <w:top w:val="none" w:sz="0" w:space="0" w:color="auto"/>
        <w:left w:val="none" w:sz="0" w:space="0" w:color="auto"/>
        <w:bottom w:val="none" w:sz="0" w:space="0" w:color="auto"/>
        <w:right w:val="none" w:sz="0" w:space="0" w:color="auto"/>
      </w:divBdr>
    </w:div>
    <w:div w:id="1053433571">
      <w:bodyDiv w:val="1"/>
      <w:marLeft w:val="0"/>
      <w:marRight w:val="0"/>
      <w:marTop w:val="0"/>
      <w:marBottom w:val="0"/>
      <w:divBdr>
        <w:top w:val="none" w:sz="0" w:space="0" w:color="auto"/>
        <w:left w:val="none" w:sz="0" w:space="0" w:color="auto"/>
        <w:bottom w:val="none" w:sz="0" w:space="0" w:color="auto"/>
        <w:right w:val="none" w:sz="0" w:space="0" w:color="auto"/>
      </w:divBdr>
      <w:divsChild>
        <w:div w:id="1168405167">
          <w:marLeft w:val="0"/>
          <w:marRight w:val="0"/>
          <w:marTop w:val="0"/>
          <w:marBottom w:val="0"/>
          <w:divBdr>
            <w:top w:val="none" w:sz="0" w:space="0" w:color="auto"/>
            <w:left w:val="none" w:sz="0" w:space="0" w:color="auto"/>
            <w:bottom w:val="none" w:sz="0" w:space="0" w:color="auto"/>
            <w:right w:val="none" w:sz="0" w:space="0" w:color="auto"/>
          </w:divBdr>
          <w:divsChild>
            <w:div w:id="920792793">
              <w:marLeft w:val="0"/>
              <w:marRight w:val="0"/>
              <w:marTop w:val="0"/>
              <w:marBottom w:val="0"/>
              <w:divBdr>
                <w:top w:val="none" w:sz="0" w:space="0" w:color="auto"/>
                <w:left w:val="none" w:sz="0" w:space="0" w:color="auto"/>
                <w:bottom w:val="none" w:sz="0" w:space="0" w:color="auto"/>
                <w:right w:val="none" w:sz="0" w:space="0" w:color="auto"/>
              </w:divBdr>
              <w:divsChild>
                <w:div w:id="118293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223599">
      <w:bodyDiv w:val="1"/>
      <w:marLeft w:val="0"/>
      <w:marRight w:val="0"/>
      <w:marTop w:val="0"/>
      <w:marBottom w:val="0"/>
      <w:divBdr>
        <w:top w:val="none" w:sz="0" w:space="0" w:color="auto"/>
        <w:left w:val="none" w:sz="0" w:space="0" w:color="auto"/>
        <w:bottom w:val="none" w:sz="0" w:space="0" w:color="auto"/>
        <w:right w:val="none" w:sz="0" w:space="0" w:color="auto"/>
      </w:divBdr>
      <w:divsChild>
        <w:div w:id="1690715069">
          <w:marLeft w:val="0"/>
          <w:marRight w:val="0"/>
          <w:marTop w:val="0"/>
          <w:marBottom w:val="0"/>
          <w:divBdr>
            <w:top w:val="none" w:sz="0" w:space="0" w:color="auto"/>
            <w:left w:val="none" w:sz="0" w:space="0" w:color="auto"/>
            <w:bottom w:val="none" w:sz="0" w:space="0" w:color="auto"/>
            <w:right w:val="none" w:sz="0" w:space="0" w:color="auto"/>
          </w:divBdr>
          <w:divsChild>
            <w:div w:id="2017995818">
              <w:marLeft w:val="0"/>
              <w:marRight w:val="0"/>
              <w:marTop w:val="0"/>
              <w:marBottom w:val="0"/>
              <w:divBdr>
                <w:top w:val="none" w:sz="0" w:space="0" w:color="auto"/>
                <w:left w:val="none" w:sz="0" w:space="0" w:color="auto"/>
                <w:bottom w:val="none" w:sz="0" w:space="0" w:color="auto"/>
                <w:right w:val="none" w:sz="0" w:space="0" w:color="auto"/>
              </w:divBdr>
              <w:divsChild>
                <w:div w:id="10817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021531">
      <w:bodyDiv w:val="1"/>
      <w:marLeft w:val="0"/>
      <w:marRight w:val="0"/>
      <w:marTop w:val="0"/>
      <w:marBottom w:val="0"/>
      <w:divBdr>
        <w:top w:val="none" w:sz="0" w:space="0" w:color="auto"/>
        <w:left w:val="none" w:sz="0" w:space="0" w:color="auto"/>
        <w:bottom w:val="none" w:sz="0" w:space="0" w:color="auto"/>
        <w:right w:val="none" w:sz="0" w:space="0" w:color="auto"/>
      </w:divBdr>
    </w:div>
    <w:div w:id="1290433521">
      <w:bodyDiv w:val="1"/>
      <w:marLeft w:val="0"/>
      <w:marRight w:val="0"/>
      <w:marTop w:val="0"/>
      <w:marBottom w:val="0"/>
      <w:divBdr>
        <w:top w:val="none" w:sz="0" w:space="0" w:color="auto"/>
        <w:left w:val="none" w:sz="0" w:space="0" w:color="auto"/>
        <w:bottom w:val="none" w:sz="0" w:space="0" w:color="auto"/>
        <w:right w:val="none" w:sz="0" w:space="0" w:color="auto"/>
      </w:divBdr>
    </w:div>
    <w:div w:id="1291550242">
      <w:bodyDiv w:val="1"/>
      <w:marLeft w:val="0"/>
      <w:marRight w:val="0"/>
      <w:marTop w:val="0"/>
      <w:marBottom w:val="0"/>
      <w:divBdr>
        <w:top w:val="none" w:sz="0" w:space="0" w:color="auto"/>
        <w:left w:val="none" w:sz="0" w:space="0" w:color="auto"/>
        <w:bottom w:val="none" w:sz="0" w:space="0" w:color="auto"/>
        <w:right w:val="none" w:sz="0" w:space="0" w:color="auto"/>
      </w:divBdr>
      <w:divsChild>
        <w:div w:id="396052707">
          <w:marLeft w:val="0"/>
          <w:marRight w:val="0"/>
          <w:marTop w:val="0"/>
          <w:marBottom w:val="0"/>
          <w:divBdr>
            <w:top w:val="none" w:sz="0" w:space="0" w:color="auto"/>
            <w:left w:val="none" w:sz="0" w:space="0" w:color="auto"/>
            <w:bottom w:val="none" w:sz="0" w:space="0" w:color="auto"/>
            <w:right w:val="none" w:sz="0" w:space="0" w:color="auto"/>
          </w:divBdr>
          <w:divsChild>
            <w:div w:id="1772511156">
              <w:marLeft w:val="0"/>
              <w:marRight w:val="0"/>
              <w:marTop w:val="0"/>
              <w:marBottom w:val="0"/>
              <w:divBdr>
                <w:top w:val="none" w:sz="0" w:space="0" w:color="auto"/>
                <w:left w:val="none" w:sz="0" w:space="0" w:color="auto"/>
                <w:bottom w:val="none" w:sz="0" w:space="0" w:color="auto"/>
                <w:right w:val="none" w:sz="0" w:space="0" w:color="auto"/>
              </w:divBdr>
              <w:divsChild>
                <w:div w:id="14152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16819">
      <w:bodyDiv w:val="1"/>
      <w:marLeft w:val="0"/>
      <w:marRight w:val="0"/>
      <w:marTop w:val="0"/>
      <w:marBottom w:val="0"/>
      <w:divBdr>
        <w:top w:val="none" w:sz="0" w:space="0" w:color="auto"/>
        <w:left w:val="none" w:sz="0" w:space="0" w:color="auto"/>
        <w:bottom w:val="none" w:sz="0" w:space="0" w:color="auto"/>
        <w:right w:val="none" w:sz="0" w:space="0" w:color="auto"/>
      </w:divBdr>
    </w:div>
    <w:div w:id="1338264052">
      <w:bodyDiv w:val="1"/>
      <w:marLeft w:val="0"/>
      <w:marRight w:val="0"/>
      <w:marTop w:val="0"/>
      <w:marBottom w:val="0"/>
      <w:divBdr>
        <w:top w:val="none" w:sz="0" w:space="0" w:color="auto"/>
        <w:left w:val="none" w:sz="0" w:space="0" w:color="auto"/>
        <w:bottom w:val="none" w:sz="0" w:space="0" w:color="auto"/>
        <w:right w:val="none" w:sz="0" w:space="0" w:color="auto"/>
      </w:divBdr>
    </w:div>
    <w:div w:id="1343164475">
      <w:bodyDiv w:val="1"/>
      <w:marLeft w:val="0"/>
      <w:marRight w:val="0"/>
      <w:marTop w:val="0"/>
      <w:marBottom w:val="0"/>
      <w:divBdr>
        <w:top w:val="none" w:sz="0" w:space="0" w:color="auto"/>
        <w:left w:val="none" w:sz="0" w:space="0" w:color="auto"/>
        <w:bottom w:val="none" w:sz="0" w:space="0" w:color="auto"/>
        <w:right w:val="none" w:sz="0" w:space="0" w:color="auto"/>
      </w:divBdr>
      <w:divsChild>
        <w:div w:id="725685081">
          <w:marLeft w:val="0"/>
          <w:marRight w:val="0"/>
          <w:marTop w:val="0"/>
          <w:marBottom w:val="0"/>
          <w:divBdr>
            <w:top w:val="none" w:sz="0" w:space="0" w:color="auto"/>
            <w:left w:val="none" w:sz="0" w:space="0" w:color="auto"/>
            <w:bottom w:val="none" w:sz="0" w:space="0" w:color="auto"/>
            <w:right w:val="none" w:sz="0" w:space="0" w:color="auto"/>
          </w:divBdr>
          <w:divsChild>
            <w:div w:id="960762829">
              <w:marLeft w:val="0"/>
              <w:marRight w:val="0"/>
              <w:marTop w:val="0"/>
              <w:marBottom w:val="0"/>
              <w:divBdr>
                <w:top w:val="none" w:sz="0" w:space="0" w:color="auto"/>
                <w:left w:val="none" w:sz="0" w:space="0" w:color="auto"/>
                <w:bottom w:val="none" w:sz="0" w:space="0" w:color="auto"/>
                <w:right w:val="none" w:sz="0" w:space="0" w:color="auto"/>
              </w:divBdr>
              <w:divsChild>
                <w:div w:id="175971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791679">
      <w:bodyDiv w:val="1"/>
      <w:marLeft w:val="0"/>
      <w:marRight w:val="0"/>
      <w:marTop w:val="0"/>
      <w:marBottom w:val="0"/>
      <w:divBdr>
        <w:top w:val="none" w:sz="0" w:space="0" w:color="auto"/>
        <w:left w:val="none" w:sz="0" w:space="0" w:color="auto"/>
        <w:bottom w:val="none" w:sz="0" w:space="0" w:color="auto"/>
        <w:right w:val="none" w:sz="0" w:space="0" w:color="auto"/>
      </w:divBdr>
      <w:divsChild>
        <w:div w:id="1250890695">
          <w:marLeft w:val="0"/>
          <w:marRight w:val="0"/>
          <w:marTop w:val="0"/>
          <w:marBottom w:val="0"/>
          <w:divBdr>
            <w:top w:val="none" w:sz="0" w:space="0" w:color="auto"/>
            <w:left w:val="none" w:sz="0" w:space="0" w:color="auto"/>
            <w:bottom w:val="none" w:sz="0" w:space="0" w:color="auto"/>
            <w:right w:val="none" w:sz="0" w:space="0" w:color="auto"/>
          </w:divBdr>
          <w:divsChild>
            <w:div w:id="691154429">
              <w:marLeft w:val="0"/>
              <w:marRight w:val="0"/>
              <w:marTop w:val="0"/>
              <w:marBottom w:val="0"/>
              <w:divBdr>
                <w:top w:val="none" w:sz="0" w:space="0" w:color="auto"/>
                <w:left w:val="none" w:sz="0" w:space="0" w:color="auto"/>
                <w:bottom w:val="none" w:sz="0" w:space="0" w:color="auto"/>
                <w:right w:val="none" w:sz="0" w:space="0" w:color="auto"/>
              </w:divBdr>
              <w:divsChild>
                <w:div w:id="119369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045735">
      <w:bodyDiv w:val="1"/>
      <w:marLeft w:val="0"/>
      <w:marRight w:val="0"/>
      <w:marTop w:val="0"/>
      <w:marBottom w:val="0"/>
      <w:divBdr>
        <w:top w:val="none" w:sz="0" w:space="0" w:color="auto"/>
        <w:left w:val="none" w:sz="0" w:space="0" w:color="auto"/>
        <w:bottom w:val="none" w:sz="0" w:space="0" w:color="auto"/>
        <w:right w:val="none" w:sz="0" w:space="0" w:color="auto"/>
      </w:divBdr>
    </w:div>
    <w:div w:id="1564218517">
      <w:bodyDiv w:val="1"/>
      <w:marLeft w:val="0"/>
      <w:marRight w:val="0"/>
      <w:marTop w:val="0"/>
      <w:marBottom w:val="0"/>
      <w:divBdr>
        <w:top w:val="none" w:sz="0" w:space="0" w:color="auto"/>
        <w:left w:val="none" w:sz="0" w:space="0" w:color="auto"/>
        <w:bottom w:val="none" w:sz="0" w:space="0" w:color="auto"/>
        <w:right w:val="none" w:sz="0" w:space="0" w:color="auto"/>
      </w:divBdr>
      <w:divsChild>
        <w:div w:id="552468799">
          <w:marLeft w:val="0"/>
          <w:marRight w:val="0"/>
          <w:marTop w:val="0"/>
          <w:marBottom w:val="0"/>
          <w:divBdr>
            <w:top w:val="none" w:sz="0" w:space="0" w:color="auto"/>
            <w:left w:val="none" w:sz="0" w:space="0" w:color="auto"/>
            <w:bottom w:val="none" w:sz="0" w:space="0" w:color="auto"/>
            <w:right w:val="none" w:sz="0" w:space="0" w:color="auto"/>
          </w:divBdr>
          <w:divsChild>
            <w:div w:id="116948141">
              <w:marLeft w:val="0"/>
              <w:marRight w:val="0"/>
              <w:marTop w:val="0"/>
              <w:marBottom w:val="0"/>
              <w:divBdr>
                <w:top w:val="none" w:sz="0" w:space="0" w:color="auto"/>
                <w:left w:val="none" w:sz="0" w:space="0" w:color="auto"/>
                <w:bottom w:val="none" w:sz="0" w:space="0" w:color="auto"/>
                <w:right w:val="none" w:sz="0" w:space="0" w:color="auto"/>
              </w:divBdr>
              <w:divsChild>
                <w:div w:id="114551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327825">
      <w:bodyDiv w:val="1"/>
      <w:marLeft w:val="0"/>
      <w:marRight w:val="0"/>
      <w:marTop w:val="0"/>
      <w:marBottom w:val="0"/>
      <w:divBdr>
        <w:top w:val="none" w:sz="0" w:space="0" w:color="auto"/>
        <w:left w:val="none" w:sz="0" w:space="0" w:color="auto"/>
        <w:bottom w:val="none" w:sz="0" w:space="0" w:color="auto"/>
        <w:right w:val="none" w:sz="0" w:space="0" w:color="auto"/>
      </w:divBdr>
    </w:div>
    <w:div w:id="1678459419">
      <w:bodyDiv w:val="1"/>
      <w:marLeft w:val="0"/>
      <w:marRight w:val="0"/>
      <w:marTop w:val="0"/>
      <w:marBottom w:val="0"/>
      <w:divBdr>
        <w:top w:val="none" w:sz="0" w:space="0" w:color="auto"/>
        <w:left w:val="none" w:sz="0" w:space="0" w:color="auto"/>
        <w:bottom w:val="none" w:sz="0" w:space="0" w:color="auto"/>
        <w:right w:val="none" w:sz="0" w:space="0" w:color="auto"/>
      </w:divBdr>
    </w:div>
    <w:div w:id="1712532181">
      <w:bodyDiv w:val="1"/>
      <w:marLeft w:val="0"/>
      <w:marRight w:val="0"/>
      <w:marTop w:val="0"/>
      <w:marBottom w:val="0"/>
      <w:divBdr>
        <w:top w:val="none" w:sz="0" w:space="0" w:color="auto"/>
        <w:left w:val="none" w:sz="0" w:space="0" w:color="auto"/>
        <w:bottom w:val="none" w:sz="0" w:space="0" w:color="auto"/>
        <w:right w:val="none" w:sz="0" w:space="0" w:color="auto"/>
      </w:divBdr>
    </w:div>
    <w:div w:id="1721057218">
      <w:bodyDiv w:val="1"/>
      <w:marLeft w:val="0"/>
      <w:marRight w:val="0"/>
      <w:marTop w:val="0"/>
      <w:marBottom w:val="0"/>
      <w:divBdr>
        <w:top w:val="none" w:sz="0" w:space="0" w:color="auto"/>
        <w:left w:val="none" w:sz="0" w:space="0" w:color="auto"/>
        <w:bottom w:val="none" w:sz="0" w:space="0" w:color="auto"/>
        <w:right w:val="none" w:sz="0" w:space="0" w:color="auto"/>
      </w:divBdr>
      <w:divsChild>
        <w:div w:id="1726947076">
          <w:marLeft w:val="0"/>
          <w:marRight w:val="0"/>
          <w:marTop w:val="0"/>
          <w:marBottom w:val="0"/>
          <w:divBdr>
            <w:top w:val="none" w:sz="0" w:space="0" w:color="auto"/>
            <w:left w:val="none" w:sz="0" w:space="0" w:color="auto"/>
            <w:bottom w:val="none" w:sz="0" w:space="0" w:color="auto"/>
            <w:right w:val="none" w:sz="0" w:space="0" w:color="auto"/>
          </w:divBdr>
          <w:divsChild>
            <w:div w:id="1712993780">
              <w:marLeft w:val="0"/>
              <w:marRight w:val="0"/>
              <w:marTop w:val="0"/>
              <w:marBottom w:val="0"/>
              <w:divBdr>
                <w:top w:val="none" w:sz="0" w:space="0" w:color="auto"/>
                <w:left w:val="none" w:sz="0" w:space="0" w:color="auto"/>
                <w:bottom w:val="none" w:sz="0" w:space="0" w:color="auto"/>
                <w:right w:val="none" w:sz="0" w:space="0" w:color="auto"/>
              </w:divBdr>
              <w:divsChild>
                <w:div w:id="57824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033913">
      <w:bodyDiv w:val="1"/>
      <w:marLeft w:val="0"/>
      <w:marRight w:val="0"/>
      <w:marTop w:val="0"/>
      <w:marBottom w:val="0"/>
      <w:divBdr>
        <w:top w:val="none" w:sz="0" w:space="0" w:color="auto"/>
        <w:left w:val="none" w:sz="0" w:space="0" w:color="auto"/>
        <w:bottom w:val="none" w:sz="0" w:space="0" w:color="auto"/>
        <w:right w:val="none" w:sz="0" w:space="0" w:color="auto"/>
      </w:divBdr>
    </w:div>
    <w:div w:id="1904757972">
      <w:bodyDiv w:val="1"/>
      <w:marLeft w:val="0"/>
      <w:marRight w:val="0"/>
      <w:marTop w:val="0"/>
      <w:marBottom w:val="0"/>
      <w:divBdr>
        <w:top w:val="none" w:sz="0" w:space="0" w:color="auto"/>
        <w:left w:val="none" w:sz="0" w:space="0" w:color="auto"/>
        <w:bottom w:val="none" w:sz="0" w:space="0" w:color="auto"/>
        <w:right w:val="none" w:sz="0" w:space="0" w:color="auto"/>
      </w:divBdr>
    </w:div>
    <w:div w:id="1940675214">
      <w:bodyDiv w:val="1"/>
      <w:marLeft w:val="0"/>
      <w:marRight w:val="0"/>
      <w:marTop w:val="0"/>
      <w:marBottom w:val="0"/>
      <w:divBdr>
        <w:top w:val="none" w:sz="0" w:space="0" w:color="auto"/>
        <w:left w:val="none" w:sz="0" w:space="0" w:color="auto"/>
        <w:bottom w:val="none" w:sz="0" w:space="0" w:color="auto"/>
        <w:right w:val="none" w:sz="0" w:space="0" w:color="auto"/>
      </w:divBdr>
    </w:div>
    <w:div w:id="1963220805">
      <w:bodyDiv w:val="1"/>
      <w:marLeft w:val="0"/>
      <w:marRight w:val="0"/>
      <w:marTop w:val="0"/>
      <w:marBottom w:val="0"/>
      <w:divBdr>
        <w:top w:val="none" w:sz="0" w:space="0" w:color="auto"/>
        <w:left w:val="none" w:sz="0" w:space="0" w:color="auto"/>
        <w:bottom w:val="none" w:sz="0" w:space="0" w:color="auto"/>
        <w:right w:val="none" w:sz="0" w:space="0" w:color="auto"/>
      </w:divBdr>
    </w:div>
    <w:div w:id="1976520099">
      <w:bodyDiv w:val="1"/>
      <w:marLeft w:val="0"/>
      <w:marRight w:val="0"/>
      <w:marTop w:val="0"/>
      <w:marBottom w:val="0"/>
      <w:divBdr>
        <w:top w:val="none" w:sz="0" w:space="0" w:color="auto"/>
        <w:left w:val="none" w:sz="0" w:space="0" w:color="auto"/>
        <w:bottom w:val="none" w:sz="0" w:space="0" w:color="auto"/>
        <w:right w:val="none" w:sz="0" w:space="0" w:color="auto"/>
      </w:divBdr>
    </w:div>
    <w:div w:id="2039501907">
      <w:bodyDiv w:val="1"/>
      <w:marLeft w:val="0"/>
      <w:marRight w:val="0"/>
      <w:marTop w:val="0"/>
      <w:marBottom w:val="0"/>
      <w:divBdr>
        <w:top w:val="none" w:sz="0" w:space="0" w:color="auto"/>
        <w:left w:val="none" w:sz="0" w:space="0" w:color="auto"/>
        <w:bottom w:val="none" w:sz="0" w:space="0" w:color="auto"/>
        <w:right w:val="none" w:sz="0" w:space="0" w:color="auto"/>
      </w:divBdr>
    </w:div>
    <w:div w:id="2043900018">
      <w:bodyDiv w:val="1"/>
      <w:marLeft w:val="0"/>
      <w:marRight w:val="0"/>
      <w:marTop w:val="0"/>
      <w:marBottom w:val="0"/>
      <w:divBdr>
        <w:top w:val="none" w:sz="0" w:space="0" w:color="auto"/>
        <w:left w:val="none" w:sz="0" w:space="0" w:color="auto"/>
        <w:bottom w:val="none" w:sz="0" w:space="0" w:color="auto"/>
        <w:right w:val="none" w:sz="0" w:space="0" w:color="auto"/>
      </w:divBdr>
      <w:divsChild>
        <w:div w:id="1190725922">
          <w:marLeft w:val="0"/>
          <w:marRight w:val="0"/>
          <w:marTop w:val="0"/>
          <w:marBottom w:val="0"/>
          <w:divBdr>
            <w:top w:val="none" w:sz="0" w:space="0" w:color="auto"/>
            <w:left w:val="none" w:sz="0" w:space="0" w:color="auto"/>
            <w:bottom w:val="none" w:sz="0" w:space="0" w:color="auto"/>
            <w:right w:val="none" w:sz="0" w:space="0" w:color="auto"/>
          </w:divBdr>
          <w:divsChild>
            <w:div w:id="658536088">
              <w:marLeft w:val="0"/>
              <w:marRight w:val="0"/>
              <w:marTop w:val="0"/>
              <w:marBottom w:val="0"/>
              <w:divBdr>
                <w:top w:val="none" w:sz="0" w:space="0" w:color="auto"/>
                <w:left w:val="none" w:sz="0" w:space="0" w:color="auto"/>
                <w:bottom w:val="none" w:sz="0" w:space="0" w:color="auto"/>
                <w:right w:val="none" w:sz="0" w:space="0" w:color="auto"/>
              </w:divBdr>
              <w:divsChild>
                <w:div w:id="84975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06592">
      <w:bodyDiv w:val="1"/>
      <w:marLeft w:val="0"/>
      <w:marRight w:val="0"/>
      <w:marTop w:val="0"/>
      <w:marBottom w:val="0"/>
      <w:divBdr>
        <w:top w:val="none" w:sz="0" w:space="0" w:color="auto"/>
        <w:left w:val="none" w:sz="0" w:space="0" w:color="auto"/>
        <w:bottom w:val="none" w:sz="0" w:space="0" w:color="auto"/>
        <w:right w:val="none" w:sz="0" w:space="0" w:color="auto"/>
      </w:divBdr>
      <w:divsChild>
        <w:div w:id="1246379632">
          <w:marLeft w:val="0"/>
          <w:marRight w:val="0"/>
          <w:marTop w:val="0"/>
          <w:marBottom w:val="0"/>
          <w:divBdr>
            <w:top w:val="none" w:sz="0" w:space="0" w:color="auto"/>
            <w:left w:val="none" w:sz="0" w:space="0" w:color="auto"/>
            <w:bottom w:val="none" w:sz="0" w:space="0" w:color="auto"/>
            <w:right w:val="none" w:sz="0" w:space="0" w:color="auto"/>
          </w:divBdr>
          <w:divsChild>
            <w:div w:id="361442222">
              <w:marLeft w:val="0"/>
              <w:marRight w:val="0"/>
              <w:marTop w:val="0"/>
              <w:marBottom w:val="0"/>
              <w:divBdr>
                <w:top w:val="none" w:sz="0" w:space="0" w:color="auto"/>
                <w:left w:val="none" w:sz="0" w:space="0" w:color="auto"/>
                <w:bottom w:val="none" w:sz="0" w:space="0" w:color="auto"/>
                <w:right w:val="none" w:sz="0" w:space="0" w:color="auto"/>
              </w:divBdr>
              <w:divsChild>
                <w:div w:id="205418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096087">
      <w:bodyDiv w:val="1"/>
      <w:marLeft w:val="0"/>
      <w:marRight w:val="0"/>
      <w:marTop w:val="0"/>
      <w:marBottom w:val="0"/>
      <w:divBdr>
        <w:top w:val="none" w:sz="0" w:space="0" w:color="auto"/>
        <w:left w:val="none" w:sz="0" w:space="0" w:color="auto"/>
        <w:bottom w:val="none" w:sz="0" w:space="0" w:color="auto"/>
        <w:right w:val="none" w:sz="0" w:space="0" w:color="auto"/>
      </w:divBdr>
    </w:div>
    <w:div w:id="208228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5.jpeg"/><Relationship Id="rId39" Type="http://schemas.openxmlformats.org/officeDocument/2006/relationships/theme" Target="theme/theme1.xml"/><Relationship Id="rId21" Type="http://schemas.openxmlformats.org/officeDocument/2006/relationships/image" Target="media/image12.jpeg"/><Relationship Id="rId34"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chart" Target="charts/chart2.xml"/><Relationship Id="rId33" Type="http://schemas.openxmlformats.org/officeDocument/2006/relationships/image" Target="media/image22.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1.xml"/><Relationship Id="rId32" Type="http://schemas.openxmlformats.org/officeDocument/2006/relationships/image" Target="media/image21.jpeg"/><Relationship Id="rId37"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8"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mailto:Filippo.santi6@unibo.it" TargetMode="External"/><Relationship Id="rId2" Type="http://schemas.openxmlformats.org/officeDocument/2006/relationships/hyperlink" Target="mailto:Martina.Ferracane@eui.eu" TargetMode="External"/><Relationship Id="rId1" Type="http://schemas.openxmlformats.org/officeDocument/2006/relationships/hyperlink" Target="mailto:Bernard.hoekman@eui.eu" TargetMode="External"/><Relationship Id="rId4" Type="http://schemas.openxmlformats.org/officeDocument/2006/relationships/hyperlink" Target="mailto:erik.vandermarel@ecipe.org"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5b78368d234da385/Erik/ECIPE/Adequacy/Update/Data/Intensity%20measur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5b78368d234da385/Erik/ECIPE/Adequacy/Update/Data/Intensity%20measure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0"/>
          </c:trendline>
          <c:xVal>
            <c:numRef>
              <c:f>(Sheet1!$F$7:$F$22,Sheet1!$F$27:$F$45)</c:f>
              <c:numCache>
                <c:formatCode>General</c:formatCode>
                <c:ptCount val="35"/>
                <c:pt idx="0">
                  <c:v>1.1962616822429906E-2</c:v>
                </c:pt>
                <c:pt idx="1">
                  <c:v>7.4766355140186912E-4</c:v>
                </c:pt>
                <c:pt idx="2">
                  <c:v>1.1962616822429906E-2</c:v>
                </c:pt>
                <c:pt idx="3">
                  <c:v>1.1962616822429906E-2</c:v>
                </c:pt>
                <c:pt idx="4">
                  <c:v>2.2429906542056075E-3</c:v>
                </c:pt>
                <c:pt idx="5">
                  <c:v>2.2429906542056075E-3</c:v>
                </c:pt>
                <c:pt idx="6">
                  <c:v>4.5981308411214956E-2</c:v>
                </c:pt>
                <c:pt idx="7">
                  <c:v>2.2429906542056075E-3</c:v>
                </c:pt>
                <c:pt idx="8">
                  <c:v>2.2429906542056075E-3</c:v>
                </c:pt>
                <c:pt idx="9">
                  <c:v>2.2429906542056075E-3</c:v>
                </c:pt>
                <c:pt idx="10">
                  <c:v>2.2429906542056075E-3</c:v>
                </c:pt>
                <c:pt idx="11">
                  <c:v>0.46542056074766353</c:v>
                </c:pt>
                <c:pt idx="12">
                  <c:v>6.7289719626168224E-3</c:v>
                </c:pt>
                <c:pt idx="13">
                  <c:v>6.7289719626168224E-3</c:v>
                </c:pt>
                <c:pt idx="14">
                  <c:v>5.2336448598130844E-3</c:v>
                </c:pt>
                <c:pt idx="15">
                  <c:v>5.2336448598130844E-3</c:v>
                </c:pt>
                <c:pt idx="16">
                  <c:v>2.9906542056074769E-3</c:v>
                </c:pt>
                <c:pt idx="17">
                  <c:v>9.3457943925233638E-3</c:v>
                </c:pt>
                <c:pt idx="18">
                  <c:v>9.3457943925233638E-3</c:v>
                </c:pt>
                <c:pt idx="19">
                  <c:v>9.3457943925233638E-3</c:v>
                </c:pt>
                <c:pt idx="20">
                  <c:v>9.3457943925233638E-3</c:v>
                </c:pt>
                <c:pt idx="21">
                  <c:v>9.3457943925233638E-3</c:v>
                </c:pt>
                <c:pt idx="22">
                  <c:v>1.2710280373831775E-2</c:v>
                </c:pt>
                <c:pt idx="23">
                  <c:v>0.46542056074766353</c:v>
                </c:pt>
                <c:pt idx="24">
                  <c:v>0.46542056074766353</c:v>
                </c:pt>
                <c:pt idx="25">
                  <c:v>0.46542056074766353</c:v>
                </c:pt>
                <c:pt idx="26">
                  <c:v>2.4299065420560748E-2</c:v>
                </c:pt>
                <c:pt idx="28">
                  <c:v>0.14953271028037382</c:v>
                </c:pt>
                <c:pt idx="29">
                  <c:v>0.14953271028037382</c:v>
                </c:pt>
                <c:pt idx="31">
                  <c:v>2.3177570093457944E-2</c:v>
                </c:pt>
                <c:pt idx="32">
                  <c:v>4.5981308411214956E-2</c:v>
                </c:pt>
                <c:pt idx="33">
                  <c:v>2.130841121495327E-2</c:v>
                </c:pt>
              </c:numCache>
            </c:numRef>
          </c:xVal>
          <c:yVal>
            <c:numRef>
              <c:f>(Sheet1!$H$7:$H$22,Sheet1!$H$27:$H$45)</c:f>
              <c:numCache>
                <c:formatCode>General</c:formatCode>
                <c:ptCount val="35"/>
                <c:pt idx="0">
                  <c:v>2.2144999999999999E-3</c:v>
                </c:pt>
                <c:pt idx="1">
                  <c:v>7.8785999999999995E-3</c:v>
                </c:pt>
                <c:pt idx="2">
                  <c:v>6.0350999999999998E-3</c:v>
                </c:pt>
                <c:pt idx="3">
                  <c:v>8.0680000000000005E-3</c:v>
                </c:pt>
                <c:pt idx="4">
                  <c:v>1.5909999999999999E-4</c:v>
                </c:pt>
                <c:pt idx="5">
                  <c:v>6.3116999999999999E-3</c:v>
                </c:pt>
                <c:pt idx="6">
                  <c:v>2.0631E-3</c:v>
                </c:pt>
                <c:pt idx="7">
                  <c:v>8.1551999999999996E-3</c:v>
                </c:pt>
                <c:pt idx="8">
                  <c:v>7.4136000000000002E-3</c:v>
                </c:pt>
                <c:pt idx="9">
                  <c:v>6.4361000000000002E-3</c:v>
                </c:pt>
                <c:pt idx="10">
                  <c:v>1.03847E-2</c:v>
                </c:pt>
                <c:pt idx="11">
                  <c:v>0.18053340000000001</c:v>
                </c:pt>
                <c:pt idx="12">
                  <c:v>2.9779699999999999E-2</c:v>
                </c:pt>
                <c:pt idx="13">
                  <c:v>1.7363900000000002E-2</c:v>
                </c:pt>
                <c:pt idx="14">
                  <c:v>1.6119600000000001E-2</c:v>
                </c:pt>
                <c:pt idx="15">
                  <c:v>2.6339499999999998E-2</c:v>
                </c:pt>
                <c:pt idx="16">
                  <c:v>5.4653999999999996E-3</c:v>
                </c:pt>
                <c:pt idx="17">
                  <c:v>1.0162000000000001E-3</c:v>
                </c:pt>
                <c:pt idx="18">
                  <c:v>2.9109999999999997E-4</c:v>
                </c:pt>
                <c:pt idx="19">
                  <c:v>3.7050000000000001E-4</c:v>
                </c:pt>
                <c:pt idx="20">
                  <c:v>2.5961000000000001E-3</c:v>
                </c:pt>
                <c:pt idx="21">
                  <c:v>5.2879999999999995E-4</c:v>
                </c:pt>
                <c:pt idx="22">
                  <c:v>2.5430000000000001E-3</c:v>
                </c:pt>
                <c:pt idx="23">
                  <c:v>1.5776800000000001E-2</c:v>
                </c:pt>
                <c:pt idx="24">
                  <c:v>3.3999599999999998E-2</c:v>
                </c:pt>
                <c:pt idx="25">
                  <c:v>1.7659299999999999E-2</c:v>
                </c:pt>
                <c:pt idx="26">
                  <c:v>1.9281999999999999E-3</c:v>
                </c:pt>
                <c:pt idx="27">
                  <c:v>4.3439999999999999E-4</c:v>
                </c:pt>
                <c:pt idx="28">
                  <c:v>1.1239799999999999E-2</c:v>
                </c:pt>
                <c:pt idx="29">
                  <c:v>6.9613000000000001E-3</c:v>
                </c:pt>
                <c:pt idx="30">
                  <c:v>1.26617E-2</c:v>
                </c:pt>
                <c:pt idx="31">
                  <c:v>5.4757E-3</c:v>
                </c:pt>
                <c:pt idx="32">
                  <c:v>3.9100999999999997E-3</c:v>
                </c:pt>
                <c:pt idx="33">
                  <c:v>1.8066E-3</c:v>
                </c:pt>
                <c:pt idx="34">
                  <c:v>6.7898000000000003E-3</c:v>
                </c:pt>
              </c:numCache>
            </c:numRef>
          </c:yVal>
          <c:smooth val="0"/>
          <c:extLst>
            <c:ext xmlns:c16="http://schemas.microsoft.com/office/drawing/2014/chart" uri="{C3380CC4-5D6E-409C-BE32-E72D297353CC}">
              <c16:uniqueId val="{00000001-1BF1-E64D-9B23-48D4DC4BC4A7}"/>
            </c:ext>
          </c:extLst>
        </c:ser>
        <c:dLbls>
          <c:showLegendKey val="0"/>
          <c:showVal val="0"/>
          <c:showCatName val="0"/>
          <c:showSerName val="0"/>
          <c:showPercent val="0"/>
          <c:showBubbleSize val="0"/>
        </c:dLbls>
        <c:axId val="794982992"/>
        <c:axId val="794983952"/>
      </c:scatterChart>
      <c:valAx>
        <c:axId val="794982992"/>
        <c:scaling>
          <c:logBase val="10"/>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de-DE" sz="800" b="0" i="0" u="none" strike="noStrike" baseline="0">
                    <a:effectLst/>
                  </a:rPr>
                  <a:t>Percentage firms DPF</a:t>
                </a:r>
                <a:endParaRPr lang="de-DE"/>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794983952"/>
        <c:crosses val="autoZero"/>
        <c:crossBetween val="midCat"/>
      </c:valAx>
      <c:valAx>
        <c:axId val="794983952"/>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de-DE" sz="800" b="0" i="0" u="none" strike="noStrike" baseline="0">
                    <a:effectLst/>
                  </a:rPr>
                  <a:t>I/O coefficient IMP (2006)</a:t>
                </a:r>
                <a:endParaRPr lang="de-DE"/>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79498299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0"/>
          </c:trendline>
          <c:xVal>
            <c:numRef>
              <c:f>(Sheet1!$F$7:$F$22,Sheet1!$F$27:$F$45)</c:f>
              <c:numCache>
                <c:formatCode>General</c:formatCode>
                <c:ptCount val="35"/>
                <c:pt idx="0">
                  <c:v>1.1962616822429906E-2</c:v>
                </c:pt>
                <c:pt idx="1">
                  <c:v>7.4766355140186912E-4</c:v>
                </c:pt>
                <c:pt idx="2">
                  <c:v>1.1962616822429906E-2</c:v>
                </c:pt>
                <c:pt idx="3">
                  <c:v>1.1962616822429906E-2</c:v>
                </c:pt>
                <c:pt idx="4">
                  <c:v>2.2429906542056075E-3</c:v>
                </c:pt>
                <c:pt idx="5">
                  <c:v>2.2429906542056075E-3</c:v>
                </c:pt>
                <c:pt idx="6">
                  <c:v>4.5981308411214956E-2</c:v>
                </c:pt>
                <c:pt idx="7">
                  <c:v>2.2429906542056075E-3</c:v>
                </c:pt>
                <c:pt idx="8">
                  <c:v>2.2429906542056075E-3</c:v>
                </c:pt>
                <c:pt idx="9">
                  <c:v>2.2429906542056075E-3</c:v>
                </c:pt>
                <c:pt idx="10">
                  <c:v>2.2429906542056075E-3</c:v>
                </c:pt>
                <c:pt idx="11">
                  <c:v>0.46542056074766353</c:v>
                </c:pt>
                <c:pt idx="12">
                  <c:v>6.7289719626168224E-3</c:v>
                </c:pt>
                <c:pt idx="13">
                  <c:v>6.7289719626168224E-3</c:v>
                </c:pt>
                <c:pt idx="14">
                  <c:v>5.2336448598130844E-3</c:v>
                </c:pt>
                <c:pt idx="15">
                  <c:v>5.2336448598130844E-3</c:v>
                </c:pt>
                <c:pt idx="16">
                  <c:v>2.9906542056074769E-3</c:v>
                </c:pt>
                <c:pt idx="17">
                  <c:v>9.3457943925233638E-3</c:v>
                </c:pt>
                <c:pt idx="18">
                  <c:v>9.3457943925233638E-3</c:v>
                </c:pt>
                <c:pt idx="19">
                  <c:v>9.3457943925233638E-3</c:v>
                </c:pt>
                <c:pt idx="20">
                  <c:v>9.3457943925233638E-3</c:v>
                </c:pt>
                <c:pt idx="21">
                  <c:v>9.3457943925233638E-3</c:v>
                </c:pt>
                <c:pt idx="22">
                  <c:v>1.2710280373831775E-2</c:v>
                </c:pt>
                <c:pt idx="23">
                  <c:v>0.46542056074766353</c:v>
                </c:pt>
                <c:pt idx="24">
                  <c:v>0.46542056074766353</c:v>
                </c:pt>
                <c:pt idx="25">
                  <c:v>0.46542056074766353</c:v>
                </c:pt>
                <c:pt idx="26">
                  <c:v>2.4299065420560748E-2</c:v>
                </c:pt>
                <c:pt idx="28">
                  <c:v>0.14953271028037382</c:v>
                </c:pt>
                <c:pt idx="29">
                  <c:v>0.14953271028037382</c:v>
                </c:pt>
                <c:pt idx="31">
                  <c:v>2.3177570093457944E-2</c:v>
                </c:pt>
                <c:pt idx="32">
                  <c:v>4.5981308411214956E-2</c:v>
                </c:pt>
                <c:pt idx="33">
                  <c:v>2.130841121495327E-2</c:v>
                </c:pt>
              </c:numCache>
            </c:numRef>
          </c:xVal>
          <c:yVal>
            <c:numRef>
              <c:f>(Sheet1!$J$7:$J$22,Sheet1!$J$27:$J$45)</c:f>
              <c:numCache>
                <c:formatCode>General</c:formatCode>
                <c:ptCount val="35"/>
                <c:pt idx="0">
                  <c:v>1.1867600000000001E-2</c:v>
                </c:pt>
                <c:pt idx="1">
                  <c:v>2.9115800000000001E-2</c:v>
                </c:pt>
                <c:pt idx="2">
                  <c:v>2.33078E-2</c:v>
                </c:pt>
                <c:pt idx="3">
                  <c:v>2.5845799999999999E-2</c:v>
                </c:pt>
                <c:pt idx="4">
                  <c:v>7.8030000000000005E-4</c:v>
                </c:pt>
                <c:pt idx="5">
                  <c:v>1.31617E-2</c:v>
                </c:pt>
                <c:pt idx="6">
                  <c:v>5.7307200000000003E-2</c:v>
                </c:pt>
                <c:pt idx="7">
                  <c:v>2.33101E-2</c:v>
                </c:pt>
                <c:pt idx="8">
                  <c:v>2.4382899999999999E-2</c:v>
                </c:pt>
                <c:pt idx="9">
                  <c:v>1.3805400000000001E-2</c:v>
                </c:pt>
                <c:pt idx="10">
                  <c:v>3.0779899999999999E-2</c:v>
                </c:pt>
                <c:pt idx="11">
                  <c:v>0.22485640000000001</c:v>
                </c:pt>
                <c:pt idx="12">
                  <c:v>4.1491500000000001E-2</c:v>
                </c:pt>
                <c:pt idx="13">
                  <c:v>3.5466600000000001E-2</c:v>
                </c:pt>
                <c:pt idx="14">
                  <c:v>2.07175E-2</c:v>
                </c:pt>
                <c:pt idx="15">
                  <c:v>4.8102499999999999E-2</c:v>
                </c:pt>
                <c:pt idx="16">
                  <c:v>9.2300400000000005E-2</c:v>
                </c:pt>
                <c:pt idx="17">
                  <c:v>2.14021E-2</c:v>
                </c:pt>
                <c:pt idx="18">
                  <c:v>2.9393599999999999E-2</c:v>
                </c:pt>
                <c:pt idx="19">
                  <c:v>1.46354E-2</c:v>
                </c:pt>
                <c:pt idx="20">
                  <c:v>2.5591099999999999E-2</c:v>
                </c:pt>
                <c:pt idx="21">
                  <c:v>2.2289199999999999E-2</c:v>
                </c:pt>
                <c:pt idx="22">
                  <c:v>6.2695399999999998E-2</c:v>
                </c:pt>
                <c:pt idx="23">
                  <c:v>0.30675829999999998</c:v>
                </c:pt>
                <c:pt idx="24">
                  <c:v>0.49303710000000001</c:v>
                </c:pt>
                <c:pt idx="25">
                  <c:v>0.15596360000000001</c:v>
                </c:pt>
                <c:pt idx="26">
                  <c:v>5.6577200000000001E-2</c:v>
                </c:pt>
                <c:pt idx="27">
                  <c:v>2.2976900000000001E-2</c:v>
                </c:pt>
                <c:pt idx="28">
                  <c:v>0.13887749999999999</c:v>
                </c:pt>
                <c:pt idx="29">
                  <c:v>0.10555200000000001</c:v>
                </c:pt>
                <c:pt idx="30">
                  <c:v>0.11487029999999999</c:v>
                </c:pt>
                <c:pt idx="31">
                  <c:v>9.4639799999999996E-2</c:v>
                </c:pt>
                <c:pt idx="32">
                  <c:v>4.6364900000000001E-2</c:v>
                </c:pt>
                <c:pt idx="33">
                  <c:v>7.4782899999999999E-2</c:v>
                </c:pt>
                <c:pt idx="34">
                  <c:v>7.1777199999999999E-2</c:v>
                </c:pt>
              </c:numCache>
            </c:numRef>
          </c:yVal>
          <c:smooth val="0"/>
          <c:extLst>
            <c:ext xmlns:c16="http://schemas.microsoft.com/office/drawing/2014/chart" uri="{C3380CC4-5D6E-409C-BE32-E72D297353CC}">
              <c16:uniqueId val="{00000001-8CD0-E348-A682-E13190A6A7A2}"/>
            </c:ext>
          </c:extLst>
        </c:ser>
        <c:dLbls>
          <c:showLegendKey val="0"/>
          <c:showVal val="0"/>
          <c:showCatName val="0"/>
          <c:showSerName val="0"/>
          <c:showPercent val="0"/>
          <c:showBubbleSize val="0"/>
        </c:dLbls>
        <c:axId val="794982992"/>
        <c:axId val="794983952"/>
      </c:scatterChart>
      <c:valAx>
        <c:axId val="794982992"/>
        <c:scaling>
          <c:logBase val="10"/>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de-DE" sz="800" b="0" i="0" u="none" strike="noStrike" baseline="0">
                    <a:effectLst/>
                  </a:rPr>
                  <a:t>Percentage firms DPF</a:t>
                </a:r>
                <a:endParaRPr lang="de-DE"/>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794983952"/>
        <c:crosses val="autoZero"/>
        <c:crossBetween val="midCat"/>
      </c:valAx>
      <c:valAx>
        <c:axId val="794983952"/>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de-DE" sz="800" b="0" i="0" u="none" strike="noStrike" baseline="0">
                    <a:effectLst/>
                  </a:rPr>
                  <a:t>I/O coefficient DOM (2006)</a:t>
                </a:r>
                <a:endParaRPr lang="de-DE"/>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79498299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61B0DA0-78BB-9C47-BD37-E60FDA3DB983}">
  <we:reference id="f518cb36-c901-4d52-a9e7-4331342e485d" version="1.2.0.0" store="EXCatalog" storeType="EXCatalog"/>
  <we:alternateReferences>
    <we:reference id="WA200001011" version="1.2.0.0" store="it-IT"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3A64B-BCC7-794B-B70A-5EDADDD6B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11905</Words>
  <Characters>67865</Characters>
  <Application>Microsoft Office Word</Application>
  <DocSecurity>0</DocSecurity>
  <Lines>565</Lines>
  <Paragraphs>159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der Marel</dc:creator>
  <cp:keywords/>
  <dc:description/>
  <cp:lastModifiedBy>Hoekman, Bernard</cp:lastModifiedBy>
  <cp:revision>19</cp:revision>
  <cp:lastPrinted>2025-04-03T14:01:00Z</cp:lastPrinted>
  <dcterms:created xsi:type="dcterms:W3CDTF">2025-04-04T10:25:00Z</dcterms:created>
  <dcterms:modified xsi:type="dcterms:W3CDTF">2025-04-04T12:56:00Z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documentId_6399</vt:lpwstr>
  </property>
  <property fmtid="{D5CDD505-2E9C-101B-9397-08002B2CF9AE}" pid="3" name="grammarly_documentContext">
    <vt:lpwstr>{"goals":[],"domain":"general","emotions":[],"dialect":"american"}</vt:lpwstr>
  </property>
</Properties>
</file>