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C6AE3" w14:textId="77777777" w:rsidR="009C4C41" w:rsidRPr="009C4C41" w:rsidRDefault="009C4C41" w:rsidP="009C4C41">
      <w:pPr>
        <w:jc w:val="center"/>
        <w:rPr>
          <w:rFonts w:ascii="Times New Roman" w:hAnsi="Times New Roman" w:cs="Times New Roman"/>
          <w:b/>
          <w:bCs/>
          <w:i/>
          <w:iCs/>
          <w:sz w:val="28"/>
          <w:szCs w:val="28"/>
        </w:rPr>
      </w:pPr>
      <w:r w:rsidRPr="009C4C41">
        <w:rPr>
          <w:rFonts w:ascii="Times New Roman" w:hAnsi="Times New Roman" w:cs="Times New Roman"/>
          <w:b/>
          <w:bCs/>
          <w:i/>
          <w:iCs/>
          <w:sz w:val="28"/>
          <w:szCs w:val="28"/>
        </w:rPr>
        <w:t>21st Annual Conference (2025) of the Italian Society of Law and Economics</w:t>
      </w:r>
    </w:p>
    <w:p w14:paraId="19DD5E6F" w14:textId="77777777" w:rsidR="009C4C41" w:rsidRPr="009C4C41" w:rsidRDefault="009C4C41" w:rsidP="009C4C41">
      <w:pPr>
        <w:jc w:val="center"/>
        <w:rPr>
          <w:rFonts w:ascii="Times New Roman" w:hAnsi="Times New Roman" w:cs="Times New Roman"/>
          <w:b/>
          <w:bCs/>
          <w:i/>
          <w:iCs/>
          <w:sz w:val="28"/>
          <w:szCs w:val="28"/>
        </w:rPr>
      </w:pPr>
      <w:r w:rsidRPr="009C4C41">
        <w:rPr>
          <w:rFonts w:ascii="Times New Roman" w:hAnsi="Times New Roman" w:cs="Times New Roman"/>
          <w:b/>
          <w:bCs/>
          <w:i/>
          <w:iCs/>
          <w:sz w:val="28"/>
          <w:szCs w:val="28"/>
        </w:rPr>
        <w:t>University of Catania</w:t>
      </w:r>
      <w:r w:rsidRPr="009C4C41">
        <w:rPr>
          <w:rFonts w:ascii="Times New Roman" w:hAnsi="Times New Roman" w:cs="Times New Roman"/>
          <w:b/>
          <w:bCs/>
          <w:i/>
          <w:iCs/>
          <w:sz w:val="28"/>
          <w:szCs w:val="28"/>
        </w:rPr>
        <w:br/>
        <w:t>Dipartimento di Economia e Impresa</w:t>
      </w:r>
      <w:r w:rsidRPr="009C4C41">
        <w:rPr>
          <w:rFonts w:ascii="Times New Roman" w:hAnsi="Times New Roman" w:cs="Times New Roman"/>
          <w:b/>
          <w:bCs/>
          <w:i/>
          <w:iCs/>
          <w:sz w:val="28"/>
          <w:szCs w:val="28"/>
        </w:rPr>
        <w:br/>
        <w:t>Palazzo delle Scienze, Corso Italia 55 - Catania</w:t>
      </w:r>
    </w:p>
    <w:p w14:paraId="00000004" w14:textId="77777777" w:rsidR="00176EDE" w:rsidRDefault="00176EDE" w:rsidP="001F6106">
      <w:pPr>
        <w:spacing w:line="360" w:lineRule="auto"/>
        <w:jc w:val="both"/>
        <w:rPr>
          <w:rFonts w:ascii="Times New Roman" w:hAnsi="Times New Roman" w:cs="Times New Roman"/>
          <w:sz w:val="24"/>
          <w:szCs w:val="24"/>
        </w:rPr>
      </w:pPr>
    </w:p>
    <w:p w14:paraId="21178768" w14:textId="77777777" w:rsidR="00A53C44" w:rsidRPr="001F6106" w:rsidRDefault="00A53C44" w:rsidP="001F6106">
      <w:pPr>
        <w:spacing w:line="360" w:lineRule="auto"/>
        <w:jc w:val="both"/>
        <w:rPr>
          <w:rFonts w:ascii="Times New Roman" w:hAnsi="Times New Roman" w:cs="Times New Roman"/>
          <w:sz w:val="24"/>
          <w:szCs w:val="24"/>
        </w:rPr>
      </w:pPr>
    </w:p>
    <w:p w14:paraId="00000005" w14:textId="55E116A6" w:rsidR="00176EDE" w:rsidRPr="00C43096" w:rsidRDefault="00EE7414" w:rsidP="001F6106">
      <w:pPr>
        <w:spacing w:line="360" w:lineRule="auto"/>
        <w:jc w:val="both"/>
        <w:rPr>
          <w:rFonts w:ascii="Times New Roman" w:hAnsi="Times New Roman" w:cs="Times New Roman"/>
          <w:i/>
          <w:iCs/>
          <w:sz w:val="24"/>
          <w:szCs w:val="24"/>
        </w:rPr>
      </w:pPr>
      <w:r w:rsidRPr="00C43096">
        <w:rPr>
          <w:rFonts w:ascii="Times New Roman" w:hAnsi="Times New Roman" w:cs="Times New Roman"/>
          <w:b/>
          <w:i/>
          <w:iCs/>
          <w:sz w:val="24"/>
          <w:szCs w:val="24"/>
        </w:rPr>
        <w:t>Consolidated Abstract : “</w:t>
      </w:r>
      <w:r w:rsidR="00C43096" w:rsidRPr="00C43096">
        <w:rPr>
          <w:rFonts w:ascii="Times New Roman" w:hAnsi="Times New Roman" w:cs="Times New Roman"/>
          <w:i/>
          <w:iCs/>
          <w:color w:val="000000"/>
          <w:sz w:val="24"/>
          <w:szCs w:val="24"/>
        </w:rPr>
        <w:t xml:space="preserve"> </w:t>
      </w:r>
      <w:r w:rsidR="00C43096" w:rsidRPr="00C43096">
        <w:rPr>
          <w:rFonts w:ascii="Times New Roman" w:hAnsi="Times New Roman" w:cs="Times New Roman"/>
          <w:i/>
          <w:iCs/>
          <w:color w:val="000000"/>
          <w:sz w:val="24"/>
          <w:szCs w:val="24"/>
        </w:rPr>
        <w:t>The Economic Doctrine of Judges: Antitrust and Regulatory Lessons from the U.S. Supreme Court and the CJEU</w:t>
      </w:r>
      <w:r w:rsidR="00C43096" w:rsidRPr="00C43096">
        <w:rPr>
          <w:rFonts w:ascii="Times New Roman" w:hAnsi="Times New Roman" w:cs="Times New Roman"/>
          <w:i/>
          <w:iCs/>
          <w:color w:val="000000"/>
          <w:sz w:val="24"/>
          <w:szCs w:val="24"/>
        </w:rPr>
        <w:t> »</w:t>
      </w:r>
    </w:p>
    <w:p w14:paraId="00000009" w14:textId="77777777" w:rsidR="00176EDE" w:rsidRDefault="00176EDE" w:rsidP="009C4C41">
      <w:pPr>
        <w:spacing w:line="360" w:lineRule="auto"/>
        <w:rPr>
          <w:rFonts w:ascii="Times New Roman" w:hAnsi="Times New Roman" w:cs="Times New Roman"/>
          <w:sz w:val="24"/>
          <w:szCs w:val="24"/>
        </w:rPr>
      </w:pPr>
    </w:p>
    <w:p w14:paraId="1CED57B8" w14:textId="77777777" w:rsidR="004C2362" w:rsidRDefault="004C2362" w:rsidP="001F6106">
      <w:pPr>
        <w:spacing w:line="360" w:lineRule="auto"/>
        <w:jc w:val="center"/>
        <w:rPr>
          <w:rFonts w:ascii="Times New Roman" w:hAnsi="Times New Roman" w:cs="Times New Roman"/>
          <w:sz w:val="24"/>
          <w:szCs w:val="24"/>
        </w:rPr>
      </w:pPr>
    </w:p>
    <w:p w14:paraId="75424749" w14:textId="77777777" w:rsidR="004C2362" w:rsidRPr="001F6106" w:rsidRDefault="004C2362" w:rsidP="001F6106">
      <w:pPr>
        <w:spacing w:line="360" w:lineRule="auto"/>
        <w:jc w:val="center"/>
        <w:rPr>
          <w:rFonts w:ascii="Times New Roman" w:hAnsi="Times New Roman" w:cs="Times New Roman"/>
          <w:sz w:val="24"/>
          <w:szCs w:val="24"/>
        </w:rPr>
      </w:pPr>
    </w:p>
    <w:p w14:paraId="4A3E31CC" w14:textId="5915D5EB" w:rsidR="001F6106" w:rsidRDefault="00000000" w:rsidP="004C2362">
      <w:pPr>
        <w:spacing w:line="360" w:lineRule="auto"/>
        <w:jc w:val="center"/>
        <w:rPr>
          <w:rFonts w:ascii="Times New Roman" w:hAnsi="Times New Roman" w:cs="Times New Roman"/>
          <w:b/>
          <w:i/>
          <w:color w:val="1F1F1F"/>
          <w:sz w:val="32"/>
          <w:szCs w:val="32"/>
        </w:rPr>
      </w:pPr>
      <w:r w:rsidRPr="001F6106">
        <w:rPr>
          <w:rFonts w:ascii="Times New Roman" w:hAnsi="Times New Roman" w:cs="Times New Roman"/>
          <w:b/>
          <w:i/>
          <w:color w:val="1F1F1F"/>
          <w:sz w:val="32"/>
          <w:szCs w:val="32"/>
        </w:rPr>
        <w:t>Table of contents</w:t>
      </w:r>
    </w:p>
    <w:p w14:paraId="44D23FA8" w14:textId="77777777" w:rsidR="004C2362" w:rsidRPr="004C2362" w:rsidRDefault="004C2362" w:rsidP="004C2362">
      <w:pPr>
        <w:spacing w:line="360" w:lineRule="auto"/>
        <w:jc w:val="center"/>
        <w:rPr>
          <w:rFonts w:ascii="Times New Roman" w:hAnsi="Times New Roman" w:cs="Times New Roman"/>
          <w:b/>
          <w:i/>
          <w:color w:val="1F1F1F"/>
          <w:sz w:val="32"/>
          <w:szCs w:val="32"/>
        </w:rPr>
      </w:pPr>
    </w:p>
    <w:sdt>
      <w:sdtPr>
        <w:rPr>
          <w:rFonts w:ascii="Times New Roman" w:hAnsi="Times New Roman" w:cs="Times New Roman"/>
          <w:b w:val="0"/>
          <w:bCs w:val="0"/>
          <w:caps w:val="0"/>
          <w:sz w:val="24"/>
          <w:szCs w:val="24"/>
        </w:rPr>
        <w:id w:val="-120009409"/>
        <w:docPartObj>
          <w:docPartGallery w:val="Table of Contents"/>
          <w:docPartUnique/>
        </w:docPartObj>
      </w:sdtPr>
      <w:sdtContent>
        <w:p w14:paraId="33CE3215" w14:textId="4D6A88C8" w:rsidR="004C2362" w:rsidRDefault="00595263" w:rsidP="004C2362">
          <w:pPr>
            <w:pStyle w:val="TM1"/>
            <w:tabs>
              <w:tab w:val="right" w:leader="dot" w:pos="9019"/>
            </w:tabs>
            <w:rPr>
              <w:rStyle w:val="Lienhypertexte"/>
              <w:noProof/>
              <w:sz w:val="24"/>
              <w:szCs w:val="24"/>
            </w:rPr>
          </w:pPr>
          <w:r w:rsidRPr="004C2362">
            <w:rPr>
              <w:rFonts w:ascii="Times New Roman" w:hAnsi="Times New Roman" w:cs="Times New Roman"/>
              <w:sz w:val="22"/>
              <w:szCs w:val="22"/>
            </w:rPr>
            <w:fldChar w:fldCharType="begin"/>
          </w:r>
          <w:r w:rsidRPr="004C2362">
            <w:rPr>
              <w:rFonts w:ascii="Times New Roman" w:hAnsi="Times New Roman" w:cs="Times New Roman"/>
              <w:sz w:val="22"/>
              <w:szCs w:val="22"/>
            </w:rPr>
            <w:instrText xml:space="preserve"> TOC \o "1-3" \h \z \u </w:instrText>
          </w:r>
          <w:r w:rsidRPr="004C2362">
            <w:rPr>
              <w:rFonts w:ascii="Times New Roman" w:hAnsi="Times New Roman" w:cs="Times New Roman"/>
              <w:sz w:val="22"/>
              <w:szCs w:val="22"/>
            </w:rPr>
            <w:fldChar w:fldCharType="separate"/>
          </w:r>
          <w:hyperlink w:anchor="_Toc207402592" w:history="1">
            <w:r w:rsidR="004C2362" w:rsidRPr="004C2362">
              <w:rPr>
                <w:rStyle w:val="Lienhypertexte"/>
                <w:noProof/>
                <w:sz w:val="24"/>
                <w:szCs w:val="24"/>
              </w:rPr>
              <w:t>Introduction</w:t>
            </w:r>
            <w:r w:rsidR="004C2362" w:rsidRPr="004C2362">
              <w:rPr>
                <w:noProof/>
                <w:webHidden/>
                <w:sz w:val="24"/>
                <w:szCs w:val="24"/>
              </w:rPr>
              <w:tab/>
            </w:r>
            <w:r w:rsidR="004C2362" w:rsidRPr="004C2362">
              <w:rPr>
                <w:noProof/>
                <w:webHidden/>
                <w:sz w:val="24"/>
                <w:szCs w:val="24"/>
              </w:rPr>
              <w:fldChar w:fldCharType="begin"/>
            </w:r>
            <w:r w:rsidR="004C2362" w:rsidRPr="004C2362">
              <w:rPr>
                <w:noProof/>
                <w:webHidden/>
                <w:sz w:val="24"/>
                <w:szCs w:val="24"/>
              </w:rPr>
              <w:instrText xml:space="preserve"> PAGEREF _Toc207402592 \h </w:instrText>
            </w:r>
            <w:r w:rsidR="004C2362" w:rsidRPr="004C2362">
              <w:rPr>
                <w:noProof/>
                <w:webHidden/>
                <w:sz w:val="24"/>
                <w:szCs w:val="24"/>
              </w:rPr>
            </w:r>
            <w:r w:rsidR="004C2362" w:rsidRPr="004C2362">
              <w:rPr>
                <w:noProof/>
                <w:webHidden/>
                <w:sz w:val="24"/>
                <w:szCs w:val="24"/>
              </w:rPr>
              <w:fldChar w:fldCharType="separate"/>
            </w:r>
            <w:r w:rsidR="004C2362" w:rsidRPr="004C2362">
              <w:rPr>
                <w:noProof/>
                <w:webHidden/>
                <w:sz w:val="24"/>
                <w:szCs w:val="24"/>
              </w:rPr>
              <w:t>1</w:t>
            </w:r>
            <w:r w:rsidR="004C2362" w:rsidRPr="004C2362">
              <w:rPr>
                <w:noProof/>
                <w:webHidden/>
                <w:sz w:val="24"/>
                <w:szCs w:val="24"/>
              </w:rPr>
              <w:fldChar w:fldCharType="end"/>
            </w:r>
          </w:hyperlink>
        </w:p>
        <w:p w14:paraId="1E8860C7" w14:textId="77777777" w:rsidR="00FD6227" w:rsidRPr="00FD6227" w:rsidRDefault="00FD6227" w:rsidP="00FD6227"/>
        <w:p w14:paraId="08642DBE" w14:textId="7EAA28B9" w:rsidR="004C2362" w:rsidRPr="004C2362" w:rsidRDefault="004C2362" w:rsidP="004C2362">
          <w:pPr>
            <w:pStyle w:val="TM1"/>
            <w:tabs>
              <w:tab w:val="right" w:leader="dot" w:pos="9019"/>
            </w:tabs>
            <w:spacing w:line="360" w:lineRule="auto"/>
            <w:jc w:val="both"/>
            <w:rPr>
              <w:rFonts w:eastAsiaTheme="minorEastAsia" w:cstheme="minorBidi"/>
              <w:b w:val="0"/>
              <w:bCs w:val="0"/>
              <w:caps w:val="0"/>
              <w:noProof/>
              <w:kern w:val="2"/>
              <w:sz w:val="36"/>
              <w:szCs w:val="36"/>
              <w:lang w:val="fr-FR"/>
              <w14:ligatures w14:val="standardContextual"/>
            </w:rPr>
          </w:pPr>
          <w:hyperlink w:anchor="_Toc207402593" w:history="1">
            <w:r w:rsidRPr="004C2362">
              <w:rPr>
                <w:rStyle w:val="Lienhypertexte"/>
                <w:noProof/>
                <w:sz w:val="24"/>
                <w:szCs w:val="24"/>
              </w:rPr>
              <w:t>Part I — Conceptualizing the “Economic Doctrine of Judges”: From Legal Philosophy to Constitutional Theory</w:t>
            </w:r>
            <w:r w:rsidRPr="004C2362">
              <w:rPr>
                <w:noProof/>
                <w:webHidden/>
                <w:sz w:val="24"/>
                <w:szCs w:val="24"/>
              </w:rPr>
              <w:tab/>
            </w:r>
            <w:r w:rsidRPr="004C2362">
              <w:rPr>
                <w:noProof/>
                <w:webHidden/>
                <w:sz w:val="24"/>
                <w:szCs w:val="24"/>
              </w:rPr>
              <w:fldChar w:fldCharType="begin"/>
            </w:r>
            <w:r w:rsidRPr="004C2362">
              <w:rPr>
                <w:noProof/>
                <w:webHidden/>
                <w:sz w:val="24"/>
                <w:szCs w:val="24"/>
              </w:rPr>
              <w:instrText xml:space="preserve"> PAGEREF _Toc207402593 \h </w:instrText>
            </w:r>
            <w:r w:rsidRPr="004C2362">
              <w:rPr>
                <w:noProof/>
                <w:webHidden/>
                <w:sz w:val="24"/>
                <w:szCs w:val="24"/>
              </w:rPr>
            </w:r>
            <w:r w:rsidRPr="004C2362">
              <w:rPr>
                <w:noProof/>
                <w:webHidden/>
                <w:sz w:val="24"/>
                <w:szCs w:val="24"/>
              </w:rPr>
              <w:fldChar w:fldCharType="separate"/>
            </w:r>
            <w:r w:rsidRPr="004C2362">
              <w:rPr>
                <w:noProof/>
                <w:webHidden/>
                <w:sz w:val="24"/>
                <w:szCs w:val="24"/>
              </w:rPr>
              <w:t>3</w:t>
            </w:r>
            <w:r w:rsidRPr="004C2362">
              <w:rPr>
                <w:noProof/>
                <w:webHidden/>
                <w:sz w:val="24"/>
                <w:szCs w:val="24"/>
              </w:rPr>
              <w:fldChar w:fldCharType="end"/>
            </w:r>
          </w:hyperlink>
        </w:p>
        <w:p w14:paraId="063B8AE6" w14:textId="6CB36B04" w:rsidR="004C2362" w:rsidRPr="004C2362" w:rsidRDefault="004C2362" w:rsidP="004C2362">
          <w:pPr>
            <w:pStyle w:val="TM2"/>
            <w:tabs>
              <w:tab w:val="right" w:leader="dot" w:pos="9019"/>
            </w:tabs>
            <w:spacing w:line="360" w:lineRule="auto"/>
            <w:jc w:val="both"/>
            <w:rPr>
              <w:rFonts w:eastAsiaTheme="minorEastAsia" w:cstheme="minorBidi"/>
              <w:smallCaps w:val="0"/>
              <w:noProof/>
              <w:kern w:val="2"/>
              <w:sz w:val="36"/>
              <w:szCs w:val="36"/>
              <w:lang w:val="fr-FR"/>
              <w14:ligatures w14:val="standardContextual"/>
            </w:rPr>
          </w:pPr>
          <w:hyperlink w:anchor="_Toc207402594" w:history="1">
            <w:r w:rsidRPr="004C2362">
              <w:rPr>
                <w:rStyle w:val="Lienhypertexte"/>
                <w:noProof/>
                <w:sz w:val="24"/>
                <w:szCs w:val="24"/>
              </w:rPr>
              <w:t>A – The “Economic Doctrine of Judges” Through the Lens of economic analysis of law</w:t>
            </w:r>
            <w:r w:rsidRPr="004C2362">
              <w:rPr>
                <w:noProof/>
                <w:webHidden/>
                <w:sz w:val="24"/>
                <w:szCs w:val="24"/>
              </w:rPr>
              <w:tab/>
            </w:r>
            <w:r w:rsidRPr="004C2362">
              <w:rPr>
                <w:noProof/>
                <w:webHidden/>
                <w:sz w:val="24"/>
                <w:szCs w:val="24"/>
              </w:rPr>
              <w:fldChar w:fldCharType="begin"/>
            </w:r>
            <w:r w:rsidRPr="004C2362">
              <w:rPr>
                <w:noProof/>
                <w:webHidden/>
                <w:sz w:val="24"/>
                <w:szCs w:val="24"/>
              </w:rPr>
              <w:instrText xml:space="preserve"> PAGEREF _Toc207402594 \h </w:instrText>
            </w:r>
            <w:r w:rsidRPr="004C2362">
              <w:rPr>
                <w:noProof/>
                <w:webHidden/>
                <w:sz w:val="24"/>
                <w:szCs w:val="24"/>
              </w:rPr>
            </w:r>
            <w:r w:rsidRPr="004C2362">
              <w:rPr>
                <w:noProof/>
                <w:webHidden/>
                <w:sz w:val="24"/>
                <w:szCs w:val="24"/>
              </w:rPr>
              <w:fldChar w:fldCharType="separate"/>
            </w:r>
            <w:r w:rsidRPr="004C2362">
              <w:rPr>
                <w:noProof/>
                <w:webHidden/>
                <w:sz w:val="24"/>
                <w:szCs w:val="24"/>
              </w:rPr>
              <w:t>3</w:t>
            </w:r>
            <w:r w:rsidRPr="004C2362">
              <w:rPr>
                <w:noProof/>
                <w:webHidden/>
                <w:sz w:val="24"/>
                <w:szCs w:val="24"/>
              </w:rPr>
              <w:fldChar w:fldCharType="end"/>
            </w:r>
          </w:hyperlink>
        </w:p>
        <w:p w14:paraId="354C47DD" w14:textId="066BC4A8" w:rsidR="004C2362" w:rsidRPr="004C2362" w:rsidRDefault="004C2362" w:rsidP="004C2362">
          <w:pPr>
            <w:pStyle w:val="TM2"/>
            <w:tabs>
              <w:tab w:val="right" w:leader="dot" w:pos="9019"/>
            </w:tabs>
            <w:spacing w:line="360" w:lineRule="auto"/>
            <w:jc w:val="both"/>
            <w:rPr>
              <w:rFonts w:eastAsiaTheme="minorEastAsia" w:cstheme="minorBidi"/>
              <w:smallCaps w:val="0"/>
              <w:noProof/>
              <w:kern w:val="2"/>
              <w:sz w:val="36"/>
              <w:szCs w:val="36"/>
              <w:lang w:val="fr-FR"/>
              <w14:ligatures w14:val="standardContextual"/>
            </w:rPr>
          </w:pPr>
          <w:hyperlink w:anchor="_Toc207402595" w:history="1">
            <w:r w:rsidRPr="004C2362">
              <w:rPr>
                <w:rStyle w:val="Lienhypertexte"/>
                <w:noProof/>
                <w:sz w:val="24"/>
                <w:szCs w:val="24"/>
              </w:rPr>
              <w:t>B – The “Economic Doctrine of Judges” Through the Lens of Democratic Theory</w:t>
            </w:r>
            <w:r w:rsidRPr="004C2362">
              <w:rPr>
                <w:noProof/>
                <w:webHidden/>
                <w:sz w:val="24"/>
                <w:szCs w:val="24"/>
              </w:rPr>
              <w:tab/>
            </w:r>
            <w:r w:rsidRPr="004C2362">
              <w:rPr>
                <w:noProof/>
                <w:webHidden/>
                <w:sz w:val="24"/>
                <w:szCs w:val="24"/>
              </w:rPr>
              <w:fldChar w:fldCharType="begin"/>
            </w:r>
            <w:r w:rsidRPr="004C2362">
              <w:rPr>
                <w:noProof/>
                <w:webHidden/>
                <w:sz w:val="24"/>
                <w:szCs w:val="24"/>
              </w:rPr>
              <w:instrText xml:space="preserve"> PAGEREF _Toc207402595 \h </w:instrText>
            </w:r>
            <w:r w:rsidRPr="004C2362">
              <w:rPr>
                <w:noProof/>
                <w:webHidden/>
                <w:sz w:val="24"/>
                <w:szCs w:val="24"/>
              </w:rPr>
            </w:r>
            <w:r w:rsidRPr="004C2362">
              <w:rPr>
                <w:noProof/>
                <w:webHidden/>
                <w:sz w:val="24"/>
                <w:szCs w:val="24"/>
              </w:rPr>
              <w:fldChar w:fldCharType="separate"/>
            </w:r>
            <w:r w:rsidRPr="004C2362">
              <w:rPr>
                <w:noProof/>
                <w:webHidden/>
                <w:sz w:val="24"/>
                <w:szCs w:val="24"/>
              </w:rPr>
              <w:t>4</w:t>
            </w:r>
            <w:r w:rsidRPr="004C2362">
              <w:rPr>
                <w:noProof/>
                <w:webHidden/>
                <w:sz w:val="24"/>
                <w:szCs w:val="24"/>
              </w:rPr>
              <w:fldChar w:fldCharType="end"/>
            </w:r>
          </w:hyperlink>
        </w:p>
        <w:p w14:paraId="4A6DA680" w14:textId="586E64F4" w:rsidR="004C2362" w:rsidRDefault="004C2362" w:rsidP="004C2362">
          <w:pPr>
            <w:pStyle w:val="TM2"/>
            <w:tabs>
              <w:tab w:val="right" w:leader="dot" w:pos="9019"/>
            </w:tabs>
            <w:spacing w:line="360" w:lineRule="auto"/>
            <w:jc w:val="both"/>
            <w:rPr>
              <w:rStyle w:val="Lienhypertexte"/>
              <w:noProof/>
              <w:sz w:val="24"/>
              <w:szCs w:val="24"/>
            </w:rPr>
          </w:pPr>
          <w:hyperlink w:anchor="_Toc207402596" w:history="1">
            <w:r w:rsidRPr="004C2362">
              <w:rPr>
                <w:rStyle w:val="Lienhypertexte"/>
                <w:noProof/>
                <w:sz w:val="24"/>
                <w:szCs w:val="24"/>
              </w:rPr>
              <w:t>C – The “Economic Doctrine of Judges” definition</w:t>
            </w:r>
            <w:r w:rsidRPr="004C2362">
              <w:rPr>
                <w:noProof/>
                <w:webHidden/>
                <w:sz w:val="24"/>
                <w:szCs w:val="24"/>
              </w:rPr>
              <w:tab/>
            </w:r>
            <w:r w:rsidRPr="004C2362">
              <w:rPr>
                <w:noProof/>
                <w:webHidden/>
                <w:sz w:val="24"/>
                <w:szCs w:val="24"/>
              </w:rPr>
              <w:fldChar w:fldCharType="begin"/>
            </w:r>
            <w:r w:rsidRPr="004C2362">
              <w:rPr>
                <w:noProof/>
                <w:webHidden/>
                <w:sz w:val="24"/>
                <w:szCs w:val="24"/>
              </w:rPr>
              <w:instrText xml:space="preserve"> PAGEREF _Toc207402596 \h </w:instrText>
            </w:r>
            <w:r w:rsidRPr="004C2362">
              <w:rPr>
                <w:noProof/>
                <w:webHidden/>
                <w:sz w:val="24"/>
                <w:szCs w:val="24"/>
              </w:rPr>
            </w:r>
            <w:r w:rsidRPr="004C2362">
              <w:rPr>
                <w:noProof/>
                <w:webHidden/>
                <w:sz w:val="24"/>
                <w:szCs w:val="24"/>
              </w:rPr>
              <w:fldChar w:fldCharType="separate"/>
            </w:r>
            <w:r w:rsidRPr="004C2362">
              <w:rPr>
                <w:noProof/>
                <w:webHidden/>
                <w:sz w:val="24"/>
                <w:szCs w:val="24"/>
              </w:rPr>
              <w:t>6</w:t>
            </w:r>
            <w:r w:rsidRPr="004C2362">
              <w:rPr>
                <w:noProof/>
                <w:webHidden/>
                <w:sz w:val="24"/>
                <w:szCs w:val="24"/>
              </w:rPr>
              <w:fldChar w:fldCharType="end"/>
            </w:r>
          </w:hyperlink>
        </w:p>
        <w:p w14:paraId="5218E24D" w14:textId="77777777" w:rsidR="00FD6227" w:rsidRPr="00FD6227" w:rsidRDefault="00FD6227" w:rsidP="00FD6227"/>
        <w:p w14:paraId="6B9965B2" w14:textId="4B82C02A" w:rsidR="004C2362" w:rsidRPr="004C2362" w:rsidRDefault="004C2362" w:rsidP="004C2362">
          <w:pPr>
            <w:pStyle w:val="TM1"/>
            <w:tabs>
              <w:tab w:val="right" w:leader="dot" w:pos="9019"/>
            </w:tabs>
            <w:spacing w:line="360" w:lineRule="auto"/>
            <w:jc w:val="both"/>
            <w:rPr>
              <w:rFonts w:eastAsiaTheme="minorEastAsia" w:cstheme="minorBidi"/>
              <w:b w:val="0"/>
              <w:bCs w:val="0"/>
              <w:caps w:val="0"/>
              <w:noProof/>
              <w:kern w:val="2"/>
              <w:sz w:val="36"/>
              <w:szCs w:val="36"/>
              <w:lang w:val="fr-FR"/>
              <w14:ligatures w14:val="standardContextual"/>
            </w:rPr>
          </w:pPr>
          <w:hyperlink w:anchor="_Toc207402597" w:history="1">
            <w:r w:rsidRPr="004C2362">
              <w:rPr>
                <w:rStyle w:val="Lienhypertexte"/>
                <w:noProof/>
                <w:sz w:val="24"/>
                <w:szCs w:val="24"/>
              </w:rPr>
              <w:t>Part II – Materializing the Economic Doctrine of Judges: Antitrust and Regulatory Case Law</w:t>
            </w:r>
            <w:r w:rsidRPr="004C2362">
              <w:rPr>
                <w:noProof/>
                <w:webHidden/>
                <w:sz w:val="24"/>
                <w:szCs w:val="24"/>
              </w:rPr>
              <w:tab/>
            </w:r>
            <w:r w:rsidRPr="004C2362">
              <w:rPr>
                <w:noProof/>
                <w:webHidden/>
                <w:sz w:val="24"/>
                <w:szCs w:val="24"/>
              </w:rPr>
              <w:fldChar w:fldCharType="begin"/>
            </w:r>
            <w:r w:rsidRPr="004C2362">
              <w:rPr>
                <w:noProof/>
                <w:webHidden/>
                <w:sz w:val="24"/>
                <w:szCs w:val="24"/>
              </w:rPr>
              <w:instrText xml:space="preserve"> PAGEREF _Toc207402597 \h </w:instrText>
            </w:r>
            <w:r w:rsidRPr="004C2362">
              <w:rPr>
                <w:noProof/>
                <w:webHidden/>
                <w:sz w:val="24"/>
                <w:szCs w:val="24"/>
              </w:rPr>
            </w:r>
            <w:r w:rsidRPr="004C2362">
              <w:rPr>
                <w:noProof/>
                <w:webHidden/>
                <w:sz w:val="24"/>
                <w:szCs w:val="24"/>
              </w:rPr>
              <w:fldChar w:fldCharType="separate"/>
            </w:r>
            <w:r w:rsidRPr="004C2362">
              <w:rPr>
                <w:noProof/>
                <w:webHidden/>
                <w:sz w:val="24"/>
                <w:szCs w:val="24"/>
              </w:rPr>
              <w:t>10</w:t>
            </w:r>
            <w:r w:rsidRPr="004C2362">
              <w:rPr>
                <w:noProof/>
                <w:webHidden/>
                <w:sz w:val="24"/>
                <w:szCs w:val="24"/>
              </w:rPr>
              <w:fldChar w:fldCharType="end"/>
            </w:r>
          </w:hyperlink>
        </w:p>
        <w:p w14:paraId="76DF5EC3" w14:textId="5D52BA91" w:rsidR="004C2362" w:rsidRPr="004C2362" w:rsidRDefault="004C2362" w:rsidP="004C2362">
          <w:pPr>
            <w:pStyle w:val="TM2"/>
            <w:tabs>
              <w:tab w:val="right" w:leader="dot" w:pos="9019"/>
            </w:tabs>
            <w:spacing w:line="360" w:lineRule="auto"/>
            <w:jc w:val="both"/>
            <w:rPr>
              <w:rFonts w:eastAsiaTheme="minorEastAsia" w:cstheme="minorBidi"/>
              <w:smallCaps w:val="0"/>
              <w:noProof/>
              <w:kern w:val="2"/>
              <w:sz w:val="36"/>
              <w:szCs w:val="36"/>
              <w:lang w:val="fr-FR"/>
              <w14:ligatures w14:val="standardContextual"/>
            </w:rPr>
          </w:pPr>
          <w:hyperlink w:anchor="_Toc207402598" w:history="1">
            <w:r w:rsidRPr="004C2362">
              <w:rPr>
                <w:rStyle w:val="Lienhypertexte"/>
                <w:noProof/>
                <w:sz w:val="24"/>
                <w:szCs w:val="24"/>
              </w:rPr>
              <w:t>A - Convergence: SCOTUS and CJEU Advancing Toward the Same Goals Along a Shared Path</w:t>
            </w:r>
            <w:r w:rsidRPr="004C2362">
              <w:rPr>
                <w:noProof/>
                <w:webHidden/>
                <w:sz w:val="24"/>
                <w:szCs w:val="24"/>
              </w:rPr>
              <w:tab/>
            </w:r>
            <w:r w:rsidRPr="004C2362">
              <w:rPr>
                <w:noProof/>
                <w:webHidden/>
                <w:sz w:val="24"/>
                <w:szCs w:val="24"/>
              </w:rPr>
              <w:fldChar w:fldCharType="begin"/>
            </w:r>
            <w:r w:rsidRPr="004C2362">
              <w:rPr>
                <w:noProof/>
                <w:webHidden/>
                <w:sz w:val="24"/>
                <w:szCs w:val="24"/>
              </w:rPr>
              <w:instrText xml:space="preserve"> PAGEREF _Toc207402598 \h </w:instrText>
            </w:r>
            <w:r w:rsidRPr="004C2362">
              <w:rPr>
                <w:noProof/>
                <w:webHidden/>
                <w:sz w:val="24"/>
                <w:szCs w:val="24"/>
              </w:rPr>
            </w:r>
            <w:r w:rsidRPr="004C2362">
              <w:rPr>
                <w:noProof/>
                <w:webHidden/>
                <w:sz w:val="24"/>
                <w:szCs w:val="24"/>
              </w:rPr>
              <w:fldChar w:fldCharType="separate"/>
            </w:r>
            <w:r w:rsidRPr="004C2362">
              <w:rPr>
                <w:noProof/>
                <w:webHidden/>
                <w:sz w:val="24"/>
                <w:szCs w:val="24"/>
              </w:rPr>
              <w:t>10</w:t>
            </w:r>
            <w:r w:rsidRPr="004C2362">
              <w:rPr>
                <w:noProof/>
                <w:webHidden/>
                <w:sz w:val="24"/>
                <w:szCs w:val="24"/>
              </w:rPr>
              <w:fldChar w:fldCharType="end"/>
            </w:r>
          </w:hyperlink>
        </w:p>
        <w:p w14:paraId="72435DD7" w14:textId="3A780A66" w:rsidR="004C2362" w:rsidRPr="004C2362" w:rsidRDefault="004C2362" w:rsidP="004C2362">
          <w:pPr>
            <w:pStyle w:val="TM2"/>
            <w:tabs>
              <w:tab w:val="right" w:leader="dot" w:pos="9019"/>
            </w:tabs>
            <w:spacing w:line="360" w:lineRule="auto"/>
            <w:jc w:val="both"/>
            <w:rPr>
              <w:rFonts w:eastAsiaTheme="minorEastAsia" w:cstheme="minorBidi"/>
              <w:smallCaps w:val="0"/>
              <w:noProof/>
              <w:kern w:val="2"/>
              <w:sz w:val="36"/>
              <w:szCs w:val="36"/>
              <w:lang w:val="fr-FR"/>
              <w14:ligatures w14:val="standardContextual"/>
            </w:rPr>
          </w:pPr>
          <w:hyperlink w:anchor="_Toc207402599" w:history="1">
            <w:r w:rsidRPr="004C2362">
              <w:rPr>
                <w:rStyle w:val="Lienhypertexte"/>
                <w:noProof/>
                <w:sz w:val="24"/>
                <w:szCs w:val="24"/>
              </w:rPr>
              <w:t>B – Divergence: SCOTUS and CJEU Advancing Toward the Same Goals Along Distinct Paths</w:t>
            </w:r>
            <w:r w:rsidRPr="004C2362">
              <w:rPr>
                <w:noProof/>
                <w:webHidden/>
                <w:sz w:val="24"/>
                <w:szCs w:val="24"/>
              </w:rPr>
              <w:tab/>
            </w:r>
            <w:r w:rsidRPr="004C2362">
              <w:rPr>
                <w:noProof/>
                <w:webHidden/>
                <w:sz w:val="24"/>
                <w:szCs w:val="24"/>
              </w:rPr>
              <w:fldChar w:fldCharType="begin"/>
            </w:r>
            <w:r w:rsidRPr="004C2362">
              <w:rPr>
                <w:noProof/>
                <w:webHidden/>
                <w:sz w:val="24"/>
                <w:szCs w:val="24"/>
              </w:rPr>
              <w:instrText xml:space="preserve"> PAGEREF _Toc207402599 \h </w:instrText>
            </w:r>
            <w:r w:rsidRPr="004C2362">
              <w:rPr>
                <w:noProof/>
                <w:webHidden/>
                <w:sz w:val="24"/>
                <w:szCs w:val="24"/>
              </w:rPr>
            </w:r>
            <w:r w:rsidRPr="004C2362">
              <w:rPr>
                <w:noProof/>
                <w:webHidden/>
                <w:sz w:val="24"/>
                <w:szCs w:val="24"/>
              </w:rPr>
              <w:fldChar w:fldCharType="separate"/>
            </w:r>
            <w:r w:rsidRPr="004C2362">
              <w:rPr>
                <w:noProof/>
                <w:webHidden/>
                <w:sz w:val="24"/>
                <w:szCs w:val="24"/>
              </w:rPr>
              <w:t>12</w:t>
            </w:r>
            <w:r w:rsidRPr="004C2362">
              <w:rPr>
                <w:noProof/>
                <w:webHidden/>
                <w:sz w:val="24"/>
                <w:szCs w:val="24"/>
              </w:rPr>
              <w:fldChar w:fldCharType="end"/>
            </w:r>
          </w:hyperlink>
        </w:p>
        <w:p w14:paraId="1D73FCD1" w14:textId="3AA24BAD" w:rsidR="004C2362" w:rsidRPr="004C2362" w:rsidRDefault="004C2362" w:rsidP="004C2362">
          <w:pPr>
            <w:pStyle w:val="TM2"/>
            <w:tabs>
              <w:tab w:val="right" w:leader="dot" w:pos="9019"/>
            </w:tabs>
            <w:spacing w:line="360" w:lineRule="auto"/>
            <w:jc w:val="both"/>
            <w:rPr>
              <w:rFonts w:eastAsiaTheme="minorEastAsia" w:cstheme="minorBidi"/>
              <w:smallCaps w:val="0"/>
              <w:noProof/>
              <w:kern w:val="2"/>
              <w:sz w:val="36"/>
              <w:szCs w:val="36"/>
              <w:lang w:val="fr-FR"/>
              <w14:ligatures w14:val="standardContextual"/>
            </w:rPr>
          </w:pPr>
          <w:hyperlink w:anchor="_Toc207402600" w:history="1">
            <w:r w:rsidRPr="004C2362">
              <w:rPr>
                <w:rStyle w:val="Lienhypertexte"/>
                <w:noProof/>
                <w:sz w:val="24"/>
                <w:szCs w:val="24"/>
              </w:rPr>
              <w:t xml:space="preserve">C - Autonomization: SCOTUS and CJEU </w:t>
            </w:r>
            <w:r w:rsidR="009C4C41" w:rsidRPr="009C4C41">
              <w:rPr>
                <w:sz w:val="24"/>
                <w:szCs w:val="24"/>
              </w:rPr>
              <w:t>Advancing Toward Distinct Goals</w:t>
            </w:r>
            <w:r w:rsidRPr="004C2362">
              <w:rPr>
                <w:rStyle w:val="Lienhypertexte"/>
                <w:noProof/>
                <w:sz w:val="24"/>
                <w:szCs w:val="24"/>
              </w:rPr>
              <w:t xml:space="preserve"> Amid Regulatory and Contextual Evolution</w:t>
            </w:r>
            <w:r w:rsidRPr="004C2362">
              <w:rPr>
                <w:noProof/>
                <w:webHidden/>
                <w:sz w:val="24"/>
                <w:szCs w:val="24"/>
              </w:rPr>
              <w:tab/>
            </w:r>
            <w:r w:rsidRPr="004C2362">
              <w:rPr>
                <w:noProof/>
                <w:webHidden/>
                <w:sz w:val="24"/>
                <w:szCs w:val="24"/>
              </w:rPr>
              <w:fldChar w:fldCharType="begin"/>
            </w:r>
            <w:r w:rsidRPr="004C2362">
              <w:rPr>
                <w:noProof/>
                <w:webHidden/>
                <w:sz w:val="24"/>
                <w:szCs w:val="24"/>
              </w:rPr>
              <w:instrText xml:space="preserve"> PAGEREF _Toc207402600 \h </w:instrText>
            </w:r>
            <w:r w:rsidRPr="004C2362">
              <w:rPr>
                <w:noProof/>
                <w:webHidden/>
                <w:sz w:val="24"/>
                <w:szCs w:val="24"/>
              </w:rPr>
            </w:r>
            <w:r w:rsidRPr="004C2362">
              <w:rPr>
                <w:noProof/>
                <w:webHidden/>
                <w:sz w:val="24"/>
                <w:szCs w:val="24"/>
              </w:rPr>
              <w:fldChar w:fldCharType="separate"/>
            </w:r>
            <w:r w:rsidRPr="004C2362">
              <w:rPr>
                <w:noProof/>
                <w:webHidden/>
                <w:sz w:val="24"/>
                <w:szCs w:val="24"/>
              </w:rPr>
              <w:t>13</w:t>
            </w:r>
            <w:r w:rsidRPr="004C2362">
              <w:rPr>
                <w:noProof/>
                <w:webHidden/>
                <w:sz w:val="24"/>
                <w:szCs w:val="24"/>
              </w:rPr>
              <w:fldChar w:fldCharType="end"/>
            </w:r>
          </w:hyperlink>
        </w:p>
        <w:p w14:paraId="1F27E0BA" w14:textId="1FAE909F" w:rsidR="004C2362" w:rsidRPr="00FD6227" w:rsidRDefault="00595263" w:rsidP="00FD6227">
          <w:pPr>
            <w:widowControl w:val="0"/>
            <w:tabs>
              <w:tab w:val="right" w:leader="dot" w:pos="9025"/>
            </w:tabs>
            <w:spacing w:line="360" w:lineRule="auto"/>
            <w:ind w:left="360"/>
            <w:jc w:val="both"/>
            <w:rPr>
              <w:rFonts w:ascii="Times New Roman" w:hAnsi="Times New Roman" w:cs="Times New Roman"/>
              <w:color w:val="000000"/>
              <w:sz w:val="24"/>
              <w:szCs w:val="24"/>
            </w:rPr>
          </w:pPr>
          <w:r w:rsidRPr="004C2362">
            <w:rPr>
              <w:rFonts w:ascii="Times New Roman" w:hAnsi="Times New Roman" w:cs="Times New Roman"/>
            </w:rPr>
            <w:fldChar w:fldCharType="end"/>
          </w:r>
        </w:p>
      </w:sdtContent>
    </w:sdt>
    <w:bookmarkStart w:id="0" w:name="_Toc207402592" w:displacedByCustomXml="prev"/>
    <w:p w14:paraId="00000019" w14:textId="261217CD" w:rsidR="00176EDE" w:rsidRPr="00595263" w:rsidRDefault="00000000" w:rsidP="00595263">
      <w:pPr>
        <w:pStyle w:val="Titre1"/>
      </w:pPr>
      <w:r w:rsidRPr="00595263">
        <w:lastRenderedPageBreak/>
        <w:t>Introduction</w:t>
      </w:r>
      <w:bookmarkEnd w:id="0"/>
    </w:p>
    <w:p w14:paraId="0738CEEC" w14:textId="77777777" w:rsidR="001F6106" w:rsidRPr="001F6106" w:rsidRDefault="001F6106" w:rsidP="001F6106"/>
    <w:p w14:paraId="00B961D7" w14:textId="571D3A14" w:rsidR="00DD4FE4" w:rsidRDefault="00DD4FE4" w:rsidP="001F6106">
      <w:pPr>
        <w:pStyle w:val="NormalWeb"/>
        <w:spacing w:before="0" w:beforeAutospacing="0" w:after="0" w:afterAutospacing="0" w:line="360" w:lineRule="auto"/>
        <w:jc w:val="both"/>
        <w:rPr>
          <w:rStyle w:val="lev"/>
          <w:b w:val="0"/>
          <w:bCs w:val="0"/>
          <w:color w:val="000000"/>
        </w:rPr>
      </w:pPr>
      <w:r w:rsidRPr="001F6106">
        <w:rPr>
          <w:color w:val="000000"/>
        </w:rPr>
        <w:t>Can judges be said to possess an</w:t>
      </w:r>
      <w:r w:rsidRPr="001F6106">
        <w:rPr>
          <w:rStyle w:val="apple-converted-space"/>
          <w:color w:val="000000"/>
        </w:rPr>
        <w:t> </w:t>
      </w:r>
      <w:r w:rsidRPr="001F6106">
        <w:rPr>
          <w:rStyle w:val="Accentuation"/>
          <w:color w:val="000000"/>
        </w:rPr>
        <w:t>economic doctrine</w:t>
      </w:r>
      <w:r w:rsidRPr="001F6106">
        <w:rPr>
          <w:color w:val="000000"/>
        </w:rPr>
        <w:t>? This paper explores that question at the intersection of legal philosophy and constitutional theory.</w:t>
      </w:r>
      <w:r w:rsidRPr="004C2362">
        <w:rPr>
          <w:color w:val="000000"/>
        </w:rPr>
        <w:t xml:space="preserve"> </w:t>
      </w:r>
      <w:r w:rsidR="004C2362" w:rsidRPr="004C2362">
        <w:rPr>
          <w:color w:val="000000"/>
        </w:rPr>
        <w:t>Constitutional courts are traditionally seen as guardians of constitutional order, deriving legitimacy from law rather than policy</w:t>
      </w:r>
      <w:r w:rsidRPr="004C2362">
        <w:rPr>
          <w:color w:val="000000"/>
        </w:rPr>
        <w:t xml:space="preserve">. </w:t>
      </w:r>
      <w:r w:rsidRPr="001F6106">
        <w:rPr>
          <w:color w:val="000000"/>
        </w:rPr>
        <w:t>Yet in practice, judicial reasoning in fields such as antitrust and regulatory law often reveals underlying economic assumptions—about markets, efficiency, competition, and institutional roles—that may crystallize into something more than mere argumentation. The central research question guiding this study is thus:</w:t>
      </w:r>
      <w:r w:rsidRPr="001F6106">
        <w:rPr>
          <w:rStyle w:val="apple-converted-space"/>
          <w:color w:val="000000"/>
        </w:rPr>
        <w:t> </w:t>
      </w:r>
      <w:r w:rsidRPr="001F6106">
        <w:rPr>
          <w:rStyle w:val="lev"/>
          <w:b w:val="0"/>
          <w:bCs w:val="0"/>
          <w:color w:val="000000"/>
        </w:rPr>
        <w:t>can judicial reliance on economic reasoning be conceptualized as a constitutional doctrine, and what does this reveal about the legitimacy of courts in market societies?</w:t>
      </w:r>
    </w:p>
    <w:p w14:paraId="071FEA9A" w14:textId="77777777" w:rsidR="001F6106" w:rsidRPr="001F6106" w:rsidRDefault="001F6106" w:rsidP="001F6106">
      <w:pPr>
        <w:pStyle w:val="NormalWeb"/>
        <w:spacing w:before="0" w:beforeAutospacing="0" w:after="0" w:afterAutospacing="0" w:line="360" w:lineRule="auto"/>
        <w:jc w:val="both"/>
        <w:rPr>
          <w:color w:val="000000"/>
        </w:rPr>
      </w:pPr>
    </w:p>
    <w:p w14:paraId="62EB2462" w14:textId="114FAC23" w:rsidR="00DD4FE4" w:rsidRPr="00EE7414" w:rsidRDefault="00DD4FE4" w:rsidP="001F6106">
      <w:pPr>
        <w:pStyle w:val="NormalWeb"/>
        <w:spacing w:before="0" w:beforeAutospacing="0" w:after="0" w:afterAutospacing="0" w:line="360" w:lineRule="auto"/>
        <w:jc w:val="both"/>
        <w:rPr>
          <w:color w:val="000000"/>
        </w:rPr>
      </w:pPr>
      <w:r w:rsidRPr="001F6106">
        <w:rPr>
          <w:color w:val="000000"/>
        </w:rPr>
        <w:t xml:space="preserve">This question situates the project within constitutional theory in two respects. First, both the U.S. Supreme Court (SCOTUS) and the Court of Justice of the European Union (CJEU) act not only as interpreters of constitutional principles but also as </w:t>
      </w:r>
      <w:r w:rsidR="001F6106" w:rsidRPr="001F6106">
        <w:rPr>
          <w:color w:val="000000"/>
        </w:rPr>
        <w:t>arbitrators</w:t>
      </w:r>
      <w:r w:rsidRPr="001F6106">
        <w:rPr>
          <w:color w:val="000000"/>
        </w:rPr>
        <w:t xml:space="preserve"> of the permissible scope of regulatory and administrative action</w:t>
      </w:r>
      <w:r w:rsidRPr="001F6106">
        <w:rPr>
          <w:rStyle w:val="Appelnotedebasdep"/>
          <w:color w:val="000000"/>
        </w:rPr>
        <w:footnoteReference w:id="1"/>
      </w:r>
      <w:r w:rsidRPr="001F6106">
        <w:rPr>
          <w:color w:val="000000"/>
        </w:rPr>
        <w:t xml:space="preserve">. Their engagement with economic reasoning is therefore inseparable from their constitutional role: to delineate the boundaries of democracy, markets, and the state. Second, because economic reasoning shapes the allocation of public and private power, the recognition of an “economic doctrine of judges” </w:t>
      </w:r>
      <w:r w:rsidR="00EE7414" w:rsidRPr="00EE7414">
        <w:rPr>
          <w:color w:val="000000"/>
        </w:rPr>
        <w:t>has implications for understanding how courts justify intervention in economic life, and how this affects their legitimacy and accountability</w:t>
      </w:r>
      <w:r w:rsidRPr="00EE7414">
        <w:rPr>
          <w:color w:val="000000"/>
        </w:rPr>
        <w:t>.</w:t>
      </w:r>
    </w:p>
    <w:p w14:paraId="021B6112" w14:textId="388B7529" w:rsidR="001F6106" w:rsidRPr="001F6106" w:rsidRDefault="00EE7414" w:rsidP="001F6106">
      <w:pPr>
        <w:pStyle w:val="NormalWeb"/>
        <w:spacing w:before="0" w:beforeAutospacing="0" w:after="0" w:afterAutospacing="0" w:line="360" w:lineRule="auto"/>
        <w:jc w:val="both"/>
        <w:rPr>
          <w:color w:val="000000"/>
        </w:rPr>
      </w:pPr>
      <w:r>
        <w:rPr>
          <w:color w:val="000000"/>
        </w:rPr>
        <w:tab/>
      </w:r>
    </w:p>
    <w:p w14:paraId="341A4CE2" w14:textId="700443D4" w:rsidR="001F6106" w:rsidRPr="001F6106" w:rsidRDefault="00DD4FE4" w:rsidP="001F6106">
      <w:pPr>
        <w:pStyle w:val="NormalWeb"/>
        <w:spacing w:before="0" w:beforeAutospacing="0" w:after="0" w:afterAutospacing="0" w:line="360" w:lineRule="auto"/>
        <w:jc w:val="both"/>
        <w:rPr>
          <w:color w:val="000000"/>
        </w:rPr>
      </w:pPr>
      <w:r w:rsidRPr="001F6106">
        <w:rPr>
          <w:color w:val="000000"/>
        </w:rPr>
        <w:t>Methodologically, the paper adopts a</w:t>
      </w:r>
      <w:r w:rsidRPr="001F6106">
        <w:rPr>
          <w:rStyle w:val="apple-converted-space"/>
          <w:color w:val="000000"/>
        </w:rPr>
        <w:t> </w:t>
      </w:r>
      <w:r w:rsidRPr="001F6106">
        <w:rPr>
          <w:rStyle w:val="lev"/>
          <w:b w:val="0"/>
          <w:bCs w:val="0"/>
          <w:color w:val="000000"/>
        </w:rPr>
        <w:t>qualitative, case-based analysis</w:t>
      </w:r>
      <w:r w:rsidRPr="001F6106">
        <w:rPr>
          <w:rStyle w:val="apple-converted-space"/>
          <w:b/>
          <w:bCs/>
          <w:color w:val="000000"/>
        </w:rPr>
        <w:t> </w:t>
      </w:r>
      <w:r w:rsidRPr="001F6106">
        <w:rPr>
          <w:color w:val="000000"/>
        </w:rPr>
        <w:t>of landmark decisions in antitrust and sectoral regulation, fields chosen because they are “laboratories” where judicial reasoning most visibly intersects with economic concepts. Rather than attempting exhaustiveness, the project identifies</w:t>
      </w:r>
      <w:r w:rsidRPr="001F6106">
        <w:rPr>
          <w:rStyle w:val="apple-converted-space"/>
          <w:color w:val="000000"/>
        </w:rPr>
        <w:t> </w:t>
      </w:r>
      <w:r w:rsidRPr="001F6106">
        <w:rPr>
          <w:rStyle w:val="lev"/>
          <w:b w:val="0"/>
          <w:bCs w:val="0"/>
          <w:color w:val="000000"/>
        </w:rPr>
        <w:t>patterns of reasoning</w:t>
      </w:r>
      <w:r w:rsidRPr="001F6106">
        <w:rPr>
          <w:color w:val="000000"/>
        </w:rPr>
        <w:t>—recurring justifications, argumentative strategies, and doctrinal moves—that may collectively constitute an implicit economic doctrine. This comparative focus on SCOTUS and the CJEU is especially fruitful: both courts have engaged in mutual borrowing and cross-fertilization, yet they operate within different constitutional architectures and traditions of judicial review.</w:t>
      </w:r>
    </w:p>
    <w:p w14:paraId="33DF73AE" w14:textId="77777777" w:rsidR="001F6106" w:rsidRPr="001F6106" w:rsidRDefault="001F6106" w:rsidP="001F6106">
      <w:pPr>
        <w:pStyle w:val="NormalWeb"/>
        <w:spacing w:before="0" w:beforeAutospacing="0" w:after="0" w:afterAutospacing="0" w:line="360" w:lineRule="auto"/>
        <w:jc w:val="both"/>
        <w:rPr>
          <w:color w:val="000000"/>
        </w:rPr>
      </w:pPr>
    </w:p>
    <w:p w14:paraId="00000029" w14:textId="77777777" w:rsidR="00176EDE" w:rsidRPr="001F6106" w:rsidRDefault="00000000" w:rsidP="00595263">
      <w:pPr>
        <w:pStyle w:val="Titre1"/>
      </w:pPr>
      <w:bookmarkStart w:id="1" w:name="_Toc207402593"/>
      <w:r w:rsidRPr="001F6106">
        <w:t>Part I — Conceptualizing the “Economic Doctrine of Judges”: From Legal Philosophy to Constitutional Theory</w:t>
      </w:r>
      <w:bookmarkEnd w:id="1"/>
    </w:p>
    <w:p w14:paraId="0000002B" w14:textId="77777777" w:rsidR="00176EDE" w:rsidRPr="001F6106" w:rsidRDefault="00176EDE" w:rsidP="001F6106">
      <w:pPr>
        <w:spacing w:line="360" w:lineRule="auto"/>
        <w:jc w:val="both"/>
        <w:rPr>
          <w:rFonts w:ascii="Times New Roman" w:hAnsi="Times New Roman" w:cs="Times New Roman"/>
          <w:sz w:val="24"/>
          <w:szCs w:val="24"/>
        </w:rPr>
      </w:pPr>
    </w:p>
    <w:p w14:paraId="0000002C" w14:textId="66CB7F73" w:rsidR="00176EDE" w:rsidRPr="00595263" w:rsidRDefault="00000000" w:rsidP="00595263">
      <w:pPr>
        <w:pStyle w:val="Titre2"/>
      </w:pPr>
      <w:bookmarkStart w:id="2" w:name="_Toc207402594"/>
      <w:r w:rsidRPr="00595263">
        <w:t xml:space="preserve">A </w:t>
      </w:r>
      <w:r w:rsidR="0024254A" w:rsidRPr="00595263">
        <w:t>–</w:t>
      </w:r>
      <w:r w:rsidRPr="00595263">
        <w:t xml:space="preserve"> </w:t>
      </w:r>
      <w:r w:rsidR="0024254A" w:rsidRPr="00595263">
        <w:t xml:space="preserve">The </w:t>
      </w:r>
      <w:r w:rsidRPr="00595263">
        <w:t xml:space="preserve">“Economic Doctrine of Judges” </w:t>
      </w:r>
      <w:r w:rsidR="0024254A" w:rsidRPr="00595263">
        <w:t>Through the Lens</w:t>
      </w:r>
      <w:r w:rsidR="0024254A" w:rsidRPr="00595263">
        <w:rPr>
          <w:rStyle w:val="apple-converted-space"/>
        </w:rPr>
        <w:t xml:space="preserve"> of </w:t>
      </w:r>
      <w:r w:rsidRPr="00595263">
        <w:t>economic analysis of law</w:t>
      </w:r>
      <w:bookmarkEnd w:id="2"/>
    </w:p>
    <w:p w14:paraId="0000002E" w14:textId="77777777" w:rsidR="00176EDE" w:rsidRPr="001F6106" w:rsidRDefault="00176EDE" w:rsidP="001F6106">
      <w:pPr>
        <w:spacing w:line="360" w:lineRule="auto"/>
        <w:jc w:val="both"/>
        <w:rPr>
          <w:rFonts w:ascii="Times New Roman" w:hAnsi="Times New Roman" w:cs="Times New Roman"/>
          <w:sz w:val="24"/>
          <w:szCs w:val="24"/>
        </w:rPr>
      </w:pPr>
    </w:p>
    <w:p w14:paraId="0000002F" w14:textId="6A3711B0"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 xml:space="preserve">The concept of an “economic doctrine of judges” remains inherently elusive, as it sits at the intersection of legal philosophy, economic analysis, and constitutional theory. At its core, the notion challenges conventional assumptions about judicial behavior and doctrinal formation: do judges, traditionally understood as interpreters of law, actually possess a coherent doctrine in economic terms, and if so, what constitutes its epistemic and normative foundations? </w:t>
      </w:r>
      <w:r w:rsidR="00EE7414" w:rsidRPr="00EE7414">
        <w:rPr>
          <w:rFonts w:ascii="Times New Roman" w:hAnsi="Times New Roman" w:cs="Times New Roman"/>
          <w:color w:val="000000"/>
          <w:sz w:val="24"/>
          <w:szCs w:val="24"/>
        </w:rPr>
        <w:t>Dworkin</w:t>
      </w:r>
      <w:r w:rsidR="00EE7414" w:rsidRPr="00EE7414">
        <w:rPr>
          <w:rFonts w:ascii="Times New Roman" w:hAnsi="Times New Roman" w:cs="Times New Roman"/>
          <w:i/>
          <w:sz w:val="24"/>
          <w:szCs w:val="24"/>
          <w:vertAlign w:val="superscript"/>
        </w:rPr>
        <w:footnoteReference w:id="2"/>
      </w:r>
      <w:r w:rsidR="00EE7414" w:rsidRPr="00EE7414">
        <w:rPr>
          <w:rFonts w:ascii="Times New Roman" w:hAnsi="Times New Roman" w:cs="Times New Roman"/>
          <w:color w:val="000000"/>
          <w:sz w:val="24"/>
          <w:szCs w:val="24"/>
        </w:rPr>
        <w:t xml:space="preserve"> situates judicial reasoning within a broader interpretive framework, emphasizing coherence, integrity, and consistency</w:t>
      </w:r>
      <w:r w:rsidR="00EE7414">
        <w:rPr>
          <w:rFonts w:ascii="-webkit-standard" w:hAnsi="-webkit-standard"/>
          <w:color w:val="000000"/>
          <w:sz w:val="27"/>
          <w:szCs w:val="27"/>
        </w:rPr>
        <w:t>.</w:t>
      </w:r>
      <w:r w:rsidR="00EE7414">
        <w:rPr>
          <w:rFonts w:ascii="Times New Roman" w:hAnsi="Times New Roman" w:cs="Times New Roman"/>
          <w:sz w:val="24"/>
          <w:szCs w:val="24"/>
        </w:rPr>
        <w:t xml:space="preserve"> </w:t>
      </w:r>
      <w:r w:rsidRPr="001F6106">
        <w:rPr>
          <w:rFonts w:ascii="Times New Roman" w:hAnsi="Times New Roman" w:cs="Times New Roman"/>
          <w:sz w:val="24"/>
          <w:szCs w:val="24"/>
        </w:rPr>
        <w:t xml:space="preserve">Complementary ethnographic approaches, such as Latour’s study of the French </w:t>
      </w:r>
      <w:r w:rsidRPr="001F6106">
        <w:rPr>
          <w:rFonts w:ascii="Times New Roman" w:hAnsi="Times New Roman" w:cs="Times New Roman"/>
          <w:i/>
          <w:iCs/>
          <w:sz w:val="24"/>
          <w:szCs w:val="24"/>
        </w:rPr>
        <w:t>Conseil d’État</w:t>
      </w:r>
      <w:r w:rsidRPr="001F6106">
        <w:rPr>
          <w:rFonts w:ascii="Times New Roman" w:hAnsi="Times New Roman" w:cs="Times New Roman"/>
          <w:sz w:val="24"/>
          <w:szCs w:val="24"/>
        </w:rPr>
        <w:t>, underscore the socio-technical processes by which judicial practice is constructed, including informal norms and institutionalized patterns of reasoning</w:t>
      </w:r>
      <w:r w:rsidRPr="001F6106">
        <w:rPr>
          <w:rFonts w:ascii="Times New Roman" w:hAnsi="Times New Roman" w:cs="Times New Roman"/>
          <w:sz w:val="24"/>
          <w:szCs w:val="24"/>
          <w:vertAlign w:val="superscript"/>
        </w:rPr>
        <w:footnoteReference w:id="3"/>
      </w:r>
      <w:r w:rsidRPr="001F6106">
        <w:rPr>
          <w:rFonts w:ascii="Times New Roman" w:hAnsi="Times New Roman" w:cs="Times New Roman"/>
          <w:sz w:val="24"/>
          <w:szCs w:val="24"/>
        </w:rPr>
        <w:t>. These insights suggest that any attempt to define an economic doctrine of judges must reckon both with formal legal argumentation and with the emergent, sometimes tacit, practices that guide judicial decision-making.</w:t>
      </w:r>
    </w:p>
    <w:p w14:paraId="00000030" w14:textId="77777777" w:rsidR="00176EDE" w:rsidRPr="001F6106" w:rsidRDefault="00176EDE" w:rsidP="001F6106">
      <w:pPr>
        <w:spacing w:line="360" w:lineRule="auto"/>
        <w:jc w:val="both"/>
        <w:rPr>
          <w:rFonts w:ascii="Times New Roman" w:hAnsi="Times New Roman" w:cs="Times New Roman"/>
          <w:color w:val="AB001D"/>
          <w:sz w:val="24"/>
          <w:szCs w:val="24"/>
        </w:rPr>
      </w:pPr>
    </w:p>
    <w:p w14:paraId="00000031" w14:textId="62C2C81F"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Against this backdrop, the economic analysis of law offers a conceptual toolkit for discerning systematic patterns in adjudication that might otherwise remain implicit. Scholars such as Hayek</w:t>
      </w:r>
      <w:r w:rsidRPr="001F6106">
        <w:rPr>
          <w:rFonts w:ascii="Times New Roman" w:hAnsi="Times New Roman" w:cs="Times New Roman"/>
          <w:sz w:val="24"/>
          <w:szCs w:val="24"/>
          <w:vertAlign w:val="superscript"/>
        </w:rPr>
        <w:footnoteReference w:id="4"/>
      </w:r>
      <w:r w:rsidRPr="001F6106">
        <w:rPr>
          <w:rFonts w:ascii="Times New Roman" w:hAnsi="Times New Roman" w:cs="Times New Roman"/>
          <w:sz w:val="24"/>
          <w:szCs w:val="24"/>
        </w:rPr>
        <w:t xml:space="preserve"> suggest that judges, consciously or not, engage with economic reasoning when they balance efficiency, market order, and institutional constraints in their rulings. This perspective situates the judge not merely as a neutral interpreter of statutory texts, but as an actor whose decisions are informed by an evaluative logic attuned to social costs and benefits</w:t>
      </w:r>
      <w:r w:rsidRPr="001F6106">
        <w:rPr>
          <w:rFonts w:ascii="Times New Roman" w:hAnsi="Times New Roman" w:cs="Times New Roman"/>
          <w:sz w:val="24"/>
          <w:szCs w:val="24"/>
          <w:vertAlign w:val="superscript"/>
        </w:rPr>
        <w:footnoteReference w:id="5"/>
      </w:r>
      <w:r w:rsidRPr="001F6106">
        <w:rPr>
          <w:rFonts w:ascii="Times New Roman" w:hAnsi="Times New Roman" w:cs="Times New Roman"/>
          <w:sz w:val="24"/>
          <w:szCs w:val="24"/>
        </w:rPr>
        <w:t>.</w:t>
      </w:r>
    </w:p>
    <w:p w14:paraId="00000032" w14:textId="77777777" w:rsidR="00176EDE" w:rsidRPr="001F6106" w:rsidRDefault="00176EDE" w:rsidP="001F6106">
      <w:pPr>
        <w:spacing w:line="360" w:lineRule="auto"/>
        <w:jc w:val="both"/>
        <w:rPr>
          <w:rFonts w:ascii="Times New Roman" w:hAnsi="Times New Roman" w:cs="Times New Roman"/>
          <w:sz w:val="24"/>
          <w:szCs w:val="24"/>
        </w:rPr>
      </w:pPr>
    </w:p>
    <w:p w14:paraId="00000033" w14:textId="0BF12936"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lastRenderedPageBreak/>
        <w:t>Lazega</w:t>
      </w:r>
      <w:r w:rsidRPr="001F6106">
        <w:rPr>
          <w:rFonts w:ascii="Times New Roman" w:hAnsi="Times New Roman" w:cs="Times New Roman"/>
          <w:sz w:val="24"/>
          <w:szCs w:val="24"/>
          <w:vertAlign w:val="superscript"/>
        </w:rPr>
        <w:footnoteReference w:id="6"/>
      </w:r>
      <w:r w:rsidRPr="001F6106">
        <w:rPr>
          <w:rFonts w:ascii="Times New Roman" w:hAnsi="Times New Roman" w:cs="Times New Roman"/>
          <w:sz w:val="24"/>
          <w:szCs w:val="24"/>
        </w:rPr>
        <w:t xml:space="preserve"> further nuances this analysis by highlighting the moral and institutional dimensions of judicial behavior. In his reading of Coase, the judge is both a mediator of economic interests and a moral agent whose judgments reflect embedded social and ethical commitments. Economic doctrine, therefore, is not simply a technical toolkit but a layered set of interpretive dispositions shaped by both analytic reasoning and normative judgment. Empirical studies, such as analyses of Supreme Court voting patterns, corroborate the existence of measurable regularities in judicial behavior, indicating that such economic reasoning </w:t>
      </w:r>
      <w:r w:rsidR="00EE7414" w:rsidRPr="00EE7414">
        <w:rPr>
          <w:rFonts w:ascii="Times New Roman" w:hAnsi="Times New Roman" w:cs="Times New Roman"/>
          <w:color w:val="000000"/>
          <w:sz w:val="24"/>
          <w:szCs w:val="24"/>
        </w:rPr>
        <w:t>may coalesce into an implicit doctrine guiding judicial reasoning</w:t>
      </w:r>
      <w:r w:rsidR="00EE7414">
        <w:rPr>
          <w:rFonts w:ascii="-webkit-standard" w:hAnsi="-webkit-standard"/>
          <w:color w:val="000000"/>
          <w:sz w:val="27"/>
          <w:szCs w:val="27"/>
        </w:rPr>
        <w:t>.</w:t>
      </w:r>
      <w:r w:rsidRPr="001F6106">
        <w:rPr>
          <w:rFonts w:ascii="Times New Roman" w:hAnsi="Times New Roman" w:cs="Times New Roman"/>
          <w:sz w:val="24"/>
          <w:szCs w:val="24"/>
          <w:vertAlign w:val="superscript"/>
        </w:rPr>
        <w:footnoteReference w:id="7"/>
      </w:r>
      <w:r w:rsidRPr="001F6106">
        <w:rPr>
          <w:rFonts w:ascii="Times New Roman" w:hAnsi="Times New Roman" w:cs="Times New Roman"/>
          <w:sz w:val="24"/>
          <w:szCs w:val="24"/>
        </w:rPr>
        <w:t>.</w:t>
      </w:r>
    </w:p>
    <w:p w14:paraId="00000034" w14:textId="77777777" w:rsidR="00176EDE" w:rsidRPr="001F6106" w:rsidRDefault="00176EDE" w:rsidP="001F6106">
      <w:pPr>
        <w:spacing w:line="360" w:lineRule="auto"/>
        <w:jc w:val="both"/>
        <w:rPr>
          <w:rFonts w:ascii="Times New Roman" w:hAnsi="Times New Roman" w:cs="Times New Roman"/>
          <w:sz w:val="24"/>
          <w:szCs w:val="24"/>
        </w:rPr>
      </w:pPr>
    </w:p>
    <w:p w14:paraId="00000037" w14:textId="1A7E29FE"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Importantly, however, economic doctrine cannot be equated with formal training in economics. Evidence from the French judiciary shows that exposure to economic concepts—whether through professional courses or academic degrees—does not by itself produce an economic orientation in judicial reasoning</w:t>
      </w:r>
      <w:r w:rsidRPr="001F6106">
        <w:rPr>
          <w:rFonts w:ascii="Times New Roman" w:hAnsi="Times New Roman" w:cs="Times New Roman"/>
          <w:sz w:val="24"/>
          <w:szCs w:val="24"/>
          <w:vertAlign w:val="superscript"/>
        </w:rPr>
        <w:footnoteReference w:id="8"/>
      </w:r>
      <w:r w:rsidRPr="001F6106">
        <w:rPr>
          <w:rFonts w:ascii="Times New Roman" w:hAnsi="Times New Roman" w:cs="Times New Roman"/>
          <w:sz w:val="24"/>
          <w:szCs w:val="24"/>
        </w:rPr>
        <w:t>. Rather, what matters is the interplay between intellectual tradition, institutional practice, and interpretive strategies that unfold over time within the courts. The economic doctrine of judges, in this sense, emerges as a dynamic and contextually embedded phenomenon, discernible through patterns of reasoning and decision-making rather than through declarative expertise alone.</w:t>
      </w:r>
    </w:p>
    <w:p w14:paraId="00000038" w14:textId="77777777" w:rsidR="00176EDE" w:rsidRPr="001F6106" w:rsidRDefault="00176EDE" w:rsidP="001F6106">
      <w:pPr>
        <w:spacing w:line="360" w:lineRule="auto"/>
        <w:jc w:val="both"/>
        <w:rPr>
          <w:rFonts w:ascii="Times New Roman" w:hAnsi="Times New Roman" w:cs="Times New Roman"/>
          <w:sz w:val="24"/>
          <w:szCs w:val="24"/>
        </w:rPr>
      </w:pPr>
    </w:p>
    <w:p w14:paraId="00000039" w14:textId="2E1ED5DC" w:rsidR="00176EDE" w:rsidRPr="001F6106" w:rsidRDefault="00000000" w:rsidP="004C2362">
      <w:pPr>
        <w:pStyle w:val="Titre2"/>
      </w:pPr>
      <w:bookmarkStart w:id="3" w:name="_Toc207402595"/>
      <w:r w:rsidRPr="001F6106">
        <w:t xml:space="preserve">B </w:t>
      </w:r>
      <w:r w:rsidR="00595263">
        <w:t>–</w:t>
      </w:r>
      <w:r w:rsidRPr="001F6106">
        <w:t xml:space="preserve"> </w:t>
      </w:r>
      <w:r w:rsidR="00595263">
        <w:t xml:space="preserve">The </w:t>
      </w:r>
      <w:r w:rsidRPr="001F6106">
        <w:t xml:space="preserve">“Economic </w:t>
      </w:r>
      <w:r w:rsidR="004C2362">
        <w:t>D</w:t>
      </w:r>
      <w:r w:rsidRPr="001F6106">
        <w:t>octrine of</w:t>
      </w:r>
      <w:r w:rsidR="004C2362">
        <w:t xml:space="preserve"> J</w:t>
      </w:r>
      <w:r w:rsidRPr="001F6106">
        <w:t xml:space="preserve">udges” </w:t>
      </w:r>
      <w:r w:rsidR="0024254A">
        <w:t>Through the Lens of</w:t>
      </w:r>
      <w:r w:rsidRPr="001F6106">
        <w:t xml:space="preserve"> </w:t>
      </w:r>
      <w:r w:rsidR="0024254A">
        <w:t>D</w:t>
      </w:r>
      <w:r w:rsidRPr="001F6106">
        <w:t xml:space="preserve">emocratic </w:t>
      </w:r>
      <w:r w:rsidR="0024254A">
        <w:t>T</w:t>
      </w:r>
      <w:r w:rsidRPr="001F6106">
        <w:t>heory</w:t>
      </w:r>
      <w:bookmarkEnd w:id="3"/>
    </w:p>
    <w:p w14:paraId="0000003B" w14:textId="77777777" w:rsidR="00176EDE" w:rsidRPr="001F6106" w:rsidRDefault="00176EDE" w:rsidP="001F6106">
      <w:pPr>
        <w:spacing w:line="360" w:lineRule="auto"/>
        <w:jc w:val="both"/>
        <w:rPr>
          <w:rFonts w:ascii="Times New Roman" w:hAnsi="Times New Roman" w:cs="Times New Roman"/>
          <w:sz w:val="24"/>
          <w:szCs w:val="24"/>
        </w:rPr>
      </w:pPr>
    </w:p>
    <w:p w14:paraId="133CDEAA" w14:textId="7713A4B5" w:rsidR="00673B31" w:rsidRPr="00673B31" w:rsidRDefault="00000000" w:rsidP="00673B31">
      <w:pPr>
        <w:spacing w:line="360" w:lineRule="auto"/>
        <w:jc w:val="both"/>
        <w:rPr>
          <w:rFonts w:ascii="Times New Roman" w:hAnsi="Times New Roman" w:cs="Times New Roman"/>
          <w:color w:val="000000"/>
          <w:sz w:val="24"/>
          <w:szCs w:val="24"/>
        </w:rPr>
      </w:pPr>
      <w:r w:rsidRPr="00673B31">
        <w:rPr>
          <w:rFonts w:ascii="Times New Roman" w:hAnsi="Times New Roman" w:cs="Times New Roman"/>
          <w:sz w:val="24"/>
          <w:szCs w:val="24"/>
        </w:rPr>
        <w:t xml:space="preserve">The concept of an economic doctrine of judges emerges at the intersection of judicial authority, constitutional interpretation, and democratic legitimacy, challenging conventional boundaries between law and economic policy. </w:t>
      </w:r>
      <w:r w:rsidR="00673B31" w:rsidRPr="00673B31">
        <w:rPr>
          <w:rFonts w:ascii="Times New Roman" w:hAnsi="Times New Roman" w:cs="Times New Roman"/>
          <w:color w:val="000000"/>
          <w:sz w:val="24"/>
          <w:szCs w:val="24"/>
        </w:rPr>
        <w:t>In the United States, the Lochner era exemplifies the tension inherent in judicial engagement with economic regulation: courts assumed a quasi-legislative role, scrutinizing socio-economic policy through a lens of formal rights protection</w:t>
      </w:r>
      <w:r w:rsidR="00673B31" w:rsidRPr="00673B31">
        <w:rPr>
          <w:rFonts w:ascii="Times New Roman" w:hAnsi="Times New Roman" w:cs="Times New Roman"/>
          <w:sz w:val="24"/>
          <w:szCs w:val="24"/>
          <w:vertAlign w:val="superscript"/>
        </w:rPr>
        <w:footnoteReference w:id="9"/>
      </w:r>
      <w:r w:rsidR="00673B31" w:rsidRPr="00673B31">
        <w:rPr>
          <w:rFonts w:ascii="Times New Roman" w:hAnsi="Times New Roman" w:cs="Times New Roman"/>
          <w:sz w:val="24"/>
          <w:szCs w:val="24"/>
        </w:rPr>
        <w:t xml:space="preserve">. </w:t>
      </w:r>
      <w:r w:rsidR="00673B31" w:rsidRPr="00673B31">
        <w:rPr>
          <w:rFonts w:ascii="Times New Roman" w:hAnsi="Times New Roman" w:cs="Times New Roman"/>
          <w:color w:val="000000"/>
          <w:sz w:val="24"/>
          <w:szCs w:val="24"/>
        </w:rPr>
        <w:t xml:space="preserve">As Lambert observed, North American courts often presented themselves as arbiters of the broader </w:t>
      </w:r>
      <w:r w:rsidR="00673B31" w:rsidRPr="00673B31">
        <w:rPr>
          <w:rFonts w:ascii="Times New Roman" w:hAnsi="Times New Roman" w:cs="Times New Roman"/>
          <w:color w:val="000000"/>
          <w:sz w:val="24"/>
          <w:szCs w:val="24"/>
        </w:rPr>
        <w:lastRenderedPageBreak/>
        <w:t>economic and social order, a stance that underscores the latent political significance of judicial reasoning</w:t>
      </w:r>
      <w:r w:rsidR="00673B31" w:rsidRPr="00673B31">
        <w:rPr>
          <w:rFonts w:ascii="Times New Roman" w:hAnsi="Times New Roman" w:cs="Times New Roman"/>
          <w:sz w:val="24"/>
          <w:szCs w:val="24"/>
          <w:vertAlign w:val="superscript"/>
        </w:rPr>
        <w:footnoteReference w:id="10"/>
      </w:r>
      <w:r w:rsidR="00673B31" w:rsidRPr="00673B31">
        <w:rPr>
          <w:rFonts w:ascii="Times New Roman" w:hAnsi="Times New Roman" w:cs="Times New Roman"/>
          <w:color w:val="000000"/>
          <w:sz w:val="24"/>
          <w:szCs w:val="24"/>
        </w:rPr>
        <w:t>. This capacity to translate constitutional norms into economic outcomes has long fueled apprehensions of a “government of judges,”</w:t>
      </w:r>
      <w:r w:rsidR="00673B31">
        <w:rPr>
          <w:rStyle w:val="Appelnotedebasdep"/>
          <w:rFonts w:ascii="Times New Roman" w:hAnsi="Times New Roman" w:cs="Times New Roman"/>
          <w:color w:val="000000"/>
          <w:sz w:val="24"/>
          <w:szCs w:val="24"/>
        </w:rPr>
        <w:footnoteReference w:id="11"/>
      </w:r>
      <w:r w:rsidR="00673B31" w:rsidRPr="00673B31">
        <w:rPr>
          <w:rFonts w:ascii="Times New Roman" w:hAnsi="Times New Roman" w:cs="Times New Roman"/>
          <w:color w:val="000000"/>
          <w:sz w:val="24"/>
          <w:szCs w:val="24"/>
        </w:rPr>
        <w:t xml:space="preserve"> whereby judicial authority risks encroaching upon the prerogatives of elected bodies.</w:t>
      </w:r>
    </w:p>
    <w:p w14:paraId="0FE7E804" w14:textId="1F709129" w:rsidR="00673B31" w:rsidRPr="001F6106" w:rsidRDefault="00673B31" w:rsidP="001F6106">
      <w:pPr>
        <w:spacing w:line="360" w:lineRule="auto"/>
        <w:jc w:val="both"/>
        <w:rPr>
          <w:rFonts w:ascii="Times New Roman" w:hAnsi="Times New Roman" w:cs="Times New Roman"/>
          <w:sz w:val="24"/>
          <w:szCs w:val="24"/>
        </w:rPr>
      </w:pPr>
    </w:p>
    <w:p w14:paraId="0000003D" w14:textId="7BCFBC3E" w:rsidR="00176EDE"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European and American scholarship converges on the insight that such judicial intervention must be understood in the context of democratic theory. Gahdoun and Chérot</w:t>
      </w:r>
      <w:r w:rsidRPr="001F6106">
        <w:rPr>
          <w:rFonts w:ascii="Times New Roman" w:hAnsi="Times New Roman" w:cs="Times New Roman"/>
          <w:sz w:val="24"/>
          <w:szCs w:val="24"/>
          <w:vertAlign w:val="superscript"/>
        </w:rPr>
        <w:footnoteReference w:id="12"/>
      </w:r>
      <w:r w:rsidRPr="001F6106">
        <w:rPr>
          <w:rFonts w:ascii="Times New Roman" w:hAnsi="Times New Roman" w:cs="Times New Roman"/>
          <w:sz w:val="24"/>
          <w:szCs w:val="24"/>
        </w:rPr>
        <w:t xml:space="preserve"> question the possibility of judicial neutrality in economic matters, suggesting that the “doctrine” of judges is itself a normative construct: it prescribes how courts ought to navigate the democratic allocation of economic authority. Fishkin and Forbath</w:t>
      </w:r>
      <w:r w:rsidRPr="001F6106">
        <w:rPr>
          <w:rFonts w:ascii="Times New Roman" w:hAnsi="Times New Roman" w:cs="Times New Roman"/>
          <w:sz w:val="24"/>
          <w:szCs w:val="24"/>
          <w:vertAlign w:val="superscript"/>
        </w:rPr>
        <w:footnoteReference w:id="13"/>
      </w:r>
      <w:r w:rsidRPr="001F6106">
        <w:rPr>
          <w:rFonts w:ascii="Times New Roman" w:hAnsi="Times New Roman" w:cs="Times New Roman"/>
          <w:sz w:val="24"/>
          <w:szCs w:val="24"/>
        </w:rPr>
        <w:t xml:space="preserve"> similarly critique the historical marginalization of constitutional political economy in the United States, highlighting a “great forgetting” whereby the deliberative function of economic discourse is eclipsed by formalistic judicial review. For them, the economic doctrine of judges should not empower courts to displace political debate; rather, it should serve as a deliberative instrument, enabling constitutional argumentation to inform democratic choice while constraining judicial overreach</w:t>
      </w:r>
      <w:r w:rsidRPr="001F6106">
        <w:rPr>
          <w:rFonts w:ascii="Times New Roman" w:hAnsi="Times New Roman" w:cs="Times New Roman"/>
          <w:sz w:val="24"/>
          <w:szCs w:val="24"/>
          <w:vertAlign w:val="superscript"/>
        </w:rPr>
        <w:footnoteReference w:id="14"/>
      </w:r>
      <w:r w:rsidRPr="001F6106">
        <w:rPr>
          <w:rFonts w:ascii="Times New Roman" w:hAnsi="Times New Roman" w:cs="Times New Roman"/>
          <w:sz w:val="24"/>
          <w:szCs w:val="24"/>
        </w:rPr>
        <w:t>.</w:t>
      </w:r>
    </w:p>
    <w:p w14:paraId="54F7CEF2" w14:textId="77777777" w:rsidR="0024254A" w:rsidRPr="001F6106" w:rsidRDefault="0024254A" w:rsidP="001F6106">
      <w:pPr>
        <w:spacing w:line="360" w:lineRule="auto"/>
        <w:jc w:val="both"/>
        <w:rPr>
          <w:rFonts w:ascii="Times New Roman" w:hAnsi="Times New Roman" w:cs="Times New Roman"/>
          <w:sz w:val="24"/>
          <w:szCs w:val="24"/>
        </w:rPr>
      </w:pPr>
    </w:p>
    <w:p w14:paraId="0000003E" w14:textId="393FCEFE" w:rsidR="00176EDE"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Kelsen’s European perspective offers a complementary lens, situating judicial review as a tool designed to facilitate compromise and social stability, rather than as an autonomous source of economic authority</w:t>
      </w:r>
      <w:r w:rsidRPr="001F6106">
        <w:rPr>
          <w:rFonts w:ascii="Times New Roman" w:hAnsi="Times New Roman" w:cs="Times New Roman"/>
          <w:sz w:val="24"/>
          <w:szCs w:val="24"/>
          <w:vertAlign w:val="superscript"/>
        </w:rPr>
        <w:footnoteReference w:id="15"/>
      </w:r>
      <w:r w:rsidRPr="001F6106">
        <w:rPr>
          <w:rFonts w:ascii="Times New Roman" w:hAnsi="Times New Roman" w:cs="Times New Roman"/>
          <w:sz w:val="24"/>
          <w:szCs w:val="24"/>
        </w:rPr>
        <w:t>. From this viewpoint, the economic doctrine of judges is not merely a set of substantive preferences or interventions, but a mechanism through which courts reconcile political conflict over economic policy, aligning judicial reasoning with broader democratic objectives. The doctrine becomes, therefore, both epistemic and normative: it embodies judicial methods of economic assessment while simultaneously reflecting democratic principles of legitimacy and compromise.</w:t>
      </w:r>
    </w:p>
    <w:p w14:paraId="2576DC70" w14:textId="77777777" w:rsidR="0024254A" w:rsidRPr="001F6106" w:rsidRDefault="0024254A" w:rsidP="001F6106">
      <w:pPr>
        <w:spacing w:line="360" w:lineRule="auto"/>
        <w:jc w:val="both"/>
        <w:rPr>
          <w:rFonts w:ascii="Times New Roman" w:hAnsi="Times New Roman" w:cs="Times New Roman"/>
          <w:sz w:val="24"/>
          <w:szCs w:val="24"/>
        </w:rPr>
      </w:pPr>
    </w:p>
    <w:p w14:paraId="00000041" w14:textId="64E14B4A" w:rsidR="00176EDE"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lastRenderedPageBreak/>
        <w:t xml:space="preserve">Synthesizing these insights, the economic doctrine of judges can be conceptualized as a structured approach through which courts interpret constitutional and statutory frameworks to regulate economic life, constrained by democratic imperatives and informed by deliberative discourse. </w:t>
      </w:r>
      <w:r w:rsidR="00EE7414" w:rsidRPr="00EE7414">
        <w:rPr>
          <w:rFonts w:ascii="Times New Roman" w:hAnsi="Times New Roman" w:cs="Times New Roman"/>
          <w:color w:val="000000"/>
          <w:sz w:val="24"/>
          <w:szCs w:val="24"/>
        </w:rPr>
        <w:t>It is at once a jurisprudential methodology and a normative principle. It also constitutes a site of institutional tension, revealing how judicial reasoning mediates between law, economics, and democracy across jurisdictions</w:t>
      </w:r>
      <w:r w:rsidRPr="00EE7414">
        <w:rPr>
          <w:rFonts w:ascii="Times New Roman" w:hAnsi="Times New Roman" w:cs="Times New Roman"/>
          <w:sz w:val="24"/>
          <w:szCs w:val="24"/>
        </w:rPr>
        <w:t>.</w:t>
      </w:r>
      <w:r w:rsidRPr="00EE7414">
        <w:rPr>
          <w:rFonts w:ascii="Times New Roman" w:hAnsi="Times New Roman" w:cs="Times New Roman"/>
          <w:sz w:val="21"/>
          <w:szCs w:val="21"/>
        </w:rPr>
        <w:t xml:space="preserve"> </w:t>
      </w:r>
      <w:r w:rsidRPr="001F6106">
        <w:rPr>
          <w:rFonts w:ascii="Times New Roman" w:hAnsi="Times New Roman" w:cs="Times New Roman"/>
          <w:sz w:val="24"/>
          <w:szCs w:val="24"/>
        </w:rPr>
        <w:t>By emphasizing this dual nature, we move beyond critiques of judicial activism to understand the doctrine of judges as an analytical lens through which the interplay of law, economics, and political legitimacy can be systematically examined.</w:t>
      </w:r>
    </w:p>
    <w:p w14:paraId="4D35964A" w14:textId="77777777" w:rsidR="0024254A" w:rsidRPr="001F6106" w:rsidRDefault="0024254A" w:rsidP="001F6106">
      <w:pPr>
        <w:spacing w:line="360" w:lineRule="auto"/>
        <w:jc w:val="both"/>
        <w:rPr>
          <w:rFonts w:ascii="Times New Roman" w:hAnsi="Times New Roman" w:cs="Times New Roman"/>
          <w:sz w:val="24"/>
          <w:szCs w:val="24"/>
        </w:rPr>
      </w:pPr>
    </w:p>
    <w:p w14:paraId="00000042" w14:textId="14088614" w:rsidR="00176EDE" w:rsidRPr="004C2362" w:rsidRDefault="00000000" w:rsidP="00595263">
      <w:pPr>
        <w:pStyle w:val="Titre2"/>
      </w:pPr>
      <w:bookmarkStart w:id="4" w:name="_Toc207402596"/>
      <w:r w:rsidRPr="004C2362">
        <w:t xml:space="preserve">C </w:t>
      </w:r>
      <w:r w:rsidR="00595263" w:rsidRPr="004C2362">
        <w:t>–</w:t>
      </w:r>
      <w:r w:rsidR="004C2362" w:rsidRPr="004C2362">
        <w:t xml:space="preserve"> T</w:t>
      </w:r>
      <w:r w:rsidRPr="004C2362">
        <w:t>he “</w:t>
      </w:r>
      <w:r w:rsidR="004C2362">
        <w:t>E</w:t>
      </w:r>
      <w:r w:rsidRPr="004C2362">
        <w:t xml:space="preserve">conomic </w:t>
      </w:r>
      <w:r w:rsidR="004C2362">
        <w:t>D</w:t>
      </w:r>
      <w:r w:rsidRPr="004C2362">
        <w:t xml:space="preserve">octrine of </w:t>
      </w:r>
      <w:r w:rsidR="004C2362">
        <w:t>J</w:t>
      </w:r>
      <w:r w:rsidRPr="004C2362">
        <w:t>udges”</w:t>
      </w:r>
      <w:r w:rsidR="004C2362" w:rsidRPr="004C2362">
        <w:t xml:space="preserve"> definition</w:t>
      </w:r>
      <w:bookmarkEnd w:id="4"/>
    </w:p>
    <w:p w14:paraId="00000043" w14:textId="77777777" w:rsidR="00176EDE" w:rsidRPr="001F6106" w:rsidRDefault="00176EDE" w:rsidP="001F6106">
      <w:pPr>
        <w:spacing w:line="360" w:lineRule="auto"/>
        <w:jc w:val="both"/>
        <w:rPr>
          <w:rFonts w:ascii="Times New Roman" w:hAnsi="Times New Roman" w:cs="Times New Roman"/>
          <w:sz w:val="24"/>
          <w:szCs w:val="24"/>
        </w:rPr>
      </w:pPr>
    </w:p>
    <w:p w14:paraId="00000044" w14:textId="44DBEC6E"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 xml:space="preserve">The </w:t>
      </w:r>
      <w:r w:rsidR="00CA0291">
        <w:rPr>
          <w:rFonts w:ascii="Times New Roman" w:hAnsi="Times New Roman" w:cs="Times New Roman"/>
          <w:sz w:val="24"/>
          <w:szCs w:val="24"/>
        </w:rPr>
        <w:t>CJEU</w:t>
      </w:r>
      <w:r w:rsidRPr="001F6106">
        <w:rPr>
          <w:rFonts w:ascii="Times New Roman" w:hAnsi="Times New Roman" w:cs="Times New Roman"/>
          <w:sz w:val="24"/>
          <w:szCs w:val="24"/>
        </w:rPr>
        <w:t xml:space="preserve"> has frequently been characterized as operating within a neoliberal economic paradigm, reflecting the implicit structure of the EU’s constitutional order. </w:t>
      </w:r>
      <w:r w:rsidR="0024254A">
        <w:rPr>
          <w:rFonts w:ascii="Times New Roman" w:hAnsi="Times New Roman" w:cs="Times New Roman"/>
          <w:sz w:val="24"/>
          <w:szCs w:val="24"/>
        </w:rPr>
        <w:t>The</w:t>
      </w:r>
      <w:r w:rsidRPr="001F6106">
        <w:rPr>
          <w:rFonts w:ascii="Times New Roman" w:hAnsi="Times New Roman" w:cs="Times New Roman"/>
          <w:sz w:val="24"/>
          <w:szCs w:val="24"/>
        </w:rPr>
        <w:t xml:space="preserve"> three-layered design of the EU Constitution enshrines elements of neoliberal constitutionalism, effectively embedding market-oriented reasoning into the Union’s legal framework. This interpretation, however, is not uncontested</w:t>
      </w:r>
      <w:r w:rsidRPr="001F6106">
        <w:rPr>
          <w:rFonts w:ascii="Times New Roman" w:hAnsi="Times New Roman" w:cs="Times New Roman"/>
          <w:sz w:val="24"/>
          <w:szCs w:val="24"/>
          <w:vertAlign w:val="superscript"/>
        </w:rPr>
        <w:footnoteReference w:id="16"/>
      </w:r>
      <w:r w:rsidRPr="001F6106">
        <w:rPr>
          <w:rFonts w:ascii="Times New Roman" w:hAnsi="Times New Roman" w:cs="Times New Roman"/>
          <w:sz w:val="24"/>
          <w:szCs w:val="24"/>
        </w:rPr>
        <w:t xml:space="preserve">. </w:t>
      </w:r>
      <w:r w:rsidRPr="001F6106">
        <w:rPr>
          <w:rFonts w:ascii="Times New Roman" w:hAnsi="Times New Roman" w:cs="Times New Roman"/>
          <w:sz w:val="24"/>
          <w:szCs w:val="24"/>
          <w:highlight w:val="white"/>
        </w:rPr>
        <w:t>Martucci cautions against attributing a fully coherent economic doctrine to the CJEU, highlighting the persistent indeterminacy and contextual variability of the Court’s economic reasoning</w:t>
      </w:r>
      <w:r w:rsidRPr="001F6106">
        <w:rPr>
          <w:rFonts w:ascii="Times New Roman" w:hAnsi="Times New Roman" w:cs="Times New Roman"/>
          <w:sz w:val="24"/>
          <w:szCs w:val="24"/>
          <w:vertAlign w:val="superscript"/>
        </w:rPr>
        <w:footnoteReference w:id="17"/>
      </w:r>
      <w:r w:rsidRPr="001F6106">
        <w:rPr>
          <w:rFonts w:ascii="Times New Roman" w:hAnsi="Times New Roman" w:cs="Times New Roman"/>
          <w:sz w:val="24"/>
          <w:szCs w:val="24"/>
        </w:rPr>
        <w:t>. Nevertheless, the apparent alignment between the European economic constitution and neoliberal principles suggests the existence of an implicit referential guiding the Court’s approach to economic matters. While not always formally articulated, this referential exerts influence over the Union’s key institutions, particularly the CJEU and the European Commission</w:t>
      </w:r>
      <w:r w:rsidRPr="001F6106">
        <w:rPr>
          <w:rFonts w:ascii="Times New Roman" w:hAnsi="Times New Roman" w:cs="Times New Roman"/>
          <w:sz w:val="24"/>
          <w:szCs w:val="24"/>
          <w:vertAlign w:val="superscript"/>
        </w:rPr>
        <w:footnoteReference w:id="18"/>
      </w:r>
      <w:r w:rsidRPr="001F6106">
        <w:rPr>
          <w:rFonts w:ascii="Times New Roman" w:hAnsi="Times New Roman" w:cs="Times New Roman"/>
          <w:sz w:val="24"/>
          <w:szCs w:val="24"/>
        </w:rPr>
        <w:t xml:space="preserve">, shaping their decisions in antitrust and sectoral regulatory cases. Understanding this underlying orientation is essential for conceptualizing the economic doctrine of the CJEU and provides the necessary backdrop for comparative analysis with the </w:t>
      </w:r>
      <w:r w:rsidR="00CA0291">
        <w:rPr>
          <w:rFonts w:ascii="Times New Roman" w:hAnsi="Times New Roman" w:cs="Times New Roman"/>
          <w:sz w:val="24"/>
          <w:szCs w:val="24"/>
        </w:rPr>
        <w:t>SCOTUS</w:t>
      </w:r>
      <w:r w:rsidRPr="001F6106">
        <w:rPr>
          <w:rFonts w:ascii="Times New Roman" w:hAnsi="Times New Roman" w:cs="Times New Roman"/>
          <w:sz w:val="24"/>
          <w:szCs w:val="24"/>
        </w:rPr>
        <w:t>, whose constitutional and judicial architecture differs but can be examined for parallel influences in economic adjudication.</w:t>
      </w:r>
    </w:p>
    <w:p w14:paraId="00000045" w14:textId="77777777" w:rsidR="00176EDE" w:rsidRPr="001F6106" w:rsidRDefault="00176EDE" w:rsidP="001F6106">
      <w:pPr>
        <w:spacing w:line="360" w:lineRule="auto"/>
        <w:jc w:val="both"/>
        <w:rPr>
          <w:rFonts w:ascii="Times New Roman" w:hAnsi="Times New Roman" w:cs="Times New Roman"/>
          <w:sz w:val="24"/>
          <w:szCs w:val="24"/>
        </w:rPr>
      </w:pPr>
    </w:p>
    <w:p w14:paraId="00000046" w14:textId="4EC27104" w:rsidR="00176EDE" w:rsidRPr="001F6106" w:rsidRDefault="00000000" w:rsidP="001F6106">
      <w:pPr>
        <w:spacing w:line="360" w:lineRule="auto"/>
        <w:jc w:val="both"/>
        <w:rPr>
          <w:rFonts w:ascii="Times New Roman" w:hAnsi="Times New Roman" w:cs="Times New Roman"/>
          <w:b/>
          <w:sz w:val="24"/>
          <w:szCs w:val="24"/>
          <w:highlight w:val="red"/>
        </w:rPr>
      </w:pPr>
      <w:r w:rsidRPr="001F6106">
        <w:rPr>
          <w:rFonts w:ascii="Times New Roman" w:hAnsi="Times New Roman" w:cs="Times New Roman"/>
          <w:sz w:val="24"/>
          <w:szCs w:val="24"/>
        </w:rPr>
        <w:lastRenderedPageBreak/>
        <w:t xml:space="preserve">By contrast, the </w:t>
      </w:r>
      <w:r w:rsidR="00CA0291">
        <w:rPr>
          <w:rFonts w:ascii="Times New Roman" w:hAnsi="Times New Roman" w:cs="Times New Roman"/>
          <w:sz w:val="24"/>
          <w:szCs w:val="24"/>
        </w:rPr>
        <w:t>concept</w:t>
      </w:r>
      <w:r w:rsidRPr="001F6106">
        <w:rPr>
          <w:rFonts w:ascii="Times New Roman" w:hAnsi="Times New Roman" w:cs="Times New Roman"/>
          <w:sz w:val="24"/>
          <w:szCs w:val="24"/>
        </w:rPr>
        <w:t xml:space="preserve"> of an “economic doctrine of judges” is more difficult to transpose to the United States legal system, especially when one considers the judiciary as composed of individual decision-makers. From the early 1980s, scholars already emphasized the limits and constraints of judicial reliance on economic reasoning. Becker</w:t>
      </w:r>
      <w:r w:rsidRPr="001F6106">
        <w:rPr>
          <w:rFonts w:ascii="Times New Roman" w:hAnsi="Times New Roman" w:cs="Times New Roman"/>
          <w:sz w:val="24"/>
          <w:szCs w:val="24"/>
          <w:vertAlign w:val="superscript"/>
        </w:rPr>
        <w:footnoteReference w:id="19"/>
      </w:r>
      <w:r w:rsidRPr="001F6106">
        <w:rPr>
          <w:rFonts w:ascii="Times New Roman" w:hAnsi="Times New Roman" w:cs="Times New Roman"/>
          <w:sz w:val="24"/>
          <w:szCs w:val="24"/>
        </w:rPr>
        <w:t xml:space="preserve"> highlighted the uses of “</w:t>
      </w:r>
      <w:r w:rsidRPr="00CA0291">
        <w:rPr>
          <w:rFonts w:ascii="Times New Roman" w:hAnsi="Times New Roman" w:cs="Times New Roman"/>
          <w:i/>
          <w:iCs/>
          <w:sz w:val="24"/>
          <w:szCs w:val="24"/>
        </w:rPr>
        <w:t>law and economics</w:t>
      </w:r>
      <w:r w:rsidRPr="001F6106">
        <w:rPr>
          <w:rFonts w:ascii="Times New Roman" w:hAnsi="Times New Roman" w:cs="Times New Roman"/>
          <w:sz w:val="24"/>
          <w:szCs w:val="24"/>
        </w:rPr>
        <w:t>” by judges, while Breyer</w:t>
      </w:r>
      <w:r w:rsidRPr="001F6106">
        <w:rPr>
          <w:rFonts w:ascii="Times New Roman" w:hAnsi="Times New Roman" w:cs="Times New Roman"/>
          <w:sz w:val="24"/>
          <w:szCs w:val="24"/>
          <w:vertAlign w:val="superscript"/>
        </w:rPr>
        <w:footnoteReference w:id="20"/>
      </w:r>
      <w:r w:rsidRPr="001F6106">
        <w:rPr>
          <w:rFonts w:ascii="Times New Roman" w:hAnsi="Times New Roman" w:cs="Times New Roman"/>
          <w:sz w:val="24"/>
          <w:szCs w:val="24"/>
        </w:rPr>
        <w:t xml:space="preserve"> examined the ways in which economic reasoning informs legal education and judicial practice. Similarly, Culp</w:t>
      </w:r>
      <w:r w:rsidRPr="001F6106">
        <w:rPr>
          <w:rFonts w:ascii="Times New Roman" w:hAnsi="Times New Roman" w:cs="Times New Roman"/>
          <w:sz w:val="24"/>
          <w:szCs w:val="24"/>
          <w:vertAlign w:val="superscript"/>
        </w:rPr>
        <w:footnoteReference w:id="21"/>
      </w:r>
      <w:r w:rsidRPr="001F6106">
        <w:rPr>
          <w:rFonts w:ascii="Times New Roman" w:hAnsi="Times New Roman" w:cs="Times New Roman"/>
          <w:sz w:val="24"/>
          <w:szCs w:val="24"/>
        </w:rPr>
        <w:t xml:space="preserve"> and Chubb</w:t>
      </w:r>
      <w:r w:rsidR="00CA0291" w:rsidRPr="001F6106">
        <w:rPr>
          <w:rFonts w:ascii="Times New Roman" w:hAnsi="Times New Roman" w:cs="Times New Roman"/>
          <w:sz w:val="24"/>
          <w:szCs w:val="24"/>
          <w:vertAlign w:val="superscript"/>
        </w:rPr>
        <w:footnoteReference w:id="22"/>
      </w:r>
      <w:r w:rsidRPr="001F6106">
        <w:rPr>
          <w:rFonts w:ascii="Times New Roman" w:hAnsi="Times New Roman" w:cs="Times New Roman"/>
          <w:sz w:val="24"/>
          <w:szCs w:val="24"/>
        </w:rPr>
        <w:t xml:space="preserve"> </w:t>
      </w:r>
      <w:r w:rsidR="00CA0291">
        <w:rPr>
          <w:rFonts w:ascii="Times New Roman" w:hAnsi="Times New Roman" w:cs="Times New Roman"/>
          <w:sz w:val="24"/>
          <w:szCs w:val="24"/>
        </w:rPr>
        <w:t>discussed</w:t>
      </w:r>
      <w:r w:rsidRPr="001F6106">
        <w:rPr>
          <w:rFonts w:ascii="Times New Roman" w:hAnsi="Times New Roman" w:cs="Times New Roman"/>
          <w:sz w:val="24"/>
          <w:szCs w:val="24"/>
        </w:rPr>
        <w:t xml:space="preserve"> the interaction between economic analysis and judicial behavior, emphasizing both its potential and its structural limitations. This inquiry transcends doctrinal law, engaging with political science, where the study of judicial behavior has long been a central concern. Analyses of U.S. judges emphasize the complex interplay between legal reasoning, institutional constraints, and individual decision-making</w:t>
      </w:r>
      <w:r w:rsidRPr="001F6106">
        <w:rPr>
          <w:rFonts w:ascii="Times New Roman" w:hAnsi="Times New Roman" w:cs="Times New Roman"/>
          <w:sz w:val="24"/>
          <w:szCs w:val="24"/>
          <w:vertAlign w:val="superscript"/>
        </w:rPr>
        <w:footnoteReference w:id="23"/>
      </w:r>
      <w:r w:rsidRPr="001F6106">
        <w:rPr>
          <w:rFonts w:ascii="Times New Roman" w:hAnsi="Times New Roman" w:cs="Times New Roman"/>
          <w:sz w:val="24"/>
          <w:szCs w:val="24"/>
        </w:rPr>
        <w:t>. Notably, the American literature refrains from framing these patterns as an “economic doctrine of judges,” a distinction that underscores both conceptual and institutional divergences from the European legal context</w:t>
      </w:r>
      <w:r w:rsidR="00B05F42" w:rsidRPr="001F6106">
        <w:rPr>
          <w:rStyle w:val="Appelnotedebasdep"/>
          <w:rFonts w:ascii="Times New Roman" w:hAnsi="Times New Roman" w:cs="Times New Roman"/>
          <w:sz w:val="24"/>
          <w:szCs w:val="24"/>
        </w:rPr>
        <w:footnoteReference w:id="24"/>
      </w:r>
      <w:r w:rsidRPr="001F6106">
        <w:rPr>
          <w:rFonts w:ascii="Times New Roman" w:hAnsi="Times New Roman" w:cs="Times New Roman"/>
          <w:sz w:val="24"/>
          <w:szCs w:val="24"/>
        </w:rPr>
        <w:t>.</w:t>
      </w:r>
    </w:p>
    <w:p w14:paraId="00000047" w14:textId="77777777" w:rsidR="00176EDE" w:rsidRPr="001F6106" w:rsidRDefault="00176EDE" w:rsidP="001F6106">
      <w:pPr>
        <w:spacing w:line="360" w:lineRule="auto"/>
        <w:jc w:val="both"/>
        <w:rPr>
          <w:rFonts w:ascii="Times New Roman" w:hAnsi="Times New Roman" w:cs="Times New Roman"/>
          <w:b/>
          <w:sz w:val="24"/>
          <w:szCs w:val="24"/>
          <w:highlight w:val="red"/>
        </w:rPr>
      </w:pPr>
    </w:p>
    <w:p w14:paraId="00000048" w14:textId="4512292D"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 xml:space="preserve">Consequently, in this narrow definition, </w:t>
      </w:r>
      <w:r w:rsidR="00CA0291">
        <w:rPr>
          <w:rFonts w:ascii="Times New Roman" w:hAnsi="Times New Roman" w:cs="Times New Roman"/>
          <w:sz w:val="24"/>
          <w:szCs w:val="24"/>
        </w:rPr>
        <w:t>i</w:t>
      </w:r>
      <w:r w:rsidRPr="001F6106">
        <w:rPr>
          <w:rFonts w:ascii="Times New Roman" w:hAnsi="Times New Roman" w:cs="Times New Roman"/>
          <w:sz w:val="24"/>
          <w:szCs w:val="24"/>
        </w:rPr>
        <w:t>n the United States, the economic doctrine of judges is not isolated as a discrete doctrinal category but is embedded within a broader ideological framework that also encompasses societal issues such as abortion rights and gun control, as well as constitutional theories like originalism and the division of powers between federal and state authorities</w:t>
      </w:r>
      <w:r w:rsidRPr="001F6106">
        <w:rPr>
          <w:rFonts w:ascii="Times New Roman" w:hAnsi="Times New Roman" w:cs="Times New Roman"/>
          <w:sz w:val="24"/>
          <w:szCs w:val="24"/>
          <w:vertAlign w:val="superscript"/>
        </w:rPr>
        <w:footnoteReference w:id="25"/>
      </w:r>
      <w:r w:rsidRPr="001F6106">
        <w:rPr>
          <w:rFonts w:ascii="Times New Roman" w:hAnsi="Times New Roman" w:cs="Times New Roman"/>
          <w:sz w:val="24"/>
          <w:szCs w:val="24"/>
        </w:rPr>
        <w:t>. This broader orientation has prompted scholars to conceptualize judicial behavior along ideological lines, often measured empirically. Bonica and Sen</w:t>
      </w:r>
      <w:r w:rsidRPr="001F6106">
        <w:rPr>
          <w:rFonts w:ascii="Times New Roman" w:hAnsi="Times New Roman" w:cs="Times New Roman"/>
          <w:sz w:val="24"/>
          <w:szCs w:val="24"/>
          <w:vertAlign w:val="superscript"/>
        </w:rPr>
        <w:footnoteReference w:id="26"/>
      </w:r>
      <w:r w:rsidRPr="001F6106">
        <w:rPr>
          <w:rFonts w:ascii="Times New Roman" w:hAnsi="Times New Roman" w:cs="Times New Roman"/>
          <w:sz w:val="24"/>
          <w:szCs w:val="24"/>
        </w:rPr>
        <w:t>, for example, propose methods to estimate judicial ideology across a liberal–conservative spectrum, while Sunstein</w:t>
      </w:r>
      <w:r w:rsidRPr="001F6106">
        <w:rPr>
          <w:rFonts w:ascii="Times New Roman" w:hAnsi="Times New Roman" w:cs="Times New Roman"/>
          <w:sz w:val="24"/>
          <w:szCs w:val="24"/>
          <w:vertAlign w:val="superscript"/>
        </w:rPr>
        <w:footnoteReference w:id="27"/>
      </w:r>
      <w:r w:rsidRPr="001F6106">
        <w:rPr>
          <w:rFonts w:ascii="Times New Roman" w:hAnsi="Times New Roman" w:cs="Times New Roman"/>
          <w:sz w:val="24"/>
          <w:szCs w:val="24"/>
        </w:rPr>
        <w:t xml:space="preserve"> and his collaborators demonstrate empirically how political and ideological commitments shape judicial decision-making within the federal judiciary. Building on such approaches, more recent research has even employed text classification techniques to detect the ideological direction of judicial opinions, thus refining the capacity to predict how judges </w:t>
      </w:r>
      <w:r w:rsidRPr="001F6106">
        <w:rPr>
          <w:rFonts w:ascii="Times New Roman" w:hAnsi="Times New Roman" w:cs="Times New Roman"/>
          <w:sz w:val="24"/>
          <w:szCs w:val="24"/>
        </w:rPr>
        <w:lastRenderedPageBreak/>
        <w:t>decisions align with particular ideological trajectories</w:t>
      </w:r>
      <w:r w:rsidRPr="001F6106">
        <w:rPr>
          <w:rFonts w:ascii="Times New Roman" w:hAnsi="Times New Roman" w:cs="Times New Roman"/>
          <w:sz w:val="24"/>
          <w:szCs w:val="24"/>
          <w:vertAlign w:val="superscript"/>
        </w:rPr>
        <w:footnoteReference w:id="28"/>
      </w:r>
      <w:r w:rsidRPr="001F6106">
        <w:rPr>
          <w:rFonts w:ascii="Times New Roman" w:hAnsi="Times New Roman" w:cs="Times New Roman"/>
          <w:sz w:val="24"/>
          <w:szCs w:val="24"/>
        </w:rPr>
        <w:t>. The literature thus frequently employs categories such as “</w:t>
      </w:r>
      <w:r w:rsidRPr="001F6106">
        <w:rPr>
          <w:rFonts w:ascii="Times New Roman" w:hAnsi="Times New Roman" w:cs="Times New Roman"/>
          <w:i/>
          <w:sz w:val="24"/>
          <w:szCs w:val="24"/>
        </w:rPr>
        <w:t>liberal judge</w:t>
      </w:r>
      <w:r w:rsidRPr="001F6106">
        <w:rPr>
          <w:rFonts w:ascii="Times New Roman" w:hAnsi="Times New Roman" w:cs="Times New Roman"/>
          <w:sz w:val="24"/>
          <w:szCs w:val="24"/>
        </w:rPr>
        <w:t>”, “</w:t>
      </w:r>
      <w:r w:rsidRPr="001F6106">
        <w:rPr>
          <w:rFonts w:ascii="Times New Roman" w:hAnsi="Times New Roman" w:cs="Times New Roman"/>
          <w:i/>
          <w:sz w:val="24"/>
          <w:szCs w:val="24"/>
        </w:rPr>
        <w:t>conservative judge</w:t>
      </w:r>
      <w:r w:rsidRPr="001F6106">
        <w:rPr>
          <w:rFonts w:ascii="Times New Roman" w:hAnsi="Times New Roman" w:cs="Times New Roman"/>
          <w:sz w:val="24"/>
          <w:szCs w:val="24"/>
        </w:rPr>
        <w:t>”, or even “</w:t>
      </w:r>
      <w:r w:rsidRPr="001F6106">
        <w:rPr>
          <w:rFonts w:ascii="Times New Roman" w:hAnsi="Times New Roman" w:cs="Times New Roman"/>
          <w:i/>
          <w:sz w:val="24"/>
          <w:szCs w:val="24"/>
        </w:rPr>
        <w:t>activist judge</w:t>
      </w:r>
      <w:r w:rsidRPr="001F6106">
        <w:rPr>
          <w:rFonts w:ascii="Times New Roman" w:hAnsi="Times New Roman" w:cs="Times New Roman"/>
          <w:sz w:val="24"/>
          <w:szCs w:val="24"/>
        </w:rPr>
        <w:t>” to describe and evaluate judicial orientations, including those with economic implications</w:t>
      </w:r>
      <w:r w:rsidRPr="001F6106">
        <w:rPr>
          <w:rFonts w:ascii="Times New Roman" w:hAnsi="Times New Roman" w:cs="Times New Roman"/>
          <w:sz w:val="24"/>
          <w:szCs w:val="24"/>
          <w:vertAlign w:val="superscript"/>
        </w:rPr>
        <w:footnoteReference w:id="29"/>
      </w:r>
      <w:r w:rsidRPr="001F6106">
        <w:rPr>
          <w:rFonts w:ascii="Times New Roman" w:hAnsi="Times New Roman" w:cs="Times New Roman"/>
          <w:sz w:val="24"/>
          <w:szCs w:val="24"/>
        </w:rPr>
        <w:t>. These categories are sometimes extended beyond individuals to characterize entire courts, with the Rehnquist Court, for instance, often described as a conservative era in the history of the Supreme Court</w:t>
      </w:r>
      <w:r w:rsidRPr="001F6106">
        <w:rPr>
          <w:rFonts w:ascii="Times New Roman" w:hAnsi="Times New Roman" w:cs="Times New Roman"/>
          <w:sz w:val="24"/>
          <w:szCs w:val="24"/>
          <w:vertAlign w:val="superscript"/>
        </w:rPr>
        <w:footnoteReference w:id="30"/>
      </w:r>
      <w:r w:rsidR="00B768AE">
        <w:rPr>
          <w:rFonts w:ascii="Times New Roman" w:hAnsi="Times New Roman" w:cs="Times New Roman"/>
          <w:sz w:val="24"/>
          <w:szCs w:val="24"/>
        </w:rPr>
        <w:t>.</w:t>
      </w:r>
    </w:p>
    <w:p w14:paraId="00000049" w14:textId="77777777" w:rsidR="00176EDE" w:rsidRPr="001F6106" w:rsidRDefault="00176EDE" w:rsidP="001F6106">
      <w:pPr>
        <w:spacing w:line="360" w:lineRule="auto"/>
        <w:jc w:val="both"/>
        <w:rPr>
          <w:rFonts w:ascii="Times New Roman" w:hAnsi="Times New Roman" w:cs="Times New Roman"/>
          <w:sz w:val="24"/>
          <w:szCs w:val="24"/>
        </w:rPr>
      </w:pPr>
    </w:p>
    <w:p w14:paraId="0000004E" w14:textId="59FEF0E4"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 xml:space="preserve">In broad terms, the </w:t>
      </w:r>
      <w:r w:rsidRPr="00B768AE">
        <w:rPr>
          <w:rFonts w:ascii="Times New Roman" w:hAnsi="Times New Roman" w:cs="Times New Roman"/>
          <w:i/>
          <w:iCs/>
          <w:sz w:val="24"/>
          <w:szCs w:val="24"/>
        </w:rPr>
        <w:t>Law and Economics</w:t>
      </w:r>
      <w:r w:rsidRPr="001F6106">
        <w:rPr>
          <w:rFonts w:ascii="Times New Roman" w:hAnsi="Times New Roman" w:cs="Times New Roman"/>
          <w:sz w:val="24"/>
          <w:szCs w:val="24"/>
        </w:rPr>
        <w:t xml:space="preserve"> movement exerted a profound influence on the American judiciary, including the Supreme Court</w:t>
      </w:r>
      <w:r w:rsidR="00B768AE">
        <w:rPr>
          <w:rStyle w:val="Appelnotedebasdep"/>
          <w:rFonts w:ascii="Times New Roman" w:hAnsi="Times New Roman" w:cs="Times New Roman"/>
          <w:sz w:val="24"/>
          <w:szCs w:val="24"/>
        </w:rPr>
        <w:footnoteReference w:id="31"/>
      </w:r>
      <w:r w:rsidRPr="001F6106">
        <w:rPr>
          <w:rFonts w:ascii="Times New Roman" w:hAnsi="Times New Roman" w:cs="Times New Roman"/>
          <w:sz w:val="24"/>
          <w:szCs w:val="24"/>
        </w:rPr>
        <w:t xml:space="preserve">. </w:t>
      </w:r>
      <w:r w:rsidR="00B768AE">
        <w:rPr>
          <w:rFonts w:ascii="Times New Roman" w:hAnsi="Times New Roman" w:cs="Times New Roman"/>
          <w:sz w:val="24"/>
          <w:szCs w:val="24"/>
        </w:rPr>
        <w:t>It</w:t>
      </w:r>
      <w:r w:rsidRPr="001F6106">
        <w:rPr>
          <w:rFonts w:ascii="Times New Roman" w:hAnsi="Times New Roman" w:cs="Times New Roman"/>
          <w:sz w:val="24"/>
          <w:szCs w:val="24"/>
        </w:rPr>
        <w:t xml:space="preserve"> can be summarized along three dimensions</w:t>
      </w:r>
      <w:r w:rsidRPr="001F6106">
        <w:rPr>
          <w:rFonts w:ascii="Times New Roman" w:hAnsi="Times New Roman" w:cs="Times New Roman"/>
          <w:sz w:val="24"/>
          <w:szCs w:val="24"/>
          <w:vertAlign w:val="superscript"/>
        </w:rPr>
        <w:footnoteReference w:id="32"/>
      </w:r>
      <w:r w:rsidR="00B768AE">
        <w:rPr>
          <w:rFonts w:ascii="Times New Roman" w:hAnsi="Times New Roman" w:cs="Times New Roman"/>
          <w:sz w:val="24"/>
          <w:szCs w:val="24"/>
        </w:rPr>
        <w:t xml:space="preserve"> : (i) </w:t>
      </w:r>
      <w:r w:rsidR="00B768AE" w:rsidRPr="00B768AE">
        <w:rPr>
          <w:rFonts w:ascii="Times New Roman" w:hAnsi="Times New Roman" w:cs="Times New Roman"/>
          <w:sz w:val="24"/>
          <w:szCs w:val="24"/>
        </w:rPr>
        <w:t>some judges openly embrace an economic doctrine of law</w:t>
      </w:r>
      <w:r w:rsidR="00B768AE" w:rsidRPr="001F6106">
        <w:rPr>
          <w:vertAlign w:val="superscript"/>
        </w:rPr>
        <w:footnoteReference w:id="33"/>
      </w:r>
      <w:r w:rsidR="00B768AE">
        <w:rPr>
          <w:rFonts w:ascii="Times New Roman" w:hAnsi="Times New Roman" w:cs="Times New Roman"/>
          <w:sz w:val="24"/>
          <w:szCs w:val="24"/>
        </w:rPr>
        <w:t>, (ii) some judges were more likely to be exposed to economic reasoning in law school</w:t>
      </w:r>
      <w:r w:rsidR="00B768AE" w:rsidRPr="001F6106">
        <w:rPr>
          <w:rFonts w:ascii="Times New Roman" w:hAnsi="Times New Roman" w:cs="Times New Roman"/>
          <w:sz w:val="24"/>
          <w:szCs w:val="24"/>
          <w:vertAlign w:val="superscript"/>
        </w:rPr>
        <w:footnoteReference w:id="34"/>
      </w:r>
      <w:r w:rsidR="00B768AE">
        <w:rPr>
          <w:rFonts w:ascii="Times New Roman" w:hAnsi="Times New Roman" w:cs="Times New Roman"/>
          <w:sz w:val="24"/>
          <w:szCs w:val="24"/>
        </w:rPr>
        <w:t xml:space="preserve"> and (iii) the movement itself strategically teaches economics in programs for federal judges</w:t>
      </w:r>
      <w:r w:rsidR="00B768AE" w:rsidRPr="001F6106">
        <w:rPr>
          <w:rFonts w:ascii="Times New Roman" w:hAnsi="Times New Roman" w:cs="Times New Roman"/>
          <w:sz w:val="24"/>
          <w:szCs w:val="24"/>
          <w:vertAlign w:val="superscript"/>
        </w:rPr>
        <w:footnoteReference w:id="35"/>
      </w:r>
      <w:r w:rsidR="00B768AE">
        <w:rPr>
          <w:rFonts w:ascii="Times New Roman" w:hAnsi="Times New Roman" w:cs="Times New Roman"/>
          <w:sz w:val="24"/>
          <w:szCs w:val="24"/>
        </w:rPr>
        <w:t>.</w:t>
      </w:r>
    </w:p>
    <w:p w14:paraId="0000004F" w14:textId="77777777"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For both the Court of Justice of the European Union and the Supreme Court of the United States, the concept of an “economic doctrine of judges” can be approached through three distinct meanings, as suggested by Ganne and Jeanneney</w:t>
      </w:r>
      <w:r w:rsidRPr="001F6106">
        <w:rPr>
          <w:rFonts w:ascii="Times New Roman" w:hAnsi="Times New Roman" w:cs="Times New Roman"/>
          <w:sz w:val="24"/>
          <w:szCs w:val="24"/>
          <w:vertAlign w:val="superscript"/>
        </w:rPr>
        <w:footnoteReference w:id="36"/>
      </w:r>
      <w:r w:rsidRPr="001F6106">
        <w:rPr>
          <w:rFonts w:ascii="Times New Roman" w:hAnsi="Times New Roman" w:cs="Times New Roman"/>
          <w:sz w:val="24"/>
          <w:szCs w:val="24"/>
        </w:rPr>
        <w:t xml:space="preserve">.  </w:t>
      </w:r>
    </w:p>
    <w:p w14:paraId="00000050" w14:textId="77777777" w:rsidR="00176EDE" w:rsidRPr="001F6106" w:rsidRDefault="00000000" w:rsidP="001F6106">
      <w:pPr>
        <w:numPr>
          <w:ilvl w:val="0"/>
          <w:numId w:val="5"/>
        </w:num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lastRenderedPageBreak/>
        <w:t xml:space="preserve">A first understanding conceives the economic doctrine of judges as the aggregation of the individual economic sensitivities of the members of the court, that is, a set of personal preferences shaping judicial reasoning. </w:t>
      </w:r>
    </w:p>
    <w:p w14:paraId="00000051" w14:textId="77777777" w:rsidR="00176EDE" w:rsidRPr="001F6106" w:rsidRDefault="00000000" w:rsidP="001F6106">
      <w:pPr>
        <w:numPr>
          <w:ilvl w:val="0"/>
          <w:numId w:val="5"/>
        </w:num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 xml:space="preserve">A second perspective views economic doctrine of judges as the way in which the court defines and expands its own competences with respect to the review of economic legislation, thereby tying economic reasoning to institutional self-definition. </w:t>
      </w:r>
    </w:p>
    <w:p w14:paraId="00000052" w14:textId="77777777" w:rsidR="00176EDE" w:rsidRPr="001F6106" w:rsidRDefault="00000000" w:rsidP="001F6106">
      <w:pPr>
        <w:numPr>
          <w:ilvl w:val="0"/>
          <w:numId w:val="5"/>
        </w:num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A third interpretation regards economic doctrine of judges as the ensemble of political and economic objectives that the members of the court collectively assign to the institution, for example by orienting its jurisprudence towards goals such as fostering economic growth or reducing public deficit, potentially through direct injunctions to the legislature.</w:t>
      </w:r>
    </w:p>
    <w:p w14:paraId="00000053" w14:textId="77777777" w:rsidR="00176EDE" w:rsidRPr="001F6106" w:rsidRDefault="00176EDE" w:rsidP="001F6106">
      <w:pPr>
        <w:spacing w:line="360" w:lineRule="auto"/>
        <w:jc w:val="both"/>
        <w:rPr>
          <w:rFonts w:ascii="Times New Roman" w:hAnsi="Times New Roman" w:cs="Times New Roman"/>
          <w:sz w:val="24"/>
          <w:szCs w:val="24"/>
        </w:rPr>
      </w:pPr>
    </w:p>
    <w:p w14:paraId="00000054" w14:textId="4FEBEB47"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 xml:space="preserve">However, such definitions of the “economic doctrine of judges” remain highly subjective and difficult to operationalize within a </w:t>
      </w:r>
      <w:r w:rsidR="00241EA2" w:rsidRPr="00241EA2">
        <w:rPr>
          <w:rFonts w:ascii="Times New Roman" w:hAnsi="Times New Roman" w:cs="Times New Roman"/>
          <w:i/>
          <w:iCs/>
          <w:sz w:val="24"/>
          <w:szCs w:val="24"/>
        </w:rPr>
        <w:t>L</w:t>
      </w:r>
      <w:r w:rsidRPr="00241EA2">
        <w:rPr>
          <w:rFonts w:ascii="Times New Roman" w:hAnsi="Times New Roman" w:cs="Times New Roman"/>
          <w:i/>
          <w:iCs/>
          <w:sz w:val="24"/>
          <w:szCs w:val="24"/>
        </w:rPr>
        <w:t>aw in action</w:t>
      </w:r>
      <w:r w:rsidRPr="001F6106">
        <w:rPr>
          <w:rFonts w:ascii="Times New Roman" w:hAnsi="Times New Roman" w:cs="Times New Roman"/>
          <w:sz w:val="24"/>
          <w:szCs w:val="24"/>
        </w:rPr>
        <w:t xml:space="preserve"> framework. They appear less as doctrine in the strict sense than as explanatory factors of its emergence: not the doctrine itself, but the conditions of its birth, such as the influence of regulatory and competition authorities, described as a form of “anti-economic doctrine”</w:t>
      </w:r>
      <w:r w:rsidR="00241EA2">
        <w:rPr>
          <w:rStyle w:val="Appelnotedebasdep"/>
          <w:rFonts w:ascii="Times New Roman" w:hAnsi="Times New Roman" w:cs="Times New Roman"/>
          <w:sz w:val="24"/>
          <w:szCs w:val="24"/>
        </w:rPr>
        <w:footnoteReference w:id="37"/>
      </w:r>
      <w:r w:rsidRPr="001F6106">
        <w:rPr>
          <w:rFonts w:ascii="Times New Roman" w:hAnsi="Times New Roman" w:cs="Times New Roman"/>
          <w:sz w:val="24"/>
          <w:szCs w:val="24"/>
        </w:rPr>
        <w:t>, or the argumentative strategies of lawyers, which may shape judicial orientations without constituting doctrine proper</w:t>
      </w:r>
      <w:r w:rsidR="00241EA2">
        <w:rPr>
          <w:rStyle w:val="Appelnotedebasdep"/>
          <w:rFonts w:ascii="Times New Roman" w:hAnsi="Times New Roman" w:cs="Times New Roman"/>
          <w:sz w:val="24"/>
          <w:szCs w:val="24"/>
        </w:rPr>
        <w:footnoteReference w:id="38"/>
      </w:r>
      <w:r w:rsidRPr="001F6106">
        <w:rPr>
          <w:rFonts w:ascii="Times New Roman" w:hAnsi="Times New Roman" w:cs="Times New Roman"/>
          <w:sz w:val="24"/>
          <w:szCs w:val="24"/>
        </w:rPr>
        <w:t>. These elements illuminate the genealogy of judicial economic reasoning but do not constitute doctrine as such. In this research, the “economic doctrine of judges”</w:t>
      </w:r>
      <w:r w:rsidR="00241EA2">
        <w:rPr>
          <w:rFonts w:ascii="Times New Roman" w:hAnsi="Times New Roman" w:cs="Times New Roman"/>
          <w:sz w:val="24"/>
          <w:szCs w:val="24"/>
        </w:rPr>
        <w:t xml:space="preserve">, as a concept, </w:t>
      </w:r>
      <w:r w:rsidRPr="001F6106">
        <w:rPr>
          <w:rFonts w:ascii="Times New Roman" w:hAnsi="Times New Roman" w:cs="Times New Roman"/>
          <w:sz w:val="24"/>
          <w:szCs w:val="24"/>
        </w:rPr>
        <w:t>will therefore be understood as the legal justifications articulated in judicial decisions, whose systematic use, formalization, and repetition elevate them to the status of doctrine, particularly in the fields of antitrust and regulatory law.</w:t>
      </w:r>
    </w:p>
    <w:p w14:paraId="00000055" w14:textId="77777777" w:rsidR="00176EDE" w:rsidRPr="001F6106" w:rsidRDefault="00176EDE" w:rsidP="001F6106">
      <w:pPr>
        <w:spacing w:line="360" w:lineRule="auto"/>
        <w:jc w:val="both"/>
        <w:rPr>
          <w:rFonts w:ascii="Times New Roman" w:hAnsi="Times New Roman" w:cs="Times New Roman"/>
          <w:sz w:val="24"/>
          <w:szCs w:val="24"/>
        </w:rPr>
      </w:pPr>
    </w:p>
    <w:p w14:paraId="00000057" w14:textId="61115BE0" w:rsidR="00176EDE" w:rsidRPr="001F6106" w:rsidRDefault="00000000" w:rsidP="00241EA2">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The purpose of this research is consequently to analyse if:</w:t>
      </w:r>
      <w:r w:rsidR="00241EA2">
        <w:rPr>
          <w:rFonts w:ascii="Times New Roman" w:hAnsi="Times New Roman" w:cs="Times New Roman"/>
          <w:sz w:val="24"/>
          <w:szCs w:val="24"/>
        </w:rPr>
        <w:t xml:space="preserve"> </w:t>
      </w:r>
      <w:r w:rsidRPr="001F6106">
        <w:rPr>
          <w:rFonts w:ascii="Times New Roman" w:hAnsi="Times New Roman" w:cs="Times New Roman"/>
          <w:sz w:val="24"/>
          <w:szCs w:val="24"/>
        </w:rPr>
        <w:t>“</w:t>
      </w:r>
      <w:r w:rsidRPr="001F6106">
        <w:rPr>
          <w:rFonts w:ascii="Times New Roman" w:hAnsi="Times New Roman" w:cs="Times New Roman"/>
          <w:i/>
          <w:sz w:val="24"/>
          <w:szCs w:val="24"/>
        </w:rPr>
        <w:t>In the absence of an unambiguously assumed economic doctrine, does the judge let slip a few confessions, a few words, a few lines likely to reveal the economic underpinnings of a jurisprudential or textual policy? Ultimately—and in the absence of a properly economic reasoning, we insist—to what extent does the judge resort to economics in order to explain or to justify himself?</w:t>
      </w:r>
      <w:r w:rsidRPr="001F6106">
        <w:rPr>
          <w:rFonts w:ascii="Times New Roman" w:hAnsi="Times New Roman" w:cs="Times New Roman"/>
          <w:sz w:val="24"/>
          <w:szCs w:val="24"/>
        </w:rPr>
        <w:t>”</w:t>
      </w:r>
      <w:r w:rsidRPr="001F6106">
        <w:rPr>
          <w:rFonts w:ascii="Times New Roman" w:hAnsi="Times New Roman" w:cs="Times New Roman"/>
          <w:sz w:val="24"/>
          <w:szCs w:val="24"/>
          <w:vertAlign w:val="superscript"/>
        </w:rPr>
        <w:footnoteReference w:id="39"/>
      </w:r>
      <w:r w:rsidRPr="001F6106">
        <w:rPr>
          <w:rFonts w:ascii="Times New Roman" w:hAnsi="Times New Roman" w:cs="Times New Roman"/>
          <w:sz w:val="24"/>
          <w:szCs w:val="24"/>
        </w:rPr>
        <w:t>.</w:t>
      </w:r>
    </w:p>
    <w:p w14:paraId="56C40C9E" w14:textId="77777777" w:rsidR="00B05F42" w:rsidRPr="001F6106" w:rsidRDefault="00B05F42" w:rsidP="001F6106">
      <w:pPr>
        <w:spacing w:line="360" w:lineRule="auto"/>
        <w:jc w:val="both"/>
        <w:rPr>
          <w:rFonts w:ascii="Times New Roman" w:hAnsi="Times New Roman" w:cs="Times New Roman"/>
          <w:sz w:val="24"/>
          <w:szCs w:val="24"/>
        </w:rPr>
      </w:pPr>
    </w:p>
    <w:p w14:paraId="63886218" w14:textId="625D0710" w:rsidR="00B05F42" w:rsidRPr="00595263" w:rsidRDefault="00000000" w:rsidP="00595263">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lastRenderedPageBreak/>
        <w:t xml:space="preserve">Now that the concept has been defined, </w:t>
      </w:r>
      <w:r w:rsidR="00241EA2">
        <w:rPr>
          <w:rFonts w:ascii="Times New Roman" w:hAnsi="Times New Roman" w:cs="Times New Roman"/>
          <w:sz w:val="24"/>
          <w:szCs w:val="24"/>
        </w:rPr>
        <w:t>i</w:t>
      </w:r>
      <w:r w:rsidRPr="001F6106">
        <w:rPr>
          <w:rFonts w:ascii="Times New Roman" w:hAnsi="Times New Roman" w:cs="Times New Roman"/>
          <w:sz w:val="24"/>
          <w:szCs w:val="24"/>
        </w:rPr>
        <w:t xml:space="preserve">t can be concretely examined through the jurisprudence of the </w:t>
      </w:r>
      <w:r w:rsidR="00241EA2">
        <w:rPr>
          <w:rFonts w:ascii="Times New Roman" w:hAnsi="Times New Roman" w:cs="Times New Roman"/>
          <w:sz w:val="24"/>
          <w:szCs w:val="24"/>
        </w:rPr>
        <w:t>CJUE</w:t>
      </w:r>
      <w:r w:rsidRPr="001F6106">
        <w:rPr>
          <w:rFonts w:ascii="Times New Roman" w:hAnsi="Times New Roman" w:cs="Times New Roman"/>
          <w:sz w:val="24"/>
          <w:szCs w:val="24"/>
        </w:rPr>
        <w:t xml:space="preserve"> and the </w:t>
      </w:r>
      <w:r w:rsidR="00241EA2">
        <w:rPr>
          <w:rFonts w:ascii="Times New Roman" w:hAnsi="Times New Roman" w:cs="Times New Roman"/>
          <w:sz w:val="24"/>
          <w:szCs w:val="24"/>
        </w:rPr>
        <w:t>SCOTUS,</w:t>
      </w:r>
      <w:r w:rsidRPr="001F6106">
        <w:rPr>
          <w:rFonts w:ascii="Times New Roman" w:hAnsi="Times New Roman" w:cs="Times New Roman"/>
          <w:sz w:val="24"/>
          <w:szCs w:val="24"/>
        </w:rPr>
        <w:t xml:space="preserve"> with a particular focus on antitrust and regulatory cases.</w:t>
      </w:r>
      <w:bookmarkStart w:id="5" w:name="_157vvsi7h9m3" w:colFirst="0" w:colLast="0"/>
      <w:bookmarkEnd w:id="5"/>
    </w:p>
    <w:p w14:paraId="0000005A" w14:textId="3ED7453F" w:rsidR="00176EDE" w:rsidRPr="001F6106" w:rsidRDefault="00000000" w:rsidP="00595263">
      <w:pPr>
        <w:pStyle w:val="Titre1"/>
      </w:pPr>
      <w:bookmarkStart w:id="6" w:name="_Toc207402597"/>
      <w:r w:rsidRPr="001F6106">
        <w:t>Part II – Materializing the Economic Doctrine of Judges: Antitrust and Regulatory Case Law</w:t>
      </w:r>
      <w:bookmarkEnd w:id="6"/>
    </w:p>
    <w:p w14:paraId="0000005B" w14:textId="77777777" w:rsidR="00176EDE" w:rsidRPr="001F6106" w:rsidRDefault="00176EDE" w:rsidP="001F6106">
      <w:pPr>
        <w:spacing w:line="360" w:lineRule="auto"/>
        <w:jc w:val="both"/>
        <w:rPr>
          <w:rFonts w:ascii="Times New Roman" w:hAnsi="Times New Roman" w:cs="Times New Roman"/>
          <w:sz w:val="24"/>
          <w:szCs w:val="24"/>
        </w:rPr>
      </w:pPr>
    </w:p>
    <w:p w14:paraId="0000005D" w14:textId="45B555D7" w:rsidR="00176EDE" w:rsidRPr="001F6106" w:rsidRDefault="00241EA2" w:rsidP="001F6106">
      <w:pPr>
        <w:spacing w:line="360" w:lineRule="auto"/>
        <w:jc w:val="both"/>
        <w:rPr>
          <w:rFonts w:ascii="Times New Roman" w:hAnsi="Times New Roman" w:cs="Times New Roman"/>
          <w:sz w:val="24"/>
          <w:szCs w:val="24"/>
        </w:rPr>
      </w:pPr>
      <w:r w:rsidRPr="00241EA2">
        <w:rPr>
          <w:rFonts w:ascii="Times New Roman" w:hAnsi="Times New Roman" w:cs="Times New Roman"/>
          <w:color w:val="000000"/>
          <w:sz w:val="24"/>
          <w:szCs w:val="24"/>
        </w:rPr>
        <w:t>A comprehensive analysis of the case law of the CJEU and the U.S. Supreme Court reveals three discernible movements. While they may appear historically successive, the first two often overlap, coexist, or even diverge on specific doctrinal points. In certain areas, one movement may temporarily prevail without entirely displacing the others. Yet, taken together, these trajectories suggest an emerging tendency toward autonomization, whereby each court consolidates its own interpretive framework and progressively distances itself from any shared transatlantic paradigm.</w:t>
      </w:r>
      <w:r w:rsidRPr="00241EA2">
        <w:rPr>
          <w:rFonts w:ascii="Times New Roman" w:hAnsi="Times New Roman" w:cs="Times New Roman"/>
          <w:sz w:val="24"/>
          <w:szCs w:val="24"/>
        </w:rPr>
        <w:t xml:space="preserve">. Throughout this evolution, the two courts have largely functioned in a quasi-symbiotic manner, with the economic doctrine of the EU being notably influenced by U.S. jurisprudence, particularly in antitrust and sectoral regulatory law (A - Convergence). Yet, despite pursuing largely convergent objectives across these two branches, the courts have diverged at times in their methods of justification and in the structure of their economic reasoning (B - Divergence). In the contemporary landscape, both the CJEU and the SCOTUS exhibit increasing autonomy in their respective economic doctrines, a development driven by the specific institutional, economic, and societal contexts in which they operate. This autonomy is further complicated by the advent of digital and AI regulation, which increasingly blurs the traditional distinction between regulatory and antitrust law (C - </w:t>
      </w:r>
      <w:r w:rsidRPr="00241EA2">
        <w:rPr>
          <w:rFonts w:ascii="Times New Roman" w:hAnsi="Times New Roman" w:cs="Times New Roman"/>
          <w:color w:val="000000"/>
          <w:sz w:val="24"/>
          <w:szCs w:val="24"/>
        </w:rPr>
        <w:t>autonomization</w:t>
      </w:r>
      <w:r w:rsidRPr="00241EA2">
        <w:rPr>
          <w:rFonts w:ascii="Times New Roman" w:hAnsi="Times New Roman" w:cs="Times New Roman"/>
          <w:sz w:val="24"/>
          <w:szCs w:val="24"/>
        </w:rPr>
        <w:t>).</w:t>
      </w:r>
    </w:p>
    <w:p w14:paraId="0000005E" w14:textId="77777777" w:rsidR="00176EDE" w:rsidRPr="001F6106" w:rsidRDefault="00176EDE" w:rsidP="001F6106">
      <w:pPr>
        <w:spacing w:line="360" w:lineRule="auto"/>
        <w:jc w:val="both"/>
        <w:rPr>
          <w:rFonts w:ascii="Times New Roman" w:hAnsi="Times New Roman" w:cs="Times New Roman"/>
          <w:sz w:val="24"/>
          <w:szCs w:val="24"/>
        </w:rPr>
      </w:pPr>
    </w:p>
    <w:p w14:paraId="0000005F" w14:textId="2BB123C0" w:rsidR="00176EDE" w:rsidRPr="001F6106" w:rsidRDefault="00000000" w:rsidP="00595263">
      <w:pPr>
        <w:pStyle w:val="Titre2"/>
      </w:pPr>
      <w:bookmarkStart w:id="7" w:name="_Toc207402598"/>
      <w:r w:rsidRPr="001F6106">
        <w:t>A - Convergence: SCOTUS and CJEU Advancing Toward the Same Goals Along a Shared Path</w:t>
      </w:r>
      <w:bookmarkEnd w:id="7"/>
    </w:p>
    <w:p w14:paraId="00000060" w14:textId="77777777" w:rsidR="00176EDE" w:rsidRPr="001F6106" w:rsidRDefault="00176EDE" w:rsidP="001F6106">
      <w:pPr>
        <w:spacing w:line="360" w:lineRule="auto"/>
        <w:jc w:val="both"/>
        <w:rPr>
          <w:rFonts w:ascii="Times New Roman" w:hAnsi="Times New Roman" w:cs="Times New Roman"/>
          <w:b/>
          <w:sz w:val="24"/>
          <w:szCs w:val="24"/>
        </w:rPr>
      </w:pPr>
    </w:p>
    <w:p w14:paraId="00000061" w14:textId="4E6B3228" w:rsidR="00176EDE"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Over the past half-century, the primary objectives of competition law—consumer welfare and the preservation of the competitive process—have emerged through an iterative dialogue between the world’s most influential antitrust jurisdictions, the United States and the European Union</w:t>
      </w:r>
      <w:r w:rsidRPr="001F6106">
        <w:rPr>
          <w:rFonts w:ascii="Times New Roman" w:hAnsi="Times New Roman" w:cs="Times New Roman"/>
          <w:sz w:val="24"/>
          <w:szCs w:val="24"/>
          <w:vertAlign w:val="superscript"/>
        </w:rPr>
        <w:footnoteReference w:id="40"/>
      </w:r>
      <w:r w:rsidRPr="001F6106">
        <w:rPr>
          <w:rFonts w:ascii="Times New Roman" w:hAnsi="Times New Roman" w:cs="Times New Roman"/>
          <w:sz w:val="24"/>
          <w:szCs w:val="24"/>
        </w:rPr>
        <w:t xml:space="preserve">. In the U.S., the dominance of the Chicago School, propelled both by academic </w:t>
      </w:r>
      <w:r w:rsidRPr="001F6106">
        <w:rPr>
          <w:rFonts w:ascii="Times New Roman" w:hAnsi="Times New Roman" w:cs="Times New Roman"/>
          <w:sz w:val="24"/>
          <w:szCs w:val="24"/>
        </w:rPr>
        <w:lastRenderedPageBreak/>
        <w:t>influence and the broader framework of the Washington Consensus</w:t>
      </w:r>
      <w:r w:rsidRPr="001F6106">
        <w:rPr>
          <w:rFonts w:ascii="Times New Roman" w:hAnsi="Times New Roman" w:cs="Times New Roman"/>
          <w:sz w:val="24"/>
          <w:szCs w:val="24"/>
          <w:vertAlign w:val="superscript"/>
        </w:rPr>
        <w:footnoteReference w:id="41"/>
      </w:r>
      <w:r w:rsidRPr="001F6106">
        <w:rPr>
          <w:rFonts w:ascii="Times New Roman" w:hAnsi="Times New Roman" w:cs="Times New Roman"/>
          <w:sz w:val="24"/>
          <w:szCs w:val="24"/>
        </w:rPr>
        <w:t>, established consumer welfare as the ultimate benchmark for antitrust analysis</w:t>
      </w:r>
      <w:r w:rsidRPr="001F6106">
        <w:rPr>
          <w:rFonts w:ascii="Times New Roman" w:hAnsi="Times New Roman" w:cs="Times New Roman"/>
          <w:sz w:val="24"/>
          <w:szCs w:val="24"/>
          <w:vertAlign w:val="superscript"/>
        </w:rPr>
        <w:footnoteReference w:id="42"/>
      </w:r>
      <w:r w:rsidRPr="001F6106">
        <w:rPr>
          <w:rFonts w:ascii="Times New Roman" w:hAnsi="Times New Roman" w:cs="Times New Roman"/>
          <w:sz w:val="24"/>
          <w:szCs w:val="24"/>
        </w:rPr>
        <w:t>. Simultaneously, the EU navigated the dual influences of the Chicago School</w:t>
      </w:r>
      <w:r w:rsidRPr="001F6106">
        <w:rPr>
          <w:rFonts w:ascii="Times New Roman" w:hAnsi="Times New Roman" w:cs="Times New Roman"/>
          <w:sz w:val="24"/>
          <w:szCs w:val="24"/>
          <w:vertAlign w:val="superscript"/>
        </w:rPr>
        <w:footnoteReference w:id="43"/>
      </w:r>
      <w:r w:rsidRPr="001F6106">
        <w:rPr>
          <w:rFonts w:ascii="Times New Roman" w:hAnsi="Times New Roman" w:cs="Times New Roman"/>
          <w:sz w:val="24"/>
          <w:szCs w:val="24"/>
        </w:rPr>
        <w:t xml:space="preserve"> and the Ordoliberal tradition, which emphasizes the preservation of the competitive process as a value in its own right</w:t>
      </w:r>
      <w:r w:rsidRPr="001F6106">
        <w:rPr>
          <w:rFonts w:ascii="Times New Roman" w:hAnsi="Times New Roman" w:cs="Times New Roman"/>
          <w:sz w:val="24"/>
          <w:szCs w:val="24"/>
          <w:vertAlign w:val="superscript"/>
        </w:rPr>
        <w:footnoteReference w:id="44"/>
      </w:r>
      <w:r w:rsidRPr="001F6106">
        <w:rPr>
          <w:rFonts w:ascii="Times New Roman" w:hAnsi="Times New Roman" w:cs="Times New Roman"/>
          <w:sz w:val="24"/>
          <w:szCs w:val="24"/>
        </w:rPr>
        <w:t>. Complementary objectives, such as economic efficiency and the creation of a level playing field, further reinforced the EU’s economic orientation in competition enforcement</w:t>
      </w:r>
      <w:r w:rsidRPr="001F6106">
        <w:rPr>
          <w:rFonts w:ascii="Times New Roman" w:hAnsi="Times New Roman" w:cs="Times New Roman"/>
          <w:sz w:val="24"/>
          <w:szCs w:val="24"/>
          <w:vertAlign w:val="superscript"/>
        </w:rPr>
        <w:footnoteReference w:id="45"/>
      </w:r>
      <w:r w:rsidRPr="001F6106">
        <w:rPr>
          <w:rFonts w:ascii="Times New Roman" w:hAnsi="Times New Roman" w:cs="Times New Roman"/>
          <w:sz w:val="24"/>
          <w:szCs w:val="24"/>
        </w:rPr>
        <w:t>.</w:t>
      </w:r>
    </w:p>
    <w:p w14:paraId="62B58292" w14:textId="77777777" w:rsidR="00241EA2" w:rsidRPr="001F6106" w:rsidRDefault="00241EA2" w:rsidP="001F6106">
      <w:pPr>
        <w:spacing w:line="360" w:lineRule="auto"/>
        <w:jc w:val="both"/>
        <w:rPr>
          <w:rFonts w:ascii="Times New Roman" w:hAnsi="Times New Roman" w:cs="Times New Roman"/>
          <w:sz w:val="24"/>
          <w:szCs w:val="24"/>
        </w:rPr>
      </w:pPr>
    </w:p>
    <w:p w14:paraId="00000062" w14:textId="01FC7C73" w:rsidR="00176EDE"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Despite this convergence in goals, cracks in the purely economic framework began to appear, particularly within EU competition law, where social, environmental, and technological considerations have increasingly entered the discourse, reflecting the broader policy mix embedded in the Treaties</w:t>
      </w:r>
      <w:r w:rsidR="00595263">
        <w:rPr>
          <w:rStyle w:val="Appelnotedebasdep"/>
          <w:rFonts w:ascii="Times New Roman" w:hAnsi="Times New Roman" w:cs="Times New Roman"/>
          <w:sz w:val="24"/>
          <w:szCs w:val="24"/>
        </w:rPr>
        <w:footnoteReference w:id="46"/>
      </w:r>
      <w:r w:rsidR="00595263">
        <w:rPr>
          <w:rFonts w:ascii="Times New Roman" w:hAnsi="Times New Roman" w:cs="Times New Roman"/>
          <w:sz w:val="24"/>
          <w:szCs w:val="24"/>
        </w:rPr>
        <w:t>.</w:t>
      </w:r>
    </w:p>
    <w:p w14:paraId="401513D3" w14:textId="77777777" w:rsidR="00595263" w:rsidRPr="001F6106" w:rsidRDefault="00595263" w:rsidP="001F6106">
      <w:pPr>
        <w:spacing w:line="360" w:lineRule="auto"/>
        <w:jc w:val="both"/>
        <w:rPr>
          <w:rFonts w:ascii="Times New Roman" w:hAnsi="Times New Roman" w:cs="Times New Roman"/>
          <w:sz w:val="24"/>
          <w:szCs w:val="24"/>
        </w:rPr>
      </w:pPr>
    </w:p>
    <w:p w14:paraId="45C8278B" w14:textId="58AAF1D2" w:rsidR="00B05F42"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 xml:space="preserve">This convergence is perhaps most evident in the adoption and adaptation of the essential facilities doctrine (EFD). Originating in U.S. jurisprudence, notably </w:t>
      </w:r>
      <w:r w:rsidRPr="001F6106">
        <w:rPr>
          <w:rFonts w:ascii="Times New Roman" w:hAnsi="Times New Roman" w:cs="Times New Roman"/>
          <w:i/>
          <w:sz w:val="24"/>
          <w:szCs w:val="24"/>
        </w:rPr>
        <w:t>United States v. Terminal Railroad Association</w:t>
      </w:r>
      <w:r w:rsidRPr="001F6106">
        <w:rPr>
          <w:rFonts w:ascii="Times New Roman" w:hAnsi="Times New Roman" w:cs="Times New Roman"/>
          <w:sz w:val="24"/>
          <w:szCs w:val="24"/>
          <w:vertAlign w:val="superscript"/>
        </w:rPr>
        <w:footnoteReference w:id="47"/>
      </w:r>
      <w:r w:rsidRPr="001F6106">
        <w:rPr>
          <w:rFonts w:ascii="Times New Roman" w:hAnsi="Times New Roman" w:cs="Times New Roman"/>
          <w:sz w:val="24"/>
          <w:szCs w:val="24"/>
        </w:rPr>
        <w:t xml:space="preserve">, the doctrine established that facilities indispensable to competition—such as bridges controlled by the Terminal Railroad—could not be withheld by dominant firms. The European Commission invoked similar reasoning in </w:t>
      </w:r>
      <w:r w:rsidRPr="001F6106">
        <w:rPr>
          <w:rFonts w:ascii="Times New Roman" w:hAnsi="Times New Roman" w:cs="Times New Roman"/>
          <w:i/>
          <w:sz w:val="24"/>
          <w:szCs w:val="24"/>
        </w:rPr>
        <w:t>Sealink</w:t>
      </w:r>
      <w:r w:rsidRPr="001F6106">
        <w:rPr>
          <w:rFonts w:ascii="Times New Roman" w:hAnsi="Times New Roman" w:cs="Times New Roman"/>
          <w:sz w:val="24"/>
          <w:szCs w:val="24"/>
          <w:vertAlign w:val="superscript"/>
        </w:rPr>
        <w:footnoteReference w:id="48"/>
      </w:r>
      <w:r w:rsidRPr="001F6106">
        <w:rPr>
          <w:rFonts w:ascii="Times New Roman" w:hAnsi="Times New Roman" w:cs="Times New Roman"/>
          <w:sz w:val="24"/>
          <w:szCs w:val="24"/>
        </w:rPr>
        <w:t xml:space="preserve"> and </w:t>
      </w:r>
      <w:r w:rsidRPr="001F6106">
        <w:rPr>
          <w:rFonts w:ascii="Times New Roman" w:hAnsi="Times New Roman" w:cs="Times New Roman"/>
          <w:i/>
          <w:sz w:val="24"/>
          <w:szCs w:val="24"/>
        </w:rPr>
        <w:t>Port of Rodby</w:t>
      </w:r>
      <w:r w:rsidRPr="001F6106">
        <w:rPr>
          <w:rFonts w:ascii="Times New Roman" w:hAnsi="Times New Roman" w:cs="Times New Roman"/>
          <w:i/>
          <w:sz w:val="24"/>
          <w:szCs w:val="24"/>
          <w:vertAlign w:val="superscript"/>
        </w:rPr>
        <w:footnoteReference w:id="49"/>
      </w:r>
      <w:r w:rsidRPr="001F6106">
        <w:rPr>
          <w:rFonts w:ascii="Times New Roman" w:hAnsi="Times New Roman" w:cs="Times New Roman"/>
          <w:sz w:val="24"/>
          <w:szCs w:val="24"/>
        </w:rPr>
        <w:t xml:space="preserve">, which haven’t been annulled by the CJEU (CJCE at time). By the time of </w:t>
      </w:r>
      <w:r w:rsidRPr="001F6106">
        <w:rPr>
          <w:rFonts w:ascii="Times New Roman" w:hAnsi="Times New Roman" w:cs="Times New Roman"/>
          <w:i/>
          <w:sz w:val="24"/>
          <w:szCs w:val="24"/>
        </w:rPr>
        <w:t>Bronner</w:t>
      </w:r>
      <w:r w:rsidRPr="001F6106">
        <w:rPr>
          <w:rFonts w:ascii="Times New Roman" w:hAnsi="Times New Roman" w:cs="Times New Roman"/>
          <w:sz w:val="24"/>
          <w:szCs w:val="24"/>
          <w:vertAlign w:val="superscript"/>
        </w:rPr>
        <w:footnoteReference w:id="50"/>
      </w:r>
      <w:r w:rsidRPr="001F6106">
        <w:rPr>
          <w:rFonts w:ascii="Times New Roman" w:hAnsi="Times New Roman" w:cs="Times New Roman"/>
          <w:sz w:val="24"/>
          <w:szCs w:val="24"/>
        </w:rPr>
        <w:t xml:space="preserve">, the CJEU had fully operationalized the doctrine, applying it to ensure access to essential facilities for competitors and thereby preventing the abuse of a dominant position. Even in intellectual </w:t>
      </w:r>
      <w:r w:rsidRPr="001F6106">
        <w:rPr>
          <w:rFonts w:ascii="Times New Roman" w:hAnsi="Times New Roman" w:cs="Times New Roman"/>
          <w:sz w:val="24"/>
          <w:szCs w:val="24"/>
        </w:rPr>
        <w:lastRenderedPageBreak/>
        <w:t xml:space="preserve">property contexts, as in </w:t>
      </w:r>
      <w:r w:rsidRPr="001F6106">
        <w:rPr>
          <w:rFonts w:ascii="Times New Roman" w:hAnsi="Times New Roman" w:cs="Times New Roman"/>
          <w:i/>
          <w:sz w:val="24"/>
          <w:szCs w:val="24"/>
        </w:rPr>
        <w:t>Magill</w:t>
      </w:r>
      <w:r w:rsidRPr="001F6106">
        <w:rPr>
          <w:rFonts w:ascii="Times New Roman" w:hAnsi="Times New Roman" w:cs="Times New Roman"/>
          <w:i/>
          <w:sz w:val="24"/>
          <w:szCs w:val="24"/>
          <w:vertAlign w:val="superscript"/>
        </w:rPr>
        <w:footnoteReference w:id="51"/>
      </w:r>
      <w:r w:rsidRPr="001F6106">
        <w:rPr>
          <w:rFonts w:ascii="Times New Roman" w:hAnsi="Times New Roman" w:cs="Times New Roman"/>
          <w:sz w:val="24"/>
          <w:szCs w:val="24"/>
        </w:rPr>
        <w:t>, the essential facilities rationale was invoked to balance access with property rights, reflecting a distinctly European calibration of a doctrine initially shaped in the U.S.</w:t>
      </w:r>
    </w:p>
    <w:p w14:paraId="0AF37ED9" w14:textId="77777777" w:rsidR="00595263" w:rsidRPr="001F6106" w:rsidRDefault="00595263" w:rsidP="001F6106">
      <w:pPr>
        <w:spacing w:line="360" w:lineRule="auto"/>
        <w:jc w:val="both"/>
        <w:rPr>
          <w:rFonts w:ascii="Times New Roman" w:hAnsi="Times New Roman" w:cs="Times New Roman"/>
          <w:sz w:val="24"/>
          <w:szCs w:val="24"/>
        </w:rPr>
      </w:pPr>
    </w:p>
    <w:p w14:paraId="00000066" w14:textId="77777777" w:rsidR="00176EDE" w:rsidRPr="001F6106" w:rsidRDefault="00000000" w:rsidP="00595263">
      <w:pPr>
        <w:pStyle w:val="Titre2"/>
      </w:pPr>
      <w:bookmarkStart w:id="8" w:name="_Toc207402599"/>
      <w:r w:rsidRPr="001F6106">
        <w:t>B – Divergence: SCOTUS and CJEU Advancing Toward the Same Goals Along Distinct Paths</w:t>
      </w:r>
      <w:bookmarkEnd w:id="8"/>
    </w:p>
    <w:p w14:paraId="00000067" w14:textId="77777777" w:rsidR="00176EDE" w:rsidRPr="001F6106" w:rsidRDefault="00176EDE" w:rsidP="001F6106">
      <w:pPr>
        <w:spacing w:line="360" w:lineRule="auto"/>
        <w:jc w:val="both"/>
        <w:rPr>
          <w:rFonts w:ascii="Times New Roman" w:hAnsi="Times New Roman" w:cs="Times New Roman"/>
          <w:sz w:val="24"/>
          <w:szCs w:val="24"/>
        </w:rPr>
      </w:pPr>
    </w:p>
    <w:p w14:paraId="00000068" w14:textId="333A6A05"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 xml:space="preserve">Despite a shared commitment to preserving competition and protecting innovation, </w:t>
      </w:r>
      <w:r w:rsidR="00595263">
        <w:rPr>
          <w:rFonts w:ascii="Times New Roman" w:hAnsi="Times New Roman" w:cs="Times New Roman"/>
          <w:sz w:val="24"/>
          <w:szCs w:val="24"/>
        </w:rPr>
        <w:t>SCOTUS</w:t>
      </w:r>
      <w:r w:rsidRPr="001F6106">
        <w:rPr>
          <w:rFonts w:ascii="Times New Roman" w:hAnsi="Times New Roman" w:cs="Times New Roman"/>
          <w:sz w:val="24"/>
          <w:szCs w:val="24"/>
        </w:rPr>
        <w:t xml:space="preserve"> and the </w:t>
      </w:r>
      <w:r w:rsidR="00595263">
        <w:rPr>
          <w:rFonts w:ascii="Times New Roman" w:hAnsi="Times New Roman" w:cs="Times New Roman"/>
          <w:sz w:val="24"/>
          <w:szCs w:val="24"/>
        </w:rPr>
        <w:t>CJEU</w:t>
      </w:r>
      <w:r w:rsidRPr="001F6106">
        <w:rPr>
          <w:rFonts w:ascii="Times New Roman" w:hAnsi="Times New Roman" w:cs="Times New Roman"/>
          <w:sz w:val="24"/>
          <w:szCs w:val="24"/>
        </w:rPr>
        <w:t xml:space="preserve"> have developed diverging approaches, for example to the essential facilities doctrine (EFD) and, more broadly, to the balance between antitrust law and sectoral regulation. The EFD remains a central but contested tool in the digital economy, surrounded by “</w:t>
      </w:r>
      <w:r w:rsidRPr="001F6106">
        <w:rPr>
          <w:rFonts w:ascii="Times New Roman" w:hAnsi="Times New Roman" w:cs="Times New Roman"/>
          <w:i/>
          <w:sz w:val="24"/>
          <w:szCs w:val="24"/>
        </w:rPr>
        <w:t>persistent myths</w:t>
      </w:r>
      <w:r w:rsidRPr="001F6106">
        <w:rPr>
          <w:rFonts w:ascii="Times New Roman" w:hAnsi="Times New Roman" w:cs="Times New Roman"/>
          <w:sz w:val="24"/>
          <w:szCs w:val="24"/>
        </w:rPr>
        <w:t>” about its scope and rationale</w:t>
      </w:r>
      <w:r w:rsidRPr="001F6106">
        <w:rPr>
          <w:rFonts w:ascii="Times New Roman" w:hAnsi="Times New Roman" w:cs="Times New Roman"/>
          <w:sz w:val="24"/>
          <w:szCs w:val="24"/>
          <w:vertAlign w:val="superscript"/>
        </w:rPr>
        <w:footnoteReference w:id="52"/>
      </w:r>
      <w:r w:rsidRPr="001F6106">
        <w:rPr>
          <w:rFonts w:ascii="Times New Roman" w:hAnsi="Times New Roman" w:cs="Times New Roman"/>
          <w:sz w:val="24"/>
          <w:szCs w:val="24"/>
        </w:rPr>
        <w:t>.</w:t>
      </w:r>
    </w:p>
    <w:p w14:paraId="1F44AF30" w14:textId="77777777" w:rsidR="00B05F42" w:rsidRPr="001F6106" w:rsidRDefault="00B05F42" w:rsidP="001F6106">
      <w:pPr>
        <w:spacing w:line="360" w:lineRule="auto"/>
        <w:jc w:val="both"/>
        <w:rPr>
          <w:rFonts w:ascii="Times New Roman" w:hAnsi="Times New Roman" w:cs="Times New Roman"/>
          <w:sz w:val="24"/>
          <w:szCs w:val="24"/>
        </w:rPr>
      </w:pPr>
    </w:p>
    <w:p w14:paraId="00000069" w14:textId="77777777"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 xml:space="preserve">In both jurisdictions, the doctrine has been shaped by similar limiting principles: above all, the recognition that any duty to deal must be exceptional, carefully balancing the risks of free riding against the long-term benefits of competition and innovation, while also respecting fundamental rights. In the U.S., however, this balancing exercise was effectively foreclosed by </w:t>
      </w:r>
      <w:r w:rsidRPr="001F6106">
        <w:rPr>
          <w:rFonts w:ascii="Times New Roman" w:hAnsi="Times New Roman" w:cs="Times New Roman"/>
          <w:i/>
          <w:sz w:val="24"/>
          <w:szCs w:val="24"/>
        </w:rPr>
        <w:t>Trinko</w:t>
      </w:r>
      <w:r w:rsidRPr="001F6106">
        <w:rPr>
          <w:rFonts w:ascii="Times New Roman" w:hAnsi="Times New Roman" w:cs="Times New Roman"/>
          <w:sz w:val="24"/>
          <w:szCs w:val="24"/>
          <w:vertAlign w:val="superscript"/>
        </w:rPr>
        <w:footnoteReference w:id="53"/>
      </w:r>
      <w:r w:rsidRPr="001F6106">
        <w:rPr>
          <w:rFonts w:ascii="Times New Roman" w:hAnsi="Times New Roman" w:cs="Times New Roman"/>
          <w:sz w:val="24"/>
          <w:szCs w:val="24"/>
        </w:rPr>
        <w:t xml:space="preserve">, which made the imposition of sharing obligations on dominant firms virtually impossible. By contrast, the EU’s </w:t>
      </w:r>
      <w:r w:rsidRPr="001F6106">
        <w:rPr>
          <w:rFonts w:ascii="Times New Roman" w:hAnsi="Times New Roman" w:cs="Times New Roman"/>
          <w:i/>
          <w:sz w:val="24"/>
          <w:szCs w:val="24"/>
        </w:rPr>
        <w:t>Magill</w:t>
      </w:r>
      <w:r w:rsidRPr="001F6106">
        <w:rPr>
          <w:rFonts w:ascii="Times New Roman" w:hAnsi="Times New Roman" w:cs="Times New Roman"/>
          <w:sz w:val="24"/>
          <w:szCs w:val="24"/>
        </w:rPr>
        <w:t xml:space="preserve"> decision</w:t>
      </w:r>
      <w:r w:rsidRPr="001F6106">
        <w:rPr>
          <w:rFonts w:ascii="Times New Roman" w:hAnsi="Times New Roman" w:cs="Times New Roman"/>
          <w:sz w:val="24"/>
          <w:szCs w:val="24"/>
          <w:vertAlign w:val="superscript"/>
        </w:rPr>
        <w:footnoteReference w:id="54"/>
      </w:r>
      <w:r w:rsidRPr="001F6106">
        <w:rPr>
          <w:rFonts w:ascii="Times New Roman" w:hAnsi="Times New Roman" w:cs="Times New Roman"/>
          <w:sz w:val="24"/>
          <w:szCs w:val="24"/>
        </w:rPr>
        <w:t xml:space="preserve"> sought to preserve such a balance by identifying narrowly defined “</w:t>
      </w:r>
      <w:r w:rsidRPr="00FD6227">
        <w:rPr>
          <w:rFonts w:ascii="Times New Roman" w:hAnsi="Times New Roman" w:cs="Times New Roman"/>
          <w:i/>
          <w:iCs/>
          <w:sz w:val="24"/>
          <w:szCs w:val="24"/>
        </w:rPr>
        <w:t>exceptional circumstances</w:t>
      </w:r>
      <w:r w:rsidRPr="001F6106">
        <w:rPr>
          <w:rFonts w:ascii="Times New Roman" w:hAnsi="Times New Roman" w:cs="Times New Roman"/>
          <w:sz w:val="24"/>
          <w:szCs w:val="24"/>
        </w:rPr>
        <w:t>” under which an obligation to deal could be imposed.</w:t>
      </w:r>
    </w:p>
    <w:p w14:paraId="2026B261" w14:textId="77777777" w:rsidR="00B05F42" w:rsidRPr="001F6106" w:rsidRDefault="00B05F42" w:rsidP="001F6106">
      <w:pPr>
        <w:spacing w:line="360" w:lineRule="auto"/>
        <w:jc w:val="both"/>
        <w:rPr>
          <w:rFonts w:ascii="Times New Roman" w:hAnsi="Times New Roman" w:cs="Times New Roman"/>
          <w:sz w:val="24"/>
          <w:szCs w:val="24"/>
        </w:rPr>
      </w:pPr>
    </w:p>
    <w:p w14:paraId="0000006C" w14:textId="29017511"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Yet, in practice, the European framework has gradually shifted. The progressive erosion of these exceptional criteria—particularly the indispensability requirement—has inverted the logic of the doctrine: what was once conceived as a last-resort remedy has, in some contexts, become the default approach. This evolution raises the question of whether the EFD, as currently applied in EU competition law, still reflects its original rationale, or whether it has morphed into a broader regulatory instrument in disguise</w:t>
      </w:r>
      <w:r w:rsidRPr="001F6106">
        <w:rPr>
          <w:rFonts w:ascii="Times New Roman" w:hAnsi="Times New Roman" w:cs="Times New Roman"/>
          <w:sz w:val="24"/>
          <w:szCs w:val="24"/>
          <w:vertAlign w:val="superscript"/>
        </w:rPr>
        <w:footnoteReference w:id="55"/>
      </w:r>
      <w:r w:rsidRPr="001F6106">
        <w:rPr>
          <w:rFonts w:ascii="Times New Roman" w:hAnsi="Times New Roman" w:cs="Times New Roman"/>
          <w:sz w:val="24"/>
          <w:szCs w:val="24"/>
        </w:rPr>
        <w:t>.</w:t>
      </w:r>
    </w:p>
    <w:p w14:paraId="48A5BDC1" w14:textId="77777777" w:rsidR="00B05F42" w:rsidRPr="001F6106" w:rsidRDefault="00B05F42" w:rsidP="001F6106">
      <w:pPr>
        <w:spacing w:line="360" w:lineRule="auto"/>
        <w:jc w:val="both"/>
        <w:rPr>
          <w:rFonts w:ascii="Times New Roman" w:hAnsi="Times New Roman" w:cs="Times New Roman"/>
          <w:sz w:val="24"/>
          <w:szCs w:val="24"/>
        </w:rPr>
      </w:pPr>
    </w:p>
    <w:p w14:paraId="0000006D" w14:textId="52BF0048" w:rsidR="00176EDE" w:rsidRPr="001F6106" w:rsidRDefault="00000000" w:rsidP="00595263">
      <w:pPr>
        <w:pStyle w:val="Titre2"/>
      </w:pPr>
      <w:bookmarkStart w:id="9" w:name="_Toc207402600"/>
      <w:r w:rsidRPr="001F6106">
        <w:lastRenderedPageBreak/>
        <w:t xml:space="preserve">C - Autonomization: SCOTUS and CJEU Advancing </w:t>
      </w:r>
      <w:r w:rsidR="00935B19">
        <w:t>Toward</w:t>
      </w:r>
      <w:r w:rsidRPr="001F6106">
        <w:t xml:space="preserve"> Distinct </w:t>
      </w:r>
      <w:r w:rsidR="00935B19">
        <w:t>Goals</w:t>
      </w:r>
      <w:r w:rsidRPr="001F6106">
        <w:t xml:space="preserve"> Amid Regulatory and Contextual Evolution</w:t>
      </w:r>
      <w:bookmarkEnd w:id="9"/>
    </w:p>
    <w:p w14:paraId="00000070" w14:textId="77777777" w:rsidR="00176EDE" w:rsidRDefault="00176EDE" w:rsidP="001F6106">
      <w:pPr>
        <w:spacing w:line="360" w:lineRule="auto"/>
        <w:jc w:val="both"/>
        <w:rPr>
          <w:rFonts w:ascii="Times New Roman" w:hAnsi="Times New Roman" w:cs="Times New Roman"/>
          <w:sz w:val="24"/>
          <w:szCs w:val="24"/>
        </w:rPr>
      </w:pPr>
    </w:p>
    <w:p w14:paraId="51755A18" w14:textId="2FEEAD12" w:rsidR="00FD6227" w:rsidRPr="00FD6227" w:rsidRDefault="00FD6227" w:rsidP="001F6106">
      <w:pPr>
        <w:spacing w:line="360" w:lineRule="auto"/>
        <w:jc w:val="both"/>
        <w:rPr>
          <w:rFonts w:ascii="Times New Roman" w:hAnsi="Times New Roman" w:cs="Times New Roman"/>
          <w:sz w:val="24"/>
          <w:szCs w:val="24"/>
        </w:rPr>
      </w:pPr>
      <w:r w:rsidRPr="00FD6227">
        <w:rPr>
          <w:rFonts w:ascii="Times New Roman" w:hAnsi="Times New Roman" w:cs="Times New Roman"/>
          <w:color w:val="000000"/>
          <w:sz w:val="24"/>
          <w:szCs w:val="24"/>
        </w:rPr>
        <w:t>Autonomization can be considered as the process by which each court develops its own distinct economic doctrine, progressively disentangling from transatlantic influences and cross-jurisdictional borrowings, while consolidating interpretive and justificatory frameworks tailored to its specific institutional, regulatory, and societal objectives. Contemporary shifts and evolving arguments suggest that this process of autonomization is already underway.</w:t>
      </w:r>
    </w:p>
    <w:p w14:paraId="214F6018" w14:textId="77777777" w:rsidR="00FD6227" w:rsidRPr="001F6106" w:rsidRDefault="00FD6227" w:rsidP="001F6106">
      <w:pPr>
        <w:spacing w:line="360" w:lineRule="auto"/>
        <w:jc w:val="both"/>
        <w:rPr>
          <w:rFonts w:ascii="Times New Roman" w:hAnsi="Times New Roman" w:cs="Times New Roman"/>
          <w:sz w:val="24"/>
          <w:szCs w:val="24"/>
        </w:rPr>
      </w:pPr>
    </w:p>
    <w:p w14:paraId="00000071" w14:textId="161982CF" w:rsidR="00176EDE" w:rsidRPr="001F6106" w:rsidRDefault="00000000" w:rsidP="001F6106">
      <w:pPr>
        <w:spacing w:line="360" w:lineRule="auto"/>
        <w:ind w:firstLine="720"/>
        <w:jc w:val="both"/>
        <w:rPr>
          <w:rFonts w:ascii="Times New Roman" w:hAnsi="Times New Roman" w:cs="Times New Roman"/>
          <w:sz w:val="24"/>
          <w:szCs w:val="24"/>
        </w:rPr>
      </w:pPr>
      <w:r w:rsidRPr="001F6106">
        <w:rPr>
          <w:rFonts w:ascii="Times New Roman" w:hAnsi="Times New Roman" w:cs="Times New Roman"/>
          <w:sz w:val="24"/>
          <w:szCs w:val="24"/>
        </w:rPr>
        <w:t xml:space="preserve">(1) </w:t>
      </w:r>
      <w:r w:rsidRPr="001F6106">
        <w:rPr>
          <w:rFonts w:ascii="Times New Roman" w:hAnsi="Times New Roman" w:cs="Times New Roman"/>
          <w:b/>
          <w:sz w:val="24"/>
          <w:szCs w:val="24"/>
        </w:rPr>
        <w:t xml:space="preserve">SCOTUS and </w:t>
      </w:r>
      <w:r w:rsidRPr="00935B19">
        <w:rPr>
          <w:rFonts w:ascii="Times New Roman" w:hAnsi="Times New Roman" w:cs="Times New Roman"/>
          <w:b/>
          <w:sz w:val="24"/>
          <w:szCs w:val="24"/>
        </w:rPr>
        <w:t xml:space="preserve">CJEU </w:t>
      </w:r>
      <w:r w:rsidR="00935B19" w:rsidRPr="00935B19">
        <w:rPr>
          <w:rFonts w:ascii="Times New Roman" w:hAnsi="Times New Roman" w:cs="Times New Roman"/>
          <w:b/>
          <w:sz w:val="24"/>
          <w:szCs w:val="24"/>
        </w:rPr>
        <w:t>Advancing Toward Distinct</w:t>
      </w:r>
      <w:r w:rsidR="00935B19" w:rsidRPr="001F6106">
        <w:t xml:space="preserve"> </w:t>
      </w:r>
      <w:r w:rsidRPr="001F6106">
        <w:rPr>
          <w:rFonts w:ascii="Times New Roman" w:hAnsi="Times New Roman" w:cs="Times New Roman"/>
          <w:b/>
          <w:sz w:val="24"/>
          <w:szCs w:val="24"/>
        </w:rPr>
        <w:t xml:space="preserve">Amid Regulatory Evolution. </w:t>
      </w:r>
      <w:r w:rsidRPr="001F6106">
        <w:rPr>
          <w:rFonts w:ascii="Times New Roman" w:hAnsi="Times New Roman" w:cs="Times New Roman"/>
          <w:sz w:val="24"/>
          <w:szCs w:val="24"/>
        </w:rPr>
        <w:t xml:space="preserve">Now there is fog between what is competition law based regulation, or regulatory sectoral based regulation. A lots of tools especially in the EU (DMA and AI Act) act as both competition and regulatory tools, with Antitrust goals and also Ex-ante regulation. </w:t>
      </w:r>
    </w:p>
    <w:p w14:paraId="00000072" w14:textId="77777777" w:rsidR="00176EDE" w:rsidRPr="001F6106" w:rsidRDefault="00176EDE" w:rsidP="001F6106">
      <w:pPr>
        <w:spacing w:line="360" w:lineRule="auto"/>
        <w:jc w:val="both"/>
        <w:rPr>
          <w:rFonts w:ascii="Times New Roman" w:hAnsi="Times New Roman" w:cs="Times New Roman"/>
          <w:sz w:val="24"/>
          <w:szCs w:val="24"/>
        </w:rPr>
      </w:pPr>
    </w:p>
    <w:p w14:paraId="00000073" w14:textId="6301FE35"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The autonomization of judicial doctrines in competition and regulatory law reflects a profound divergence between the U.S. Supreme Court (SCOTUS) and the Court of Justice of the European Union (CJEU). This evolution is not merely technical; it signals a shift in the normative instruments mobilized by judges at a moment when the traditional boundary between antitrust law and sectoral regulation has become increasingly blurred. As Lazar Radic has argued, the prevailing antitrust meta-narrative—particularly in Europe—rests on the claim that digital markets pose “unique” challenges requiring ex ante regulatory interventions to replace or bypass the supposedly “dogmatic” reliance on economic analysis</w:t>
      </w:r>
      <w:r w:rsidRPr="001F6106">
        <w:rPr>
          <w:rFonts w:ascii="Times New Roman" w:hAnsi="Times New Roman" w:cs="Times New Roman"/>
          <w:sz w:val="24"/>
          <w:szCs w:val="24"/>
          <w:vertAlign w:val="superscript"/>
        </w:rPr>
        <w:footnoteReference w:id="56"/>
      </w:r>
      <w:r w:rsidRPr="001F6106">
        <w:rPr>
          <w:rFonts w:ascii="Times New Roman" w:hAnsi="Times New Roman" w:cs="Times New Roman"/>
          <w:sz w:val="24"/>
          <w:szCs w:val="24"/>
        </w:rPr>
        <w:t xml:space="preserve">. </w:t>
      </w:r>
    </w:p>
    <w:p w14:paraId="00000074" w14:textId="77777777" w:rsidR="00176EDE" w:rsidRPr="001F6106" w:rsidRDefault="00176EDE" w:rsidP="001F6106">
      <w:pPr>
        <w:spacing w:line="360" w:lineRule="auto"/>
        <w:jc w:val="both"/>
        <w:rPr>
          <w:rFonts w:ascii="Times New Roman" w:hAnsi="Times New Roman" w:cs="Times New Roman"/>
          <w:sz w:val="24"/>
          <w:szCs w:val="24"/>
        </w:rPr>
      </w:pPr>
    </w:p>
    <w:p w14:paraId="00000075" w14:textId="5E822087"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 xml:space="preserve">This dynamic resonates with what Morton Horwitz described as the logic of </w:t>
      </w:r>
      <w:r w:rsidRPr="001F6106">
        <w:rPr>
          <w:rFonts w:ascii="Times New Roman" w:hAnsi="Times New Roman" w:cs="Times New Roman"/>
          <w:i/>
          <w:sz w:val="24"/>
          <w:szCs w:val="24"/>
        </w:rPr>
        <w:t>legal thought</w:t>
      </w:r>
      <w:r w:rsidRPr="001F6106">
        <w:rPr>
          <w:rFonts w:ascii="Times New Roman" w:hAnsi="Times New Roman" w:cs="Times New Roman"/>
          <w:sz w:val="24"/>
          <w:szCs w:val="24"/>
        </w:rPr>
        <w:t>: doctrines born of specific political and moral struggles rapidly crystallize into ostensibly universal truths, presented as valid for all time</w:t>
      </w:r>
      <w:r w:rsidRPr="001F6106">
        <w:rPr>
          <w:rFonts w:ascii="Times New Roman" w:hAnsi="Times New Roman" w:cs="Times New Roman"/>
          <w:sz w:val="24"/>
          <w:szCs w:val="24"/>
          <w:vertAlign w:val="superscript"/>
        </w:rPr>
        <w:footnoteReference w:id="57"/>
      </w:r>
      <w:r w:rsidRPr="001F6106">
        <w:rPr>
          <w:rFonts w:ascii="Times New Roman" w:hAnsi="Times New Roman" w:cs="Times New Roman"/>
          <w:sz w:val="24"/>
          <w:szCs w:val="24"/>
        </w:rPr>
        <w:t>:</w:t>
      </w:r>
    </w:p>
    <w:p w14:paraId="00000076" w14:textId="77777777" w:rsidR="00176EDE" w:rsidRPr="001F6106" w:rsidRDefault="00176EDE" w:rsidP="001F6106">
      <w:pPr>
        <w:spacing w:line="360" w:lineRule="auto"/>
        <w:jc w:val="both"/>
        <w:rPr>
          <w:rFonts w:ascii="Times New Roman" w:hAnsi="Times New Roman" w:cs="Times New Roman"/>
          <w:sz w:val="24"/>
          <w:szCs w:val="24"/>
        </w:rPr>
      </w:pPr>
    </w:p>
    <w:p w14:paraId="00000077" w14:textId="77777777" w:rsidR="00176EDE" w:rsidRPr="001F6106" w:rsidRDefault="00000000" w:rsidP="001F6106">
      <w:pPr>
        <w:spacing w:line="360" w:lineRule="auto"/>
        <w:ind w:left="720"/>
        <w:jc w:val="both"/>
        <w:rPr>
          <w:rFonts w:ascii="Times New Roman" w:hAnsi="Times New Roman" w:cs="Times New Roman"/>
          <w:sz w:val="24"/>
          <w:szCs w:val="24"/>
        </w:rPr>
      </w:pPr>
      <w:r w:rsidRPr="001F6106">
        <w:rPr>
          <w:rFonts w:ascii="Times New Roman" w:hAnsi="Times New Roman" w:cs="Times New Roman"/>
          <w:sz w:val="24"/>
          <w:szCs w:val="24"/>
        </w:rPr>
        <w:t>“</w:t>
      </w:r>
      <w:r w:rsidRPr="001F6106">
        <w:rPr>
          <w:rFonts w:ascii="Times New Roman" w:hAnsi="Times New Roman" w:cs="Times New Roman"/>
          <w:i/>
          <w:sz w:val="24"/>
          <w:szCs w:val="24"/>
        </w:rPr>
        <w:t xml:space="preserve">One of the most discouraging spectacles for the historian of legal thought is the unselfconscious process by which one generation's legal theories, developed out of the </w:t>
      </w:r>
      <w:r w:rsidRPr="001F6106">
        <w:rPr>
          <w:rFonts w:ascii="Times New Roman" w:hAnsi="Times New Roman" w:cs="Times New Roman"/>
          <w:i/>
          <w:sz w:val="24"/>
          <w:szCs w:val="24"/>
        </w:rPr>
        <w:lastRenderedPageBreak/>
        <w:t>exigencies of particular political and moral struggles, quickly come to be portrayed as universal truths good for all time</w:t>
      </w:r>
      <w:r w:rsidRPr="001F6106">
        <w:rPr>
          <w:rFonts w:ascii="Times New Roman" w:hAnsi="Times New Roman" w:cs="Times New Roman"/>
          <w:sz w:val="24"/>
          <w:szCs w:val="24"/>
        </w:rPr>
        <w:t>”</w:t>
      </w:r>
      <w:r w:rsidRPr="001F6106">
        <w:rPr>
          <w:rFonts w:ascii="Times New Roman" w:hAnsi="Times New Roman" w:cs="Times New Roman"/>
          <w:sz w:val="24"/>
          <w:szCs w:val="24"/>
          <w:vertAlign w:val="superscript"/>
        </w:rPr>
        <w:footnoteReference w:id="58"/>
      </w:r>
      <w:r w:rsidRPr="001F6106">
        <w:rPr>
          <w:rFonts w:ascii="Times New Roman" w:hAnsi="Times New Roman" w:cs="Times New Roman"/>
          <w:sz w:val="24"/>
          <w:szCs w:val="24"/>
        </w:rPr>
        <w:t>.</w:t>
      </w:r>
    </w:p>
    <w:p w14:paraId="00000078" w14:textId="77777777" w:rsidR="00176EDE" w:rsidRPr="001F6106" w:rsidRDefault="00176EDE" w:rsidP="001F6106">
      <w:pPr>
        <w:spacing w:line="360" w:lineRule="auto"/>
        <w:jc w:val="both"/>
        <w:rPr>
          <w:rFonts w:ascii="Times New Roman" w:hAnsi="Times New Roman" w:cs="Times New Roman"/>
          <w:sz w:val="24"/>
          <w:szCs w:val="24"/>
        </w:rPr>
      </w:pPr>
    </w:p>
    <w:p w14:paraId="00000079" w14:textId="6A44E535"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Today, the tension between the American paradigm—still anchored in the consumer welfare standard</w:t>
      </w:r>
      <w:r w:rsidRPr="001F6106">
        <w:rPr>
          <w:rFonts w:ascii="Times New Roman" w:hAnsi="Times New Roman" w:cs="Times New Roman"/>
          <w:sz w:val="24"/>
          <w:szCs w:val="24"/>
          <w:vertAlign w:val="superscript"/>
        </w:rPr>
        <w:footnoteReference w:id="59"/>
      </w:r>
      <w:r w:rsidRPr="001F6106">
        <w:rPr>
          <w:rFonts w:ascii="Times New Roman" w:hAnsi="Times New Roman" w:cs="Times New Roman"/>
          <w:sz w:val="24"/>
          <w:szCs w:val="24"/>
        </w:rPr>
        <w:t>—and the European framework, increasingly shaped by hybrid instruments such as the Digital Markets Act (DMA) and the Artificial Intelligence Act, illustrates two diverging normative philosophies between regulatory and antitrust law</w:t>
      </w:r>
      <w:r w:rsidRPr="001F6106">
        <w:rPr>
          <w:rFonts w:ascii="Times New Roman" w:hAnsi="Times New Roman" w:cs="Times New Roman"/>
          <w:sz w:val="24"/>
          <w:szCs w:val="24"/>
          <w:vertAlign w:val="superscript"/>
        </w:rPr>
        <w:footnoteReference w:id="60"/>
      </w:r>
      <w:r w:rsidRPr="001F6106">
        <w:rPr>
          <w:rFonts w:ascii="Times New Roman" w:hAnsi="Times New Roman" w:cs="Times New Roman"/>
          <w:sz w:val="24"/>
          <w:szCs w:val="24"/>
        </w:rPr>
        <w:t>.</w:t>
      </w:r>
    </w:p>
    <w:p w14:paraId="0000007A" w14:textId="77777777" w:rsidR="00176EDE" w:rsidRPr="001F6106" w:rsidRDefault="00176EDE" w:rsidP="001F6106">
      <w:pPr>
        <w:spacing w:line="360" w:lineRule="auto"/>
        <w:jc w:val="both"/>
        <w:rPr>
          <w:rFonts w:ascii="Times New Roman" w:hAnsi="Times New Roman" w:cs="Times New Roman"/>
          <w:sz w:val="24"/>
          <w:szCs w:val="24"/>
        </w:rPr>
      </w:pPr>
    </w:p>
    <w:p w14:paraId="0000007B" w14:textId="496F0C05"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The conceptual difficulty lies in the uncertain status of these new instruments: do they belong to competition law, to sectoral regulation, or do they create a sui generis regime? Pierre Larouche and Alexandre De Streel emphasize this “</w:t>
      </w:r>
      <w:r w:rsidRPr="00595263">
        <w:rPr>
          <w:rFonts w:ascii="Times New Roman" w:hAnsi="Times New Roman" w:cs="Times New Roman"/>
          <w:i/>
          <w:iCs/>
          <w:sz w:val="24"/>
          <w:szCs w:val="24"/>
        </w:rPr>
        <w:t>epistemological difficulty</w:t>
      </w:r>
      <w:r w:rsidRPr="001F6106">
        <w:rPr>
          <w:rFonts w:ascii="Times New Roman" w:hAnsi="Times New Roman" w:cs="Times New Roman"/>
          <w:sz w:val="24"/>
          <w:szCs w:val="24"/>
        </w:rPr>
        <w:t>”</w:t>
      </w:r>
      <w:r w:rsidRPr="001F6106">
        <w:rPr>
          <w:rFonts w:ascii="Times New Roman" w:hAnsi="Times New Roman" w:cs="Times New Roman"/>
          <w:sz w:val="24"/>
          <w:szCs w:val="24"/>
          <w:vertAlign w:val="superscript"/>
        </w:rPr>
        <w:footnoteReference w:id="61"/>
      </w:r>
      <w:r w:rsidRPr="001F6106">
        <w:rPr>
          <w:rFonts w:ascii="Times New Roman" w:hAnsi="Times New Roman" w:cs="Times New Roman"/>
          <w:sz w:val="24"/>
          <w:szCs w:val="24"/>
        </w:rPr>
        <w:t>, while Belle Beems has described the DMA as “</w:t>
      </w:r>
      <w:r w:rsidRPr="00595263">
        <w:rPr>
          <w:rFonts w:ascii="Times New Roman" w:hAnsi="Times New Roman" w:cs="Times New Roman"/>
          <w:i/>
          <w:iCs/>
          <w:sz w:val="24"/>
          <w:szCs w:val="24"/>
        </w:rPr>
        <w:t>the lost child of competition law</w:t>
      </w:r>
      <w:r w:rsidRPr="001F6106">
        <w:rPr>
          <w:rFonts w:ascii="Times New Roman" w:hAnsi="Times New Roman" w:cs="Times New Roman"/>
          <w:sz w:val="24"/>
          <w:szCs w:val="24"/>
        </w:rPr>
        <w:t>”</w:t>
      </w:r>
      <w:r w:rsidRPr="001F6106">
        <w:rPr>
          <w:rFonts w:ascii="Times New Roman" w:hAnsi="Times New Roman" w:cs="Times New Roman"/>
          <w:sz w:val="24"/>
          <w:szCs w:val="24"/>
          <w:vertAlign w:val="superscript"/>
        </w:rPr>
        <w:footnoteReference w:id="62"/>
      </w:r>
      <w:r w:rsidRPr="001F6106">
        <w:rPr>
          <w:rFonts w:ascii="Times New Roman" w:hAnsi="Times New Roman" w:cs="Times New Roman"/>
          <w:sz w:val="24"/>
          <w:szCs w:val="24"/>
        </w:rPr>
        <w:t xml:space="preserve">. The CJEU has already begun to interpret Article 102 TFEU in light of the DMA, as in </w:t>
      </w:r>
      <w:r w:rsidRPr="001F6106">
        <w:rPr>
          <w:rFonts w:ascii="Times New Roman" w:hAnsi="Times New Roman" w:cs="Times New Roman"/>
          <w:i/>
          <w:sz w:val="24"/>
          <w:szCs w:val="24"/>
        </w:rPr>
        <w:t>Alphabet (Android Auto II)</w:t>
      </w:r>
      <w:r w:rsidRPr="001F6106">
        <w:rPr>
          <w:rFonts w:ascii="Times New Roman" w:hAnsi="Times New Roman" w:cs="Times New Roman"/>
          <w:sz w:val="24"/>
          <w:szCs w:val="24"/>
          <w:vertAlign w:val="superscript"/>
        </w:rPr>
        <w:footnoteReference w:id="63"/>
      </w:r>
      <w:r w:rsidRPr="001F6106">
        <w:rPr>
          <w:rFonts w:ascii="Times New Roman" w:hAnsi="Times New Roman" w:cs="Times New Roman"/>
          <w:sz w:val="24"/>
          <w:szCs w:val="24"/>
        </w:rPr>
        <w:t>, raising questions about an implicit redefinition of the essential facilities doctrine</w:t>
      </w:r>
      <w:r w:rsidRPr="001F6106">
        <w:rPr>
          <w:rFonts w:ascii="Times New Roman" w:hAnsi="Times New Roman" w:cs="Times New Roman"/>
          <w:sz w:val="24"/>
          <w:szCs w:val="24"/>
          <w:vertAlign w:val="superscript"/>
        </w:rPr>
        <w:footnoteReference w:id="64"/>
      </w:r>
      <w:r w:rsidRPr="001F6106">
        <w:rPr>
          <w:rFonts w:ascii="Times New Roman" w:hAnsi="Times New Roman" w:cs="Times New Roman"/>
          <w:sz w:val="24"/>
          <w:szCs w:val="24"/>
        </w:rPr>
        <w:t>.</w:t>
      </w:r>
    </w:p>
    <w:p w14:paraId="0000007C" w14:textId="77777777" w:rsidR="00176EDE" w:rsidRPr="001F6106" w:rsidRDefault="00176EDE" w:rsidP="001F6106">
      <w:pPr>
        <w:spacing w:line="360" w:lineRule="auto"/>
        <w:jc w:val="both"/>
        <w:rPr>
          <w:rFonts w:ascii="Times New Roman" w:hAnsi="Times New Roman" w:cs="Times New Roman"/>
          <w:sz w:val="24"/>
          <w:szCs w:val="24"/>
        </w:rPr>
      </w:pPr>
    </w:p>
    <w:p w14:paraId="0000007D" w14:textId="0C041DC4"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By contrast, the United States has not enacted comparable digital regulation. Congressional initiatives have largely stalled, facing political opposition and judicial skepticism</w:t>
      </w:r>
      <w:r w:rsidRPr="001F6106">
        <w:rPr>
          <w:rFonts w:ascii="Times New Roman" w:hAnsi="Times New Roman" w:cs="Times New Roman"/>
          <w:sz w:val="24"/>
          <w:szCs w:val="24"/>
          <w:vertAlign w:val="superscript"/>
        </w:rPr>
        <w:footnoteReference w:id="65"/>
      </w:r>
      <w:r w:rsidRPr="001F6106">
        <w:rPr>
          <w:rFonts w:ascii="Times New Roman" w:hAnsi="Times New Roman" w:cs="Times New Roman"/>
          <w:sz w:val="24"/>
          <w:szCs w:val="24"/>
        </w:rPr>
        <w:t>. Recent defeats of the Federal Trade Commission before the courts underscore this resistance to paradigmatic change</w:t>
      </w:r>
      <w:r w:rsidRPr="001F6106">
        <w:rPr>
          <w:rFonts w:ascii="Times New Roman" w:hAnsi="Times New Roman" w:cs="Times New Roman"/>
          <w:sz w:val="24"/>
          <w:szCs w:val="24"/>
          <w:vertAlign w:val="superscript"/>
        </w:rPr>
        <w:footnoteReference w:id="66"/>
      </w:r>
      <w:r w:rsidRPr="001F6106">
        <w:rPr>
          <w:rFonts w:ascii="Times New Roman" w:hAnsi="Times New Roman" w:cs="Times New Roman"/>
          <w:sz w:val="24"/>
          <w:szCs w:val="24"/>
        </w:rPr>
        <w:t xml:space="preserve">. SCOTUS itself continues to privilege a narrow reading of antitrust, </w:t>
      </w:r>
      <w:r w:rsidRPr="001F6106">
        <w:rPr>
          <w:rFonts w:ascii="Times New Roman" w:hAnsi="Times New Roman" w:cs="Times New Roman"/>
          <w:sz w:val="24"/>
          <w:szCs w:val="24"/>
        </w:rPr>
        <w:lastRenderedPageBreak/>
        <w:t>grounded in effects-based analysis and a strong preference for organic corporate growth over compelled divestitures embedded in a Neo-Brandeisians approach</w:t>
      </w:r>
      <w:r w:rsidRPr="001F6106">
        <w:rPr>
          <w:rFonts w:ascii="Times New Roman" w:hAnsi="Times New Roman" w:cs="Times New Roman"/>
          <w:sz w:val="24"/>
          <w:szCs w:val="24"/>
          <w:vertAlign w:val="superscript"/>
        </w:rPr>
        <w:footnoteReference w:id="67"/>
      </w:r>
      <w:r w:rsidRPr="001F6106">
        <w:rPr>
          <w:rFonts w:ascii="Times New Roman" w:hAnsi="Times New Roman" w:cs="Times New Roman"/>
          <w:sz w:val="24"/>
          <w:szCs w:val="24"/>
        </w:rPr>
        <w:t>.</w:t>
      </w:r>
    </w:p>
    <w:p w14:paraId="182662B8" w14:textId="77777777" w:rsidR="00B05F42" w:rsidRPr="001F6106" w:rsidRDefault="00B05F42" w:rsidP="001F6106">
      <w:pPr>
        <w:spacing w:line="360" w:lineRule="auto"/>
        <w:jc w:val="both"/>
        <w:rPr>
          <w:rFonts w:ascii="Times New Roman" w:hAnsi="Times New Roman" w:cs="Times New Roman"/>
          <w:sz w:val="24"/>
          <w:szCs w:val="24"/>
        </w:rPr>
      </w:pPr>
    </w:p>
    <w:p w14:paraId="0000007E" w14:textId="77777777" w:rsidR="00176EDE" w:rsidRPr="001F6106" w:rsidRDefault="00000000" w:rsidP="001F6106">
      <w:pPr>
        <w:spacing w:line="360" w:lineRule="auto"/>
        <w:jc w:val="both"/>
        <w:rPr>
          <w:rFonts w:ascii="Times New Roman" w:hAnsi="Times New Roman" w:cs="Times New Roman"/>
          <w:b/>
          <w:sz w:val="24"/>
          <w:szCs w:val="24"/>
          <w:highlight w:val="yellow"/>
        </w:rPr>
      </w:pPr>
      <w:r w:rsidRPr="001F6106">
        <w:rPr>
          <w:rFonts w:ascii="Times New Roman" w:hAnsi="Times New Roman" w:cs="Times New Roman"/>
          <w:sz w:val="24"/>
          <w:szCs w:val="24"/>
        </w:rPr>
        <w:t>In this light, the European trajectory is one of hybridization, where digital market regulation emerges as a doctrinal experiment blurring the line between competition law and sector-specific governance. The American trajectory, by contrast, preserves doctrinal continuity, even at the cost of relative inertia. The autonomization of SCOTUS and CJEU doctrines therefore reflects more than legal technicalities: it embodies two distinct legal-political narratives—one where the regulation of digital markets drives doctrinal innovation, the other where continuity and restraint remain the judicial compass.</w:t>
      </w:r>
      <w:r w:rsidRPr="001F6106">
        <w:rPr>
          <w:rFonts w:ascii="Times New Roman" w:hAnsi="Times New Roman" w:cs="Times New Roman"/>
          <w:sz w:val="24"/>
          <w:szCs w:val="24"/>
        </w:rPr>
        <w:fldChar w:fldCharType="begin"/>
      </w:r>
      <w:r w:rsidRPr="001F6106">
        <w:rPr>
          <w:rFonts w:ascii="Times New Roman" w:hAnsi="Times New Roman" w:cs="Times New Roman"/>
          <w:sz w:val="24"/>
          <w:szCs w:val="24"/>
        </w:rPr>
        <w:instrText xml:space="preserve"> HYPERLINK "https://www.cambridge.org/core/journals/european-law-open/article/new-goals-of-eu-competition-law-sustainability-labour-rights-and-privacy/21723195271E8710FDD6E3D93E674B4C#fn1" </w:instrText>
      </w:r>
      <w:r w:rsidRPr="001F6106">
        <w:rPr>
          <w:rFonts w:ascii="Times New Roman" w:hAnsi="Times New Roman" w:cs="Times New Roman"/>
          <w:sz w:val="24"/>
          <w:szCs w:val="24"/>
        </w:rPr>
      </w:r>
      <w:r w:rsidRPr="001F6106">
        <w:rPr>
          <w:rFonts w:ascii="Times New Roman" w:hAnsi="Times New Roman" w:cs="Times New Roman"/>
          <w:sz w:val="24"/>
          <w:szCs w:val="24"/>
        </w:rPr>
        <w:fldChar w:fldCharType="separate"/>
      </w:r>
    </w:p>
    <w:p w14:paraId="00000080" w14:textId="13A5E232"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fldChar w:fldCharType="end"/>
      </w:r>
    </w:p>
    <w:p w14:paraId="00000081" w14:textId="6C1E8808" w:rsidR="00176EDE" w:rsidRPr="001F6106" w:rsidRDefault="00000000" w:rsidP="00595263">
      <w:pPr>
        <w:spacing w:line="360" w:lineRule="auto"/>
        <w:ind w:firstLine="720"/>
        <w:jc w:val="both"/>
        <w:rPr>
          <w:rFonts w:ascii="Times New Roman" w:hAnsi="Times New Roman" w:cs="Times New Roman"/>
          <w:sz w:val="24"/>
          <w:szCs w:val="24"/>
        </w:rPr>
      </w:pPr>
      <w:r w:rsidRPr="001F6106">
        <w:rPr>
          <w:rFonts w:ascii="Times New Roman" w:hAnsi="Times New Roman" w:cs="Times New Roman"/>
          <w:sz w:val="24"/>
          <w:szCs w:val="24"/>
        </w:rPr>
        <w:t>(2)</w:t>
      </w:r>
      <w:r w:rsidRPr="001F6106">
        <w:rPr>
          <w:rFonts w:ascii="Times New Roman" w:hAnsi="Times New Roman" w:cs="Times New Roman"/>
          <w:b/>
          <w:sz w:val="24"/>
          <w:szCs w:val="24"/>
        </w:rPr>
        <w:t xml:space="preserve"> SCOTUS and </w:t>
      </w:r>
      <w:r w:rsidRPr="00935B19">
        <w:rPr>
          <w:rFonts w:ascii="Times New Roman" w:hAnsi="Times New Roman" w:cs="Times New Roman"/>
          <w:b/>
          <w:sz w:val="24"/>
          <w:szCs w:val="24"/>
        </w:rPr>
        <w:t xml:space="preserve">CJEU </w:t>
      </w:r>
      <w:r w:rsidR="00935B19" w:rsidRPr="00935B19">
        <w:rPr>
          <w:rFonts w:ascii="Times New Roman" w:hAnsi="Times New Roman" w:cs="Times New Roman"/>
          <w:b/>
          <w:sz w:val="24"/>
          <w:szCs w:val="24"/>
        </w:rPr>
        <w:t xml:space="preserve">Advancing Toward Distinct </w:t>
      </w:r>
      <w:r w:rsidRPr="00935B19">
        <w:rPr>
          <w:rFonts w:ascii="Times New Roman" w:hAnsi="Times New Roman" w:cs="Times New Roman"/>
          <w:b/>
          <w:sz w:val="24"/>
          <w:szCs w:val="24"/>
        </w:rPr>
        <w:t>Amid</w:t>
      </w:r>
      <w:r w:rsidRPr="001F6106">
        <w:rPr>
          <w:rFonts w:ascii="Times New Roman" w:hAnsi="Times New Roman" w:cs="Times New Roman"/>
          <w:b/>
          <w:sz w:val="24"/>
          <w:szCs w:val="24"/>
        </w:rPr>
        <w:t xml:space="preserve"> Regulatory Evolution</w:t>
      </w:r>
      <w:r w:rsidRPr="001F6106">
        <w:rPr>
          <w:rFonts w:ascii="Times New Roman" w:hAnsi="Times New Roman" w:cs="Times New Roman"/>
          <w:sz w:val="24"/>
          <w:szCs w:val="24"/>
        </w:rPr>
        <w:t>. The transatlantic landscape of judicial economic reasoning in administrative law reflects profound institutional and doctrinal divergences between the United States and the European Union. A central factor shaping these divergences is the differing reliance on executive agencies as intermediaries for judicial reasoning. In the EU, national regulatory authorities (NRAs) and national competition authorities (NCAs), alongside the European Commission, operate as quasi-extensions of the supranational administration, effectively serving as an antechamber for the development of judicial economic doctrine. The CJEU frequently adopts reasoning consistent with these regulatory authorities, creating a close alignment between administrative practice and judicial interpretation</w:t>
      </w:r>
      <w:r w:rsidRPr="001F6106">
        <w:rPr>
          <w:rFonts w:ascii="Times New Roman" w:hAnsi="Times New Roman" w:cs="Times New Roman"/>
          <w:sz w:val="24"/>
          <w:szCs w:val="24"/>
          <w:vertAlign w:val="superscript"/>
        </w:rPr>
        <w:footnoteReference w:id="68"/>
      </w:r>
      <w:r w:rsidRPr="001F6106">
        <w:rPr>
          <w:rFonts w:ascii="Times New Roman" w:hAnsi="Times New Roman" w:cs="Times New Roman"/>
          <w:sz w:val="24"/>
          <w:szCs w:val="24"/>
        </w:rPr>
        <w:t>.</w:t>
      </w:r>
    </w:p>
    <w:p w14:paraId="00000082" w14:textId="77777777" w:rsidR="00176EDE" w:rsidRPr="001F6106" w:rsidRDefault="00176EDE" w:rsidP="001F6106">
      <w:pPr>
        <w:spacing w:line="360" w:lineRule="auto"/>
        <w:ind w:firstLine="720"/>
        <w:jc w:val="both"/>
        <w:rPr>
          <w:rFonts w:ascii="Times New Roman" w:hAnsi="Times New Roman" w:cs="Times New Roman"/>
          <w:sz w:val="24"/>
          <w:szCs w:val="24"/>
        </w:rPr>
      </w:pPr>
    </w:p>
    <w:p w14:paraId="00000083" w14:textId="7B4D8E67"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This alignment is reinforced by the doctrine of EU executive federalism and the judicially crafted law of composite procedures. Composite decision-making treats national and EU authorities not as strictly separate spheres of power but as an integrated administration</w:t>
      </w:r>
      <w:r w:rsidRPr="001F6106">
        <w:rPr>
          <w:rFonts w:ascii="Times New Roman" w:hAnsi="Times New Roman" w:cs="Times New Roman"/>
          <w:sz w:val="24"/>
          <w:szCs w:val="24"/>
          <w:vertAlign w:val="superscript"/>
        </w:rPr>
        <w:footnoteReference w:id="69"/>
      </w:r>
      <w:r w:rsidRPr="001F6106">
        <w:rPr>
          <w:rFonts w:ascii="Times New Roman" w:hAnsi="Times New Roman" w:cs="Times New Roman"/>
          <w:sz w:val="24"/>
          <w:szCs w:val="24"/>
        </w:rPr>
        <w:t xml:space="preserve">. National authorities are effectively positioned as extensions of the Commission, functioning as </w:t>
      </w:r>
      <w:r w:rsidRPr="001F6106">
        <w:rPr>
          <w:rFonts w:ascii="Times New Roman" w:hAnsi="Times New Roman" w:cs="Times New Roman"/>
          <w:sz w:val="24"/>
          <w:szCs w:val="24"/>
        </w:rPr>
        <w:lastRenderedPageBreak/>
        <w:t>ancillary bureaucracies within the EU administration</w:t>
      </w:r>
      <w:r w:rsidRPr="001F6106">
        <w:rPr>
          <w:rFonts w:ascii="Times New Roman" w:hAnsi="Times New Roman" w:cs="Times New Roman"/>
          <w:sz w:val="24"/>
          <w:szCs w:val="24"/>
          <w:vertAlign w:val="superscript"/>
        </w:rPr>
        <w:footnoteReference w:id="70"/>
      </w:r>
      <w:r w:rsidRPr="001F6106">
        <w:rPr>
          <w:rFonts w:ascii="Times New Roman" w:hAnsi="Times New Roman" w:cs="Times New Roman"/>
          <w:sz w:val="24"/>
          <w:szCs w:val="24"/>
        </w:rPr>
        <w:t>. Such arrangements embed regulatory expertise directly into the judicial process, granting administrative actors epistemic influence over the formulation of legal standards while simultaneously ensuring coherence across multiple governance levels.</w:t>
      </w:r>
    </w:p>
    <w:p w14:paraId="00000084" w14:textId="77777777" w:rsidR="00176EDE" w:rsidRPr="001F6106" w:rsidRDefault="00176EDE" w:rsidP="001F6106">
      <w:pPr>
        <w:spacing w:line="360" w:lineRule="auto"/>
        <w:jc w:val="both"/>
        <w:rPr>
          <w:rFonts w:ascii="Times New Roman" w:hAnsi="Times New Roman" w:cs="Times New Roman"/>
          <w:sz w:val="24"/>
          <w:szCs w:val="24"/>
        </w:rPr>
      </w:pPr>
    </w:p>
    <w:p w14:paraId="00000085" w14:textId="695D0192"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 xml:space="preserve">By contrast, U.S. federal courts demonstrate limited institutional trust in independent agencies, including NRAs. The Supreme Court’s recent decision in </w:t>
      </w:r>
      <w:r w:rsidRPr="001F6106">
        <w:rPr>
          <w:rFonts w:ascii="Times New Roman" w:hAnsi="Times New Roman" w:cs="Times New Roman"/>
          <w:i/>
          <w:sz w:val="24"/>
          <w:szCs w:val="24"/>
        </w:rPr>
        <w:t>Loper Bright Enterprises v. Raimondo</w:t>
      </w:r>
      <w:r w:rsidRPr="001F6106">
        <w:rPr>
          <w:rFonts w:ascii="Times New Roman" w:hAnsi="Times New Roman" w:cs="Times New Roman"/>
          <w:i/>
          <w:sz w:val="24"/>
          <w:szCs w:val="24"/>
          <w:vertAlign w:val="superscript"/>
        </w:rPr>
        <w:footnoteReference w:id="71"/>
      </w:r>
      <w:r w:rsidRPr="001F6106">
        <w:rPr>
          <w:rFonts w:ascii="Times New Roman" w:hAnsi="Times New Roman" w:cs="Times New Roman"/>
          <w:sz w:val="24"/>
          <w:szCs w:val="24"/>
        </w:rPr>
        <w:t xml:space="preserve">, which overturned the longstanding </w:t>
      </w:r>
      <w:r w:rsidRPr="001F6106">
        <w:rPr>
          <w:rFonts w:ascii="Times New Roman" w:hAnsi="Times New Roman" w:cs="Times New Roman"/>
          <w:i/>
          <w:sz w:val="24"/>
          <w:szCs w:val="24"/>
        </w:rPr>
        <w:t>Chevron</w:t>
      </w:r>
      <w:r w:rsidRPr="001F6106">
        <w:rPr>
          <w:rFonts w:ascii="Times New Roman" w:hAnsi="Times New Roman" w:cs="Times New Roman"/>
          <w:sz w:val="24"/>
          <w:szCs w:val="24"/>
        </w:rPr>
        <w:t xml:space="preserve"> deference</w:t>
      </w:r>
      <w:r w:rsidRPr="001F6106">
        <w:rPr>
          <w:rFonts w:ascii="Times New Roman" w:hAnsi="Times New Roman" w:cs="Times New Roman"/>
          <w:sz w:val="24"/>
          <w:szCs w:val="24"/>
          <w:vertAlign w:val="superscript"/>
        </w:rPr>
        <w:footnoteReference w:id="72"/>
      </w:r>
      <w:r w:rsidRPr="001F6106">
        <w:rPr>
          <w:rFonts w:ascii="Times New Roman" w:hAnsi="Times New Roman" w:cs="Times New Roman"/>
          <w:sz w:val="24"/>
          <w:szCs w:val="24"/>
        </w:rPr>
        <w:t>, exemplifies the current skepticism toward administrative interpretations of statutory mandates</w:t>
      </w:r>
      <w:r w:rsidRPr="001F6106">
        <w:rPr>
          <w:rFonts w:ascii="Times New Roman" w:hAnsi="Times New Roman" w:cs="Times New Roman"/>
          <w:sz w:val="24"/>
          <w:szCs w:val="24"/>
          <w:vertAlign w:val="superscript"/>
        </w:rPr>
        <w:footnoteReference w:id="73"/>
      </w:r>
      <w:r w:rsidRPr="001F6106">
        <w:rPr>
          <w:rFonts w:ascii="Times New Roman" w:hAnsi="Times New Roman" w:cs="Times New Roman"/>
          <w:sz w:val="24"/>
          <w:szCs w:val="24"/>
        </w:rPr>
        <w:t xml:space="preserve">. </w:t>
      </w:r>
    </w:p>
    <w:p w14:paraId="00000086" w14:textId="77777777" w:rsidR="00176EDE" w:rsidRPr="001F6106" w:rsidRDefault="00176EDE" w:rsidP="001F6106">
      <w:pPr>
        <w:spacing w:line="360" w:lineRule="auto"/>
        <w:jc w:val="both"/>
        <w:rPr>
          <w:rFonts w:ascii="Times New Roman" w:hAnsi="Times New Roman" w:cs="Times New Roman"/>
          <w:sz w:val="24"/>
          <w:szCs w:val="24"/>
        </w:rPr>
      </w:pPr>
    </w:p>
    <w:p w14:paraId="00000087" w14:textId="4F808FBE"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Chevron was already characterized as a “</w:t>
      </w:r>
      <w:r w:rsidRPr="00595263">
        <w:rPr>
          <w:rFonts w:ascii="Times New Roman" w:hAnsi="Times New Roman" w:cs="Times New Roman"/>
          <w:i/>
          <w:iCs/>
          <w:sz w:val="24"/>
          <w:szCs w:val="24"/>
        </w:rPr>
        <w:t>zombie</w:t>
      </w:r>
      <w:r w:rsidRPr="001F6106">
        <w:rPr>
          <w:rFonts w:ascii="Times New Roman" w:hAnsi="Times New Roman" w:cs="Times New Roman"/>
          <w:sz w:val="24"/>
          <w:szCs w:val="24"/>
        </w:rPr>
        <w:t>”</w:t>
      </w:r>
      <w:r w:rsidRPr="001F6106">
        <w:rPr>
          <w:rFonts w:ascii="Times New Roman" w:hAnsi="Times New Roman" w:cs="Times New Roman"/>
          <w:sz w:val="24"/>
          <w:szCs w:val="24"/>
          <w:vertAlign w:val="superscript"/>
        </w:rPr>
        <w:footnoteReference w:id="74"/>
      </w:r>
      <w:r w:rsidRPr="001F6106">
        <w:rPr>
          <w:rFonts w:ascii="Times New Roman" w:hAnsi="Times New Roman" w:cs="Times New Roman"/>
          <w:sz w:val="24"/>
          <w:szCs w:val="24"/>
        </w:rPr>
        <w:t>, signaling the judiciary’s retreat from automatic deference to agency expertise</w:t>
      </w:r>
      <w:r w:rsidRPr="001F6106">
        <w:rPr>
          <w:rFonts w:ascii="Times New Roman" w:hAnsi="Times New Roman" w:cs="Times New Roman"/>
          <w:sz w:val="24"/>
          <w:szCs w:val="24"/>
          <w:vertAlign w:val="superscript"/>
        </w:rPr>
        <w:footnoteReference w:id="75"/>
      </w:r>
      <w:r w:rsidRPr="001F6106">
        <w:rPr>
          <w:rFonts w:ascii="Times New Roman" w:hAnsi="Times New Roman" w:cs="Times New Roman"/>
          <w:sz w:val="24"/>
          <w:szCs w:val="24"/>
        </w:rPr>
        <w:t>. Commentators emphasize that Loper Bright reflects a broader narrative in which administrative agencies are viewed with suspicion, as actors potentially exceeding constitutional boundaries under Articles I, II, and III</w:t>
      </w:r>
      <w:r w:rsidRPr="001F6106">
        <w:rPr>
          <w:rFonts w:ascii="Times New Roman" w:hAnsi="Times New Roman" w:cs="Times New Roman"/>
          <w:sz w:val="24"/>
          <w:szCs w:val="24"/>
          <w:vertAlign w:val="superscript"/>
        </w:rPr>
        <w:footnoteReference w:id="76"/>
      </w:r>
      <w:r w:rsidRPr="001F6106">
        <w:rPr>
          <w:rFonts w:ascii="Times New Roman" w:hAnsi="Times New Roman" w:cs="Times New Roman"/>
          <w:sz w:val="24"/>
          <w:szCs w:val="24"/>
        </w:rPr>
        <w:t>. The decision also illustrates the dangers of overreliance on judicial self-perception: the majority’s insistence on identifying the “</w:t>
      </w:r>
      <w:r w:rsidRPr="00595263">
        <w:rPr>
          <w:rFonts w:ascii="Times New Roman" w:hAnsi="Times New Roman" w:cs="Times New Roman"/>
          <w:i/>
          <w:iCs/>
          <w:sz w:val="24"/>
          <w:szCs w:val="24"/>
        </w:rPr>
        <w:t>best reading</w:t>
      </w:r>
      <w:r w:rsidRPr="001F6106">
        <w:rPr>
          <w:rFonts w:ascii="Times New Roman" w:hAnsi="Times New Roman" w:cs="Times New Roman"/>
          <w:sz w:val="24"/>
          <w:szCs w:val="24"/>
        </w:rPr>
        <w:t>” of statutes can convert interpretive tasks into policy determinations, echoing Chevron’s original insight regarding the delicate balance between law and agency discretion</w:t>
      </w:r>
      <w:r w:rsidRPr="001F6106">
        <w:rPr>
          <w:rFonts w:ascii="Times New Roman" w:hAnsi="Times New Roman" w:cs="Times New Roman"/>
          <w:sz w:val="24"/>
          <w:szCs w:val="24"/>
          <w:vertAlign w:val="superscript"/>
        </w:rPr>
        <w:footnoteReference w:id="77"/>
      </w:r>
      <w:r w:rsidRPr="001F6106">
        <w:rPr>
          <w:rFonts w:ascii="Times New Roman" w:hAnsi="Times New Roman" w:cs="Times New Roman"/>
          <w:sz w:val="24"/>
          <w:szCs w:val="24"/>
        </w:rPr>
        <w:t>.</w:t>
      </w:r>
    </w:p>
    <w:p w14:paraId="00000088" w14:textId="77777777" w:rsidR="00176EDE" w:rsidRPr="001F6106" w:rsidRDefault="00176EDE" w:rsidP="001F6106">
      <w:pPr>
        <w:spacing w:line="360" w:lineRule="auto"/>
        <w:jc w:val="both"/>
        <w:rPr>
          <w:rFonts w:ascii="Times New Roman" w:hAnsi="Times New Roman" w:cs="Times New Roman"/>
          <w:sz w:val="24"/>
          <w:szCs w:val="24"/>
        </w:rPr>
      </w:pPr>
    </w:p>
    <w:p w14:paraId="00000089" w14:textId="1BE89A64" w:rsidR="00176EDE" w:rsidRPr="001F6106" w:rsidRDefault="00000000" w:rsidP="001F6106">
      <w:pPr>
        <w:spacing w:line="360" w:lineRule="auto"/>
        <w:jc w:val="both"/>
        <w:rPr>
          <w:rFonts w:ascii="Times New Roman" w:hAnsi="Times New Roman" w:cs="Times New Roman"/>
          <w:sz w:val="24"/>
          <w:szCs w:val="24"/>
        </w:rPr>
      </w:pPr>
      <w:r w:rsidRPr="001F6106">
        <w:rPr>
          <w:rFonts w:ascii="Times New Roman" w:hAnsi="Times New Roman" w:cs="Times New Roman"/>
          <w:sz w:val="24"/>
          <w:szCs w:val="24"/>
        </w:rPr>
        <w:t>The aftermath of Loper Bright underscores the unsettled nature of U.S. administrative governance. As observed by Coglianese and Walters, the case operates as a legal Rorschach test: its consequences remain difficult to predict, reflecting deep ambiguities about the judiciary’s role vis-à-vis executive agencies</w:t>
      </w:r>
      <w:r w:rsidRPr="001F6106">
        <w:rPr>
          <w:rFonts w:ascii="Times New Roman" w:hAnsi="Times New Roman" w:cs="Times New Roman"/>
          <w:sz w:val="24"/>
          <w:szCs w:val="24"/>
          <w:vertAlign w:val="superscript"/>
        </w:rPr>
        <w:footnoteReference w:id="78"/>
      </w:r>
      <w:r w:rsidRPr="001F6106">
        <w:rPr>
          <w:rFonts w:ascii="Times New Roman" w:hAnsi="Times New Roman" w:cs="Times New Roman"/>
          <w:sz w:val="24"/>
          <w:szCs w:val="24"/>
        </w:rPr>
        <w:t xml:space="preserve">. While doctrines such as Skidmore respect and administrative pragmatism endure, the Court’s anti-administrativist turn has challenged long-standing assumptions about judicial deference and the role of expertise in policy </w:t>
      </w:r>
      <w:r w:rsidRPr="001F6106">
        <w:rPr>
          <w:rFonts w:ascii="Times New Roman" w:hAnsi="Times New Roman" w:cs="Times New Roman"/>
          <w:sz w:val="24"/>
          <w:szCs w:val="24"/>
        </w:rPr>
        <w:lastRenderedPageBreak/>
        <w:t>implementation</w:t>
      </w:r>
      <w:r w:rsidRPr="001F6106">
        <w:rPr>
          <w:rFonts w:ascii="Times New Roman" w:hAnsi="Times New Roman" w:cs="Times New Roman"/>
          <w:sz w:val="24"/>
          <w:szCs w:val="24"/>
          <w:vertAlign w:val="superscript"/>
        </w:rPr>
        <w:footnoteReference w:id="79"/>
      </w:r>
      <w:r w:rsidRPr="001F6106">
        <w:rPr>
          <w:rFonts w:ascii="Times New Roman" w:hAnsi="Times New Roman" w:cs="Times New Roman"/>
          <w:sz w:val="24"/>
          <w:szCs w:val="24"/>
        </w:rPr>
        <w:t>. In parallel, the potential “</w:t>
      </w:r>
      <w:r w:rsidRPr="00595263">
        <w:rPr>
          <w:rFonts w:ascii="Times New Roman" w:hAnsi="Times New Roman" w:cs="Times New Roman"/>
          <w:i/>
          <w:iCs/>
          <w:sz w:val="24"/>
          <w:szCs w:val="24"/>
        </w:rPr>
        <w:t>third death</w:t>
      </w:r>
      <w:r w:rsidRPr="001F6106">
        <w:rPr>
          <w:rFonts w:ascii="Times New Roman" w:hAnsi="Times New Roman" w:cs="Times New Roman"/>
          <w:sz w:val="24"/>
          <w:szCs w:val="24"/>
        </w:rPr>
        <w:t xml:space="preserve">” of </w:t>
      </w:r>
      <w:r w:rsidRPr="001F6106">
        <w:rPr>
          <w:rFonts w:ascii="Times New Roman" w:hAnsi="Times New Roman" w:cs="Times New Roman"/>
          <w:i/>
          <w:sz w:val="24"/>
          <w:szCs w:val="24"/>
        </w:rPr>
        <w:t>Humphrey’s Executor</w:t>
      </w:r>
      <w:r w:rsidRPr="001F6106">
        <w:rPr>
          <w:rFonts w:ascii="Times New Roman" w:hAnsi="Times New Roman" w:cs="Times New Roman"/>
          <w:sz w:val="24"/>
          <w:szCs w:val="24"/>
        </w:rPr>
        <w:t>, facilitated by recent executive orders emphasizing presidential supervision over independent agencies, further unsettles the U.S. administrative landscape</w:t>
      </w:r>
      <w:r w:rsidRPr="001F6106">
        <w:rPr>
          <w:rFonts w:ascii="Times New Roman" w:hAnsi="Times New Roman" w:cs="Times New Roman"/>
          <w:sz w:val="24"/>
          <w:szCs w:val="24"/>
          <w:vertAlign w:val="superscript"/>
        </w:rPr>
        <w:footnoteReference w:id="80"/>
      </w:r>
      <w:r w:rsidRPr="001F6106">
        <w:rPr>
          <w:rFonts w:ascii="Times New Roman" w:hAnsi="Times New Roman" w:cs="Times New Roman"/>
          <w:sz w:val="24"/>
          <w:szCs w:val="24"/>
        </w:rPr>
        <w:t>. The Executive Order 14215</w:t>
      </w:r>
      <w:r w:rsidRPr="001F6106">
        <w:rPr>
          <w:rFonts w:ascii="Times New Roman" w:hAnsi="Times New Roman" w:cs="Times New Roman"/>
          <w:sz w:val="24"/>
          <w:szCs w:val="24"/>
          <w:vertAlign w:val="superscript"/>
        </w:rPr>
        <w:footnoteReference w:id="81"/>
      </w:r>
      <w:r w:rsidRPr="001F6106">
        <w:rPr>
          <w:rFonts w:ascii="Times New Roman" w:hAnsi="Times New Roman" w:cs="Times New Roman"/>
          <w:sz w:val="24"/>
          <w:szCs w:val="24"/>
        </w:rPr>
        <w:t xml:space="preserve"> requires all executive departments and agencies, including those long considered independent, to submit significant regulatory actions to the Office of Information and Regulatory Affairs (OIRA) for review before publication. By imposing direct presidential supervision, the order undermines the legal and institutional basis for agency independence, effectively subordinating NRAs to executive control and challenging the core principle of </w:t>
      </w:r>
      <w:r w:rsidRPr="001F6106">
        <w:rPr>
          <w:rFonts w:ascii="Times New Roman" w:hAnsi="Times New Roman" w:cs="Times New Roman"/>
          <w:i/>
          <w:sz w:val="24"/>
          <w:szCs w:val="24"/>
        </w:rPr>
        <w:t>Humphrey’s Executor</w:t>
      </w:r>
      <w:r w:rsidRPr="001F6106">
        <w:rPr>
          <w:rFonts w:ascii="Times New Roman" w:hAnsi="Times New Roman" w:cs="Times New Roman"/>
          <w:sz w:val="24"/>
          <w:szCs w:val="24"/>
        </w:rPr>
        <w:t xml:space="preserve"> that protected agencies from political interference.</w:t>
      </w:r>
    </w:p>
    <w:p w14:paraId="0000008A" w14:textId="77777777" w:rsidR="00176EDE" w:rsidRPr="001F6106" w:rsidRDefault="00176EDE" w:rsidP="001F6106">
      <w:pPr>
        <w:spacing w:line="360" w:lineRule="auto"/>
        <w:jc w:val="both"/>
        <w:rPr>
          <w:rFonts w:ascii="Times New Roman" w:hAnsi="Times New Roman" w:cs="Times New Roman"/>
          <w:sz w:val="24"/>
          <w:szCs w:val="24"/>
        </w:rPr>
      </w:pPr>
    </w:p>
    <w:p w14:paraId="000002D6" w14:textId="77777777" w:rsidR="00176EDE" w:rsidRPr="001F6106" w:rsidRDefault="00176EDE" w:rsidP="001F6106">
      <w:pPr>
        <w:spacing w:line="360" w:lineRule="auto"/>
        <w:jc w:val="both"/>
        <w:rPr>
          <w:rFonts w:ascii="Times New Roman" w:hAnsi="Times New Roman" w:cs="Times New Roman"/>
          <w:b/>
          <w:sz w:val="24"/>
          <w:szCs w:val="24"/>
          <w:highlight w:val="yellow"/>
        </w:rPr>
      </w:pPr>
    </w:p>
    <w:sectPr w:rsidR="00176EDE" w:rsidRPr="001F610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8E14A" w14:textId="77777777" w:rsidR="00065A6D" w:rsidRDefault="00065A6D">
      <w:pPr>
        <w:spacing w:line="240" w:lineRule="auto"/>
      </w:pPr>
      <w:r>
        <w:separator/>
      </w:r>
    </w:p>
  </w:endnote>
  <w:endnote w:type="continuationSeparator" w:id="0">
    <w:p w14:paraId="1BA9E14B" w14:textId="77777777" w:rsidR="00065A6D" w:rsidRDefault="00065A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331194C-C3A0-7D42-A1D8-20FEF4236B2F}"/>
    <w:embedBold r:id="rId2" w:fontKey="{B6185C29-3739-484D-A150-184819FE74FD}"/>
    <w:embedItalic r:id="rId3" w:fontKey="{31F2D493-A9E3-8641-AFD0-C5B744BFA849}"/>
    <w:embedBoldItalic r:id="rId4" w:fontKey="{6E52DE5B-C8F8-D049-8515-96F8BCB98596}"/>
  </w:font>
  <w:font w:name="Symbol">
    <w:panose1 w:val="05050102010706020507"/>
    <w:charset w:val="02"/>
    <w:family w:val="decorative"/>
    <w:pitch w:val="variable"/>
    <w:sig w:usb0="00000003" w:usb1="10000000" w:usb2="00000000" w:usb3="00000000" w:csb0="80000001" w:csb1="00000000"/>
    <w:embedRegular r:id="rId5" w:fontKey="{D2437468-6BDD-2C4F-B3DA-4A69C50369D8}"/>
  </w:font>
  <w:font w:name="Courier New">
    <w:panose1 w:val="02070309020205020404"/>
    <w:charset w:val="00"/>
    <w:family w:val="modern"/>
    <w:pitch w:val="fixed"/>
    <w:sig w:usb0="E0002AFF" w:usb1="C0007843" w:usb2="00000009" w:usb3="00000000" w:csb0="000001FF" w:csb1="00000000"/>
    <w:embedRegular r:id="rId6" w:fontKey="{9AEEF7F4-6C08-504D-8343-740E529980F3}"/>
  </w:font>
  <w:font w:name="Wingdings">
    <w:panose1 w:val="05000000000000000000"/>
    <w:charset w:val="4D"/>
    <w:family w:val="decorative"/>
    <w:pitch w:val="variable"/>
    <w:sig w:usb0="00000003" w:usb1="00000000" w:usb2="00000000" w:usb3="00000000" w:csb0="80000001" w:csb1="00000000"/>
    <w:embedRegular r:id="rId7" w:fontKey="{ABCC2CDE-7C89-6041-8930-5199145FBB4D}"/>
  </w:font>
  <w:font w:name="Arial">
    <w:panose1 w:val="020B0604020202020204"/>
    <w:charset w:val="00"/>
    <w:family w:val="swiss"/>
    <w:pitch w:val="variable"/>
    <w:sig w:usb0="E0002AFF" w:usb1="C0007843" w:usb2="00000009" w:usb3="00000000" w:csb0="000001FF" w:csb1="00000000"/>
    <w:embedRegular r:id="rId8" w:fontKey="{1AE64E44-33C4-E545-AA95-D1E2DF91B561}"/>
    <w:embedBold r:id="rId9" w:fontKey="{0E7BF6D9-426E-D94B-868D-905EB0AE677C}"/>
    <w:embedItalic r:id="rId10" w:fontKey="{87B16630-ACD7-814D-9B5B-0D009436484F}"/>
    <w:embedBoldItalic r:id="rId11" w:fontKey="{C2EEFF08-9D22-6649-80D6-A1A9470507E7}"/>
  </w:font>
  <w:font w:name="Cambria">
    <w:panose1 w:val="02040503050406030204"/>
    <w:charset w:val="00"/>
    <w:family w:val="roman"/>
    <w:pitch w:val="variable"/>
    <w:sig w:usb0="E00002FF" w:usb1="400004FF" w:usb2="00000000" w:usb3="00000000" w:csb0="0000019F" w:csb1="00000000"/>
    <w:embedRegular r:id="rId12" w:fontKey="{5CD5A5D2-878C-B146-9730-254A8EB94764}"/>
    <w:embedBold r:id="rId13" w:fontKey="{56A7E126-F8FE-324E-8B11-8C9CCA5B96AD}"/>
    <w:embedItalic r:id="rId14" w:fontKey="{0D8D6112-D4EA-E646-B7B0-8F1F0B953991}"/>
  </w:font>
  <w:font w:name="-webkit-standard">
    <w:altName w:val="Cambria"/>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embedRegular r:id="rId16" w:fontKey="{675DC60C-2C91-B148-8AAB-71967B0BF04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B1C73" w14:textId="77777777" w:rsidR="00065A6D" w:rsidRDefault="00065A6D">
      <w:pPr>
        <w:spacing w:line="240" w:lineRule="auto"/>
      </w:pPr>
      <w:r>
        <w:separator/>
      </w:r>
    </w:p>
  </w:footnote>
  <w:footnote w:type="continuationSeparator" w:id="0">
    <w:p w14:paraId="263F51EE" w14:textId="77777777" w:rsidR="00065A6D" w:rsidRDefault="00065A6D">
      <w:pPr>
        <w:spacing w:line="240" w:lineRule="auto"/>
      </w:pPr>
      <w:r>
        <w:continuationSeparator/>
      </w:r>
    </w:p>
  </w:footnote>
  <w:footnote w:id="1">
    <w:p w14:paraId="20041D32" w14:textId="3850259E" w:rsidR="00DD4FE4" w:rsidRPr="00A53C44" w:rsidRDefault="00DD4FE4" w:rsidP="00A53C44">
      <w:pPr>
        <w:pStyle w:val="Notedebasdepage"/>
        <w:jc w:val="both"/>
        <w:rPr>
          <w:rFonts w:ascii="Times New Roman" w:hAnsi="Times New Roman" w:cs="Times New Roman"/>
          <w:lang w:val="fr-FR"/>
        </w:rPr>
      </w:pPr>
      <w:r w:rsidRPr="00A53C44">
        <w:rPr>
          <w:rStyle w:val="Appelnotedebasdep"/>
          <w:rFonts w:ascii="Times New Roman" w:hAnsi="Times New Roman" w:cs="Times New Roman"/>
          <w:color w:val="000000" w:themeColor="text1"/>
        </w:rPr>
        <w:footnoteRef/>
      </w:r>
      <w:r w:rsidRPr="00A53C44">
        <w:rPr>
          <w:rFonts w:ascii="Times New Roman" w:hAnsi="Times New Roman" w:cs="Times New Roman"/>
          <w:color w:val="000000" w:themeColor="text1"/>
        </w:rPr>
        <w:t xml:space="preserve"> </w:t>
      </w:r>
      <w:r w:rsidR="00FD6227" w:rsidRPr="00A53C44">
        <w:rPr>
          <w:rFonts w:ascii="Times New Roman" w:hAnsi="Times New Roman" w:cs="Times New Roman"/>
          <w:color w:val="000000"/>
        </w:rPr>
        <w:t>Christoph Grabenwarter, Peter M. Huber, Rajko Knez &amp; Ineta Ziemele,</w:t>
      </w:r>
      <w:r w:rsidR="00FD6227" w:rsidRPr="00A53C44">
        <w:rPr>
          <w:rStyle w:val="apple-converted-space"/>
          <w:rFonts w:ascii="Times New Roman" w:hAnsi="Times New Roman" w:cs="Times New Roman"/>
          <w:color w:val="000000"/>
        </w:rPr>
        <w:t> </w:t>
      </w:r>
      <w:r w:rsidR="00FD6227" w:rsidRPr="00A53C44">
        <w:rPr>
          <w:rStyle w:val="Accentuation"/>
          <w:rFonts w:ascii="Times New Roman" w:hAnsi="Times New Roman" w:cs="Times New Roman"/>
          <w:color w:val="000000"/>
        </w:rPr>
        <w:t>The Role of the Constitutional Courts in the European Judicial Network</w:t>
      </w:r>
      <w:r w:rsidR="00FD6227" w:rsidRPr="00A53C44">
        <w:rPr>
          <w:rFonts w:ascii="Times New Roman" w:hAnsi="Times New Roman" w:cs="Times New Roman"/>
          <w:color w:val="000000"/>
        </w:rPr>
        <w:t>, 27</w:t>
      </w:r>
      <w:r w:rsidR="00FD6227" w:rsidRPr="00A53C44">
        <w:rPr>
          <w:rStyle w:val="apple-converted-space"/>
          <w:rFonts w:ascii="Times New Roman" w:hAnsi="Times New Roman" w:cs="Times New Roman"/>
          <w:color w:val="000000"/>
        </w:rPr>
        <w:t> </w:t>
      </w:r>
      <w:r w:rsidR="00FD6227" w:rsidRPr="00A53C44">
        <w:rPr>
          <w:rStyle w:val="lev"/>
          <w:rFonts w:ascii="Times New Roman" w:hAnsi="Times New Roman" w:cs="Times New Roman"/>
          <w:color w:val="000000"/>
        </w:rPr>
        <w:t>Eur. Pub. L.</w:t>
      </w:r>
      <w:r w:rsidR="00FD6227" w:rsidRPr="00A53C44">
        <w:rPr>
          <w:rStyle w:val="apple-converted-space"/>
          <w:rFonts w:ascii="Times New Roman" w:hAnsi="Times New Roman" w:cs="Times New Roman"/>
          <w:color w:val="000000"/>
        </w:rPr>
        <w:t> </w:t>
      </w:r>
      <w:r w:rsidR="00FD6227" w:rsidRPr="00A53C44">
        <w:rPr>
          <w:rFonts w:ascii="Times New Roman" w:hAnsi="Times New Roman" w:cs="Times New Roman"/>
          <w:color w:val="000000"/>
        </w:rPr>
        <w:t>43 (2021),</w:t>
      </w:r>
      <w:r w:rsidR="00FD6227" w:rsidRPr="00A53C44">
        <w:rPr>
          <w:rStyle w:val="apple-converted-space"/>
          <w:rFonts w:ascii="Times New Roman" w:hAnsi="Times New Roman" w:cs="Times New Roman"/>
          <w:color w:val="000000"/>
        </w:rPr>
        <w:t> </w:t>
      </w:r>
      <w:hyperlink r:id="rId1" w:tgtFrame="_new" w:history="1">
        <w:r w:rsidR="00FD6227" w:rsidRPr="00A53C44">
          <w:rPr>
            <w:rStyle w:val="Lienhypertexte"/>
            <w:rFonts w:ascii="Times New Roman" w:hAnsi="Times New Roman" w:cs="Times New Roman"/>
          </w:rPr>
          <w:t>https://kluwerlawonline.com/journalarticle/European+Public+Law/27.1/EURO2021003</w:t>
        </w:r>
      </w:hyperlink>
      <w:r w:rsidR="00FD6227" w:rsidRPr="00A53C44">
        <w:rPr>
          <w:rFonts w:ascii="Times New Roman" w:hAnsi="Times New Roman" w:cs="Times New Roman"/>
        </w:rPr>
        <w:t xml:space="preserve">; </w:t>
      </w:r>
      <w:r w:rsidR="00FD6227" w:rsidRPr="00A53C44">
        <w:rPr>
          <w:rFonts w:ascii="Times New Roman" w:hAnsi="Times New Roman" w:cs="Times New Roman"/>
          <w:color w:val="000000"/>
        </w:rPr>
        <w:t>Carolyn Moser &amp; Berthold Rittberger,</w:t>
      </w:r>
      <w:r w:rsidR="00FD6227" w:rsidRPr="00A53C44">
        <w:rPr>
          <w:rStyle w:val="apple-converted-space"/>
          <w:rFonts w:ascii="Times New Roman" w:hAnsi="Times New Roman" w:cs="Times New Roman"/>
          <w:color w:val="000000"/>
        </w:rPr>
        <w:t> </w:t>
      </w:r>
      <w:r w:rsidR="00FD6227" w:rsidRPr="00A53C44">
        <w:rPr>
          <w:rStyle w:val="Accentuation"/>
          <w:rFonts w:ascii="Times New Roman" w:hAnsi="Times New Roman" w:cs="Times New Roman"/>
          <w:color w:val="000000"/>
        </w:rPr>
        <w:t>The CJEU and EU (De-)Constitutionalization: Unpacking Jurisprudential Responses</w:t>
      </w:r>
      <w:r w:rsidR="00FD6227" w:rsidRPr="00A53C44">
        <w:rPr>
          <w:rFonts w:ascii="Times New Roman" w:hAnsi="Times New Roman" w:cs="Times New Roman"/>
          <w:color w:val="000000"/>
        </w:rPr>
        <w:t>, 20</w:t>
      </w:r>
      <w:r w:rsidR="00FD6227" w:rsidRPr="00A53C44">
        <w:rPr>
          <w:rStyle w:val="apple-converted-space"/>
          <w:rFonts w:ascii="Times New Roman" w:hAnsi="Times New Roman" w:cs="Times New Roman"/>
          <w:color w:val="000000"/>
        </w:rPr>
        <w:t> </w:t>
      </w:r>
      <w:r w:rsidR="00FD6227" w:rsidRPr="00A53C44">
        <w:rPr>
          <w:rStyle w:val="lev"/>
          <w:rFonts w:ascii="Times New Roman" w:hAnsi="Times New Roman" w:cs="Times New Roman"/>
          <w:color w:val="000000"/>
        </w:rPr>
        <w:t>Int’l J. Const. L.</w:t>
      </w:r>
      <w:r w:rsidR="00FD6227" w:rsidRPr="00A53C44">
        <w:rPr>
          <w:rStyle w:val="apple-converted-space"/>
          <w:rFonts w:ascii="Times New Roman" w:hAnsi="Times New Roman" w:cs="Times New Roman"/>
          <w:color w:val="000000"/>
        </w:rPr>
        <w:t> </w:t>
      </w:r>
      <w:r w:rsidR="00FD6227" w:rsidRPr="00A53C44">
        <w:rPr>
          <w:rFonts w:ascii="Times New Roman" w:hAnsi="Times New Roman" w:cs="Times New Roman"/>
          <w:color w:val="000000"/>
        </w:rPr>
        <w:t>1038 (2022),</w:t>
      </w:r>
      <w:r w:rsidR="00FD6227" w:rsidRPr="00A53C44">
        <w:rPr>
          <w:rStyle w:val="apple-converted-space"/>
          <w:rFonts w:ascii="Times New Roman" w:hAnsi="Times New Roman" w:cs="Times New Roman"/>
          <w:color w:val="000000"/>
        </w:rPr>
        <w:t> </w:t>
      </w:r>
      <w:hyperlink r:id="rId2" w:tgtFrame="_new" w:history="1">
        <w:r w:rsidR="00FD6227" w:rsidRPr="00A53C44">
          <w:rPr>
            <w:rStyle w:val="Lienhypertexte"/>
            <w:rFonts w:ascii="Times New Roman" w:hAnsi="Times New Roman" w:cs="Times New Roman"/>
          </w:rPr>
          <w:t>https://doi.org/10.1093/icon/moac061</w:t>
        </w:r>
      </w:hyperlink>
      <w:r w:rsidR="00FD6227" w:rsidRPr="00A53C44">
        <w:rPr>
          <w:rFonts w:ascii="Times New Roman" w:hAnsi="Times New Roman" w:cs="Times New Roman"/>
        </w:rPr>
        <w:t>.</w:t>
      </w:r>
    </w:p>
  </w:footnote>
  <w:footnote w:id="2">
    <w:p w14:paraId="3F71791C" w14:textId="52AC52C9" w:rsidR="00EE7414" w:rsidRPr="00A53C44" w:rsidRDefault="00EE7414"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FD6227" w:rsidRPr="00A53C44">
        <w:rPr>
          <w:rFonts w:ascii="Times New Roman" w:hAnsi="Times New Roman" w:cs="Times New Roman"/>
          <w:color w:val="000000"/>
          <w:sz w:val="20"/>
          <w:szCs w:val="20"/>
        </w:rPr>
        <w:t>Ronald Dworkin,</w:t>
      </w:r>
      <w:r w:rsidR="00FD6227" w:rsidRPr="00A53C44">
        <w:rPr>
          <w:rStyle w:val="apple-converted-space"/>
          <w:rFonts w:ascii="Times New Roman" w:hAnsi="Times New Roman" w:cs="Times New Roman"/>
          <w:color w:val="000000"/>
          <w:sz w:val="20"/>
          <w:szCs w:val="20"/>
        </w:rPr>
        <w:t> </w:t>
      </w:r>
      <w:r w:rsidR="00FD6227" w:rsidRPr="00A53C44">
        <w:rPr>
          <w:rStyle w:val="Accentuation"/>
          <w:rFonts w:ascii="Times New Roman" w:hAnsi="Times New Roman" w:cs="Times New Roman"/>
          <w:color w:val="000000"/>
          <w:sz w:val="20"/>
          <w:szCs w:val="20"/>
        </w:rPr>
        <w:t>Law’s Empire</w:t>
      </w:r>
      <w:r w:rsidR="00FD6227" w:rsidRPr="00A53C44">
        <w:rPr>
          <w:rStyle w:val="apple-converted-space"/>
          <w:rFonts w:ascii="Times New Roman" w:hAnsi="Times New Roman" w:cs="Times New Roman"/>
          <w:color w:val="000000"/>
          <w:sz w:val="20"/>
          <w:szCs w:val="20"/>
        </w:rPr>
        <w:t> </w:t>
      </w:r>
      <w:r w:rsidR="00FD6227" w:rsidRPr="00A53C44">
        <w:rPr>
          <w:rFonts w:ascii="Times New Roman" w:hAnsi="Times New Roman" w:cs="Times New Roman"/>
          <w:color w:val="000000"/>
          <w:sz w:val="20"/>
          <w:szCs w:val="20"/>
        </w:rPr>
        <w:t>(Harvard Univ. Press 1986).</w:t>
      </w:r>
    </w:p>
  </w:footnote>
  <w:footnote w:id="3">
    <w:p w14:paraId="000002D8" w14:textId="53F39F52"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FD6227" w:rsidRPr="00A53C44">
        <w:rPr>
          <w:rFonts w:ascii="Times New Roman" w:hAnsi="Times New Roman" w:cs="Times New Roman"/>
          <w:color w:val="000000"/>
          <w:sz w:val="20"/>
          <w:szCs w:val="20"/>
        </w:rPr>
        <w:t>Bruno Latour,</w:t>
      </w:r>
      <w:r w:rsidR="00FD6227" w:rsidRPr="00A53C44">
        <w:rPr>
          <w:rStyle w:val="apple-converted-space"/>
          <w:rFonts w:ascii="Times New Roman" w:hAnsi="Times New Roman" w:cs="Times New Roman"/>
          <w:color w:val="000000"/>
          <w:sz w:val="20"/>
          <w:szCs w:val="20"/>
        </w:rPr>
        <w:t> </w:t>
      </w:r>
      <w:r w:rsidR="00FD6227" w:rsidRPr="00A53C44">
        <w:rPr>
          <w:rStyle w:val="Accentuation"/>
          <w:rFonts w:ascii="Times New Roman" w:hAnsi="Times New Roman" w:cs="Times New Roman"/>
          <w:color w:val="000000"/>
          <w:sz w:val="20"/>
          <w:szCs w:val="20"/>
        </w:rPr>
        <w:t>La fabrique du droit: Une ethnographie du Conseil d’État</w:t>
      </w:r>
      <w:r w:rsidR="00FD6227" w:rsidRPr="00A53C44">
        <w:rPr>
          <w:rStyle w:val="apple-converted-space"/>
          <w:rFonts w:ascii="Times New Roman" w:hAnsi="Times New Roman" w:cs="Times New Roman"/>
          <w:color w:val="000000"/>
          <w:sz w:val="20"/>
          <w:szCs w:val="20"/>
        </w:rPr>
        <w:t> </w:t>
      </w:r>
      <w:r w:rsidR="00FD6227" w:rsidRPr="00A53C44">
        <w:rPr>
          <w:rFonts w:ascii="Times New Roman" w:hAnsi="Times New Roman" w:cs="Times New Roman"/>
          <w:color w:val="000000"/>
          <w:sz w:val="20"/>
          <w:szCs w:val="20"/>
        </w:rPr>
        <w:t>(La Découverte 2002).</w:t>
      </w:r>
    </w:p>
  </w:footnote>
  <w:footnote w:id="4">
    <w:p w14:paraId="000002DA" w14:textId="17DB22F2"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FD6227" w:rsidRPr="00A53C44">
        <w:rPr>
          <w:rFonts w:ascii="Times New Roman" w:hAnsi="Times New Roman" w:cs="Times New Roman"/>
          <w:color w:val="000000"/>
          <w:sz w:val="20"/>
          <w:szCs w:val="20"/>
        </w:rPr>
        <w:t>Friedrich A. Hayek,</w:t>
      </w:r>
      <w:r w:rsidR="00FD6227" w:rsidRPr="00A53C44">
        <w:rPr>
          <w:rStyle w:val="apple-converted-space"/>
          <w:rFonts w:ascii="Times New Roman" w:hAnsi="Times New Roman" w:cs="Times New Roman"/>
          <w:color w:val="000000"/>
          <w:sz w:val="20"/>
          <w:szCs w:val="20"/>
        </w:rPr>
        <w:t> </w:t>
      </w:r>
      <w:r w:rsidR="00FD6227" w:rsidRPr="00A53C44">
        <w:rPr>
          <w:rStyle w:val="Accentuation"/>
          <w:rFonts w:ascii="Times New Roman" w:hAnsi="Times New Roman" w:cs="Times New Roman"/>
          <w:color w:val="000000"/>
          <w:sz w:val="20"/>
          <w:szCs w:val="20"/>
        </w:rPr>
        <w:t>Law, Legislation and Liberty: Rules and Order</w:t>
      </w:r>
      <w:r w:rsidR="00FD6227" w:rsidRPr="00A53C44">
        <w:rPr>
          <w:rStyle w:val="apple-converted-space"/>
          <w:rFonts w:ascii="Times New Roman" w:hAnsi="Times New Roman" w:cs="Times New Roman"/>
          <w:color w:val="000000"/>
          <w:sz w:val="20"/>
          <w:szCs w:val="20"/>
        </w:rPr>
        <w:t> </w:t>
      </w:r>
      <w:r w:rsidR="00FD6227" w:rsidRPr="00A53C44">
        <w:rPr>
          <w:rFonts w:ascii="Times New Roman" w:hAnsi="Times New Roman" w:cs="Times New Roman"/>
          <w:color w:val="000000"/>
          <w:sz w:val="20"/>
          <w:szCs w:val="20"/>
        </w:rPr>
        <w:t>(Univ. of Chicago Press 1973)</w:t>
      </w:r>
      <w:r w:rsidR="001F6106" w:rsidRPr="00A53C44">
        <w:rPr>
          <w:rFonts w:ascii="Times New Roman" w:hAnsi="Times New Roman" w:cs="Times New Roman"/>
          <w:sz w:val="20"/>
          <w:szCs w:val="20"/>
        </w:rPr>
        <w:t xml:space="preserve">; </w:t>
      </w:r>
      <w:r w:rsidR="00FD6227" w:rsidRPr="00A53C44">
        <w:rPr>
          <w:rFonts w:ascii="Times New Roman" w:hAnsi="Times New Roman" w:cs="Times New Roman"/>
          <w:color w:val="000000"/>
          <w:sz w:val="20"/>
          <w:szCs w:val="20"/>
        </w:rPr>
        <w:t>Richard A. Posner,</w:t>
      </w:r>
      <w:r w:rsidR="00FD6227" w:rsidRPr="00A53C44">
        <w:rPr>
          <w:rStyle w:val="apple-converted-space"/>
          <w:rFonts w:ascii="Times New Roman" w:hAnsi="Times New Roman" w:cs="Times New Roman"/>
          <w:color w:val="000000"/>
          <w:sz w:val="20"/>
          <w:szCs w:val="20"/>
        </w:rPr>
        <w:t> </w:t>
      </w:r>
      <w:r w:rsidR="00FD6227" w:rsidRPr="00A53C44">
        <w:rPr>
          <w:rStyle w:val="Accentuation"/>
          <w:rFonts w:ascii="Times New Roman" w:hAnsi="Times New Roman" w:cs="Times New Roman"/>
          <w:color w:val="000000"/>
          <w:sz w:val="20"/>
          <w:szCs w:val="20"/>
        </w:rPr>
        <w:t>Economic Analysis of Law</w:t>
      </w:r>
      <w:r w:rsidR="00FD6227" w:rsidRPr="00A53C44">
        <w:rPr>
          <w:rStyle w:val="apple-converted-space"/>
          <w:rFonts w:ascii="Times New Roman" w:hAnsi="Times New Roman" w:cs="Times New Roman"/>
          <w:color w:val="000000"/>
          <w:sz w:val="20"/>
          <w:szCs w:val="20"/>
        </w:rPr>
        <w:t> </w:t>
      </w:r>
      <w:r w:rsidR="00FD6227" w:rsidRPr="00A53C44">
        <w:rPr>
          <w:rFonts w:ascii="Times New Roman" w:hAnsi="Times New Roman" w:cs="Times New Roman"/>
          <w:color w:val="000000"/>
          <w:sz w:val="20"/>
          <w:szCs w:val="20"/>
        </w:rPr>
        <w:t>6th ed. (Aspen Publishers 2003).</w:t>
      </w:r>
    </w:p>
  </w:footnote>
  <w:footnote w:id="5">
    <w:p w14:paraId="000002DD" w14:textId="2C8E3C0F"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B83740" w:rsidRPr="00A53C44">
        <w:rPr>
          <w:rFonts w:ascii="Times New Roman" w:hAnsi="Times New Roman" w:cs="Times New Roman"/>
          <w:color w:val="000000"/>
          <w:sz w:val="20"/>
          <w:szCs w:val="20"/>
        </w:rPr>
        <w:t>Todd J. Zywicki &amp; Anthony B. Sanders,</w:t>
      </w:r>
      <w:r w:rsidR="00B83740" w:rsidRPr="00A53C44">
        <w:rPr>
          <w:rStyle w:val="apple-converted-space"/>
          <w:rFonts w:ascii="Times New Roman" w:hAnsi="Times New Roman" w:cs="Times New Roman"/>
          <w:color w:val="000000"/>
          <w:sz w:val="20"/>
          <w:szCs w:val="20"/>
        </w:rPr>
        <w:t> </w:t>
      </w:r>
      <w:r w:rsidR="00B83740" w:rsidRPr="00A53C44">
        <w:rPr>
          <w:rStyle w:val="Accentuation"/>
          <w:rFonts w:ascii="Times New Roman" w:hAnsi="Times New Roman" w:cs="Times New Roman"/>
          <w:color w:val="000000"/>
          <w:sz w:val="20"/>
          <w:szCs w:val="20"/>
        </w:rPr>
        <w:t>Posner, Hayek &amp; the Economic Analysis of Law</w:t>
      </w:r>
      <w:r w:rsidR="00B83740" w:rsidRPr="00A53C44">
        <w:rPr>
          <w:rFonts w:ascii="Times New Roman" w:hAnsi="Times New Roman" w:cs="Times New Roman"/>
          <w:color w:val="000000"/>
          <w:sz w:val="20"/>
          <w:szCs w:val="20"/>
        </w:rPr>
        <w:t>, 93</w:t>
      </w:r>
      <w:r w:rsidR="00B83740" w:rsidRPr="00A53C44">
        <w:rPr>
          <w:rStyle w:val="apple-converted-space"/>
          <w:rFonts w:ascii="Times New Roman" w:hAnsi="Times New Roman" w:cs="Times New Roman"/>
          <w:color w:val="000000"/>
          <w:sz w:val="20"/>
          <w:szCs w:val="20"/>
        </w:rPr>
        <w:t> </w:t>
      </w:r>
      <w:r w:rsidR="00B83740" w:rsidRPr="00A53C44">
        <w:rPr>
          <w:rStyle w:val="lev"/>
          <w:rFonts w:ascii="Times New Roman" w:hAnsi="Times New Roman" w:cs="Times New Roman"/>
          <w:color w:val="000000"/>
          <w:sz w:val="20"/>
          <w:szCs w:val="20"/>
        </w:rPr>
        <w:t>Iowa L. Rev.</w:t>
      </w:r>
      <w:r w:rsidR="00B83740" w:rsidRPr="00A53C44">
        <w:rPr>
          <w:rStyle w:val="apple-converted-space"/>
          <w:rFonts w:ascii="Times New Roman" w:hAnsi="Times New Roman" w:cs="Times New Roman"/>
          <w:color w:val="000000"/>
          <w:sz w:val="20"/>
          <w:szCs w:val="20"/>
        </w:rPr>
        <w:t> </w:t>
      </w:r>
      <w:r w:rsidR="00B83740" w:rsidRPr="00A53C44">
        <w:rPr>
          <w:rFonts w:ascii="Times New Roman" w:hAnsi="Times New Roman" w:cs="Times New Roman"/>
          <w:color w:val="000000"/>
          <w:sz w:val="20"/>
          <w:szCs w:val="20"/>
        </w:rPr>
        <w:t>559 (2008),</w:t>
      </w:r>
      <w:r w:rsidR="00B83740" w:rsidRPr="00A53C44">
        <w:rPr>
          <w:rStyle w:val="apple-converted-space"/>
          <w:rFonts w:ascii="Times New Roman" w:hAnsi="Times New Roman" w:cs="Times New Roman"/>
          <w:color w:val="000000"/>
          <w:sz w:val="20"/>
          <w:szCs w:val="20"/>
        </w:rPr>
        <w:t> </w:t>
      </w:r>
      <w:hyperlink r:id="rId3" w:tgtFrame="_new" w:history="1">
        <w:r w:rsidR="00B83740" w:rsidRPr="00A53C44">
          <w:rPr>
            <w:rStyle w:val="Lienhypertexte"/>
            <w:rFonts w:ascii="Times New Roman" w:hAnsi="Times New Roman" w:cs="Times New Roman"/>
            <w:sz w:val="20"/>
            <w:szCs w:val="20"/>
          </w:rPr>
          <w:t>https://ssrn.com/abstract=957177</w:t>
        </w:r>
      </w:hyperlink>
      <w:r w:rsidRPr="00A53C44">
        <w:rPr>
          <w:rFonts w:ascii="Times New Roman" w:hAnsi="Times New Roman" w:cs="Times New Roman"/>
          <w:sz w:val="20"/>
          <w:szCs w:val="20"/>
        </w:rPr>
        <w:t>.</w:t>
      </w:r>
    </w:p>
  </w:footnote>
  <w:footnote w:id="6">
    <w:p w14:paraId="000002DC" w14:textId="72614624"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F94C05" w:rsidRPr="00A53C44">
        <w:rPr>
          <w:rFonts w:ascii="Times New Roman" w:hAnsi="Times New Roman" w:cs="Times New Roman"/>
          <w:color w:val="000000"/>
          <w:sz w:val="20"/>
          <w:szCs w:val="20"/>
        </w:rPr>
        <w:t>Rafael Lazega,</w:t>
      </w:r>
      <w:r w:rsidR="00F94C05" w:rsidRPr="00A53C44">
        <w:rPr>
          <w:rStyle w:val="apple-converted-space"/>
          <w:rFonts w:ascii="Times New Roman" w:hAnsi="Times New Roman" w:cs="Times New Roman"/>
          <w:color w:val="000000"/>
          <w:sz w:val="20"/>
          <w:szCs w:val="20"/>
        </w:rPr>
        <w:t> </w:t>
      </w:r>
      <w:r w:rsidR="00F94C05" w:rsidRPr="00A53C44">
        <w:rPr>
          <w:rStyle w:val="Accentuation"/>
          <w:rFonts w:ascii="Times New Roman" w:hAnsi="Times New Roman" w:cs="Times New Roman"/>
          <w:color w:val="000000"/>
          <w:sz w:val="20"/>
          <w:szCs w:val="20"/>
        </w:rPr>
        <w:t>Judges, Wealth and Morals: Ronald Coase on the Judge in Economics</w:t>
      </w:r>
      <w:r w:rsidR="00F94C05" w:rsidRPr="00A53C44">
        <w:rPr>
          <w:rFonts w:ascii="Times New Roman" w:hAnsi="Times New Roman" w:cs="Times New Roman"/>
          <w:color w:val="000000"/>
          <w:sz w:val="20"/>
          <w:szCs w:val="20"/>
        </w:rPr>
        <w:t>, 58</w:t>
      </w:r>
      <w:r w:rsidR="00F94C05" w:rsidRPr="00A53C44">
        <w:rPr>
          <w:rStyle w:val="apple-converted-space"/>
          <w:rFonts w:ascii="Times New Roman" w:hAnsi="Times New Roman" w:cs="Times New Roman"/>
          <w:color w:val="000000"/>
          <w:sz w:val="20"/>
          <w:szCs w:val="20"/>
        </w:rPr>
        <w:t> </w:t>
      </w:r>
      <w:r w:rsidR="00F94C05" w:rsidRPr="00A53C44">
        <w:rPr>
          <w:rStyle w:val="lev"/>
          <w:rFonts w:ascii="Times New Roman" w:hAnsi="Times New Roman" w:cs="Times New Roman"/>
          <w:color w:val="000000"/>
          <w:sz w:val="20"/>
          <w:szCs w:val="20"/>
        </w:rPr>
        <w:t>Rev. Eur. Sci. Soc.</w:t>
      </w:r>
      <w:r w:rsidR="00F94C05" w:rsidRPr="00A53C44">
        <w:rPr>
          <w:rStyle w:val="apple-converted-space"/>
          <w:rFonts w:ascii="Times New Roman" w:hAnsi="Times New Roman" w:cs="Times New Roman"/>
          <w:color w:val="000000"/>
          <w:sz w:val="20"/>
          <w:szCs w:val="20"/>
        </w:rPr>
        <w:t> </w:t>
      </w:r>
      <w:r w:rsidR="00F94C05" w:rsidRPr="00A53C44">
        <w:rPr>
          <w:rFonts w:ascii="Times New Roman" w:hAnsi="Times New Roman" w:cs="Times New Roman"/>
          <w:color w:val="000000"/>
          <w:sz w:val="20"/>
          <w:szCs w:val="20"/>
        </w:rPr>
        <w:t>67 (2020).</w:t>
      </w:r>
    </w:p>
  </w:footnote>
  <w:footnote w:id="7">
    <w:p w14:paraId="000002DB" w14:textId="721CF551"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F94C05" w:rsidRPr="00A53C44">
        <w:rPr>
          <w:rFonts w:ascii="Times New Roman" w:hAnsi="Times New Roman" w:cs="Times New Roman"/>
          <w:color w:val="000000"/>
          <w:sz w:val="20"/>
          <w:szCs w:val="20"/>
        </w:rPr>
        <w:t>Roger Guimerà &amp; Marta Sales-Pardo,</w:t>
      </w:r>
      <w:r w:rsidR="00F94C05" w:rsidRPr="00A53C44">
        <w:rPr>
          <w:rStyle w:val="apple-converted-space"/>
          <w:rFonts w:ascii="Times New Roman" w:hAnsi="Times New Roman" w:cs="Times New Roman"/>
          <w:color w:val="000000"/>
          <w:sz w:val="20"/>
          <w:szCs w:val="20"/>
        </w:rPr>
        <w:t> </w:t>
      </w:r>
      <w:r w:rsidR="00F94C05" w:rsidRPr="00A53C44">
        <w:rPr>
          <w:rStyle w:val="Accentuation"/>
          <w:rFonts w:ascii="Times New Roman" w:hAnsi="Times New Roman" w:cs="Times New Roman"/>
          <w:color w:val="000000"/>
          <w:sz w:val="20"/>
          <w:szCs w:val="20"/>
        </w:rPr>
        <w:t>Justice Blocks and Predictability of U.S. Supreme Court Votes</w:t>
      </w:r>
      <w:r w:rsidR="00F94C05" w:rsidRPr="00A53C44">
        <w:rPr>
          <w:rFonts w:ascii="Times New Roman" w:hAnsi="Times New Roman" w:cs="Times New Roman"/>
          <w:color w:val="000000"/>
          <w:sz w:val="20"/>
          <w:szCs w:val="20"/>
        </w:rPr>
        <w:t>, 6</w:t>
      </w:r>
      <w:r w:rsidR="00F94C05" w:rsidRPr="00A53C44">
        <w:rPr>
          <w:rStyle w:val="apple-converted-space"/>
          <w:rFonts w:ascii="Times New Roman" w:hAnsi="Times New Roman" w:cs="Times New Roman"/>
          <w:color w:val="000000"/>
          <w:sz w:val="20"/>
          <w:szCs w:val="20"/>
        </w:rPr>
        <w:t> </w:t>
      </w:r>
      <w:r w:rsidR="00F94C05" w:rsidRPr="00A53C44">
        <w:rPr>
          <w:rStyle w:val="lev"/>
          <w:rFonts w:ascii="Times New Roman" w:hAnsi="Times New Roman" w:cs="Times New Roman"/>
          <w:color w:val="000000"/>
          <w:sz w:val="20"/>
          <w:szCs w:val="20"/>
        </w:rPr>
        <w:t>PLoS ONE</w:t>
      </w:r>
      <w:r w:rsidR="00F94C05" w:rsidRPr="00A53C44">
        <w:rPr>
          <w:rFonts w:ascii="Times New Roman" w:hAnsi="Times New Roman" w:cs="Times New Roman"/>
          <w:color w:val="000000"/>
          <w:sz w:val="20"/>
          <w:szCs w:val="20"/>
        </w:rPr>
        <w:t>e27188 (2011),</w:t>
      </w:r>
      <w:r w:rsidR="00F94C05" w:rsidRPr="00A53C44">
        <w:rPr>
          <w:rStyle w:val="apple-converted-space"/>
          <w:rFonts w:ascii="Times New Roman" w:hAnsi="Times New Roman" w:cs="Times New Roman"/>
          <w:color w:val="000000"/>
          <w:sz w:val="20"/>
          <w:szCs w:val="20"/>
        </w:rPr>
        <w:t> </w:t>
      </w:r>
      <w:hyperlink r:id="rId4" w:tgtFrame="_new" w:history="1">
        <w:r w:rsidR="00F94C05" w:rsidRPr="00A53C44">
          <w:rPr>
            <w:rStyle w:val="Lienhypertexte"/>
            <w:rFonts w:ascii="Times New Roman" w:hAnsi="Times New Roman" w:cs="Times New Roman"/>
            <w:sz w:val="20"/>
            <w:szCs w:val="20"/>
          </w:rPr>
          <w:t>https://doi.org/10.1371/journal.pone.0027188</w:t>
        </w:r>
      </w:hyperlink>
    </w:p>
  </w:footnote>
  <w:footnote w:id="8">
    <w:p w14:paraId="000002DE" w14:textId="3B1F316D"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F94C05" w:rsidRPr="00A53C44">
        <w:rPr>
          <w:rFonts w:ascii="Times New Roman" w:hAnsi="Times New Roman" w:cs="Times New Roman"/>
          <w:sz w:val="20"/>
          <w:szCs w:val="20"/>
        </w:rPr>
        <w:t xml:space="preserve">Isabelle Hasquenoph and </w:t>
      </w:r>
      <w:r w:rsidR="00F94C05" w:rsidRPr="00A53C44">
        <w:rPr>
          <w:rStyle w:val="Accentuation"/>
          <w:rFonts w:ascii="Times New Roman" w:hAnsi="Times New Roman" w:cs="Times New Roman"/>
          <w:color w:val="000000"/>
          <w:sz w:val="20"/>
          <w:szCs w:val="20"/>
        </w:rPr>
        <w:t>Délimitation – La formation des juges français à l'économie</w:t>
      </w:r>
      <w:r w:rsidR="00F94C05" w:rsidRPr="00A53C44">
        <w:rPr>
          <w:rFonts w:ascii="Times New Roman" w:hAnsi="Times New Roman" w:cs="Times New Roman"/>
          <w:color w:val="000000"/>
          <w:sz w:val="20"/>
          <w:szCs w:val="20"/>
        </w:rPr>
        <w:t>,</w:t>
      </w:r>
      <w:r w:rsidR="00F94C05" w:rsidRPr="00A53C44">
        <w:rPr>
          <w:rStyle w:val="apple-converted-space"/>
          <w:rFonts w:ascii="Times New Roman" w:hAnsi="Times New Roman" w:cs="Times New Roman"/>
          <w:color w:val="000000"/>
          <w:sz w:val="20"/>
          <w:szCs w:val="20"/>
        </w:rPr>
        <w:t> </w:t>
      </w:r>
      <w:r w:rsidR="00F94C05" w:rsidRPr="00A53C44">
        <w:rPr>
          <w:rStyle w:val="lev"/>
          <w:rFonts w:ascii="Times New Roman" w:hAnsi="Times New Roman" w:cs="Times New Roman"/>
          <w:color w:val="000000"/>
          <w:sz w:val="20"/>
          <w:szCs w:val="20"/>
        </w:rPr>
        <w:t>Rev. Fr. Dr. Admin.</w:t>
      </w:r>
      <w:r w:rsidR="00F94C05" w:rsidRPr="00A53C44">
        <w:rPr>
          <w:rStyle w:val="apple-converted-space"/>
          <w:rFonts w:ascii="Times New Roman" w:hAnsi="Times New Roman" w:cs="Times New Roman"/>
          <w:color w:val="000000"/>
          <w:sz w:val="20"/>
          <w:szCs w:val="20"/>
        </w:rPr>
        <w:t> </w:t>
      </w:r>
      <w:r w:rsidR="00F94C05" w:rsidRPr="00A53C44">
        <w:rPr>
          <w:rFonts w:ascii="Times New Roman" w:hAnsi="Times New Roman" w:cs="Times New Roman"/>
          <w:color w:val="000000"/>
          <w:sz w:val="20"/>
          <w:szCs w:val="20"/>
        </w:rPr>
        <w:t>615 (2024).</w:t>
      </w:r>
    </w:p>
  </w:footnote>
  <w:footnote w:id="9">
    <w:p w14:paraId="68741408" w14:textId="27872C58" w:rsidR="00673B31" w:rsidRPr="00A53C44" w:rsidRDefault="00673B31" w:rsidP="00A53C44">
      <w:pPr>
        <w:pStyle w:val="NormalWeb"/>
        <w:spacing w:before="0" w:beforeAutospacing="0" w:after="0" w:afterAutospacing="0"/>
        <w:jc w:val="both"/>
        <w:rPr>
          <w:sz w:val="20"/>
          <w:szCs w:val="20"/>
        </w:rPr>
      </w:pPr>
      <w:r w:rsidRPr="00A53C44">
        <w:rPr>
          <w:sz w:val="20"/>
          <w:szCs w:val="20"/>
          <w:vertAlign w:val="superscript"/>
        </w:rPr>
        <w:footnoteRef/>
      </w:r>
      <w:r w:rsidRPr="00A53C44">
        <w:rPr>
          <w:sz w:val="20"/>
          <w:szCs w:val="20"/>
        </w:rPr>
        <w:t xml:space="preserve"> </w:t>
      </w:r>
      <w:r w:rsidR="00F94C05" w:rsidRPr="00A53C44">
        <w:rPr>
          <w:color w:val="000000"/>
          <w:sz w:val="20"/>
          <w:szCs w:val="20"/>
        </w:rPr>
        <w:t>Édouard Lambert,</w:t>
      </w:r>
      <w:r w:rsidR="00F94C05" w:rsidRPr="00A53C44">
        <w:rPr>
          <w:rStyle w:val="apple-converted-space"/>
          <w:color w:val="000000"/>
          <w:sz w:val="20"/>
          <w:szCs w:val="20"/>
        </w:rPr>
        <w:t> </w:t>
      </w:r>
      <w:r w:rsidR="00F94C05" w:rsidRPr="00A53C44">
        <w:rPr>
          <w:rStyle w:val="Accentuation"/>
          <w:color w:val="000000"/>
          <w:sz w:val="20"/>
          <w:szCs w:val="20"/>
        </w:rPr>
        <w:t>Le gouvernement des juges et la lutte contre la législation sociale aux États-Unis</w:t>
      </w:r>
      <w:r w:rsidR="00F94C05" w:rsidRPr="00A53C44">
        <w:rPr>
          <w:rStyle w:val="apple-converted-space"/>
          <w:color w:val="000000"/>
          <w:sz w:val="20"/>
          <w:szCs w:val="20"/>
        </w:rPr>
        <w:t> </w:t>
      </w:r>
      <w:r w:rsidR="00F94C05" w:rsidRPr="00A53C44">
        <w:rPr>
          <w:color w:val="000000"/>
          <w:sz w:val="20"/>
          <w:szCs w:val="20"/>
        </w:rPr>
        <w:t>(Paris, Marcel Giard et Cie 1921)</w:t>
      </w:r>
      <w:r w:rsidRPr="00A53C44">
        <w:rPr>
          <w:sz w:val="20"/>
          <w:szCs w:val="20"/>
        </w:rPr>
        <w:t xml:space="preserve">; </w:t>
      </w:r>
      <w:r w:rsidR="00F94C05" w:rsidRPr="00A53C44">
        <w:rPr>
          <w:color w:val="000000"/>
          <w:sz w:val="20"/>
          <w:szCs w:val="20"/>
        </w:rPr>
        <w:t>Stéphane Brondel, Nicolas Foulquier &amp; Luc Heuschling eds.,</w:t>
      </w:r>
      <w:r w:rsidR="00F94C05" w:rsidRPr="00A53C44">
        <w:rPr>
          <w:rStyle w:val="apple-converted-space"/>
          <w:color w:val="000000"/>
          <w:sz w:val="20"/>
          <w:szCs w:val="20"/>
        </w:rPr>
        <w:t> </w:t>
      </w:r>
      <w:r w:rsidR="00F94C05" w:rsidRPr="00A53C44">
        <w:rPr>
          <w:rStyle w:val="Accentuation"/>
          <w:color w:val="000000"/>
          <w:sz w:val="20"/>
          <w:szCs w:val="20"/>
        </w:rPr>
        <w:t>Gouvernement des juges et démocratie</w:t>
      </w:r>
      <w:r w:rsidR="00F94C05" w:rsidRPr="00A53C44">
        <w:rPr>
          <w:rStyle w:val="apple-converted-space"/>
          <w:color w:val="000000"/>
          <w:sz w:val="20"/>
          <w:szCs w:val="20"/>
        </w:rPr>
        <w:t> </w:t>
      </w:r>
      <w:r w:rsidR="00F94C05" w:rsidRPr="00A53C44">
        <w:rPr>
          <w:color w:val="000000"/>
          <w:sz w:val="20"/>
          <w:szCs w:val="20"/>
        </w:rPr>
        <w:t>(Paris, Éditions de la Sorbonne 2001)</w:t>
      </w:r>
      <w:r w:rsidRPr="00A53C44">
        <w:rPr>
          <w:sz w:val="20"/>
          <w:szCs w:val="20"/>
        </w:rPr>
        <w:t xml:space="preserve">; </w:t>
      </w:r>
      <w:r w:rsidR="00F94C05" w:rsidRPr="00A53C44">
        <w:rPr>
          <w:color w:val="000000"/>
          <w:sz w:val="20"/>
          <w:szCs w:val="20"/>
        </w:rPr>
        <w:t>Anne-Marie Le Pourhiet,</w:t>
      </w:r>
      <w:r w:rsidR="00F94C05" w:rsidRPr="00A53C44">
        <w:rPr>
          <w:rStyle w:val="apple-converted-space"/>
          <w:color w:val="000000"/>
          <w:sz w:val="20"/>
          <w:szCs w:val="20"/>
        </w:rPr>
        <w:t> </w:t>
      </w:r>
      <w:r w:rsidR="00F94C05" w:rsidRPr="00A53C44">
        <w:rPr>
          <w:rStyle w:val="Accentuation"/>
          <w:color w:val="000000"/>
          <w:sz w:val="20"/>
          <w:szCs w:val="20"/>
        </w:rPr>
        <w:t>Gouvernement des juges et post-démocratie</w:t>
      </w:r>
      <w:r w:rsidR="00F94C05" w:rsidRPr="00A53C44">
        <w:rPr>
          <w:color w:val="000000"/>
          <w:sz w:val="20"/>
          <w:szCs w:val="20"/>
        </w:rPr>
        <w:t>,</w:t>
      </w:r>
      <w:r w:rsidR="00F94C05" w:rsidRPr="00A53C44">
        <w:rPr>
          <w:rStyle w:val="apple-converted-space"/>
          <w:color w:val="000000"/>
          <w:sz w:val="20"/>
          <w:szCs w:val="20"/>
        </w:rPr>
        <w:t> </w:t>
      </w:r>
      <w:r w:rsidR="00F94C05" w:rsidRPr="00A53C44">
        <w:rPr>
          <w:rStyle w:val="lev"/>
          <w:color w:val="000000"/>
          <w:sz w:val="20"/>
          <w:szCs w:val="20"/>
        </w:rPr>
        <w:t>Constructif</w:t>
      </w:r>
      <w:r w:rsidR="00F94C05" w:rsidRPr="00A53C44">
        <w:rPr>
          <w:color w:val="000000"/>
          <w:sz w:val="20"/>
          <w:szCs w:val="20"/>
        </w:rPr>
        <w:t>, no. 61, at 45 (2022)</w:t>
      </w:r>
      <w:r w:rsidRPr="00A53C44">
        <w:rPr>
          <w:sz w:val="20"/>
          <w:szCs w:val="20"/>
        </w:rPr>
        <w:t>.</w:t>
      </w:r>
    </w:p>
  </w:footnote>
  <w:footnote w:id="10">
    <w:p w14:paraId="4865F9B1" w14:textId="2B8A49FB" w:rsidR="00673B31" w:rsidRPr="00A53C44" w:rsidRDefault="00673B31"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F94C05" w:rsidRPr="00A53C44">
        <w:rPr>
          <w:rFonts w:ascii="Times New Roman" w:hAnsi="Times New Roman" w:cs="Times New Roman"/>
          <w:color w:val="000000"/>
          <w:sz w:val="20"/>
          <w:szCs w:val="20"/>
        </w:rPr>
        <w:t>Lambert,</w:t>
      </w:r>
      <w:r w:rsidR="00F94C05" w:rsidRPr="00A53C44">
        <w:rPr>
          <w:rStyle w:val="apple-converted-space"/>
          <w:rFonts w:ascii="Times New Roman" w:hAnsi="Times New Roman" w:cs="Times New Roman"/>
          <w:color w:val="000000"/>
          <w:sz w:val="20"/>
          <w:szCs w:val="20"/>
        </w:rPr>
        <w:t> </w:t>
      </w:r>
      <w:r w:rsidR="00F94C05" w:rsidRPr="00A53C44">
        <w:rPr>
          <w:rStyle w:val="Accentuation"/>
          <w:rFonts w:ascii="Times New Roman" w:hAnsi="Times New Roman" w:cs="Times New Roman"/>
          <w:color w:val="000000"/>
          <w:sz w:val="20"/>
          <w:szCs w:val="20"/>
        </w:rPr>
        <w:t>Le gouvernement des juges</w:t>
      </w:r>
      <w:r w:rsidR="00F94C05" w:rsidRPr="00A53C44">
        <w:rPr>
          <w:rFonts w:ascii="Times New Roman" w:hAnsi="Times New Roman" w:cs="Times New Roman"/>
          <w:color w:val="000000"/>
          <w:sz w:val="20"/>
          <w:szCs w:val="20"/>
        </w:rPr>
        <w:t>, supra note 9, at 95.</w:t>
      </w:r>
    </w:p>
  </w:footnote>
  <w:footnote w:id="11">
    <w:p w14:paraId="48ECEEDC" w14:textId="58382BB0" w:rsidR="00673B31" w:rsidRPr="00A53C44" w:rsidRDefault="00673B31" w:rsidP="00A53C44">
      <w:pPr>
        <w:pStyle w:val="Notedebasdepage"/>
        <w:jc w:val="both"/>
        <w:rPr>
          <w:rFonts w:ascii="Times New Roman" w:hAnsi="Times New Roman" w:cs="Times New Roman"/>
          <w:lang w:val="fr-FR"/>
        </w:rPr>
      </w:pPr>
      <w:r w:rsidRPr="00A53C44">
        <w:rPr>
          <w:rStyle w:val="Appelnotedebasdep"/>
          <w:rFonts w:ascii="Times New Roman" w:hAnsi="Times New Roman" w:cs="Times New Roman"/>
        </w:rPr>
        <w:footnoteRef/>
      </w:r>
      <w:r w:rsidRPr="00A53C44">
        <w:rPr>
          <w:rFonts w:ascii="Times New Roman" w:hAnsi="Times New Roman" w:cs="Times New Roman"/>
        </w:rPr>
        <w:t xml:space="preserve"> </w:t>
      </w:r>
      <w:r w:rsidRPr="00A53C44">
        <w:rPr>
          <w:rFonts w:ascii="Times New Roman" w:hAnsi="Times New Roman" w:cs="Times New Roman"/>
          <w:i/>
          <w:iCs/>
          <w:lang w:val="fr-FR"/>
        </w:rPr>
        <w:t>Ibid.</w:t>
      </w:r>
    </w:p>
  </w:footnote>
  <w:footnote w:id="12">
    <w:p w14:paraId="000002E3" w14:textId="69ADB5F1"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F94C05" w:rsidRPr="00A53C44">
        <w:rPr>
          <w:rFonts w:ascii="Times New Roman" w:hAnsi="Times New Roman" w:cs="Times New Roman"/>
          <w:sz w:val="20"/>
          <w:szCs w:val="20"/>
        </w:rPr>
        <w:t>P</w:t>
      </w:r>
      <w:r w:rsidR="00F94C05" w:rsidRPr="00A53C44">
        <w:rPr>
          <w:rFonts w:ascii="Times New Roman" w:hAnsi="Times New Roman" w:cs="Times New Roman"/>
          <w:color w:val="000000"/>
          <w:sz w:val="20"/>
          <w:szCs w:val="20"/>
        </w:rPr>
        <w:t>ierre-Yves Gahdoun &amp; Jean-Yves Chérot,</w:t>
      </w:r>
      <w:r w:rsidR="00F94C05" w:rsidRPr="00A53C44">
        <w:rPr>
          <w:rStyle w:val="apple-converted-space"/>
          <w:rFonts w:ascii="Times New Roman" w:hAnsi="Times New Roman" w:cs="Times New Roman"/>
          <w:color w:val="000000"/>
          <w:sz w:val="20"/>
          <w:szCs w:val="20"/>
        </w:rPr>
        <w:t> </w:t>
      </w:r>
      <w:r w:rsidR="00F94C05" w:rsidRPr="00A53C44">
        <w:rPr>
          <w:rStyle w:val="Accentuation"/>
          <w:rFonts w:ascii="Times New Roman" w:hAnsi="Times New Roman" w:cs="Times New Roman"/>
          <w:color w:val="000000"/>
          <w:sz w:val="20"/>
          <w:szCs w:val="20"/>
        </w:rPr>
        <w:t>Délimitation – Existe-t-il une obligation de neutralité économique des juges ?</w:t>
      </w:r>
      <w:r w:rsidR="00F94C05" w:rsidRPr="00A53C44">
        <w:rPr>
          <w:rFonts w:ascii="Times New Roman" w:hAnsi="Times New Roman" w:cs="Times New Roman"/>
          <w:color w:val="000000"/>
          <w:sz w:val="20"/>
          <w:szCs w:val="20"/>
        </w:rPr>
        <w:t>,</w:t>
      </w:r>
      <w:r w:rsidR="00F94C05" w:rsidRPr="00A53C44">
        <w:rPr>
          <w:rStyle w:val="apple-converted-space"/>
          <w:rFonts w:ascii="Times New Roman" w:hAnsi="Times New Roman" w:cs="Times New Roman"/>
          <w:color w:val="000000"/>
          <w:sz w:val="20"/>
          <w:szCs w:val="20"/>
        </w:rPr>
        <w:t> </w:t>
      </w:r>
      <w:r w:rsidR="00F94C05" w:rsidRPr="00A53C44">
        <w:rPr>
          <w:rStyle w:val="lev"/>
          <w:rFonts w:ascii="Times New Roman" w:hAnsi="Times New Roman" w:cs="Times New Roman"/>
          <w:color w:val="000000"/>
          <w:sz w:val="20"/>
          <w:szCs w:val="20"/>
        </w:rPr>
        <w:t>Rev. Fr. Dr. Admin.</w:t>
      </w:r>
      <w:r w:rsidR="00F94C05" w:rsidRPr="00A53C44">
        <w:rPr>
          <w:rStyle w:val="apple-converted-space"/>
          <w:rFonts w:ascii="Times New Roman" w:hAnsi="Times New Roman" w:cs="Times New Roman"/>
          <w:color w:val="000000"/>
          <w:sz w:val="20"/>
          <w:szCs w:val="20"/>
        </w:rPr>
        <w:t> </w:t>
      </w:r>
      <w:r w:rsidR="00F94C05" w:rsidRPr="00A53C44">
        <w:rPr>
          <w:rFonts w:ascii="Times New Roman" w:hAnsi="Times New Roman" w:cs="Times New Roman"/>
          <w:color w:val="000000"/>
          <w:sz w:val="20"/>
          <w:szCs w:val="20"/>
        </w:rPr>
        <w:t>621 (2024).</w:t>
      </w:r>
    </w:p>
  </w:footnote>
  <w:footnote w:id="13">
    <w:p w14:paraId="000002E4" w14:textId="4C27ECE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F94C05" w:rsidRPr="00A53C44">
        <w:rPr>
          <w:rFonts w:ascii="Times New Roman" w:hAnsi="Times New Roman" w:cs="Times New Roman"/>
          <w:color w:val="000000"/>
          <w:sz w:val="20"/>
          <w:szCs w:val="20"/>
        </w:rPr>
        <w:t>James Fishkin &amp; William Forbath,</w:t>
      </w:r>
      <w:r w:rsidR="00F94C05" w:rsidRPr="00A53C44">
        <w:rPr>
          <w:rStyle w:val="apple-converted-space"/>
          <w:rFonts w:ascii="Times New Roman" w:hAnsi="Times New Roman" w:cs="Times New Roman"/>
          <w:color w:val="000000"/>
          <w:sz w:val="20"/>
          <w:szCs w:val="20"/>
        </w:rPr>
        <w:t> </w:t>
      </w:r>
      <w:r w:rsidR="00F94C05" w:rsidRPr="00A53C44">
        <w:rPr>
          <w:rStyle w:val="Accentuation"/>
          <w:rFonts w:ascii="Times New Roman" w:hAnsi="Times New Roman" w:cs="Times New Roman"/>
          <w:color w:val="000000"/>
          <w:sz w:val="20"/>
          <w:szCs w:val="20"/>
        </w:rPr>
        <w:t>Reclaiming Constitutional Political Economy</w:t>
      </w:r>
      <w:r w:rsidR="00F94C05" w:rsidRPr="00A53C44">
        <w:rPr>
          <w:rFonts w:ascii="Times New Roman" w:hAnsi="Times New Roman" w:cs="Times New Roman"/>
          <w:color w:val="000000"/>
          <w:sz w:val="20"/>
          <w:szCs w:val="20"/>
        </w:rPr>
        <w:t>, 94</w:t>
      </w:r>
      <w:r w:rsidR="00F94C05" w:rsidRPr="00A53C44">
        <w:rPr>
          <w:rStyle w:val="apple-converted-space"/>
          <w:rFonts w:ascii="Times New Roman" w:hAnsi="Times New Roman" w:cs="Times New Roman"/>
          <w:color w:val="000000"/>
          <w:sz w:val="20"/>
          <w:szCs w:val="20"/>
        </w:rPr>
        <w:t> </w:t>
      </w:r>
      <w:r w:rsidR="00F94C05" w:rsidRPr="00A53C44">
        <w:rPr>
          <w:rStyle w:val="lev"/>
          <w:rFonts w:ascii="Times New Roman" w:hAnsi="Times New Roman" w:cs="Times New Roman"/>
          <w:color w:val="000000"/>
          <w:sz w:val="20"/>
          <w:szCs w:val="20"/>
        </w:rPr>
        <w:t>Tex. L. Rev.</w:t>
      </w:r>
      <w:r w:rsidR="00F94C05" w:rsidRPr="00A53C44">
        <w:rPr>
          <w:rStyle w:val="apple-converted-space"/>
          <w:rFonts w:ascii="Times New Roman" w:hAnsi="Times New Roman" w:cs="Times New Roman"/>
          <w:color w:val="000000"/>
          <w:sz w:val="20"/>
          <w:szCs w:val="20"/>
        </w:rPr>
        <w:t> </w:t>
      </w:r>
      <w:r w:rsidR="00F94C05" w:rsidRPr="00A53C44">
        <w:rPr>
          <w:rFonts w:ascii="Times New Roman" w:hAnsi="Times New Roman" w:cs="Times New Roman"/>
          <w:color w:val="000000"/>
          <w:sz w:val="20"/>
          <w:szCs w:val="20"/>
        </w:rPr>
        <w:t>1288 (2016).</w:t>
      </w:r>
    </w:p>
  </w:footnote>
  <w:footnote w:id="14">
    <w:p w14:paraId="000002E5" w14:textId="7E31F0F5"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F94C05" w:rsidRPr="00A53C44">
        <w:rPr>
          <w:rFonts w:ascii="Times New Roman" w:hAnsi="Times New Roman" w:cs="Times New Roman"/>
          <w:color w:val="000000"/>
          <w:sz w:val="20"/>
          <w:szCs w:val="20"/>
        </w:rPr>
        <w:t>Idriss Fassassi,</w:t>
      </w:r>
      <w:r w:rsidR="00F94C05" w:rsidRPr="00A53C44">
        <w:rPr>
          <w:rStyle w:val="apple-converted-space"/>
          <w:rFonts w:ascii="Times New Roman" w:hAnsi="Times New Roman" w:cs="Times New Roman"/>
          <w:color w:val="000000"/>
          <w:sz w:val="20"/>
          <w:szCs w:val="20"/>
        </w:rPr>
        <w:t> </w:t>
      </w:r>
      <w:r w:rsidR="00F94C05" w:rsidRPr="00A53C44">
        <w:rPr>
          <w:rStyle w:val="Accentuation"/>
          <w:rFonts w:ascii="Times New Roman" w:hAnsi="Times New Roman" w:cs="Times New Roman"/>
          <w:color w:val="000000"/>
          <w:sz w:val="20"/>
          <w:szCs w:val="20"/>
        </w:rPr>
        <w:t>La légitimité du contrôle juridictionnel de la constitutionnalité des lois aux États-Unis. Étude critique de l’argument contre-majoritaire</w:t>
      </w:r>
      <w:r w:rsidR="00F94C05" w:rsidRPr="00A53C44">
        <w:rPr>
          <w:rStyle w:val="apple-converted-space"/>
          <w:rFonts w:ascii="Times New Roman" w:hAnsi="Times New Roman" w:cs="Times New Roman"/>
          <w:color w:val="000000"/>
          <w:sz w:val="20"/>
          <w:szCs w:val="20"/>
        </w:rPr>
        <w:t> </w:t>
      </w:r>
      <w:r w:rsidR="00F94C05" w:rsidRPr="00A53C44">
        <w:rPr>
          <w:rFonts w:ascii="Times New Roman" w:hAnsi="Times New Roman" w:cs="Times New Roman"/>
          <w:color w:val="000000"/>
          <w:sz w:val="20"/>
          <w:szCs w:val="20"/>
        </w:rPr>
        <w:t>(Paris, Dalloz 2017).</w:t>
      </w:r>
    </w:p>
  </w:footnote>
  <w:footnote w:id="15">
    <w:p w14:paraId="000002E6" w14:textId="6E4EE315" w:rsidR="00176EDE" w:rsidRPr="00A53C44" w:rsidRDefault="00000000" w:rsidP="00A53C44">
      <w:pPr>
        <w:pStyle w:val="NormalWeb"/>
        <w:spacing w:before="0" w:beforeAutospacing="0" w:after="0" w:afterAutospacing="0"/>
        <w:jc w:val="both"/>
        <w:rPr>
          <w:sz w:val="20"/>
          <w:szCs w:val="20"/>
        </w:rPr>
      </w:pPr>
      <w:r w:rsidRPr="00A53C44">
        <w:rPr>
          <w:sz w:val="20"/>
          <w:szCs w:val="20"/>
          <w:vertAlign w:val="superscript"/>
        </w:rPr>
        <w:footnoteRef/>
      </w:r>
      <w:r w:rsidRPr="00A53C44">
        <w:rPr>
          <w:sz w:val="20"/>
          <w:szCs w:val="20"/>
        </w:rPr>
        <w:t xml:space="preserve"> </w:t>
      </w:r>
      <w:r w:rsidR="00F94C05" w:rsidRPr="00A53C44">
        <w:rPr>
          <w:sz w:val="20"/>
          <w:szCs w:val="20"/>
        </w:rPr>
        <w:t>Hans Kelsen,</w:t>
      </w:r>
      <w:r w:rsidR="00F94C05" w:rsidRPr="00A53C44">
        <w:rPr>
          <w:rStyle w:val="apple-converted-space"/>
          <w:sz w:val="20"/>
          <w:szCs w:val="20"/>
        </w:rPr>
        <w:t> </w:t>
      </w:r>
      <w:r w:rsidR="00F94C05" w:rsidRPr="00A53C44">
        <w:rPr>
          <w:rStyle w:val="Accentuation"/>
          <w:sz w:val="20"/>
          <w:szCs w:val="20"/>
        </w:rPr>
        <w:t>La démocratie – sa nature – sa valeur</w:t>
      </w:r>
      <w:r w:rsidR="00F94C05" w:rsidRPr="00A53C44">
        <w:rPr>
          <w:rStyle w:val="apple-converted-space"/>
          <w:sz w:val="20"/>
          <w:szCs w:val="20"/>
        </w:rPr>
        <w:t> </w:t>
      </w:r>
      <w:r w:rsidR="00F94C05" w:rsidRPr="00A53C44">
        <w:rPr>
          <w:sz w:val="20"/>
          <w:szCs w:val="20"/>
        </w:rPr>
        <w:t>(Dalloz 2004) (original work published 1929,</w:t>
      </w:r>
      <w:r w:rsidR="00F94C05" w:rsidRPr="00A53C44">
        <w:rPr>
          <w:rStyle w:val="apple-converted-space"/>
          <w:sz w:val="20"/>
          <w:szCs w:val="20"/>
        </w:rPr>
        <w:t> </w:t>
      </w:r>
      <w:r w:rsidR="00F94C05" w:rsidRPr="00A53C44">
        <w:rPr>
          <w:rStyle w:val="Accentuation"/>
          <w:sz w:val="20"/>
          <w:szCs w:val="20"/>
        </w:rPr>
        <w:t>Wesen und Wert der Demokratie</w:t>
      </w:r>
      <w:r w:rsidR="00F94C05" w:rsidRPr="00A53C44">
        <w:rPr>
          <w:sz w:val="20"/>
          <w:szCs w:val="20"/>
        </w:rPr>
        <w:t>, Germany); Foundations of Democracy, 66</w:t>
      </w:r>
      <w:r w:rsidR="00F94C05" w:rsidRPr="00A53C44">
        <w:rPr>
          <w:rStyle w:val="apple-converted-space"/>
          <w:sz w:val="20"/>
          <w:szCs w:val="20"/>
        </w:rPr>
        <w:t> </w:t>
      </w:r>
      <w:r w:rsidR="00F94C05" w:rsidRPr="00A53C44">
        <w:rPr>
          <w:rStyle w:val="lev"/>
          <w:sz w:val="20"/>
          <w:szCs w:val="20"/>
        </w:rPr>
        <w:t>Ethics</w:t>
      </w:r>
      <w:r w:rsidR="00F94C05" w:rsidRPr="00A53C44">
        <w:rPr>
          <w:rStyle w:val="apple-converted-space"/>
          <w:sz w:val="20"/>
          <w:szCs w:val="20"/>
        </w:rPr>
        <w:t> </w:t>
      </w:r>
      <w:r w:rsidR="00F94C05" w:rsidRPr="00A53C44">
        <w:rPr>
          <w:sz w:val="20"/>
          <w:szCs w:val="20"/>
        </w:rPr>
        <w:t>68 (1955); Verteidigung der Demokratie, in</w:t>
      </w:r>
      <w:r w:rsidR="00F94C05" w:rsidRPr="00A53C44">
        <w:rPr>
          <w:rStyle w:val="apple-converted-space"/>
          <w:sz w:val="20"/>
          <w:szCs w:val="20"/>
        </w:rPr>
        <w:t> </w:t>
      </w:r>
      <w:r w:rsidR="00F94C05" w:rsidRPr="00A53C44">
        <w:rPr>
          <w:rStyle w:val="Accentuation"/>
          <w:sz w:val="20"/>
          <w:szCs w:val="20"/>
        </w:rPr>
        <w:t>La découverte du juge constitutionnel entre science et politique</w:t>
      </w:r>
      <w:r w:rsidR="00F94C05" w:rsidRPr="00A53C44">
        <w:rPr>
          <w:rStyle w:val="apple-converted-space"/>
          <w:sz w:val="20"/>
          <w:szCs w:val="20"/>
        </w:rPr>
        <w:t> </w:t>
      </w:r>
      <w:r w:rsidR="00F94C05" w:rsidRPr="00A53C44">
        <w:rPr>
          <w:sz w:val="20"/>
          <w:szCs w:val="20"/>
        </w:rPr>
        <w:t>521 (R. Baumert trans., LGDJ 2010) (original work published 1932).</w:t>
      </w:r>
    </w:p>
  </w:footnote>
  <w:footnote w:id="16">
    <w:p w14:paraId="000002E8" w14:textId="128B327C"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F94C05" w:rsidRPr="00A53C44">
        <w:rPr>
          <w:rFonts w:ascii="Times New Roman" w:hAnsi="Times New Roman" w:cs="Times New Roman"/>
          <w:color w:val="000000"/>
          <w:sz w:val="20"/>
          <w:szCs w:val="20"/>
        </w:rPr>
        <w:t>Guillaume Grégoire, The EU’s Neoliberal Constitutionalism(s), 3</w:t>
      </w:r>
      <w:r w:rsidR="00F94C05" w:rsidRPr="00A53C44">
        <w:rPr>
          <w:rStyle w:val="apple-converted-space"/>
          <w:rFonts w:ascii="Times New Roman" w:hAnsi="Times New Roman" w:cs="Times New Roman"/>
          <w:color w:val="000000"/>
          <w:sz w:val="20"/>
          <w:szCs w:val="20"/>
        </w:rPr>
        <w:t> </w:t>
      </w:r>
      <w:r w:rsidR="00F94C05" w:rsidRPr="00A53C44">
        <w:rPr>
          <w:rStyle w:val="lev"/>
          <w:rFonts w:ascii="Times New Roman" w:hAnsi="Times New Roman" w:cs="Times New Roman"/>
          <w:color w:val="000000"/>
          <w:sz w:val="20"/>
          <w:szCs w:val="20"/>
        </w:rPr>
        <w:t>Eur. L. Open</w:t>
      </w:r>
      <w:r w:rsidR="00F94C05" w:rsidRPr="00A53C44">
        <w:rPr>
          <w:rStyle w:val="apple-converted-space"/>
          <w:rFonts w:ascii="Times New Roman" w:hAnsi="Times New Roman" w:cs="Times New Roman"/>
          <w:color w:val="000000"/>
          <w:sz w:val="20"/>
          <w:szCs w:val="20"/>
        </w:rPr>
        <w:t> </w:t>
      </w:r>
      <w:r w:rsidR="00F94C05" w:rsidRPr="00A53C44">
        <w:rPr>
          <w:rFonts w:ascii="Times New Roman" w:hAnsi="Times New Roman" w:cs="Times New Roman"/>
          <w:color w:val="000000"/>
          <w:sz w:val="20"/>
          <w:szCs w:val="20"/>
        </w:rPr>
        <w:t>705 (2024),</w:t>
      </w:r>
      <w:r w:rsidR="00F94C05" w:rsidRPr="00A53C44">
        <w:rPr>
          <w:rStyle w:val="apple-converted-space"/>
          <w:rFonts w:ascii="Times New Roman" w:hAnsi="Times New Roman" w:cs="Times New Roman"/>
          <w:color w:val="000000"/>
          <w:sz w:val="20"/>
          <w:szCs w:val="20"/>
        </w:rPr>
        <w:t> </w:t>
      </w:r>
      <w:hyperlink r:id="rId5" w:tgtFrame="_new" w:history="1">
        <w:r w:rsidR="00F94C05" w:rsidRPr="00A53C44">
          <w:rPr>
            <w:rStyle w:val="Lienhypertexte"/>
            <w:rFonts w:ascii="Times New Roman" w:hAnsi="Times New Roman" w:cs="Times New Roman"/>
            <w:sz w:val="20"/>
            <w:szCs w:val="20"/>
          </w:rPr>
          <w:t>https://doi.org/10.1017/elo.2024.50</w:t>
        </w:r>
      </w:hyperlink>
      <w:r w:rsidR="00F94C05" w:rsidRPr="00A53C44">
        <w:rPr>
          <w:rFonts w:ascii="Times New Roman" w:hAnsi="Times New Roman" w:cs="Times New Roman"/>
          <w:sz w:val="20"/>
          <w:szCs w:val="20"/>
        </w:rPr>
        <w:t>.</w:t>
      </w:r>
    </w:p>
  </w:footnote>
  <w:footnote w:id="17">
    <w:p w14:paraId="000002EA" w14:textId="165D2BCB"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F94C05" w:rsidRPr="00A53C44">
        <w:rPr>
          <w:rFonts w:ascii="Times New Roman" w:hAnsi="Times New Roman" w:cs="Times New Roman"/>
          <w:color w:val="000000"/>
          <w:sz w:val="20"/>
          <w:szCs w:val="20"/>
        </w:rPr>
        <w:t>Francesco Martucci,</w:t>
      </w:r>
      <w:r w:rsidR="00F94C05" w:rsidRPr="00A53C44">
        <w:rPr>
          <w:rStyle w:val="apple-converted-space"/>
          <w:rFonts w:ascii="Times New Roman" w:hAnsi="Times New Roman" w:cs="Times New Roman"/>
          <w:color w:val="000000"/>
          <w:sz w:val="20"/>
          <w:szCs w:val="20"/>
        </w:rPr>
        <w:t> </w:t>
      </w:r>
      <w:r w:rsidR="00F94C05" w:rsidRPr="00A53C44">
        <w:rPr>
          <w:rStyle w:val="Accentuation"/>
          <w:rFonts w:ascii="Times New Roman" w:hAnsi="Times New Roman" w:cs="Times New Roman"/>
          <w:color w:val="000000"/>
          <w:sz w:val="20"/>
          <w:szCs w:val="20"/>
        </w:rPr>
        <w:t>Délimitation – La Cour de justice de l’Union européenne a-t-elle une doctrine économique ?</w:t>
      </w:r>
      <w:r w:rsidR="00F94C05" w:rsidRPr="00A53C44">
        <w:rPr>
          <w:rFonts w:ascii="Times New Roman" w:hAnsi="Times New Roman" w:cs="Times New Roman"/>
          <w:color w:val="000000"/>
          <w:sz w:val="20"/>
          <w:szCs w:val="20"/>
        </w:rPr>
        <w:t>,</w:t>
      </w:r>
      <w:r w:rsidR="00F94C05" w:rsidRPr="00A53C44">
        <w:rPr>
          <w:rStyle w:val="apple-converted-space"/>
          <w:rFonts w:ascii="Times New Roman" w:hAnsi="Times New Roman" w:cs="Times New Roman"/>
          <w:color w:val="000000"/>
          <w:sz w:val="20"/>
          <w:szCs w:val="20"/>
        </w:rPr>
        <w:t> </w:t>
      </w:r>
      <w:r w:rsidR="00F94C05" w:rsidRPr="00A53C44">
        <w:rPr>
          <w:rStyle w:val="lev"/>
          <w:rFonts w:ascii="Times New Roman" w:hAnsi="Times New Roman" w:cs="Times New Roman"/>
          <w:color w:val="000000"/>
          <w:sz w:val="20"/>
          <w:szCs w:val="20"/>
        </w:rPr>
        <w:t>Rev. Fr. Dr. Admin.</w:t>
      </w:r>
      <w:r w:rsidR="00F94C05" w:rsidRPr="00A53C44">
        <w:rPr>
          <w:rStyle w:val="apple-converted-space"/>
          <w:rFonts w:ascii="Times New Roman" w:hAnsi="Times New Roman" w:cs="Times New Roman"/>
          <w:color w:val="000000"/>
          <w:sz w:val="20"/>
          <w:szCs w:val="20"/>
        </w:rPr>
        <w:t> </w:t>
      </w:r>
      <w:r w:rsidR="00F94C05" w:rsidRPr="00A53C44">
        <w:rPr>
          <w:rFonts w:ascii="Times New Roman" w:hAnsi="Times New Roman" w:cs="Times New Roman"/>
          <w:color w:val="000000"/>
          <w:sz w:val="20"/>
          <w:szCs w:val="20"/>
        </w:rPr>
        <w:t>627 (2024).</w:t>
      </w:r>
    </w:p>
  </w:footnote>
  <w:footnote w:id="18">
    <w:p w14:paraId="000002E9" w14:textId="2D9DAD32"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Grégoire, Guillaume. “The EU’s Neoliberal Constitutionalism(s).” </w:t>
      </w:r>
      <w:r w:rsidR="00F94C05" w:rsidRPr="00A53C44">
        <w:rPr>
          <w:rFonts w:ascii="Times New Roman" w:hAnsi="Times New Roman" w:cs="Times New Roman"/>
          <w:color w:val="000000"/>
          <w:sz w:val="20"/>
          <w:szCs w:val="20"/>
        </w:rPr>
        <w:t>supra note 16.</w:t>
      </w:r>
    </w:p>
  </w:footnote>
  <w:footnote w:id="19">
    <w:p w14:paraId="000002EB" w14:textId="4F59B859"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F94C05" w:rsidRPr="00A53C44">
        <w:rPr>
          <w:rFonts w:ascii="Times New Roman" w:hAnsi="Times New Roman" w:cs="Times New Roman"/>
          <w:sz w:val="20"/>
          <w:szCs w:val="20"/>
        </w:rPr>
        <w:t xml:space="preserve">Edward </w:t>
      </w:r>
      <w:r w:rsidRPr="00A53C44">
        <w:rPr>
          <w:rFonts w:ascii="Times New Roman" w:hAnsi="Times New Roman" w:cs="Times New Roman"/>
          <w:sz w:val="20"/>
          <w:szCs w:val="20"/>
        </w:rPr>
        <w:t>Becker</w:t>
      </w:r>
      <w:r w:rsidR="00F94C05" w:rsidRPr="00A53C44">
        <w:rPr>
          <w:rFonts w:ascii="Times New Roman" w:hAnsi="Times New Roman" w:cs="Times New Roman"/>
          <w:sz w:val="20"/>
          <w:szCs w:val="20"/>
        </w:rPr>
        <w:t xml:space="preserve">., </w:t>
      </w:r>
      <w:r w:rsidR="00F94C05" w:rsidRPr="00A53C44">
        <w:rPr>
          <w:rFonts w:ascii="Times New Roman" w:hAnsi="Times New Roman" w:cs="Times New Roman"/>
          <w:color w:val="000000"/>
          <w:sz w:val="20"/>
          <w:szCs w:val="20"/>
        </w:rPr>
        <w:t>The Uses of “Law and Economics” by Judges, 33</w:t>
      </w:r>
      <w:r w:rsidR="00F94C05" w:rsidRPr="00A53C44">
        <w:rPr>
          <w:rStyle w:val="apple-converted-space"/>
          <w:rFonts w:ascii="Times New Roman" w:hAnsi="Times New Roman" w:cs="Times New Roman"/>
          <w:color w:val="000000"/>
          <w:sz w:val="20"/>
          <w:szCs w:val="20"/>
        </w:rPr>
        <w:t> </w:t>
      </w:r>
      <w:r w:rsidR="00F94C05" w:rsidRPr="00A53C44">
        <w:rPr>
          <w:rStyle w:val="lev"/>
          <w:rFonts w:ascii="Times New Roman" w:hAnsi="Times New Roman" w:cs="Times New Roman"/>
          <w:color w:val="000000"/>
          <w:sz w:val="20"/>
          <w:szCs w:val="20"/>
        </w:rPr>
        <w:t>J. Legal Educ.</w:t>
      </w:r>
      <w:r w:rsidR="00F94C05" w:rsidRPr="00A53C44">
        <w:rPr>
          <w:rStyle w:val="apple-converted-space"/>
          <w:rFonts w:ascii="Times New Roman" w:hAnsi="Times New Roman" w:cs="Times New Roman"/>
          <w:color w:val="000000"/>
          <w:sz w:val="20"/>
          <w:szCs w:val="20"/>
        </w:rPr>
        <w:t> </w:t>
      </w:r>
      <w:r w:rsidR="00F94C05" w:rsidRPr="00A53C44">
        <w:rPr>
          <w:rFonts w:ascii="Times New Roman" w:hAnsi="Times New Roman" w:cs="Times New Roman"/>
          <w:color w:val="000000"/>
          <w:sz w:val="20"/>
          <w:szCs w:val="20"/>
        </w:rPr>
        <w:t>306 (1983).</w:t>
      </w:r>
    </w:p>
  </w:footnote>
  <w:footnote w:id="20">
    <w:p w14:paraId="000002EC" w14:textId="69B8F710"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F94C05" w:rsidRPr="00A53C44">
        <w:rPr>
          <w:rFonts w:ascii="Times New Roman" w:hAnsi="Times New Roman" w:cs="Times New Roman"/>
          <w:color w:val="000000"/>
          <w:sz w:val="20"/>
          <w:szCs w:val="20"/>
        </w:rPr>
        <w:t>Stephen Breyer, Economics for Lawyers and Judges, 33</w:t>
      </w:r>
      <w:r w:rsidR="00F94C05" w:rsidRPr="00A53C44">
        <w:rPr>
          <w:rStyle w:val="apple-converted-space"/>
          <w:rFonts w:ascii="Times New Roman" w:hAnsi="Times New Roman" w:cs="Times New Roman"/>
          <w:color w:val="000000"/>
          <w:sz w:val="20"/>
          <w:szCs w:val="20"/>
        </w:rPr>
        <w:t> </w:t>
      </w:r>
      <w:r w:rsidR="00F94C05" w:rsidRPr="00A53C44">
        <w:rPr>
          <w:rStyle w:val="lev"/>
          <w:rFonts w:ascii="Times New Roman" w:hAnsi="Times New Roman" w:cs="Times New Roman"/>
          <w:color w:val="000000"/>
          <w:sz w:val="20"/>
          <w:szCs w:val="20"/>
        </w:rPr>
        <w:t>J. Legal Educ.</w:t>
      </w:r>
      <w:r w:rsidR="00F94C05" w:rsidRPr="00A53C44">
        <w:rPr>
          <w:rStyle w:val="apple-converted-space"/>
          <w:rFonts w:ascii="Times New Roman" w:hAnsi="Times New Roman" w:cs="Times New Roman"/>
          <w:color w:val="000000"/>
          <w:sz w:val="20"/>
          <w:szCs w:val="20"/>
        </w:rPr>
        <w:t> </w:t>
      </w:r>
      <w:r w:rsidR="00F94C05" w:rsidRPr="00A53C44">
        <w:rPr>
          <w:rFonts w:ascii="Times New Roman" w:hAnsi="Times New Roman" w:cs="Times New Roman"/>
          <w:color w:val="000000"/>
          <w:sz w:val="20"/>
          <w:szCs w:val="20"/>
        </w:rPr>
        <w:t>294 (1983).</w:t>
      </w:r>
    </w:p>
  </w:footnote>
  <w:footnote w:id="21">
    <w:p w14:paraId="000002ED" w14:textId="6619D78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F94C05" w:rsidRPr="00A53C44">
        <w:rPr>
          <w:rFonts w:ascii="Times New Roman" w:hAnsi="Times New Roman" w:cs="Times New Roman"/>
          <w:color w:val="000000"/>
          <w:sz w:val="20"/>
          <w:szCs w:val="20"/>
        </w:rPr>
        <w:t>Jerome Culp, Foreword: Economists on the Bench, 50</w:t>
      </w:r>
      <w:r w:rsidR="00F94C05" w:rsidRPr="00A53C44">
        <w:rPr>
          <w:rStyle w:val="apple-converted-space"/>
          <w:rFonts w:ascii="Times New Roman" w:hAnsi="Times New Roman" w:cs="Times New Roman"/>
          <w:color w:val="000000"/>
          <w:sz w:val="20"/>
          <w:szCs w:val="20"/>
        </w:rPr>
        <w:t> </w:t>
      </w:r>
      <w:r w:rsidR="00F94C05" w:rsidRPr="00A53C44">
        <w:rPr>
          <w:rStyle w:val="lev"/>
          <w:rFonts w:ascii="Times New Roman" w:hAnsi="Times New Roman" w:cs="Times New Roman"/>
          <w:color w:val="000000"/>
          <w:sz w:val="20"/>
          <w:szCs w:val="20"/>
        </w:rPr>
        <w:t>L. &amp; Contemp. Probs.</w:t>
      </w:r>
      <w:r w:rsidR="00F94C05" w:rsidRPr="00A53C44">
        <w:rPr>
          <w:rStyle w:val="apple-converted-space"/>
          <w:rFonts w:ascii="Times New Roman" w:hAnsi="Times New Roman" w:cs="Times New Roman"/>
          <w:color w:val="000000"/>
          <w:sz w:val="20"/>
          <w:szCs w:val="20"/>
        </w:rPr>
        <w:t> </w:t>
      </w:r>
      <w:r w:rsidR="00F94C05" w:rsidRPr="00A53C44">
        <w:rPr>
          <w:rFonts w:ascii="Times New Roman" w:hAnsi="Times New Roman" w:cs="Times New Roman"/>
          <w:color w:val="000000"/>
          <w:sz w:val="20"/>
          <w:szCs w:val="20"/>
        </w:rPr>
        <w:t>1 (1987).</w:t>
      </w:r>
    </w:p>
  </w:footnote>
  <w:footnote w:id="22">
    <w:p w14:paraId="2D4E4A21" w14:textId="7E53B2E2" w:rsidR="00CA0291" w:rsidRPr="00A53C44" w:rsidRDefault="00CA0291"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F94C05" w:rsidRPr="00A53C44">
        <w:rPr>
          <w:rFonts w:ascii="Times New Roman" w:hAnsi="Times New Roman" w:cs="Times New Roman"/>
          <w:color w:val="000000"/>
          <w:sz w:val="20"/>
          <w:szCs w:val="20"/>
        </w:rPr>
        <w:t>Laura Chubb, Economic Analysis in the Courts: Limits and Constraints, 64</w:t>
      </w:r>
      <w:r w:rsidR="00F94C05" w:rsidRPr="00A53C44">
        <w:rPr>
          <w:rStyle w:val="apple-converted-space"/>
          <w:rFonts w:ascii="Times New Roman" w:hAnsi="Times New Roman" w:cs="Times New Roman"/>
          <w:color w:val="000000"/>
          <w:sz w:val="20"/>
          <w:szCs w:val="20"/>
        </w:rPr>
        <w:t> </w:t>
      </w:r>
      <w:r w:rsidR="00F94C05" w:rsidRPr="00A53C44">
        <w:rPr>
          <w:rStyle w:val="lev"/>
          <w:rFonts w:ascii="Times New Roman" w:hAnsi="Times New Roman" w:cs="Times New Roman"/>
          <w:color w:val="000000"/>
          <w:sz w:val="20"/>
          <w:szCs w:val="20"/>
        </w:rPr>
        <w:t>Ind. L.J.</w:t>
      </w:r>
      <w:r w:rsidR="00F94C05" w:rsidRPr="00A53C44">
        <w:rPr>
          <w:rStyle w:val="apple-converted-space"/>
          <w:rFonts w:ascii="Times New Roman" w:hAnsi="Times New Roman" w:cs="Times New Roman"/>
          <w:color w:val="000000"/>
          <w:sz w:val="20"/>
          <w:szCs w:val="20"/>
        </w:rPr>
        <w:t> </w:t>
      </w:r>
      <w:r w:rsidR="00F94C05" w:rsidRPr="00A53C44">
        <w:rPr>
          <w:rFonts w:ascii="Times New Roman" w:hAnsi="Times New Roman" w:cs="Times New Roman"/>
          <w:color w:val="000000"/>
          <w:sz w:val="20"/>
          <w:szCs w:val="20"/>
        </w:rPr>
        <w:t>769 (1989).</w:t>
      </w:r>
    </w:p>
  </w:footnote>
  <w:footnote w:id="23">
    <w:p w14:paraId="000002EF" w14:textId="65F1521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F94C05" w:rsidRPr="00A53C44">
        <w:rPr>
          <w:rStyle w:val="Accentuation"/>
          <w:rFonts w:ascii="Times New Roman" w:hAnsi="Times New Roman" w:cs="Times New Roman"/>
          <w:color w:val="000000"/>
          <w:sz w:val="20"/>
          <w:szCs w:val="20"/>
        </w:rPr>
        <w:t>The Oxford Handbook of U.S. Judicial Behavior</w:t>
      </w:r>
      <w:r w:rsidR="00F94C05" w:rsidRPr="00A53C44">
        <w:rPr>
          <w:rStyle w:val="apple-converted-space"/>
          <w:rFonts w:ascii="Times New Roman" w:hAnsi="Times New Roman" w:cs="Times New Roman"/>
          <w:color w:val="000000"/>
          <w:sz w:val="20"/>
          <w:szCs w:val="20"/>
        </w:rPr>
        <w:t> </w:t>
      </w:r>
      <w:r w:rsidR="00F94C05" w:rsidRPr="00A53C44">
        <w:rPr>
          <w:rFonts w:ascii="Times New Roman" w:hAnsi="Times New Roman" w:cs="Times New Roman"/>
          <w:color w:val="000000"/>
          <w:sz w:val="20"/>
          <w:szCs w:val="20"/>
        </w:rPr>
        <w:t>(Lee Epstein &amp; Stefanie Lindquist eds., Oxford Univ. Press 2017).</w:t>
      </w:r>
    </w:p>
  </w:footnote>
  <w:footnote w:id="24">
    <w:p w14:paraId="3C44AD2C" w14:textId="32B28F3E" w:rsidR="00B05F42" w:rsidRPr="00A53C44" w:rsidRDefault="00B05F42" w:rsidP="00A53C44">
      <w:pPr>
        <w:pStyle w:val="Notedebasdepage"/>
        <w:jc w:val="both"/>
        <w:rPr>
          <w:rFonts w:ascii="Times New Roman" w:hAnsi="Times New Roman" w:cs="Times New Roman"/>
          <w:lang w:val="fr-FR"/>
        </w:rPr>
      </w:pPr>
      <w:r w:rsidRPr="00A53C44">
        <w:rPr>
          <w:rStyle w:val="Appelnotedebasdep"/>
          <w:rFonts w:ascii="Times New Roman" w:hAnsi="Times New Roman" w:cs="Times New Roman"/>
        </w:rPr>
        <w:footnoteRef/>
      </w:r>
      <w:r w:rsidRPr="00A53C44">
        <w:rPr>
          <w:rFonts w:ascii="Times New Roman" w:hAnsi="Times New Roman" w:cs="Times New Roman"/>
        </w:rPr>
        <w:t xml:space="preserve"> </w:t>
      </w:r>
      <w:r w:rsidR="00A53C44" w:rsidRPr="00A53C44">
        <w:rPr>
          <w:rFonts w:ascii="Times New Roman" w:hAnsi="Times New Roman" w:cs="Times New Roman"/>
          <w:color w:val="000000"/>
        </w:rPr>
        <w:t>Yannick Ganne &amp; Julien Jeanneney,</w:t>
      </w:r>
      <w:r w:rsidR="00A53C44" w:rsidRPr="00A53C44">
        <w:rPr>
          <w:rStyle w:val="apple-converted-space"/>
          <w:rFonts w:ascii="Times New Roman" w:hAnsi="Times New Roman" w:cs="Times New Roman"/>
          <w:color w:val="000000"/>
        </w:rPr>
        <w:t> </w:t>
      </w:r>
      <w:r w:rsidR="00A53C44" w:rsidRPr="00A53C44">
        <w:rPr>
          <w:rStyle w:val="Accentuation"/>
          <w:rFonts w:ascii="Times New Roman" w:hAnsi="Times New Roman" w:cs="Times New Roman"/>
          <w:color w:val="000000"/>
        </w:rPr>
        <w:t>Délimitation – Une singularité du système français ? L’exemple du droit américain</w:t>
      </w:r>
      <w:r w:rsidR="00A53C44" w:rsidRPr="00A53C44">
        <w:rPr>
          <w:rFonts w:ascii="Times New Roman" w:hAnsi="Times New Roman" w:cs="Times New Roman"/>
          <w:color w:val="000000"/>
        </w:rPr>
        <w:t>,</w:t>
      </w:r>
      <w:r w:rsidR="00A53C44" w:rsidRPr="00A53C44">
        <w:rPr>
          <w:rStyle w:val="apple-converted-space"/>
          <w:rFonts w:ascii="Times New Roman" w:hAnsi="Times New Roman" w:cs="Times New Roman"/>
          <w:color w:val="000000"/>
        </w:rPr>
        <w:t> </w:t>
      </w:r>
      <w:r w:rsidR="00A53C44" w:rsidRPr="00A53C44">
        <w:rPr>
          <w:rStyle w:val="lev"/>
          <w:rFonts w:ascii="Times New Roman" w:hAnsi="Times New Roman" w:cs="Times New Roman"/>
          <w:color w:val="000000"/>
        </w:rPr>
        <w:t>Rev. Fr. Dr. Admin.</w:t>
      </w:r>
      <w:r w:rsidR="00A53C44" w:rsidRPr="00A53C44">
        <w:rPr>
          <w:rStyle w:val="apple-converted-space"/>
          <w:rFonts w:ascii="Times New Roman" w:hAnsi="Times New Roman" w:cs="Times New Roman"/>
          <w:color w:val="000000"/>
        </w:rPr>
        <w:t> </w:t>
      </w:r>
      <w:r w:rsidR="00A53C44" w:rsidRPr="00A53C44">
        <w:rPr>
          <w:rFonts w:ascii="Times New Roman" w:hAnsi="Times New Roman" w:cs="Times New Roman"/>
          <w:color w:val="000000"/>
        </w:rPr>
        <w:t>632 (2024).</w:t>
      </w:r>
    </w:p>
  </w:footnote>
  <w:footnote w:id="25">
    <w:p w14:paraId="000002F0"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Pr="00A53C44">
        <w:rPr>
          <w:rFonts w:ascii="Times New Roman" w:hAnsi="Times New Roman" w:cs="Times New Roman"/>
          <w:i/>
          <w:sz w:val="20"/>
          <w:szCs w:val="20"/>
        </w:rPr>
        <w:t>Ibid</w:t>
      </w:r>
      <w:r w:rsidRPr="00A53C44">
        <w:rPr>
          <w:rFonts w:ascii="Times New Roman" w:hAnsi="Times New Roman" w:cs="Times New Roman"/>
          <w:sz w:val="20"/>
          <w:szCs w:val="20"/>
        </w:rPr>
        <w:t>.</w:t>
      </w:r>
    </w:p>
  </w:footnote>
  <w:footnote w:id="26">
    <w:p w14:paraId="000002F1"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Bonica, Adam, and Maya Sen. “Estimating Judicial Ideology.” </w:t>
      </w:r>
      <w:r w:rsidRPr="00A53C44">
        <w:rPr>
          <w:rFonts w:ascii="Times New Roman" w:hAnsi="Times New Roman" w:cs="Times New Roman"/>
          <w:i/>
          <w:sz w:val="20"/>
          <w:szCs w:val="20"/>
        </w:rPr>
        <w:t>Journal of Economic Perspectives</w:t>
      </w:r>
      <w:r w:rsidRPr="00A53C44">
        <w:rPr>
          <w:rFonts w:ascii="Times New Roman" w:hAnsi="Times New Roman" w:cs="Times New Roman"/>
          <w:sz w:val="20"/>
          <w:szCs w:val="20"/>
        </w:rPr>
        <w:t xml:space="preserve"> 35, no. 2 (2021): 97–118.</w:t>
      </w:r>
    </w:p>
  </w:footnote>
  <w:footnote w:id="27">
    <w:p w14:paraId="000002F2"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Sunstein, Cass R., David Schkade, Lisa M. Ellman, and Andres Sawicki. </w:t>
      </w:r>
      <w:r w:rsidRPr="00A53C44">
        <w:rPr>
          <w:rFonts w:ascii="Times New Roman" w:hAnsi="Times New Roman" w:cs="Times New Roman"/>
          <w:i/>
          <w:sz w:val="20"/>
          <w:szCs w:val="20"/>
        </w:rPr>
        <w:t>Are Judges Political? An Empirical Analysis of the Federal Judiciary</w:t>
      </w:r>
      <w:r w:rsidRPr="00A53C44">
        <w:rPr>
          <w:rFonts w:ascii="Times New Roman" w:hAnsi="Times New Roman" w:cs="Times New Roman"/>
          <w:sz w:val="20"/>
          <w:szCs w:val="20"/>
        </w:rPr>
        <w:t>. Washington, DC: Brookings Institution Press, 2006.</w:t>
      </w:r>
    </w:p>
  </w:footnote>
  <w:footnote w:id="28">
    <w:p w14:paraId="000002F4" w14:textId="2BDC9389"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Bonica, Adam, and Maya Sen. “Estimating Judicial Ideology.” </w:t>
      </w:r>
      <w:r w:rsidRPr="00A53C44">
        <w:rPr>
          <w:rFonts w:ascii="Times New Roman" w:hAnsi="Times New Roman" w:cs="Times New Roman"/>
          <w:i/>
          <w:sz w:val="20"/>
          <w:szCs w:val="20"/>
        </w:rPr>
        <w:t>Journal of Economic Perspectives</w:t>
      </w:r>
      <w:r w:rsidRPr="00A53C44">
        <w:rPr>
          <w:rFonts w:ascii="Times New Roman" w:hAnsi="Times New Roman" w:cs="Times New Roman"/>
          <w:sz w:val="20"/>
          <w:szCs w:val="20"/>
        </w:rPr>
        <w:t xml:space="preserve"> 35, no. 2 (2021): 97–118</w:t>
      </w:r>
      <w:r w:rsidR="00CA0291" w:rsidRPr="00A53C44">
        <w:rPr>
          <w:rFonts w:ascii="Times New Roman" w:hAnsi="Times New Roman" w:cs="Times New Roman"/>
          <w:sz w:val="20"/>
          <w:szCs w:val="20"/>
        </w:rPr>
        <w:t xml:space="preserve">; Hansladen, Christoph, Markus J. Prantl, and Stefan Voigt. “Text Classification of Ideological Direction in Judicial Opinions.” </w:t>
      </w:r>
      <w:r w:rsidR="00CA0291" w:rsidRPr="00A53C44">
        <w:rPr>
          <w:rFonts w:ascii="Times New Roman" w:hAnsi="Times New Roman" w:cs="Times New Roman"/>
          <w:i/>
          <w:sz w:val="20"/>
          <w:szCs w:val="20"/>
        </w:rPr>
        <w:t>International Review of Law and Economics</w:t>
      </w:r>
      <w:r w:rsidR="00CA0291" w:rsidRPr="00A53C44">
        <w:rPr>
          <w:rFonts w:ascii="Times New Roman" w:hAnsi="Times New Roman" w:cs="Times New Roman"/>
          <w:sz w:val="20"/>
          <w:szCs w:val="20"/>
        </w:rPr>
        <w:t xml:space="preserve"> 62 (2020): 105902.</w:t>
      </w:r>
    </w:p>
  </w:footnote>
  <w:footnote w:id="29">
    <w:p w14:paraId="000002F5" w14:textId="7CD35503"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B768AE" w:rsidRPr="00A53C44">
        <w:rPr>
          <w:rFonts w:ascii="Times New Roman" w:hAnsi="Times New Roman" w:cs="Times New Roman"/>
          <w:color w:val="000000"/>
          <w:sz w:val="20"/>
          <w:szCs w:val="20"/>
        </w:rPr>
        <w:t>Kirat, T. and Marty, F., 2022. The originalism of American federal judges or the establishment of constitutional foundations for economic liberalism since the 1970s. In: N. Lévy, N. Champroux, S. Josso, A. Chommeloux, S. Porion and A. Damiens, eds.</w:t>
      </w:r>
      <w:r w:rsidR="00B768AE" w:rsidRPr="00A53C44">
        <w:rPr>
          <w:rStyle w:val="apple-converted-space"/>
          <w:rFonts w:ascii="Times New Roman" w:hAnsi="Times New Roman" w:cs="Times New Roman"/>
          <w:color w:val="000000"/>
          <w:sz w:val="20"/>
          <w:szCs w:val="20"/>
        </w:rPr>
        <w:t> </w:t>
      </w:r>
      <w:r w:rsidR="00B768AE" w:rsidRPr="00A53C44">
        <w:rPr>
          <w:rStyle w:val="Accentuation"/>
          <w:rFonts w:ascii="Times New Roman" w:hAnsi="Times New Roman" w:cs="Times New Roman"/>
          <w:color w:val="000000"/>
          <w:sz w:val="20"/>
          <w:szCs w:val="20"/>
        </w:rPr>
        <w:t>The Anglo-American model of neoliberalism of the 1980s</w:t>
      </w:r>
      <w:r w:rsidR="00B768AE" w:rsidRPr="00A53C44">
        <w:rPr>
          <w:rFonts w:ascii="Times New Roman" w:hAnsi="Times New Roman" w:cs="Times New Roman"/>
          <w:color w:val="000000"/>
          <w:sz w:val="20"/>
          <w:szCs w:val="20"/>
        </w:rPr>
        <w:t xml:space="preserve">. Cham: Springer International Publishing, pp.137–153; </w:t>
      </w:r>
      <w:r w:rsidRPr="00A53C44">
        <w:rPr>
          <w:rFonts w:ascii="Times New Roman" w:hAnsi="Times New Roman" w:cs="Times New Roman"/>
          <w:sz w:val="20"/>
          <w:szCs w:val="20"/>
        </w:rPr>
        <w:t xml:space="preserve">Ganne, Yannick, and Julien Jeanneney. “Délimitation - Une singularité du système français ? L'exemple du droit américain.” </w:t>
      </w:r>
      <w:r w:rsidRPr="00A53C44">
        <w:rPr>
          <w:rFonts w:ascii="Times New Roman" w:hAnsi="Times New Roman" w:cs="Times New Roman"/>
          <w:i/>
          <w:sz w:val="20"/>
          <w:szCs w:val="20"/>
        </w:rPr>
        <w:t>Revue Française de Droit Administratif</w:t>
      </w:r>
      <w:r w:rsidRPr="00A53C44">
        <w:rPr>
          <w:rFonts w:ascii="Times New Roman" w:hAnsi="Times New Roman" w:cs="Times New Roman"/>
          <w:sz w:val="20"/>
          <w:szCs w:val="20"/>
        </w:rPr>
        <w:t xml:space="preserve"> 2024: 632</w:t>
      </w:r>
      <w:r w:rsidR="00B768AE" w:rsidRPr="00A53C44">
        <w:rPr>
          <w:rFonts w:ascii="Times New Roman" w:hAnsi="Times New Roman" w:cs="Times New Roman"/>
          <w:sz w:val="20"/>
          <w:szCs w:val="20"/>
        </w:rPr>
        <w:t xml:space="preserve">; </w:t>
      </w:r>
      <w:r w:rsidR="00B768AE" w:rsidRPr="00A53C44">
        <w:rPr>
          <w:rFonts w:ascii="Times New Roman" w:hAnsi="Times New Roman" w:cs="Times New Roman"/>
          <w:color w:val="000000"/>
          <w:sz w:val="20"/>
          <w:szCs w:val="20"/>
        </w:rPr>
        <w:t>Kirat, T. and Marty, F., 2025. Political capitalism and constitutional doctrine: Originalism in the U.S. federal courts. GREDEG Working Paper 2025-03. Nice: Université Côte d’Azur, Groupe de REcherche en Droit, Economie, Gestion (GREDEG CNRS).</w:t>
      </w:r>
    </w:p>
  </w:footnote>
  <w:footnote w:id="30">
    <w:p w14:paraId="000002F6" w14:textId="2B8ABB0E"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B768AE" w:rsidRPr="00A53C44">
        <w:rPr>
          <w:rFonts w:ascii="Times New Roman" w:hAnsi="Times New Roman" w:cs="Times New Roman"/>
          <w:sz w:val="20"/>
          <w:szCs w:val="20"/>
        </w:rPr>
        <w:t xml:space="preserve">Schwartz, Herman, ed. </w:t>
      </w:r>
      <w:r w:rsidR="00B768AE" w:rsidRPr="00A53C44">
        <w:rPr>
          <w:rFonts w:ascii="Times New Roman" w:hAnsi="Times New Roman" w:cs="Times New Roman"/>
          <w:i/>
          <w:sz w:val="20"/>
          <w:szCs w:val="20"/>
        </w:rPr>
        <w:t>The Rehnquist Court: Judicial Activism on the Right</w:t>
      </w:r>
      <w:r w:rsidR="00B768AE" w:rsidRPr="00A53C44">
        <w:rPr>
          <w:rFonts w:ascii="Times New Roman" w:hAnsi="Times New Roman" w:cs="Times New Roman"/>
          <w:sz w:val="20"/>
          <w:szCs w:val="20"/>
        </w:rPr>
        <w:t xml:space="preserve">. New York: Hill and Wang, 2002; </w:t>
      </w:r>
      <w:r w:rsidRPr="00A53C44">
        <w:rPr>
          <w:rFonts w:ascii="Times New Roman" w:hAnsi="Times New Roman" w:cs="Times New Roman"/>
          <w:sz w:val="20"/>
          <w:szCs w:val="20"/>
        </w:rPr>
        <w:t xml:space="preserve">Johnsen, Dawn E. “Ronald Reagan and the Rehnquist Court on Congressional Power: Presidential Influences on Constitutional Change.” </w:t>
      </w:r>
      <w:r w:rsidRPr="00A53C44">
        <w:rPr>
          <w:rFonts w:ascii="Times New Roman" w:hAnsi="Times New Roman" w:cs="Times New Roman"/>
          <w:i/>
          <w:sz w:val="20"/>
          <w:szCs w:val="20"/>
        </w:rPr>
        <w:t>Indiana Law Journal</w:t>
      </w:r>
      <w:r w:rsidRPr="00A53C44">
        <w:rPr>
          <w:rFonts w:ascii="Times New Roman" w:hAnsi="Times New Roman" w:cs="Times New Roman"/>
          <w:sz w:val="20"/>
          <w:szCs w:val="20"/>
        </w:rPr>
        <w:t xml:space="preserve"> 78, no. 2 (2003): 363–412</w:t>
      </w:r>
      <w:r w:rsidR="00B768AE" w:rsidRPr="00A53C44">
        <w:rPr>
          <w:rFonts w:ascii="Times New Roman" w:hAnsi="Times New Roman" w:cs="Times New Roman"/>
          <w:sz w:val="20"/>
          <w:szCs w:val="20"/>
        </w:rPr>
        <w:t xml:space="preserve">; Tushnet, Mark. </w:t>
      </w:r>
      <w:r w:rsidR="00B768AE" w:rsidRPr="00A53C44">
        <w:rPr>
          <w:rFonts w:ascii="Times New Roman" w:hAnsi="Times New Roman" w:cs="Times New Roman"/>
          <w:i/>
          <w:sz w:val="20"/>
          <w:szCs w:val="20"/>
        </w:rPr>
        <w:t>A Court Divided: The Rehnquist Court and the Future of Constitutional Law</w:t>
      </w:r>
      <w:r w:rsidR="00B768AE" w:rsidRPr="00A53C44">
        <w:rPr>
          <w:rFonts w:ascii="Times New Roman" w:hAnsi="Times New Roman" w:cs="Times New Roman"/>
          <w:sz w:val="20"/>
          <w:szCs w:val="20"/>
        </w:rPr>
        <w:t>. New York: W. W. Norton &amp; Company, 2005.</w:t>
      </w:r>
    </w:p>
  </w:footnote>
  <w:footnote w:id="31">
    <w:p w14:paraId="778D674E" w14:textId="3786056B" w:rsidR="00B768AE" w:rsidRPr="00A53C44" w:rsidRDefault="00B768AE" w:rsidP="00A53C44">
      <w:pPr>
        <w:pStyle w:val="Notedebasdepage"/>
        <w:jc w:val="both"/>
        <w:rPr>
          <w:rFonts w:ascii="Times New Roman" w:hAnsi="Times New Roman" w:cs="Times New Roman"/>
        </w:rPr>
      </w:pPr>
      <w:r w:rsidRPr="00A53C44">
        <w:rPr>
          <w:rStyle w:val="Appelnotedebasdep"/>
          <w:rFonts w:ascii="Times New Roman" w:hAnsi="Times New Roman" w:cs="Times New Roman"/>
        </w:rPr>
        <w:footnoteRef/>
      </w:r>
      <w:r w:rsidRPr="00A53C44">
        <w:rPr>
          <w:rFonts w:ascii="Times New Roman" w:hAnsi="Times New Roman" w:cs="Times New Roman"/>
        </w:rPr>
        <w:t xml:space="preserve"> Christopher Clarke and Alex Kozinski, “Does Law and Economics Help Decide Cases?” </w:t>
      </w:r>
      <w:r w:rsidRPr="00A53C44">
        <w:rPr>
          <w:rFonts w:ascii="Times New Roman" w:hAnsi="Times New Roman" w:cs="Times New Roman"/>
          <w:i/>
        </w:rPr>
        <w:t>European Journal of Law and Economics</w:t>
      </w:r>
      <w:r w:rsidRPr="00A53C44">
        <w:rPr>
          <w:rFonts w:ascii="Times New Roman" w:hAnsi="Times New Roman" w:cs="Times New Roman"/>
        </w:rPr>
        <w:t xml:space="preserve"> 48 (2019): 89–111; Elliott Ash, Daniel L. Chen, and Suresh Naidu, “Ideas Have Consequences: The Impact of Law and Economics on American Justice,” NBER Working Paper No. 29788, 2022, </w:t>
      </w:r>
    </w:p>
    <w:p w14:paraId="6638BE2D" w14:textId="0EF30183" w:rsidR="00B768AE" w:rsidRPr="00A53C44" w:rsidRDefault="00B768AE" w:rsidP="00A53C44">
      <w:pPr>
        <w:pStyle w:val="Notedebasdepage"/>
        <w:jc w:val="both"/>
        <w:rPr>
          <w:rFonts w:ascii="Times New Roman" w:hAnsi="Times New Roman" w:cs="Times New Roman"/>
          <w:lang w:val="fr-FR"/>
        </w:rPr>
      </w:pPr>
      <w:hyperlink r:id="rId6">
        <w:r w:rsidRPr="00A53C44">
          <w:rPr>
            <w:rFonts w:ascii="Times New Roman" w:hAnsi="Times New Roman" w:cs="Times New Roman"/>
            <w:color w:val="1155CC"/>
            <w:u w:val="single"/>
          </w:rPr>
          <w:t>https://www.nber.org/system/files/working_papers/w29788/w29788.pdf</w:t>
        </w:r>
      </w:hyperlink>
      <w:r w:rsidRPr="00A53C44">
        <w:rPr>
          <w:rFonts w:ascii="Times New Roman" w:hAnsi="Times New Roman" w:cs="Times New Roman"/>
        </w:rPr>
        <w:t xml:space="preserve">; </w:t>
      </w:r>
    </w:p>
  </w:footnote>
  <w:footnote w:id="32">
    <w:p w14:paraId="000002F9" w14:textId="4F2704BE"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Ganne, Yannick, and Julien Jeanneney. “Délimitation - Une singularité du système français ? L'exemple du droit américain.” </w:t>
      </w:r>
      <w:r w:rsidRPr="00A53C44">
        <w:rPr>
          <w:rFonts w:ascii="Times New Roman" w:hAnsi="Times New Roman" w:cs="Times New Roman"/>
          <w:i/>
          <w:sz w:val="20"/>
          <w:szCs w:val="20"/>
        </w:rPr>
        <w:t>Revue Française de Droit Administratif</w:t>
      </w:r>
      <w:r w:rsidRPr="00A53C44">
        <w:rPr>
          <w:rFonts w:ascii="Times New Roman" w:hAnsi="Times New Roman" w:cs="Times New Roman"/>
          <w:sz w:val="20"/>
          <w:szCs w:val="20"/>
        </w:rPr>
        <w:t xml:space="preserve"> 2024: 632.</w:t>
      </w:r>
    </w:p>
  </w:footnote>
  <w:footnote w:id="33">
    <w:p w14:paraId="1CA7BAF6" w14:textId="77777777" w:rsidR="00B768AE" w:rsidRPr="00A53C44" w:rsidRDefault="00B768AE"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Wesley A. Magat, “Howard Latin’s Analysis of the Legal and Economic Considerations in the Decisions of Judge Breyer,” </w:t>
      </w:r>
      <w:r w:rsidRPr="00A53C44">
        <w:rPr>
          <w:rFonts w:ascii="Times New Roman" w:hAnsi="Times New Roman" w:cs="Times New Roman"/>
          <w:i/>
          <w:sz w:val="20"/>
          <w:szCs w:val="20"/>
        </w:rPr>
        <w:t>Law and Contemporary Problems</w:t>
      </w:r>
      <w:r w:rsidRPr="00A53C44">
        <w:rPr>
          <w:rFonts w:ascii="Times New Roman" w:hAnsi="Times New Roman" w:cs="Times New Roman"/>
          <w:sz w:val="20"/>
          <w:szCs w:val="20"/>
        </w:rPr>
        <w:t xml:space="preserve"> 50 (1987): 87; Douglas H. Ginsburg and Joshua D. Wright Moore, “The Future of Behavioral Economics in Antitrust Jurisprudence,” </w:t>
      </w:r>
      <w:r w:rsidRPr="00A53C44">
        <w:rPr>
          <w:rFonts w:ascii="Times New Roman" w:hAnsi="Times New Roman" w:cs="Times New Roman"/>
          <w:i/>
          <w:sz w:val="20"/>
          <w:szCs w:val="20"/>
        </w:rPr>
        <w:t>Competition Policy International</w:t>
      </w:r>
      <w:r w:rsidRPr="00A53C44">
        <w:rPr>
          <w:rFonts w:ascii="Times New Roman" w:hAnsi="Times New Roman" w:cs="Times New Roman"/>
          <w:sz w:val="20"/>
          <w:szCs w:val="20"/>
        </w:rPr>
        <w:t xml:space="preserve"> 6 (2010): 89–102.</w:t>
      </w:r>
    </w:p>
  </w:footnote>
  <w:footnote w:id="34">
    <w:p w14:paraId="505224FB" w14:textId="77777777" w:rsidR="00B768AE" w:rsidRPr="00A53C44" w:rsidRDefault="00B768AE"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Siying Cao, “Quantifying Economic Reasoning in Court: Judge Economics Sophistication and Pro-Business Orientation,” November 2023, SSRN, </w:t>
      </w:r>
      <w:hyperlink r:id="rId7">
        <w:r w:rsidRPr="00A53C44">
          <w:rPr>
            <w:rFonts w:ascii="Times New Roman" w:hAnsi="Times New Roman" w:cs="Times New Roman"/>
            <w:color w:val="1155CC"/>
            <w:sz w:val="20"/>
            <w:szCs w:val="20"/>
            <w:u w:val="single"/>
          </w:rPr>
          <w:t>https://ssrn.com/abstract=4634607</w:t>
        </w:r>
      </w:hyperlink>
      <w:r w:rsidRPr="00A53C44">
        <w:rPr>
          <w:rFonts w:ascii="Times New Roman" w:hAnsi="Times New Roman" w:cs="Times New Roman"/>
          <w:sz w:val="20"/>
          <w:szCs w:val="20"/>
        </w:rPr>
        <w:t>.</w:t>
      </w:r>
    </w:p>
  </w:footnote>
  <w:footnote w:id="35">
    <w:p w14:paraId="2B2F40D2" w14:textId="77777777" w:rsidR="00B768AE" w:rsidRPr="00A53C44" w:rsidRDefault="00B768AE"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Henry N. Butler, “The Manne Programs in Economics for Federal Judges,” </w:t>
      </w:r>
      <w:r w:rsidRPr="00A53C44">
        <w:rPr>
          <w:rFonts w:ascii="Times New Roman" w:hAnsi="Times New Roman" w:cs="Times New Roman"/>
          <w:i/>
          <w:sz w:val="20"/>
          <w:szCs w:val="20"/>
        </w:rPr>
        <w:t>Case Western Reserve Law Review</w:t>
      </w:r>
      <w:r w:rsidRPr="00A53C44">
        <w:rPr>
          <w:rFonts w:ascii="Times New Roman" w:hAnsi="Times New Roman" w:cs="Times New Roman"/>
          <w:sz w:val="20"/>
          <w:szCs w:val="20"/>
        </w:rPr>
        <w:t xml:space="preserve"> 50 (1999): 351–420.</w:t>
      </w:r>
    </w:p>
  </w:footnote>
  <w:footnote w:id="36">
    <w:p w14:paraId="00000301" w14:textId="40076E12"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Ganne, Yannick, and Julien Jeanneney. “Délimitation - Une singularité du système français ? L'exemple du droit américain.” </w:t>
      </w:r>
      <w:r w:rsidRPr="00A53C44">
        <w:rPr>
          <w:rFonts w:ascii="Times New Roman" w:hAnsi="Times New Roman" w:cs="Times New Roman"/>
          <w:i/>
          <w:sz w:val="20"/>
          <w:szCs w:val="20"/>
        </w:rPr>
        <w:t>Revue Française de Droit Administratif</w:t>
      </w:r>
      <w:r w:rsidRPr="00A53C44">
        <w:rPr>
          <w:rFonts w:ascii="Times New Roman" w:hAnsi="Times New Roman" w:cs="Times New Roman"/>
          <w:sz w:val="20"/>
          <w:szCs w:val="20"/>
        </w:rPr>
        <w:t xml:space="preserve"> 2024: 632.</w:t>
      </w:r>
    </w:p>
  </w:footnote>
  <w:footnote w:id="37">
    <w:p w14:paraId="09675A76" w14:textId="416F774C" w:rsidR="00241EA2" w:rsidRPr="00A53C44" w:rsidRDefault="00241EA2" w:rsidP="00A53C44">
      <w:pPr>
        <w:pStyle w:val="Notedebasdepage"/>
        <w:jc w:val="both"/>
        <w:rPr>
          <w:rFonts w:ascii="Times New Roman" w:hAnsi="Times New Roman" w:cs="Times New Roman"/>
          <w:lang w:val="fr-FR"/>
        </w:rPr>
      </w:pPr>
      <w:r w:rsidRPr="00A53C44">
        <w:rPr>
          <w:rStyle w:val="Appelnotedebasdep"/>
          <w:rFonts w:ascii="Times New Roman" w:hAnsi="Times New Roman" w:cs="Times New Roman"/>
        </w:rPr>
        <w:footnoteRef/>
      </w:r>
      <w:r w:rsidRPr="00A53C44">
        <w:rPr>
          <w:rFonts w:ascii="Times New Roman" w:hAnsi="Times New Roman" w:cs="Times New Roman"/>
        </w:rPr>
        <w:t xml:space="preserve"> </w:t>
      </w:r>
      <w:r w:rsidRPr="00A53C44">
        <w:rPr>
          <w:rFonts w:ascii="Times New Roman" w:hAnsi="Times New Roman" w:cs="Times New Roman"/>
          <w:color w:val="000000"/>
        </w:rPr>
        <w:t>Broyelle, C. and Idoux, P., 2024. Manifestations – La particularité des autorités de régulation: une « anti-doctrine » économique? Revue française de droit administratif, 40(4), pp.661–672.</w:t>
      </w:r>
    </w:p>
  </w:footnote>
  <w:footnote w:id="38">
    <w:p w14:paraId="1574BF53" w14:textId="5DA2CBFE" w:rsidR="00241EA2" w:rsidRPr="00A53C44" w:rsidRDefault="00241EA2" w:rsidP="00A53C44">
      <w:pPr>
        <w:pStyle w:val="Notedebasdepage"/>
        <w:jc w:val="both"/>
        <w:rPr>
          <w:rFonts w:ascii="Times New Roman" w:hAnsi="Times New Roman" w:cs="Times New Roman"/>
          <w:lang w:val="fr-FR"/>
        </w:rPr>
      </w:pPr>
      <w:r w:rsidRPr="00A53C44">
        <w:rPr>
          <w:rStyle w:val="Appelnotedebasdep"/>
          <w:rFonts w:ascii="Times New Roman" w:hAnsi="Times New Roman" w:cs="Times New Roman"/>
        </w:rPr>
        <w:footnoteRef/>
      </w:r>
      <w:r w:rsidRPr="00A53C44">
        <w:rPr>
          <w:rFonts w:ascii="Times New Roman" w:hAnsi="Times New Roman" w:cs="Times New Roman"/>
        </w:rPr>
        <w:t xml:space="preserve"> </w:t>
      </w:r>
      <w:r w:rsidRPr="00A53C44">
        <w:rPr>
          <w:rFonts w:ascii="Times New Roman" w:hAnsi="Times New Roman" w:cs="Times New Roman"/>
          <w:color w:val="000000"/>
        </w:rPr>
        <w:t>Richaud, C. and Sirinelli, J., 2024. Le rôle des requérants dans la formation d'une doctrine économique des juges. Revue française de droit administratif, 40(4), pp.666–673.</w:t>
      </w:r>
    </w:p>
  </w:footnote>
  <w:footnote w:id="39">
    <w:p w14:paraId="00000302" w14:textId="5B0A0D68"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Ariane Meynaud-Zeroual and Benoît Plessix, </w:t>
      </w:r>
      <w:r w:rsidR="00595263" w:rsidRPr="00A53C44">
        <w:rPr>
          <w:rFonts w:ascii="Times New Roman" w:hAnsi="Times New Roman" w:cs="Times New Roman"/>
          <w:sz w:val="20"/>
          <w:szCs w:val="20"/>
        </w:rPr>
        <w:t>« </w:t>
      </w:r>
      <w:r w:rsidR="00673B31" w:rsidRPr="00A53C44">
        <w:rPr>
          <w:rFonts w:ascii="Times New Roman" w:hAnsi="Times New Roman" w:cs="Times New Roman"/>
          <w:sz w:val="20"/>
          <w:szCs w:val="20"/>
        </w:rPr>
        <w:t>Légitimité</w:t>
      </w:r>
      <w:r w:rsidRPr="00A53C44">
        <w:rPr>
          <w:rFonts w:ascii="Times New Roman" w:hAnsi="Times New Roman" w:cs="Times New Roman"/>
          <w:sz w:val="20"/>
          <w:szCs w:val="20"/>
        </w:rPr>
        <w:t xml:space="preserve"> – </w:t>
      </w:r>
      <w:r w:rsidR="00673B31" w:rsidRPr="00A53C44">
        <w:rPr>
          <w:rFonts w:ascii="Times New Roman" w:hAnsi="Times New Roman" w:cs="Times New Roman"/>
          <w:sz w:val="20"/>
          <w:szCs w:val="20"/>
        </w:rPr>
        <w:t>Le discours du juge : justifications ou contournement ? Brèves réflexions à propos du « discours sur le discours »</w:t>
      </w:r>
      <w:r w:rsidRPr="00A53C44">
        <w:rPr>
          <w:rFonts w:ascii="Times New Roman" w:hAnsi="Times New Roman" w:cs="Times New Roman"/>
          <w:sz w:val="20"/>
          <w:szCs w:val="20"/>
        </w:rPr>
        <w:t xml:space="preserve">, </w:t>
      </w:r>
      <w:r w:rsidRPr="00A53C44">
        <w:rPr>
          <w:rFonts w:ascii="Times New Roman" w:hAnsi="Times New Roman" w:cs="Times New Roman"/>
          <w:i/>
          <w:sz w:val="20"/>
          <w:szCs w:val="20"/>
        </w:rPr>
        <w:t>RFDA</w:t>
      </w:r>
      <w:r w:rsidRPr="00A53C44">
        <w:rPr>
          <w:rFonts w:ascii="Times New Roman" w:hAnsi="Times New Roman" w:cs="Times New Roman"/>
          <w:sz w:val="20"/>
          <w:szCs w:val="20"/>
        </w:rPr>
        <w:t xml:space="preserve"> 2024, 682.</w:t>
      </w:r>
    </w:p>
  </w:footnote>
  <w:footnote w:id="40">
    <w:p w14:paraId="00000307" w14:textId="05ABCAEC"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241EA2" w:rsidRPr="00A53C44">
        <w:rPr>
          <w:rFonts w:ascii="Times New Roman" w:hAnsi="Times New Roman" w:cs="Times New Roman"/>
          <w:sz w:val="20"/>
          <w:szCs w:val="20"/>
        </w:rPr>
        <w:t xml:space="preserve">Brodley, J. 1987. “The Economic Goals of Antitrust: Efficiency, Consumer Welfare, and Technological Progress.” </w:t>
      </w:r>
      <w:r w:rsidR="00241EA2" w:rsidRPr="00A53C44">
        <w:rPr>
          <w:rFonts w:ascii="Times New Roman" w:hAnsi="Times New Roman" w:cs="Times New Roman"/>
          <w:i/>
          <w:sz w:val="20"/>
          <w:szCs w:val="20"/>
        </w:rPr>
        <w:t>New York University Law Review</w:t>
      </w:r>
      <w:r w:rsidR="00241EA2" w:rsidRPr="00A53C44">
        <w:rPr>
          <w:rFonts w:ascii="Times New Roman" w:hAnsi="Times New Roman" w:cs="Times New Roman"/>
          <w:sz w:val="20"/>
          <w:szCs w:val="20"/>
        </w:rPr>
        <w:t xml:space="preserve"> 62: 1020–1048; Stylianou, K., and M. Iacovides. 2022. “The Goals of EU Competition Law: A Comprehensive Empirical Investigation.” </w:t>
      </w:r>
      <w:r w:rsidR="00241EA2" w:rsidRPr="00A53C44">
        <w:rPr>
          <w:rFonts w:ascii="Times New Roman" w:hAnsi="Times New Roman" w:cs="Times New Roman"/>
          <w:i/>
          <w:sz w:val="20"/>
          <w:szCs w:val="20"/>
        </w:rPr>
        <w:t>Legal Studies</w:t>
      </w:r>
      <w:r w:rsidR="00241EA2" w:rsidRPr="00A53C44">
        <w:rPr>
          <w:rFonts w:ascii="Times New Roman" w:hAnsi="Times New Roman" w:cs="Times New Roman"/>
          <w:sz w:val="20"/>
          <w:szCs w:val="20"/>
        </w:rPr>
        <w:t xml:space="preserve"> 42(4): 620–648. </w:t>
      </w:r>
      <w:hyperlink r:id="rId8">
        <w:r w:rsidR="00241EA2" w:rsidRPr="00A53C44">
          <w:rPr>
            <w:rFonts w:ascii="Times New Roman" w:hAnsi="Times New Roman" w:cs="Times New Roman"/>
            <w:color w:val="1155CC"/>
            <w:sz w:val="20"/>
            <w:szCs w:val="20"/>
            <w:u w:val="single"/>
          </w:rPr>
          <w:t>https://ssrn.com/abstract=4060346</w:t>
        </w:r>
      </w:hyperlink>
      <w:r w:rsidR="00241EA2" w:rsidRPr="00A53C44">
        <w:rPr>
          <w:rFonts w:ascii="Times New Roman" w:hAnsi="Times New Roman" w:cs="Times New Roman"/>
          <w:sz w:val="20"/>
          <w:szCs w:val="20"/>
        </w:rPr>
        <w:t xml:space="preserve">; </w:t>
      </w:r>
      <w:r w:rsidRPr="00A53C44">
        <w:rPr>
          <w:rFonts w:ascii="Times New Roman" w:hAnsi="Times New Roman" w:cs="Times New Roman"/>
          <w:sz w:val="20"/>
          <w:szCs w:val="20"/>
        </w:rPr>
        <w:t xml:space="preserve">Iacovides, M.C., and K. Stylianou. 2024. “The New Goals of EU Competition Law: Sustainability, Labour Rights, and Privacy.” </w:t>
      </w:r>
      <w:r w:rsidRPr="00A53C44">
        <w:rPr>
          <w:rFonts w:ascii="Times New Roman" w:hAnsi="Times New Roman" w:cs="Times New Roman"/>
          <w:i/>
          <w:sz w:val="20"/>
          <w:szCs w:val="20"/>
        </w:rPr>
        <w:t>European Law Open</w:t>
      </w:r>
      <w:r w:rsidRPr="00A53C44">
        <w:rPr>
          <w:rFonts w:ascii="Times New Roman" w:hAnsi="Times New Roman" w:cs="Times New Roman"/>
          <w:sz w:val="20"/>
          <w:szCs w:val="20"/>
        </w:rPr>
        <w:t xml:space="preserve"> 3(3): 587–616. https://doi.org/10.1017/elo.2024.31.</w:t>
      </w:r>
    </w:p>
  </w:footnote>
  <w:footnote w:id="41">
    <w:p w14:paraId="0000030A"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Marangos, J. 2008. “The Evolution of the Anti-Washington Consensus Debate: From ‘Post-Washington Consensus’ to ‘After the Washington Consensus.’” </w:t>
      </w:r>
      <w:r w:rsidRPr="00A53C44">
        <w:rPr>
          <w:rFonts w:ascii="Times New Roman" w:hAnsi="Times New Roman" w:cs="Times New Roman"/>
          <w:i/>
          <w:sz w:val="20"/>
          <w:szCs w:val="20"/>
        </w:rPr>
        <w:t>Competition &amp; Change</w:t>
      </w:r>
      <w:r w:rsidRPr="00A53C44">
        <w:rPr>
          <w:rFonts w:ascii="Times New Roman" w:hAnsi="Times New Roman" w:cs="Times New Roman"/>
          <w:sz w:val="20"/>
          <w:szCs w:val="20"/>
        </w:rPr>
        <w:t xml:space="preserve"> 12: 227–252.</w:t>
      </w:r>
    </w:p>
  </w:footnote>
  <w:footnote w:id="42">
    <w:p w14:paraId="0000030B" w14:textId="3ACC89BA"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Posner, R. 1979. “The Chicago School of Antitrust Analysis.” </w:t>
      </w:r>
      <w:r w:rsidRPr="00A53C44">
        <w:rPr>
          <w:rFonts w:ascii="Times New Roman" w:hAnsi="Times New Roman" w:cs="Times New Roman"/>
          <w:i/>
          <w:sz w:val="20"/>
          <w:szCs w:val="20"/>
        </w:rPr>
        <w:t>University of Pennsylvania Law Review</w:t>
      </w:r>
      <w:r w:rsidRPr="00A53C44">
        <w:rPr>
          <w:rFonts w:ascii="Times New Roman" w:hAnsi="Times New Roman" w:cs="Times New Roman"/>
          <w:sz w:val="20"/>
          <w:szCs w:val="20"/>
        </w:rPr>
        <w:t xml:space="preserve"> 127: 925–948</w:t>
      </w:r>
      <w:r w:rsidR="00595263" w:rsidRPr="00A53C44">
        <w:rPr>
          <w:rFonts w:ascii="Times New Roman" w:hAnsi="Times New Roman" w:cs="Times New Roman"/>
          <w:sz w:val="20"/>
          <w:szCs w:val="20"/>
        </w:rPr>
        <w:t xml:space="preserve">; Kirkwood, J., and R. Lande. 2008. “The Chicago School’s Foundation Is Flawed: Antitrust Protects Consumers, Not Efficiency.” In </w:t>
      </w:r>
      <w:r w:rsidR="00595263" w:rsidRPr="00A53C44">
        <w:rPr>
          <w:rFonts w:ascii="Times New Roman" w:hAnsi="Times New Roman" w:cs="Times New Roman"/>
          <w:i/>
          <w:sz w:val="20"/>
          <w:szCs w:val="20"/>
        </w:rPr>
        <w:t>How the Chicago School Overshot the Mark: The Effect of Conservative Economic Analysis on U.S. Antitrust</w:t>
      </w:r>
      <w:r w:rsidR="00595263" w:rsidRPr="00A53C44">
        <w:rPr>
          <w:rFonts w:ascii="Times New Roman" w:hAnsi="Times New Roman" w:cs="Times New Roman"/>
          <w:sz w:val="20"/>
          <w:szCs w:val="20"/>
        </w:rPr>
        <w:t>, edited by R. Pitofsky, 89–106. Oxford: Oxford University Press.</w:t>
      </w:r>
    </w:p>
  </w:footnote>
  <w:footnote w:id="43">
    <w:p w14:paraId="0000030D"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Bartalevich, D. 2016. “The Influence of the Chicago School on the Commission’s Guidelines, Notices and Block Exemption Regulations in EU Competition Policy.” </w:t>
      </w:r>
      <w:r w:rsidRPr="00A53C44">
        <w:rPr>
          <w:rFonts w:ascii="Times New Roman" w:hAnsi="Times New Roman" w:cs="Times New Roman"/>
          <w:i/>
          <w:sz w:val="20"/>
          <w:szCs w:val="20"/>
        </w:rPr>
        <w:t>Journal of Common Market Studies</w:t>
      </w:r>
      <w:r w:rsidRPr="00A53C44">
        <w:rPr>
          <w:rFonts w:ascii="Times New Roman" w:hAnsi="Times New Roman" w:cs="Times New Roman"/>
          <w:sz w:val="20"/>
          <w:szCs w:val="20"/>
        </w:rPr>
        <w:t xml:space="preserve"> 54: 267–285.</w:t>
      </w:r>
    </w:p>
  </w:footnote>
  <w:footnote w:id="44">
    <w:p w14:paraId="0000030E"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Stylianou, K., and M. Iacovides. 2022. “The Goals of EU Competition Law: A Comprehensive Empirical Investigation.” </w:t>
      </w:r>
      <w:r w:rsidRPr="00A53C44">
        <w:rPr>
          <w:rFonts w:ascii="Times New Roman" w:hAnsi="Times New Roman" w:cs="Times New Roman"/>
          <w:i/>
          <w:sz w:val="20"/>
          <w:szCs w:val="20"/>
        </w:rPr>
        <w:t>Legal Studies</w:t>
      </w:r>
      <w:r w:rsidRPr="00A53C44">
        <w:rPr>
          <w:rFonts w:ascii="Times New Roman" w:hAnsi="Times New Roman" w:cs="Times New Roman"/>
          <w:sz w:val="20"/>
          <w:szCs w:val="20"/>
        </w:rPr>
        <w:t xml:space="preserve"> 42(4): 620–648. </w:t>
      </w:r>
      <w:hyperlink r:id="rId9">
        <w:r w:rsidR="00176EDE" w:rsidRPr="00A53C44">
          <w:rPr>
            <w:rFonts w:ascii="Times New Roman" w:hAnsi="Times New Roman" w:cs="Times New Roman"/>
            <w:color w:val="1155CC"/>
            <w:sz w:val="20"/>
            <w:szCs w:val="20"/>
            <w:u w:val="single"/>
          </w:rPr>
          <w:t>https://ssrn.com/abstract=4060346</w:t>
        </w:r>
      </w:hyperlink>
      <w:r w:rsidRPr="00A53C44">
        <w:rPr>
          <w:rFonts w:ascii="Times New Roman" w:hAnsi="Times New Roman" w:cs="Times New Roman"/>
          <w:sz w:val="20"/>
          <w:szCs w:val="20"/>
        </w:rPr>
        <w:t>.</w:t>
      </w:r>
    </w:p>
  </w:footnote>
  <w:footnote w:id="45">
    <w:p w14:paraId="0000030F"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Marty, F. 2020. “Is the Consumer Welfare Obsolete? A European Union Competition Law Perspective.” GREDEG Working Paper No. 2020-13. </w:t>
      </w:r>
      <w:hyperlink r:id="rId10">
        <w:r w:rsidR="00176EDE" w:rsidRPr="00A53C44">
          <w:rPr>
            <w:rFonts w:ascii="Times New Roman" w:hAnsi="Times New Roman" w:cs="Times New Roman"/>
            <w:color w:val="1155CC"/>
            <w:sz w:val="20"/>
            <w:szCs w:val="20"/>
            <w:u w:val="single"/>
          </w:rPr>
          <w:t>https://ideas.repec.org/s/gre/wpaper.html</w:t>
        </w:r>
      </w:hyperlink>
      <w:r w:rsidRPr="00A53C44">
        <w:rPr>
          <w:rFonts w:ascii="Times New Roman" w:hAnsi="Times New Roman" w:cs="Times New Roman"/>
          <w:sz w:val="20"/>
          <w:szCs w:val="20"/>
        </w:rPr>
        <w:t>.</w:t>
      </w:r>
    </w:p>
  </w:footnote>
  <w:footnote w:id="46">
    <w:p w14:paraId="4E3F06F1" w14:textId="3A3943CD" w:rsidR="00595263" w:rsidRPr="00A53C44" w:rsidRDefault="00595263" w:rsidP="00A53C44">
      <w:pPr>
        <w:pStyle w:val="Notedebasdepage"/>
        <w:jc w:val="both"/>
        <w:rPr>
          <w:rFonts w:ascii="Times New Roman" w:hAnsi="Times New Roman" w:cs="Times New Roman"/>
          <w:lang w:val="fr-FR"/>
        </w:rPr>
      </w:pPr>
      <w:r w:rsidRPr="00A53C44">
        <w:rPr>
          <w:rStyle w:val="Appelnotedebasdep"/>
          <w:rFonts w:ascii="Times New Roman" w:hAnsi="Times New Roman" w:cs="Times New Roman"/>
        </w:rPr>
        <w:footnoteRef/>
      </w:r>
      <w:r w:rsidRPr="00A53C44">
        <w:rPr>
          <w:rFonts w:ascii="Times New Roman" w:hAnsi="Times New Roman" w:cs="Times New Roman"/>
        </w:rPr>
        <w:t xml:space="preserve"> Iacovides, M.C., and K. Stylianou. 2024. “The New Goals of EU Competition Law: Sustainability, Labour Rights, and Privacy.” </w:t>
      </w:r>
      <w:r w:rsidRPr="00A53C44">
        <w:rPr>
          <w:rFonts w:ascii="Times New Roman" w:hAnsi="Times New Roman" w:cs="Times New Roman"/>
          <w:i/>
        </w:rPr>
        <w:t>European Law Open</w:t>
      </w:r>
      <w:r w:rsidRPr="00A53C44">
        <w:rPr>
          <w:rFonts w:ascii="Times New Roman" w:hAnsi="Times New Roman" w:cs="Times New Roman"/>
        </w:rPr>
        <w:t xml:space="preserve"> 3(3): 587–616. https://doi.org/10.1017/elo.2024.31.</w:t>
      </w:r>
    </w:p>
  </w:footnote>
  <w:footnote w:id="47">
    <w:p w14:paraId="00000310"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Pr="00A53C44">
        <w:rPr>
          <w:rFonts w:ascii="Times New Roman" w:hAnsi="Times New Roman" w:cs="Times New Roman"/>
          <w:i/>
          <w:sz w:val="20"/>
          <w:szCs w:val="20"/>
        </w:rPr>
        <w:t>United States v. Terminal Railroad Association</w:t>
      </w:r>
      <w:r w:rsidRPr="00A53C44">
        <w:rPr>
          <w:rFonts w:ascii="Times New Roman" w:hAnsi="Times New Roman" w:cs="Times New Roman"/>
          <w:sz w:val="20"/>
          <w:szCs w:val="20"/>
        </w:rPr>
        <w:t>, 224 U.S. 383 (1912).</w:t>
      </w:r>
    </w:p>
  </w:footnote>
  <w:footnote w:id="48">
    <w:p w14:paraId="00000311"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Commission of the European Communities. 1993. Decision IV/34.689, </w:t>
      </w:r>
      <w:r w:rsidRPr="00A53C44">
        <w:rPr>
          <w:rFonts w:ascii="Times New Roman" w:hAnsi="Times New Roman" w:cs="Times New Roman"/>
          <w:i/>
          <w:sz w:val="20"/>
          <w:szCs w:val="20"/>
        </w:rPr>
        <w:t>Sea Containers v. Stena Sealink</w:t>
      </w:r>
      <w:r w:rsidRPr="00A53C44">
        <w:rPr>
          <w:rFonts w:ascii="Times New Roman" w:hAnsi="Times New Roman" w:cs="Times New Roman"/>
          <w:sz w:val="20"/>
          <w:szCs w:val="20"/>
        </w:rPr>
        <w:t>, O.J. C 15/8, Jan. 8, 1994, §66.</w:t>
      </w:r>
    </w:p>
  </w:footnote>
  <w:footnote w:id="49">
    <w:p w14:paraId="00000312"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Commission of the European Communities. 1993. Decision on refusal of access to the </w:t>
      </w:r>
      <w:r w:rsidRPr="00A53C44">
        <w:rPr>
          <w:rFonts w:ascii="Times New Roman" w:hAnsi="Times New Roman" w:cs="Times New Roman"/>
          <w:i/>
          <w:sz w:val="20"/>
          <w:szCs w:val="20"/>
        </w:rPr>
        <w:t>Port of Rodby</w:t>
      </w:r>
      <w:r w:rsidRPr="00A53C44">
        <w:rPr>
          <w:rFonts w:ascii="Times New Roman" w:hAnsi="Times New Roman" w:cs="Times New Roman"/>
          <w:sz w:val="20"/>
          <w:szCs w:val="20"/>
        </w:rPr>
        <w:t>, O.J. L 55/52, Feb. 26, 1994.</w:t>
      </w:r>
    </w:p>
  </w:footnote>
  <w:footnote w:id="50">
    <w:p w14:paraId="00000314"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Bronner, C-7/97, 26 Nov. 1998, Oscar Bronner v. Mediaprint, CJEC.</w:t>
      </w:r>
    </w:p>
  </w:footnote>
  <w:footnote w:id="51">
    <w:p w14:paraId="00000313"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Pr="00A53C44">
        <w:rPr>
          <w:rFonts w:ascii="Times New Roman" w:hAnsi="Times New Roman" w:cs="Times New Roman"/>
          <w:i/>
          <w:sz w:val="20"/>
          <w:szCs w:val="20"/>
        </w:rPr>
        <w:t xml:space="preserve">Magill, </w:t>
      </w:r>
      <w:r w:rsidRPr="00A53C44">
        <w:rPr>
          <w:rFonts w:ascii="Times New Roman" w:hAnsi="Times New Roman" w:cs="Times New Roman"/>
          <w:sz w:val="20"/>
          <w:szCs w:val="20"/>
        </w:rPr>
        <w:t>J</w:t>
      </w:r>
      <w:r w:rsidRPr="00A53C44">
        <w:rPr>
          <w:rFonts w:ascii="Times New Roman" w:hAnsi="Times New Roman" w:cs="Times New Roman"/>
          <w:i/>
          <w:sz w:val="20"/>
          <w:szCs w:val="20"/>
        </w:rPr>
        <w:t>oined Cases C-241 &amp; C-242/91, 6 Apr. 1995, Radio Telefis Eireann v. Commission, CJEC.</w:t>
      </w:r>
    </w:p>
  </w:footnote>
  <w:footnote w:id="52">
    <w:p w14:paraId="00000303"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Nikolas Guggenberger, </w:t>
      </w:r>
      <w:r w:rsidRPr="00A53C44">
        <w:rPr>
          <w:rFonts w:ascii="Times New Roman" w:hAnsi="Times New Roman" w:cs="Times New Roman"/>
          <w:i/>
          <w:sz w:val="20"/>
          <w:szCs w:val="20"/>
        </w:rPr>
        <w:t>The Essential Facilities Doctrine in the Digital Economy: Dispelling Persistent Myths</w:t>
      </w:r>
      <w:r w:rsidRPr="00A53C44">
        <w:rPr>
          <w:rFonts w:ascii="Times New Roman" w:hAnsi="Times New Roman" w:cs="Times New Roman"/>
          <w:sz w:val="20"/>
          <w:szCs w:val="20"/>
        </w:rPr>
        <w:t>, 23 Yale J.L. &amp; Tech. 301 (2023).</w:t>
      </w:r>
    </w:p>
  </w:footnote>
  <w:footnote w:id="53">
    <w:p w14:paraId="00000304"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Pr="00A53C44">
        <w:rPr>
          <w:rFonts w:ascii="Times New Roman" w:hAnsi="Times New Roman" w:cs="Times New Roman"/>
          <w:i/>
          <w:sz w:val="20"/>
          <w:szCs w:val="20"/>
        </w:rPr>
        <w:t>Verizon Communications, Inc. v. Law Offices of Curtis V. Trinko, LLP</w:t>
      </w:r>
      <w:r w:rsidRPr="00A53C44">
        <w:rPr>
          <w:rFonts w:ascii="Times New Roman" w:hAnsi="Times New Roman" w:cs="Times New Roman"/>
          <w:sz w:val="20"/>
          <w:szCs w:val="20"/>
        </w:rPr>
        <w:t>, 540 U.S. 398 (2003).</w:t>
      </w:r>
    </w:p>
  </w:footnote>
  <w:footnote w:id="54">
    <w:p w14:paraId="00000305"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Pr="00A53C44">
        <w:rPr>
          <w:rFonts w:ascii="Times New Roman" w:hAnsi="Times New Roman" w:cs="Times New Roman"/>
          <w:i/>
          <w:sz w:val="20"/>
          <w:szCs w:val="20"/>
        </w:rPr>
        <w:t xml:space="preserve">Magill, </w:t>
      </w:r>
      <w:r w:rsidRPr="00A53C44">
        <w:rPr>
          <w:rFonts w:ascii="Times New Roman" w:hAnsi="Times New Roman" w:cs="Times New Roman"/>
          <w:sz w:val="20"/>
          <w:szCs w:val="20"/>
        </w:rPr>
        <w:t>J</w:t>
      </w:r>
      <w:r w:rsidRPr="00A53C44">
        <w:rPr>
          <w:rFonts w:ascii="Times New Roman" w:hAnsi="Times New Roman" w:cs="Times New Roman"/>
          <w:i/>
          <w:sz w:val="20"/>
          <w:szCs w:val="20"/>
        </w:rPr>
        <w:t>oined Cases C-241 &amp; C-242/91, 6 Apr. 1995, Radio Telefis Eireann v. Commission, CJEC.</w:t>
      </w:r>
    </w:p>
  </w:footnote>
  <w:footnote w:id="55">
    <w:p w14:paraId="00000306"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Pr="00A53C44">
        <w:rPr>
          <w:rFonts w:ascii="Times New Roman" w:hAnsi="Times New Roman" w:cs="Times New Roman"/>
          <w:i/>
          <w:sz w:val="20"/>
          <w:szCs w:val="20"/>
        </w:rPr>
        <w:t>Ibid</w:t>
      </w:r>
      <w:r w:rsidRPr="00A53C44">
        <w:rPr>
          <w:rFonts w:ascii="Times New Roman" w:hAnsi="Times New Roman" w:cs="Times New Roman"/>
          <w:sz w:val="20"/>
          <w:szCs w:val="20"/>
        </w:rPr>
        <w:t>.</w:t>
      </w:r>
    </w:p>
  </w:footnote>
  <w:footnote w:id="56">
    <w:p w14:paraId="00000315"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Radic, Lazar. 2025. </w:t>
      </w:r>
      <w:r w:rsidRPr="00A53C44">
        <w:rPr>
          <w:rFonts w:ascii="Times New Roman" w:hAnsi="Times New Roman" w:cs="Times New Roman"/>
          <w:i/>
          <w:sz w:val="20"/>
          <w:szCs w:val="20"/>
        </w:rPr>
        <w:t>Imaginary Consensus as a Legitimizing Philosophy of the New Antitrust Meta-Narrative</w:t>
      </w:r>
      <w:r w:rsidRPr="00A53C44">
        <w:rPr>
          <w:rFonts w:ascii="Times New Roman" w:hAnsi="Times New Roman" w:cs="Times New Roman"/>
          <w:sz w:val="20"/>
          <w:szCs w:val="20"/>
        </w:rPr>
        <w:t>. ICLE Issue Brief, January 31, 2025.</w:t>
      </w:r>
    </w:p>
  </w:footnote>
  <w:footnote w:id="57">
    <w:p w14:paraId="00000317"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Horwitz, Morton J. 1992. </w:t>
      </w:r>
      <w:r w:rsidRPr="00A53C44">
        <w:rPr>
          <w:rFonts w:ascii="Times New Roman" w:hAnsi="Times New Roman" w:cs="Times New Roman"/>
          <w:i/>
          <w:sz w:val="20"/>
          <w:szCs w:val="20"/>
        </w:rPr>
        <w:t>The Transformation of American Law, 1870–1960: The Crisis of Legal Orthodoxy</w:t>
      </w:r>
      <w:r w:rsidRPr="00A53C44">
        <w:rPr>
          <w:rFonts w:ascii="Times New Roman" w:hAnsi="Times New Roman" w:cs="Times New Roman"/>
          <w:sz w:val="20"/>
          <w:szCs w:val="20"/>
        </w:rPr>
        <w:t>. New York: Oxford University Press.</w:t>
      </w:r>
    </w:p>
  </w:footnote>
  <w:footnote w:id="58">
    <w:p w14:paraId="00000316"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Pr="00A53C44">
        <w:rPr>
          <w:rFonts w:ascii="Times New Roman" w:hAnsi="Times New Roman" w:cs="Times New Roman"/>
          <w:i/>
          <w:sz w:val="20"/>
          <w:szCs w:val="20"/>
        </w:rPr>
        <w:t>Ibid</w:t>
      </w:r>
      <w:r w:rsidRPr="00A53C44">
        <w:rPr>
          <w:rFonts w:ascii="Times New Roman" w:hAnsi="Times New Roman" w:cs="Times New Roman"/>
          <w:sz w:val="20"/>
          <w:szCs w:val="20"/>
        </w:rPr>
        <w:t>., 271.</w:t>
      </w:r>
    </w:p>
  </w:footnote>
  <w:footnote w:id="59">
    <w:p w14:paraId="00000318" w14:textId="6FC7B4F1"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00595263" w:rsidRPr="00A53C44">
        <w:rPr>
          <w:rFonts w:ascii="Times New Roman" w:hAnsi="Times New Roman" w:cs="Times New Roman"/>
          <w:sz w:val="20"/>
          <w:szCs w:val="20"/>
        </w:rPr>
        <w:t xml:space="preserve">Dorsey, Elyse, Geoffrey A. Manne, Jan M. Rybnicek, Kristian Stout, and Joshua D. Wright. 2020. “Consumer Welfare &amp; the Rule of Law: The Case Against the New Populist Antitrust Movement.” </w:t>
      </w:r>
      <w:r w:rsidR="00595263" w:rsidRPr="00A53C44">
        <w:rPr>
          <w:rFonts w:ascii="Times New Roman" w:hAnsi="Times New Roman" w:cs="Times New Roman"/>
          <w:i/>
          <w:sz w:val="20"/>
          <w:szCs w:val="20"/>
        </w:rPr>
        <w:t>Pepperdine Law Review</w:t>
      </w:r>
      <w:r w:rsidR="00595263" w:rsidRPr="00A53C44">
        <w:rPr>
          <w:rFonts w:ascii="Times New Roman" w:hAnsi="Times New Roman" w:cs="Times New Roman"/>
          <w:sz w:val="20"/>
          <w:szCs w:val="20"/>
        </w:rPr>
        <w:t xml:space="preserve"> 47 (4): 861–914; </w:t>
      </w:r>
      <w:r w:rsidRPr="00A53C44">
        <w:rPr>
          <w:rFonts w:ascii="Times New Roman" w:hAnsi="Times New Roman" w:cs="Times New Roman"/>
          <w:sz w:val="20"/>
          <w:szCs w:val="20"/>
        </w:rPr>
        <w:t xml:space="preserve">Hovenkamp, Herbert J. 2021. “Is Antitrust’s Consumer Welfare Principle Imperiled?” </w:t>
      </w:r>
      <w:r w:rsidRPr="00A53C44">
        <w:rPr>
          <w:rFonts w:ascii="Times New Roman" w:hAnsi="Times New Roman" w:cs="Times New Roman"/>
          <w:i/>
          <w:sz w:val="20"/>
          <w:szCs w:val="20"/>
        </w:rPr>
        <w:t>Journal of Corporation Law</w:t>
      </w:r>
      <w:r w:rsidRPr="00A53C44">
        <w:rPr>
          <w:rFonts w:ascii="Times New Roman" w:hAnsi="Times New Roman" w:cs="Times New Roman"/>
          <w:sz w:val="20"/>
          <w:szCs w:val="20"/>
        </w:rPr>
        <w:t xml:space="preserve"> 45 (1): 65–98;Dorsey, Elyse, Geoffrey A. Manne, Jan M. Rybnicek, Kristian Stout, and Joshua D. Wright. 2020. “Consumer Welfare &amp; the Rule of Law: The Case Against the New Populist Antitrust Movement.” </w:t>
      </w:r>
      <w:r w:rsidRPr="00A53C44">
        <w:rPr>
          <w:rFonts w:ascii="Times New Roman" w:hAnsi="Times New Roman" w:cs="Times New Roman"/>
          <w:i/>
          <w:sz w:val="20"/>
          <w:szCs w:val="20"/>
        </w:rPr>
        <w:t>Pepperdine Law Review</w:t>
      </w:r>
      <w:r w:rsidRPr="00A53C44">
        <w:rPr>
          <w:rFonts w:ascii="Times New Roman" w:hAnsi="Times New Roman" w:cs="Times New Roman"/>
          <w:sz w:val="20"/>
          <w:szCs w:val="20"/>
        </w:rPr>
        <w:t xml:space="preserve"> 47 (4): 861–914.</w:t>
      </w:r>
    </w:p>
  </w:footnote>
  <w:footnote w:id="60">
    <w:p w14:paraId="0000031B" w14:textId="0BFCA55F"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Michael G. Jacobides and Ioannis Lianos. 2021. “Ecosystems and Competition Law in Theory and Practice,” SSRN Scholarly Paper, February 10, 2021, </w:t>
      </w:r>
      <w:hyperlink r:id="rId11" w:history="1">
        <w:r w:rsidR="00595263" w:rsidRPr="00A53C44">
          <w:rPr>
            <w:rStyle w:val="Lienhypertexte"/>
            <w:rFonts w:ascii="Times New Roman" w:hAnsi="Times New Roman" w:cs="Times New Roman"/>
            <w:sz w:val="20"/>
            <w:szCs w:val="20"/>
          </w:rPr>
          <w:t>https://doi.org/10.2139/ssrn.3772366</w:t>
        </w:r>
      </w:hyperlink>
      <w:r w:rsidR="00595263" w:rsidRPr="00A53C44">
        <w:rPr>
          <w:rFonts w:ascii="Times New Roman" w:hAnsi="Times New Roman" w:cs="Times New Roman"/>
          <w:sz w:val="20"/>
          <w:szCs w:val="20"/>
        </w:rPr>
        <w:t xml:space="preserve">; Fatma Ceren Morbel. 2023. “Regulating Digital Gatekeepers – the Digital Markets Act,” European Competition and Regulatory Law Review 7, no. 4: 206–15, </w:t>
      </w:r>
      <w:hyperlink r:id="rId12">
        <w:r w:rsidR="00595263" w:rsidRPr="00A53C44">
          <w:rPr>
            <w:rFonts w:ascii="Times New Roman" w:hAnsi="Times New Roman" w:cs="Times New Roman"/>
            <w:color w:val="1155CC"/>
            <w:sz w:val="20"/>
            <w:szCs w:val="20"/>
            <w:u w:val="single"/>
          </w:rPr>
          <w:t>https://doi.org/10.21552/core/2023/4/4</w:t>
        </w:r>
      </w:hyperlink>
      <w:r w:rsidR="00595263" w:rsidRPr="00A53C44">
        <w:rPr>
          <w:rFonts w:ascii="Times New Roman" w:hAnsi="Times New Roman" w:cs="Times New Roman"/>
          <w:sz w:val="20"/>
          <w:szCs w:val="20"/>
        </w:rPr>
        <w:t xml:space="preserve">; Rupprecht Podszun. August 2023. “From Competition Law to Platform Regulation – Regulatory Choices for the Digital Markets Act,” Economics: The Open-Access, Open-Assessment E-Journal 17, no. 1, </w:t>
      </w:r>
      <w:hyperlink r:id="rId13">
        <w:r w:rsidR="00595263" w:rsidRPr="00A53C44">
          <w:rPr>
            <w:rFonts w:ascii="Times New Roman" w:hAnsi="Times New Roman" w:cs="Times New Roman"/>
            <w:color w:val="1155CC"/>
            <w:sz w:val="20"/>
            <w:szCs w:val="20"/>
            <w:u w:val="single"/>
          </w:rPr>
          <w:t>https://doi.org/10.1515/econ-2022-0037</w:t>
        </w:r>
      </w:hyperlink>
      <w:r w:rsidR="00595263" w:rsidRPr="00A53C44">
        <w:rPr>
          <w:rFonts w:ascii="Times New Roman" w:hAnsi="Times New Roman" w:cs="Times New Roman"/>
          <w:sz w:val="20"/>
          <w:szCs w:val="20"/>
        </w:rPr>
        <w:t>;</w:t>
      </w:r>
    </w:p>
  </w:footnote>
  <w:footnote w:id="61">
    <w:p w14:paraId="0000031E"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Larouche, Pierre, and Alexandre De Streel. 2021. “The European Digital Market: A Revolution Grounded on Traditions.” </w:t>
      </w:r>
      <w:r w:rsidRPr="00A53C44">
        <w:rPr>
          <w:rFonts w:ascii="Times New Roman" w:hAnsi="Times New Roman" w:cs="Times New Roman"/>
          <w:i/>
          <w:sz w:val="20"/>
          <w:szCs w:val="20"/>
        </w:rPr>
        <w:t>Journal of European Competition Law &amp; Practice</w:t>
      </w:r>
      <w:r w:rsidRPr="00A53C44">
        <w:rPr>
          <w:rFonts w:ascii="Times New Roman" w:hAnsi="Times New Roman" w:cs="Times New Roman"/>
          <w:sz w:val="20"/>
          <w:szCs w:val="20"/>
        </w:rPr>
        <w:t xml:space="preserve"> 12 (7): 542–549.</w:t>
      </w:r>
    </w:p>
  </w:footnote>
  <w:footnote w:id="62">
    <w:p w14:paraId="0000031F"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Beems, Belle. 2023. </w:t>
      </w:r>
      <w:r w:rsidRPr="00A53C44">
        <w:rPr>
          <w:rFonts w:ascii="Times New Roman" w:hAnsi="Times New Roman" w:cs="Times New Roman"/>
          <w:i/>
          <w:sz w:val="20"/>
          <w:szCs w:val="20"/>
        </w:rPr>
        <w:t>The DMA in the Broader Regulatory Landscape of the EU: An Institutional Perspective</w:t>
      </w:r>
      <w:r w:rsidRPr="00A53C44">
        <w:rPr>
          <w:rFonts w:ascii="Times New Roman" w:hAnsi="Times New Roman" w:cs="Times New Roman"/>
          <w:sz w:val="20"/>
          <w:szCs w:val="20"/>
        </w:rPr>
        <w:t xml:space="preserve">. </w:t>
      </w:r>
      <w:r w:rsidRPr="00A53C44">
        <w:rPr>
          <w:rFonts w:ascii="Times New Roman" w:hAnsi="Times New Roman" w:cs="Times New Roman"/>
          <w:i/>
          <w:sz w:val="20"/>
          <w:szCs w:val="20"/>
        </w:rPr>
        <w:t>European Competition Journal</w:t>
      </w:r>
      <w:r w:rsidRPr="00A53C44">
        <w:rPr>
          <w:rFonts w:ascii="Times New Roman" w:hAnsi="Times New Roman" w:cs="Times New Roman"/>
          <w:sz w:val="20"/>
          <w:szCs w:val="20"/>
        </w:rPr>
        <w:t xml:space="preserve"> 19 (1): 1–29. https://doi.org/10.1080/17441056.2022.2129766</w:t>
      </w:r>
    </w:p>
  </w:footnote>
  <w:footnote w:id="63">
    <w:p w14:paraId="00000320"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Pr="00A53C44">
        <w:rPr>
          <w:rFonts w:ascii="Times New Roman" w:hAnsi="Times New Roman" w:cs="Times New Roman"/>
          <w:i/>
          <w:sz w:val="20"/>
          <w:szCs w:val="20"/>
        </w:rPr>
        <w:t>Alphabet (Android Auto II)</w:t>
      </w:r>
      <w:r w:rsidRPr="00A53C44">
        <w:rPr>
          <w:rFonts w:ascii="Times New Roman" w:hAnsi="Times New Roman" w:cs="Times New Roman"/>
          <w:sz w:val="20"/>
          <w:szCs w:val="20"/>
        </w:rPr>
        <w:t>, C-233/23, ECLI:EU:C:2025:110, CJEU, 25 February 2025.</w:t>
      </w:r>
    </w:p>
  </w:footnote>
  <w:footnote w:id="64">
    <w:p w14:paraId="00000321"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Colangelo, Giuseppe. 2025. </w:t>
      </w:r>
      <w:r w:rsidRPr="00A53C44">
        <w:rPr>
          <w:rFonts w:ascii="Times New Roman" w:hAnsi="Times New Roman" w:cs="Times New Roman"/>
          <w:i/>
          <w:sz w:val="20"/>
          <w:szCs w:val="20"/>
        </w:rPr>
        <w:t>The EU Essential Facilities Doctrine after Android Auto: A Wild Card without Limiting Principles?</w:t>
      </w:r>
      <w:r w:rsidRPr="00A53C44">
        <w:rPr>
          <w:rFonts w:ascii="Times New Roman" w:hAnsi="Times New Roman" w:cs="Times New Roman"/>
          <w:sz w:val="20"/>
          <w:szCs w:val="20"/>
        </w:rPr>
        <w:t xml:space="preserve"> March 13, 2025. SSRN. </w:t>
      </w:r>
      <w:hyperlink r:id="rId14">
        <w:r w:rsidR="00176EDE" w:rsidRPr="00A53C44">
          <w:rPr>
            <w:rFonts w:ascii="Times New Roman" w:hAnsi="Times New Roman" w:cs="Times New Roman"/>
            <w:color w:val="1155CC"/>
            <w:sz w:val="20"/>
            <w:szCs w:val="20"/>
            <w:u w:val="single"/>
          </w:rPr>
          <w:t>https://ssrn.com/abstract=5176785</w:t>
        </w:r>
      </w:hyperlink>
      <w:r w:rsidRPr="00A53C44">
        <w:rPr>
          <w:rFonts w:ascii="Times New Roman" w:hAnsi="Times New Roman" w:cs="Times New Roman"/>
          <w:sz w:val="20"/>
          <w:szCs w:val="20"/>
        </w:rPr>
        <w:t>.</w:t>
      </w:r>
    </w:p>
  </w:footnote>
  <w:footnote w:id="65">
    <w:p w14:paraId="00000322"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Hong, Dae-sik, and D. Daniel Sokol. 2024. “Korea Should Prioritize Innovation, Not Misguided Platform Regulation.” </w:t>
      </w:r>
      <w:r w:rsidRPr="00A53C44">
        <w:rPr>
          <w:rFonts w:ascii="Times New Roman" w:hAnsi="Times New Roman" w:cs="Times New Roman"/>
          <w:i/>
          <w:sz w:val="20"/>
          <w:szCs w:val="20"/>
        </w:rPr>
        <w:t>The Korea Herald</w:t>
      </w:r>
      <w:r w:rsidRPr="00A53C44">
        <w:rPr>
          <w:rFonts w:ascii="Times New Roman" w:hAnsi="Times New Roman" w:cs="Times New Roman"/>
          <w:sz w:val="20"/>
          <w:szCs w:val="20"/>
        </w:rPr>
        <w:t>, May 12, 2024.</w:t>
      </w:r>
    </w:p>
  </w:footnote>
  <w:footnote w:id="66">
    <w:p w14:paraId="00000319"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Editorial Board. 2024. “Another Lina Khan Theory Loses in Court.” </w:t>
      </w:r>
      <w:r w:rsidRPr="00A53C44">
        <w:rPr>
          <w:rFonts w:ascii="Times New Roman" w:hAnsi="Times New Roman" w:cs="Times New Roman"/>
          <w:i/>
          <w:sz w:val="20"/>
          <w:szCs w:val="20"/>
        </w:rPr>
        <w:t>Wall Street Journal</w:t>
      </w:r>
      <w:r w:rsidRPr="00A53C44">
        <w:rPr>
          <w:rFonts w:ascii="Times New Roman" w:hAnsi="Times New Roman" w:cs="Times New Roman"/>
          <w:sz w:val="20"/>
          <w:szCs w:val="20"/>
        </w:rPr>
        <w:t>, May 15, 2024. https://www.wsj.com/articles/ftc-loses-lawsuit-welsh-carson-u-s-anesthesia-partners-kenneth-hoyt-lina-khan-9a83b653.</w:t>
      </w:r>
    </w:p>
  </w:footnote>
  <w:footnote w:id="67">
    <w:p w14:paraId="00000323"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Wilson, Christine S., and Adam S. Cella. 2022. “Deconstructing the Worldview of the Neo-Brandeisians Through Marxism and Critical Legal Studies.” </w:t>
      </w:r>
      <w:r w:rsidRPr="00A53C44">
        <w:rPr>
          <w:rFonts w:ascii="Times New Roman" w:hAnsi="Times New Roman" w:cs="Times New Roman"/>
          <w:i/>
          <w:sz w:val="20"/>
          <w:szCs w:val="20"/>
        </w:rPr>
        <w:t>George Mason Law Review</w:t>
      </w:r>
      <w:r w:rsidRPr="00A53C44">
        <w:rPr>
          <w:rFonts w:ascii="Times New Roman" w:hAnsi="Times New Roman" w:cs="Times New Roman"/>
          <w:sz w:val="20"/>
          <w:szCs w:val="20"/>
        </w:rPr>
        <w:t xml:space="preserve"> 29 (3): 961–1023.</w:t>
      </w:r>
    </w:p>
  </w:footnote>
  <w:footnote w:id="68">
    <w:p w14:paraId="00000324" w14:textId="3BD14700"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Alemanno, Alberto. 2008. “The Shaping of European Risk Regulation by Community Courts.” </w:t>
      </w:r>
      <w:r w:rsidRPr="00A53C44">
        <w:rPr>
          <w:rFonts w:ascii="Times New Roman" w:hAnsi="Times New Roman" w:cs="Times New Roman"/>
          <w:i/>
          <w:sz w:val="20"/>
          <w:szCs w:val="20"/>
        </w:rPr>
        <w:t>European Law Journal</w:t>
      </w:r>
      <w:r w:rsidRPr="00A53C44">
        <w:rPr>
          <w:rFonts w:ascii="Times New Roman" w:hAnsi="Times New Roman" w:cs="Times New Roman"/>
          <w:sz w:val="20"/>
          <w:szCs w:val="20"/>
        </w:rPr>
        <w:t xml:space="preserve"> 14 (5): 623–44</w:t>
      </w:r>
      <w:r w:rsidR="00595263" w:rsidRPr="00A53C44">
        <w:rPr>
          <w:rFonts w:ascii="Times New Roman" w:hAnsi="Times New Roman" w:cs="Times New Roman"/>
          <w:sz w:val="20"/>
          <w:szCs w:val="20"/>
        </w:rPr>
        <w:t xml:space="preserve">; Curtin, Deirdre. 2014. “Challenging Executive Dominance in European Democracy.” </w:t>
      </w:r>
      <w:r w:rsidR="00595263" w:rsidRPr="00A53C44">
        <w:rPr>
          <w:rFonts w:ascii="Times New Roman" w:hAnsi="Times New Roman" w:cs="Times New Roman"/>
          <w:i/>
          <w:sz w:val="20"/>
          <w:szCs w:val="20"/>
        </w:rPr>
        <w:t>The Modern Law Review</w:t>
      </w:r>
      <w:r w:rsidR="00595263" w:rsidRPr="00A53C44">
        <w:rPr>
          <w:rFonts w:ascii="Times New Roman" w:hAnsi="Times New Roman" w:cs="Times New Roman"/>
          <w:sz w:val="20"/>
          <w:szCs w:val="20"/>
        </w:rPr>
        <w:t xml:space="preserve"> 77 (1): 1–32; Craig, Paul. 2021. </w:t>
      </w:r>
      <w:r w:rsidR="00595263" w:rsidRPr="00A53C44">
        <w:rPr>
          <w:rFonts w:ascii="Times New Roman" w:hAnsi="Times New Roman" w:cs="Times New Roman"/>
          <w:i/>
          <w:sz w:val="20"/>
          <w:szCs w:val="20"/>
        </w:rPr>
        <w:t>EU Administrative Law</w:t>
      </w:r>
      <w:r w:rsidR="00595263" w:rsidRPr="00A53C44">
        <w:rPr>
          <w:rFonts w:ascii="Times New Roman" w:hAnsi="Times New Roman" w:cs="Times New Roman"/>
          <w:sz w:val="20"/>
          <w:szCs w:val="20"/>
        </w:rPr>
        <w:t xml:space="preserve">. 3rd ed. Oxford: Oxford University Press;  Morvillo, M., and M. Weimer. 2022. “Who Shapes the CJEU Regulatory Jurisprudence? On the Epistemic Power of Economic Actors and Ways to Counter It.” </w:t>
      </w:r>
      <w:r w:rsidR="00595263" w:rsidRPr="00A53C44">
        <w:rPr>
          <w:rFonts w:ascii="Times New Roman" w:hAnsi="Times New Roman" w:cs="Times New Roman"/>
          <w:i/>
          <w:sz w:val="20"/>
          <w:szCs w:val="20"/>
        </w:rPr>
        <w:t>European Law Open</w:t>
      </w:r>
      <w:r w:rsidR="00595263" w:rsidRPr="00A53C44">
        <w:rPr>
          <w:rFonts w:ascii="Times New Roman" w:hAnsi="Times New Roman" w:cs="Times New Roman"/>
          <w:sz w:val="20"/>
          <w:szCs w:val="20"/>
        </w:rPr>
        <w:t xml:space="preserve"> 1 (3): 510–548. doi:10.1017/elo.2022.34</w:t>
      </w:r>
    </w:p>
  </w:footnote>
  <w:footnote w:id="69">
    <w:p w14:paraId="00000329"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Brito Bastos, Filipe. 2018. </w:t>
      </w:r>
      <w:r w:rsidRPr="00A53C44">
        <w:rPr>
          <w:rFonts w:ascii="Times New Roman" w:hAnsi="Times New Roman" w:cs="Times New Roman"/>
          <w:i/>
          <w:sz w:val="20"/>
          <w:szCs w:val="20"/>
        </w:rPr>
        <w:t>Beyond Executive Federalism: The Judicial Crafting of the Law of Composite Administrative Decision-Making</w:t>
      </w:r>
      <w:r w:rsidRPr="00A53C44">
        <w:rPr>
          <w:rFonts w:ascii="Times New Roman" w:hAnsi="Times New Roman" w:cs="Times New Roman"/>
          <w:sz w:val="20"/>
          <w:szCs w:val="20"/>
        </w:rPr>
        <w:t>. PhD Thesis, European University Institute, Florence, 13 June.</w:t>
      </w:r>
    </w:p>
  </w:footnote>
  <w:footnote w:id="70">
    <w:p w14:paraId="0000032A"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Pr="00A53C44">
        <w:rPr>
          <w:rFonts w:ascii="Times New Roman" w:hAnsi="Times New Roman" w:cs="Times New Roman"/>
          <w:i/>
          <w:sz w:val="20"/>
          <w:szCs w:val="20"/>
        </w:rPr>
        <w:t>Ibid</w:t>
      </w:r>
      <w:r w:rsidRPr="00A53C44">
        <w:rPr>
          <w:rFonts w:ascii="Times New Roman" w:hAnsi="Times New Roman" w:cs="Times New Roman"/>
          <w:sz w:val="20"/>
          <w:szCs w:val="20"/>
        </w:rPr>
        <w:t>.</w:t>
      </w:r>
    </w:p>
  </w:footnote>
  <w:footnote w:id="71">
    <w:p w14:paraId="0000032B"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Loper Bright Enterprises v. Raimondo, 603 U.S. 369 (2024). </w:t>
      </w:r>
    </w:p>
  </w:footnote>
  <w:footnote w:id="72">
    <w:p w14:paraId="0000032C"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Chevron, U.S.A., Inc. v. Nat. Res. Def. Council, Inc., 467 U.S. 837 (1984)</w:t>
      </w:r>
    </w:p>
  </w:footnote>
  <w:footnote w:id="73">
    <w:p w14:paraId="0000032D"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Sunstein, Cass R. 2025. “Our Marbury: Loper Bright and the Administrative State.” </w:t>
      </w:r>
      <w:r w:rsidRPr="00A53C44">
        <w:rPr>
          <w:rFonts w:ascii="Times New Roman" w:hAnsi="Times New Roman" w:cs="Times New Roman"/>
          <w:i/>
          <w:sz w:val="20"/>
          <w:szCs w:val="20"/>
        </w:rPr>
        <w:t>Duke Law Journal</w:t>
      </w:r>
      <w:r w:rsidRPr="00A53C44">
        <w:rPr>
          <w:rFonts w:ascii="Times New Roman" w:hAnsi="Times New Roman" w:cs="Times New Roman"/>
          <w:sz w:val="20"/>
          <w:szCs w:val="20"/>
        </w:rPr>
        <w:t xml:space="preserve"> 74: 1893–1945.</w:t>
      </w:r>
    </w:p>
  </w:footnote>
  <w:footnote w:id="74">
    <w:p w14:paraId="0000032E"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Sunstein, Cass R. 2021. “Zombie Chevron: A Celebration.” </w:t>
      </w:r>
      <w:r w:rsidRPr="00A53C44">
        <w:rPr>
          <w:rFonts w:ascii="Times New Roman" w:hAnsi="Times New Roman" w:cs="Times New Roman"/>
          <w:i/>
          <w:sz w:val="20"/>
          <w:szCs w:val="20"/>
        </w:rPr>
        <w:t>Ohio State Law Journal</w:t>
      </w:r>
      <w:r w:rsidRPr="00A53C44">
        <w:rPr>
          <w:rFonts w:ascii="Times New Roman" w:hAnsi="Times New Roman" w:cs="Times New Roman"/>
          <w:sz w:val="20"/>
          <w:szCs w:val="20"/>
        </w:rPr>
        <w:t xml:space="preserve"> 82: 565–598.</w:t>
      </w:r>
    </w:p>
  </w:footnote>
  <w:footnote w:id="75">
    <w:p w14:paraId="0000032F"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Feinstein, Brian D. 2025. “Presidential Administration and the Accountability Illusion.” </w:t>
      </w:r>
      <w:r w:rsidRPr="00A53C44">
        <w:rPr>
          <w:rFonts w:ascii="Times New Roman" w:hAnsi="Times New Roman" w:cs="Times New Roman"/>
          <w:i/>
          <w:sz w:val="20"/>
          <w:szCs w:val="20"/>
        </w:rPr>
        <w:t>Duke Law Journal</w:t>
      </w:r>
      <w:r w:rsidRPr="00A53C44">
        <w:rPr>
          <w:rFonts w:ascii="Times New Roman" w:hAnsi="Times New Roman" w:cs="Times New Roman"/>
          <w:sz w:val="20"/>
          <w:szCs w:val="20"/>
        </w:rPr>
        <w:t xml:space="preserve"> 74: 1791–1835.</w:t>
      </w:r>
    </w:p>
  </w:footnote>
  <w:footnote w:id="76">
    <w:p w14:paraId="00000330" w14:textId="3D702E98"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Sunstein, Cass R. 2025. “Our Marbury: Loper Bright and the Administrative State.” </w:t>
      </w:r>
      <w:r w:rsidRPr="00A53C44">
        <w:rPr>
          <w:rFonts w:ascii="Times New Roman" w:hAnsi="Times New Roman" w:cs="Times New Roman"/>
          <w:i/>
          <w:sz w:val="20"/>
          <w:szCs w:val="20"/>
        </w:rPr>
        <w:t>Duke Law Journal</w:t>
      </w:r>
      <w:r w:rsidRPr="00A53C44">
        <w:rPr>
          <w:rFonts w:ascii="Times New Roman" w:hAnsi="Times New Roman" w:cs="Times New Roman"/>
          <w:sz w:val="20"/>
          <w:szCs w:val="20"/>
        </w:rPr>
        <w:t xml:space="preserve"> 74: 1893–1945</w:t>
      </w:r>
      <w:r w:rsidR="00595263" w:rsidRPr="00A53C44">
        <w:rPr>
          <w:rFonts w:ascii="Times New Roman" w:hAnsi="Times New Roman" w:cs="Times New Roman"/>
          <w:sz w:val="20"/>
          <w:szCs w:val="20"/>
        </w:rPr>
        <w:t xml:space="preserve">; Coglianese, Cary, and David B. Froomkin. 2025. “Loper Bright’s Disingenuity.” </w:t>
      </w:r>
      <w:r w:rsidR="00595263" w:rsidRPr="00A53C44">
        <w:rPr>
          <w:rFonts w:ascii="Times New Roman" w:hAnsi="Times New Roman" w:cs="Times New Roman"/>
          <w:i/>
          <w:sz w:val="20"/>
          <w:szCs w:val="20"/>
        </w:rPr>
        <w:t xml:space="preserve">University of Pennsylvania Law Review </w:t>
      </w:r>
      <w:r w:rsidR="00595263" w:rsidRPr="00A53C44">
        <w:rPr>
          <w:rFonts w:ascii="Times New Roman" w:hAnsi="Times New Roman" w:cs="Times New Roman"/>
          <w:sz w:val="20"/>
          <w:szCs w:val="20"/>
        </w:rPr>
        <w:t xml:space="preserve">(forthcoming). SSRN: </w:t>
      </w:r>
      <w:hyperlink r:id="rId15">
        <w:r w:rsidR="00595263" w:rsidRPr="00A53C44">
          <w:rPr>
            <w:rFonts w:ascii="Times New Roman" w:hAnsi="Times New Roman" w:cs="Times New Roman"/>
            <w:color w:val="1155CC"/>
            <w:sz w:val="20"/>
            <w:szCs w:val="20"/>
            <w:u w:val="single"/>
          </w:rPr>
          <w:t>https://www.ssrn.com/abstract=5046620</w:t>
        </w:r>
      </w:hyperlink>
      <w:r w:rsidR="00595263" w:rsidRPr="00A53C44">
        <w:rPr>
          <w:rFonts w:ascii="Times New Roman" w:hAnsi="Times New Roman" w:cs="Times New Roman"/>
          <w:sz w:val="20"/>
          <w:szCs w:val="20"/>
        </w:rPr>
        <w:t>.</w:t>
      </w:r>
    </w:p>
  </w:footnote>
  <w:footnote w:id="77">
    <w:p w14:paraId="00000332"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w:t>
      </w:r>
      <w:r w:rsidRPr="00A53C44">
        <w:rPr>
          <w:rFonts w:ascii="Times New Roman" w:hAnsi="Times New Roman" w:cs="Times New Roman"/>
          <w:i/>
          <w:sz w:val="20"/>
          <w:szCs w:val="20"/>
        </w:rPr>
        <w:t>Ibid</w:t>
      </w:r>
      <w:r w:rsidRPr="00A53C44">
        <w:rPr>
          <w:rFonts w:ascii="Times New Roman" w:hAnsi="Times New Roman" w:cs="Times New Roman"/>
          <w:sz w:val="20"/>
          <w:szCs w:val="20"/>
        </w:rPr>
        <w:t>.</w:t>
      </w:r>
    </w:p>
  </w:footnote>
  <w:footnote w:id="78">
    <w:p w14:paraId="00000333"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Coglianese, Cary, and Daniel E. Walters. 2025. “The Great Unsettling: Administrative Governance After Loper Bright.” </w:t>
      </w:r>
      <w:r w:rsidRPr="00A53C44">
        <w:rPr>
          <w:rFonts w:ascii="Times New Roman" w:hAnsi="Times New Roman" w:cs="Times New Roman"/>
          <w:i/>
          <w:sz w:val="20"/>
          <w:szCs w:val="20"/>
        </w:rPr>
        <w:t>Administrative Law Review</w:t>
      </w:r>
      <w:r w:rsidRPr="00A53C44">
        <w:rPr>
          <w:rFonts w:ascii="Times New Roman" w:hAnsi="Times New Roman" w:cs="Times New Roman"/>
          <w:sz w:val="20"/>
          <w:szCs w:val="20"/>
        </w:rPr>
        <w:t xml:space="preserve"> 77: 1–45. SSRN: </w:t>
      </w:r>
      <w:hyperlink r:id="rId16">
        <w:r w:rsidR="00176EDE" w:rsidRPr="00A53C44">
          <w:rPr>
            <w:rFonts w:ascii="Times New Roman" w:hAnsi="Times New Roman" w:cs="Times New Roman"/>
            <w:color w:val="1155CC"/>
            <w:sz w:val="20"/>
            <w:szCs w:val="20"/>
            <w:u w:val="single"/>
          </w:rPr>
          <w:t>https://www.ssrn.com/abstract=5046620</w:t>
        </w:r>
      </w:hyperlink>
    </w:p>
  </w:footnote>
  <w:footnote w:id="79">
    <w:p w14:paraId="00000334" w14:textId="282AF904"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Shugerman, Jed Handelsman. 2024. “The Major Questions Doctrine, Post-Chevron?: Skidmore, Loper Bright, and a Good-Faith Emergency Question Doctrine.” </w:t>
      </w:r>
      <w:r w:rsidRPr="00A53C44">
        <w:rPr>
          <w:rFonts w:ascii="Times New Roman" w:hAnsi="Times New Roman" w:cs="Times New Roman"/>
          <w:i/>
          <w:sz w:val="20"/>
          <w:szCs w:val="20"/>
        </w:rPr>
        <w:t>Harvard Journal of Law &amp; Public Policy</w:t>
      </w:r>
      <w:r w:rsidRPr="00A53C44">
        <w:rPr>
          <w:rFonts w:ascii="Times New Roman" w:hAnsi="Times New Roman" w:cs="Times New Roman"/>
          <w:sz w:val="20"/>
          <w:szCs w:val="20"/>
        </w:rPr>
        <w:t xml:space="preserve"> 48 (1)</w:t>
      </w:r>
      <w:r w:rsidR="00595263" w:rsidRPr="00A53C44">
        <w:rPr>
          <w:rFonts w:ascii="Times New Roman" w:hAnsi="Times New Roman" w:cs="Times New Roman"/>
          <w:sz w:val="20"/>
          <w:szCs w:val="20"/>
        </w:rPr>
        <w:t>; Brian D. Hammond &amp; Christopher J. Walker. 2025. “The End of Administrative Pragmatism?” Loyola University Chicago Law Journal (forthcoming 2026).</w:t>
      </w:r>
    </w:p>
  </w:footnote>
  <w:footnote w:id="80">
    <w:p w14:paraId="00000336"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Bismuth, Régis. 2025. “La seconde mort de William E. Humphrey: Les nouveaux horizons de la contestation des agences indépendantes aux Etats-Unis.” In </w:t>
      </w:r>
      <w:r w:rsidRPr="00A53C44">
        <w:rPr>
          <w:rFonts w:ascii="Times New Roman" w:hAnsi="Times New Roman" w:cs="Times New Roman"/>
          <w:i/>
          <w:sz w:val="20"/>
          <w:szCs w:val="20"/>
        </w:rPr>
        <w:t>Penser le droit à partir de l’individu: Mélanges en l’honneur d’Élisabeth Zoller</w:t>
      </w:r>
      <w:r w:rsidRPr="00A53C44">
        <w:rPr>
          <w:rFonts w:ascii="Times New Roman" w:hAnsi="Times New Roman" w:cs="Times New Roman"/>
          <w:sz w:val="20"/>
          <w:szCs w:val="20"/>
        </w:rPr>
        <w:t>, 263–77. Dalloz.</w:t>
      </w:r>
    </w:p>
  </w:footnote>
  <w:footnote w:id="81">
    <w:p w14:paraId="00000337" w14:textId="77777777" w:rsidR="00176EDE" w:rsidRPr="00A53C44" w:rsidRDefault="00000000" w:rsidP="00A53C44">
      <w:pPr>
        <w:spacing w:line="240" w:lineRule="auto"/>
        <w:jc w:val="both"/>
        <w:rPr>
          <w:rFonts w:ascii="Times New Roman" w:hAnsi="Times New Roman" w:cs="Times New Roman"/>
          <w:sz w:val="20"/>
          <w:szCs w:val="20"/>
        </w:rPr>
      </w:pPr>
      <w:r w:rsidRPr="00A53C44">
        <w:rPr>
          <w:rFonts w:ascii="Times New Roman" w:hAnsi="Times New Roman" w:cs="Times New Roman"/>
          <w:sz w:val="20"/>
          <w:szCs w:val="20"/>
          <w:vertAlign w:val="superscript"/>
        </w:rPr>
        <w:footnoteRef/>
      </w:r>
      <w:r w:rsidRPr="00A53C44">
        <w:rPr>
          <w:rFonts w:ascii="Times New Roman" w:hAnsi="Times New Roman" w:cs="Times New Roman"/>
          <w:sz w:val="20"/>
          <w:szCs w:val="20"/>
        </w:rPr>
        <w:t xml:space="preserve"> Exec. Order No. 14215, Ensuring Accountability for All Agencies, 90 Fed. Reg. 10447 (Feb. 18,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E1906"/>
    <w:multiLevelType w:val="multilevel"/>
    <w:tmpl w:val="6DC0FA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D686656"/>
    <w:multiLevelType w:val="multilevel"/>
    <w:tmpl w:val="9C04D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D0084F"/>
    <w:multiLevelType w:val="hybridMultilevel"/>
    <w:tmpl w:val="F252CA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2FC311E3"/>
    <w:multiLevelType w:val="multilevel"/>
    <w:tmpl w:val="DE2273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3C66318"/>
    <w:multiLevelType w:val="multilevel"/>
    <w:tmpl w:val="D3F4F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6E06FF5"/>
    <w:multiLevelType w:val="multilevel"/>
    <w:tmpl w:val="D6EA7A8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6AFE66E0"/>
    <w:multiLevelType w:val="multilevel"/>
    <w:tmpl w:val="D2F4731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6F142950"/>
    <w:multiLevelType w:val="multilevel"/>
    <w:tmpl w:val="4DCE4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54186653">
    <w:abstractNumId w:val="4"/>
  </w:num>
  <w:num w:numId="2" w16cid:durableId="1093017455">
    <w:abstractNumId w:val="1"/>
  </w:num>
  <w:num w:numId="3" w16cid:durableId="710691152">
    <w:abstractNumId w:val="0"/>
  </w:num>
  <w:num w:numId="4" w16cid:durableId="1605184784">
    <w:abstractNumId w:val="7"/>
  </w:num>
  <w:num w:numId="5" w16cid:durableId="836503294">
    <w:abstractNumId w:val="5"/>
  </w:num>
  <w:num w:numId="6" w16cid:durableId="360131581">
    <w:abstractNumId w:val="3"/>
  </w:num>
  <w:num w:numId="7" w16cid:durableId="1564439434">
    <w:abstractNumId w:val="6"/>
  </w:num>
  <w:num w:numId="8" w16cid:durableId="16223723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EDE"/>
    <w:rsid w:val="00065A6D"/>
    <w:rsid w:val="00176EDE"/>
    <w:rsid w:val="001F6106"/>
    <w:rsid w:val="00241EA2"/>
    <w:rsid w:val="0024254A"/>
    <w:rsid w:val="003610BC"/>
    <w:rsid w:val="003E36AF"/>
    <w:rsid w:val="004C2362"/>
    <w:rsid w:val="004F3319"/>
    <w:rsid w:val="00595263"/>
    <w:rsid w:val="00607604"/>
    <w:rsid w:val="00673B31"/>
    <w:rsid w:val="007E3C52"/>
    <w:rsid w:val="008D26E0"/>
    <w:rsid w:val="008E38C7"/>
    <w:rsid w:val="00906145"/>
    <w:rsid w:val="00935B19"/>
    <w:rsid w:val="009C4C41"/>
    <w:rsid w:val="00A53C44"/>
    <w:rsid w:val="00B05F42"/>
    <w:rsid w:val="00B768AE"/>
    <w:rsid w:val="00B83740"/>
    <w:rsid w:val="00C43096"/>
    <w:rsid w:val="00CA0291"/>
    <w:rsid w:val="00DD4FE4"/>
    <w:rsid w:val="00EE7414"/>
    <w:rsid w:val="00F94717"/>
    <w:rsid w:val="00F94C05"/>
    <w:rsid w:val="00FC3B05"/>
    <w:rsid w:val="00FD62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05165"/>
  <w15:docId w15:val="{7852058B-6983-EE4C-9AA9-1CEC4BCF1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rsid w:val="00595263"/>
    <w:pPr>
      <w:keepNext/>
      <w:keepLines/>
      <w:spacing w:before="400" w:after="120"/>
      <w:outlineLvl w:val="0"/>
    </w:pPr>
    <w:rPr>
      <w:rFonts w:ascii="Times New Roman" w:hAnsi="Times New Roman" w:cs="Times New Roman"/>
      <w:b/>
      <w:bCs/>
      <w:sz w:val="24"/>
      <w:szCs w:val="24"/>
      <w:u w:val="single"/>
    </w:rPr>
  </w:style>
  <w:style w:type="paragraph" w:styleId="Titre2">
    <w:name w:val="heading 2"/>
    <w:basedOn w:val="Normal"/>
    <w:next w:val="Normal"/>
    <w:link w:val="Titre2Car"/>
    <w:uiPriority w:val="9"/>
    <w:unhideWhenUsed/>
    <w:qFormat/>
    <w:rsid w:val="00595263"/>
    <w:pPr>
      <w:keepNext/>
      <w:keepLines/>
      <w:spacing w:before="360" w:after="120"/>
      <w:ind w:left="720"/>
      <w:outlineLvl w:val="1"/>
    </w:pPr>
    <w:rPr>
      <w:rFonts w:ascii="Times New Roman" w:hAnsi="Times New Roman" w:cs="Times New Roman"/>
      <w:b/>
      <w:bCs/>
      <w:i/>
      <w:iCs/>
      <w:u w:val="single"/>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Notedebasdepage">
    <w:name w:val="footnote text"/>
    <w:basedOn w:val="Normal"/>
    <w:link w:val="NotedebasdepageCar"/>
    <w:uiPriority w:val="99"/>
    <w:semiHidden/>
    <w:unhideWhenUsed/>
    <w:rsid w:val="00B05F42"/>
    <w:pPr>
      <w:spacing w:line="240" w:lineRule="auto"/>
    </w:pPr>
    <w:rPr>
      <w:sz w:val="20"/>
      <w:szCs w:val="20"/>
    </w:rPr>
  </w:style>
  <w:style w:type="character" w:customStyle="1" w:styleId="NotedebasdepageCar">
    <w:name w:val="Note de bas de page Car"/>
    <w:basedOn w:val="Policepardfaut"/>
    <w:link w:val="Notedebasdepage"/>
    <w:uiPriority w:val="99"/>
    <w:semiHidden/>
    <w:rsid w:val="00B05F42"/>
    <w:rPr>
      <w:sz w:val="20"/>
      <w:szCs w:val="20"/>
    </w:rPr>
  </w:style>
  <w:style w:type="character" w:styleId="Appelnotedebasdep">
    <w:name w:val="footnote reference"/>
    <w:basedOn w:val="Policepardfaut"/>
    <w:uiPriority w:val="99"/>
    <w:semiHidden/>
    <w:unhideWhenUsed/>
    <w:rsid w:val="00B05F42"/>
    <w:rPr>
      <w:vertAlign w:val="superscript"/>
    </w:rPr>
  </w:style>
  <w:style w:type="paragraph" w:styleId="NormalWeb">
    <w:name w:val="Normal (Web)"/>
    <w:basedOn w:val="Normal"/>
    <w:uiPriority w:val="99"/>
    <w:unhideWhenUsed/>
    <w:rsid w:val="00DD4FE4"/>
    <w:pPr>
      <w:spacing w:before="100" w:beforeAutospacing="1" w:after="100" w:afterAutospacing="1" w:line="240" w:lineRule="auto"/>
    </w:pPr>
    <w:rPr>
      <w:rFonts w:ascii="Times New Roman" w:eastAsia="Times New Roman" w:hAnsi="Times New Roman" w:cs="Times New Roman"/>
      <w:sz w:val="24"/>
      <w:szCs w:val="24"/>
      <w:lang w:val="fr-FR"/>
    </w:rPr>
  </w:style>
  <w:style w:type="character" w:customStyle="1" w:styleId="apple-converted-space">
    <w:name w:val="apple-converted-space"/>
    <w:basedOn w:val="Policepardfaut"/>
    <w:rsid w:val="00DD4FE4"/>
  </w:style>
  <w:style w:type="character" w:styleId="Accentuation">
    <w:name w:val="Emphasis"/>
    <w:basedOn w:val="Policepardfaut"/>
    <w:uiPriority w:val="20"/>
    <w:qFormat/>
    <w:rsid w:val="00DD4FE4"/>
    <w:rPr>
      <w:i/>
      <w:iCs/>
    </w:rPr>
  </w:style>
  <w:style w:type="character" w:styleId="lev">
    <w:name w:val="Strong"/>
    <w:basedOn w:val="Policepardfaut"/>
    <w:uiPriority w:val="22"/>
    <w:qFormat/>
    <w:rsid w:val="00DD4FE4"/>
    <w:rPr>
      <w:b/>
      <w:bCs/>
    </w:rPr>
  </w:style>
  <w:style w:type="character" w:styleId="Lienhypertexte">
    <w:name w:val="Hyperlink"/>
    <w:basedOn w:val="Policepardfaut"/>
    <w:uiPriority w:val="99"/>
    <w:unhideWhenUsed/>
    <w:rsid w:val="00DD4FE4"/>
    <w:rPr>
      <w:color w:val="0000FF" w:themeColor="hyperlink"/>
      <w:u w:val="single"/>
    </w:rPr>
  </w:style>
  <w:style w:type="character" w:styleId="Mentionnonrsolue">
    <w:name w:val="Unresolved Mention"/>
    <w:basedOn w:val="Policepardfaut"/>
    <w:uiPriority w:val="99"/>
    <w:semiHidden/>
    <w:unhideWhenUsed/>
    <w:rsid w:val="00DD4FE4"/>
    <w:rPr>
      <w:color w:val="605E5C"/>
      <w:shd w:val="clear" w:color="auto" w:fill="E1DFDD"/>
    </w:rPr>
  </w:style>
  <w:style w:type="character" w:customStyle="1" w:styleId="Titre2Car">
    <w:name w:val="Titre 2 Car"/>
    <w:basedOn w:val="Policepardfaut"/>
    <w:link w:val="Titre2"/>
    <w:uiPriority w:val="9"/>
    <w:rsid w:val="00595263"/>
    <w:rPr>
      <w:rFonts w:ascii="Times New Roman" w:hAnsi="Times New Roman" w:cs="Times New Roman"/>
      <w:b/>
      <w:bCs/>
      <w:i/>
      <w:iCs/>
      <w:u w:val="single"/>
    </w:rPr>
  </w:style>
  <w:style w:type="paragraph" w:styleId="Paragraphedeliste">
    <w:name w:val="List Paragraph"/>
    <w:basedOn w:val="Normal"/>
    <w:uiPriority w:val="34"/>
    <w:qFormat/>
    <w:rsid w:val="00B768AE"/>
    <w:pPr>
      <w:ind w:left="720"/>
      <w:contextualSpacing/>
    </w:pPr>
  </w:style>
  <w:style w:type="paragraph" w:styleId="TM1">
    <w:name w:val="toc 1"/>
    <w:basedOn w:val="Normal"/>
    <w:next w:val="Normal"/>
    <w:autoRedefine/>
    <w:uiPriority w:val="39"/>
    <w:unhideWhenUsed/>
    <w:rsid w:val="00595263"/>
    <w:pPr>
      <w:spacing w:before="120" w:after="120"/>
    </w:pPr>
    <w:rPr>
      <w:rFonts w:asciiTheme="minorHAnsi" w:hAnsiTheme="minorHAnsi"/>
      <w:b/>
      <w:bCs/>
      <w:caps/>
      <w:sz w:val="20"/>
      <w:szCs w:val="20"/>
    </w:rPr>
  </w:style>
  <w:style w:type="paragraph" w:styleId="TM2">
    <w:name w:val="toc 2"/>
    <w:basedOn w:val="Normal"/>
    <w:next w:val="Normal"/>
    <w:autoRedefine/>
    <w:uiPriority w:val="39"/>
    <w:unhideWhenUsed/>
    <w:rsid w:val="00595263"/>
    <w:pPr>
      <w:ind w:left="220"/>
    </w:pPr>
    <w:rPr>
      <w:rFonts w:asciiTheme="minorHAnsi" w:hAnsiTheme="minorHAnsi"/>
      <w:smallCaps/>
      <w:sz w:val="20"/>
      <w:szCs w:val="20"/>
    </w:rPr>
  </w:style>
  <w:style w:type="paragraph" w:styleId="TM3">
    <w:name w:val="toc 3"/>
    <w:basedOn w:val="Normal"/>
    <w:next w:val="Normal"/>
    <w:autoRedefine/>
    <w:uiPriority w:val="39"/>
    <w:unhideWhenUsed/>
    <w:rsid w:val="00595263"/>
    <w:pPr>
      <w:ind w:left="440"/>
    </w:pPr>
    <w:rPr>
      <w:rFonts w:asciiTheme="minorHAnsi" w:hAnsiTheme="minorHAnsi"/>
      <w:i/>
      <w:iCs/>
      <w:sz w:val="20"/>
      <w:szCs w:val="20"/>
    </w:rPr>
  </w:style>
  <w:style w:type="paragraph" w:styleId="TM4">
    <w:name w:val="toc 4"/>
    <w:basedOn w:val="Normal"/>
    <w:next w:val="Normal"/>
    <w:autoRedefine/>
    <w:uiPriority w:val="39"/>
    <w:unhideWhenUsed/>
    <w:rsid w:val="00595263"/>
    <w:pPr>
      <w:ind w:left="660"/>
    </w:pPr>
    <w:rPr>
      <w:rFonts w:asciiTheme="minorHAnsi" w:hAnsiTheme="minorHAnsi"/>
      <w:sz w:val="18"/>
      <w:szCs w:val="18"/>
    </w:rPr>
  </w:style>
  <w:style w:type="paragraph" w:styleId="TM5">
    <w:name w:val="toc 5"/>
    <w:basedOn w:val="Normal"/>
    <w:next w:val="Normal"/>
    <w:autoRedefine/>
    <w:uiPriority w:val="39"/>
    <w:unhideWhenUsed/>
    <w:rsid w:val="00595263"/>
    <w:pPr>
      <w:ind w:left="880"/>
    </w:pPr>
    <w:rPr>
      <w:rFonts w:asciiTheme="minorHAnsi" w:hAnsiTheme="minorHAnsi"/>
      <w:sz w:val="18"/>
      <w:szCs w:val="18"/>
    </w:rPr>
  </w:style>
  <w:style w:type="paragraph" w:styleId="TM6">
    <w:name w:val="toc 6"/>
    <w:basedOn w:val="Normal"/>
    <w:next w:val="Normal"/>
    <w:autoRedefine/>
    <w:uiPriority w:val="39"/>
    <w:unhideWhenUsed/>
    <w:rsid w:val="00595263"/>
    <w:pPr>
      <w:ind w:left="1100"/>
    </w:pPr>
    <w:rPr>
      <w:rFonts w:asciiTheme="minorHAnsi" w:hAnsiTheme="minorHAnsi"/>
      <w:sz w:val="18"/>
      <w:szCs w:val="18"/>
    </w:rPr>
  </w:style>
  <w:style w:type="paragraph" w:styleId="TM7">
    <w:name w:val="toc 7"/>
    <w:basedOn w:val="Normal"/>
    <w:next w:val="Normal"/>
    <w:autoRedefine/>
    <w:uiPriority w:val="39"/>
    <w:unhideWhenUsed/>
    <w:rsid w:val="00595263"/>
    <w:pPr>
      <w:ind w:left="1320"/>
    </w:pPr>
    <w:rPr>
      <w:rFonts w:asciiTheme="minorHAnsi" w:hAnsiTheme="minorHAnsi"/>
      <w:sz w:val="18"/>
      <w:szCs w:val="18"/>
    </w:rPr>
  </w:style>
  <w:style w:type="paragraph" w:styleId="TM8">
    <w:name w:val="toc 8"/>
    <w:basedOn w:val="Normal"/>
    <w:next w:val="Normal"/>
    <w:autoRedefine/>
    <w:uiPriority w:val="39"/>
    <w:unhideWhenUsed/>
    <w:rsid w:val="00595263"/>
    <w:pPr>
      <w:ind w:left="1540"/>
    </w:pPr>
    <w:rPr>
      <w:rFonts w:asciiTheme="minorHAnsi" w:hAnsiTheme="minorHAnsi"/>
      <w:sz w:val="18"/>
      <w:szCs w:val="18"/>
    </w:rPr>
  </w:style>
  <w:style w:type="paragraph" w:styleId="TM9">
    <w:name w:val="toc 9"/>
    <w:basedOn w:val="Normal"/>
    <w:next w:val="Normal"/>
    <w:autoRedefine/>
    <w:uiPriority w:val="39"/>
    <w:unhideWhenUsed/>
    <w:rsid w:val="00595263"/>
    <w:pPr>
      <w:ind w:left="1760"/>
    </w:pPr>
    <w:rPr>
      <w:rFonts w:asciiTheme="minorHAnsi" w:hAnsiTheme="minorHAnsi"/>
      <w:sz w:val="18"/>
      <w:szCs w:val="18"/>
    </w:rPr>
  </w:style>
  <w:style w:type="paragraph" w:styleId="En-tte">
    <w:name w:val="header"/>
    <w:basedOn w:val="Normal"/>
    <w:link w:val="En-tteCar"/>
    <w:uiPriority w:val="99"/>
    <w:unhideWhenUsed/>
    <w:rsid w:val="00A53C44"/>
    <w:pPr>
      <w:tabs>
        <w:tab w:val="center" w:pos="4536"/>
        <w:tab w:val="right" w:pos="9072"/>
      </w:tabs>
      <w:spacing w:line="240" w:lineRule="auto"/>
    </w:pPr>
  </w:style>
  <w:style w:type="character" w:customStyle="1" w:styleId="En-tteCar">
    <w:name w:val="En-tête Car"/>
    <w:basedOn w:val="Policepardfaut"/>
    <w:link w:val="En-tte"/>
    <w:uiPriority w:val="99"/>
    <w:rsid w:val="00A53C44"/>
  </w:style>
  <w:style w:type="paragraph" w:styleId="Pieddepage">
    <w:name w:val="footer"/>
    <w:basedOn w:val="Normal"/>
    <w:link w:val="PieddepageCar"/>
    <w:uiPriority w:val="99"/>
    <w:unhideWhenUsed/>
    <w:rsid w:val="00A53C44"/>
    <w:pPr>
      <w:tabs>
        <w:tab w:val="center" w:pos="4536"/>
        <w:tab w:val="right" w:pos="9072"/>
      </w:tabs>
      <w:spacing w:line="240" w:lineRule="auto"/>
    </w:pPr>
  </w:style>
  <w:style w:type="character" w:customStyle="1" w:styleId="PieddepageCar">
    <w:name w:val="Pied de page Car"/>
    <w:basedOn w:val="Policepardfaut"/>
    <w:link w:val="Pieddepage"/>
    <w:uiPriority w:val="99"/>
    <w:rsid w:val="00A53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8" Type="http://schemas.openxmlformats.org/officeDocument/2006/relationships/hyperlink" Target="https://ssrn.com/abstract=4060346" TargetMode="External"/><Relationship Id="rId13" Type="http://schemas.openxmlformats.org/officeDocument/2006/relationships/hyperlink" Target="https://doi.org/10.1515/econ-2022-0037" TargetMode="External"/><Relationship Id="rId3" Type="http://schemas.openxmlformats.org/officeDocument/2006/relationships/hyperlink" Target="https://ssrn.com/abstract=957177" TargetMode="External"/><Relationship Id="rId7" Type="http://schemas.openxmlformats.org/officeDocument/2006/relationships/hyperlink" Target="https://ssrn.com/abstract=4634607" TargetMode="External"/><Relationship Id="rId12" Type="http://schemas.openxmlformats.org/officeDocument/2006/relationships/hyperlink" Target="https://doi.org/10.21552/core/2023/4/4" TargetMode="External"/><Relationship Id="rId2" Type="http://schemas.openxmlformats.org/officeDocument/2006/relationships/hyperlink" Target="https://doi.org/10.1093/icon/moac061" TargetMode="External"/><Relationship Id="rId16" Type="http://schemas.openxmlformats.org/officeDocument/2006/relationships/hyperlink" Target="https://www.ssrn.com/abstract=5046620" TargetMode="External"/><Relationship Id="rId1" Type="http://schemas.openxmlformats.org/officeDocument/2006/relationships/hyperlink" Target="https://kluwerlawonline.com/journalarticle/European+Public+Law/27.1/EURO2021003" TargetMode="External"/><Relationship Id="rId6" Type="http://schemas.openxmlformats.org/officeDocument/2006/relationships/hyperlink" Target="https://www.nber.org/system/files/working_papers/w29788/w29788.pdf" TargetMode="External"/><Relationship Id="rId11" Type="http://schemas.openxmlformats.org/officeDocument/2006/relationships/hyperlink" Target="https://doi.org/10.2139/ssrn.3772366" TargetMode="External"/><Relationship Id="rId5" Type="http://schemas.openxmlformats.org/officeDocument/2006/relationships/hyperlink" Target="https://doi.org/10.1017/elo.2024.50" TargetMode="External"/><Relationship Id="rId15" Type="http://schemas.openxmlformats.org/officeDocument/2006/relationships/hyperlink" Target="https://www.ssrn.com/abstract=5046620" TargetMode="External"/><Relationship Id="rId10" Type="http://schemas.openxmlformats.org/officeDocument/2006/relationships/hyperlink" Target="https://ideas.repec.org/s/gre/wpaper.html" TargetMode="External"/><Relationship Id="rId4" Type="http://schemas.openxmlformats.org/officeDocument/2006/relationships/hyperlink" Target="https://doi.org/10.1371/journal.pone.0027188" TargetMode="External"/><Relationship Id="rId9" Type="http://schemas.openxmlformats.org/officeDocument/2006/relationships/hyperlink" Target="https://ssrn.com/abstract=4060346" TargetMode="External"/><Relationship Id="rId14" Type="http://schemas.openxmlformats.org/officeDocument/2006/relationships/hyperlink" Target="https://ssrn.com/abstract=51767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1EF86-ACD7-3A4C-8887-2E7F3381F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4801</Words>
  <Characters>26409</Characters>
  <Application>Microsoft Office Word</Application>
  <DocSecurity>0</DocSecurity>
  <Lines>220</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Kevin Laurent</cp:lastModifiedBy>
  <cp:revision>3</cp:revision>
  <dcterms:created xsi:type="dcterms:W3CDTF">2025-09-04T03:42:00Z</dcterms:created>
  <dcterms:modified xsi:type="dcterms:W3CDTF">2025-09-04T03:44:00Z</dcterms:modified>
</cp:coreProperties>
</file>