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71966F3" w14:textId="77777777" w:rsidR="00D87A46" w:rsidRDefault="00D87A46">
      <w:pPr>
        <w:spacing w:after="200"/>
        <w:ind w:left="720" w:hanging="360"/>
        <w:jc w:val="both"/>
      </w:pPr>
      <w:bookmarkStart w:id="0" w:name="_heading=h.qhht59q36glc" w:colFirst="0" w:colLast="0"/>
      <w:bookmarkEnd w:id="0"/>
    </w:p>
    <w:p w14:paraId="0A2FC5D0" w14:textId="77777777" w:rsidR="00D87A46" w:rsidRDefault="00D87A46" w:rsidP="00D87A46">
      <w:pPr>
        <w:pStyle w:val="Heading1"/>
        <w:spacing w:after="200"/>
        <w:jc w:val="center"/>
      </w:pPr>
      <w:bookmarkStart w:id="1" w:name="_heading=h.h4vxox9wmzuw" w:colFirst="0" w:colLast="0"/>
      <w:bookmarkStart w:id="2" w:name="OLE_LINK1"/>
      <w:bookmarkEnd w:id="1"/>
      <w:r>
        <w:t xml:space="preserve">The Brussels effect in Africa: </w:t>
      </w:r>
    </w:p>
    <w:p w14:paraId="65C478A7" w14:textId="77777777" w:rsidR="00D87A46" w:rsidRDefault="00D87A46" w:rsidP="00D87A46">
      <w:pPr>
        <w:pStyle w:val="Heading1"/>
        <w:spacing w:after="200"/>
        <w:jc w:val="center"/>
        <w:rPr>
          <w:sz w:val="38"/>
          <w:szCs w:val="38"/>
        </w:rPr>
      </w:pPr>
      <w:bookmarkStart w:id="3" w:name="_heading=h.xwaqhbm298d8" w:colFirst="0" w:colLast="0"/>
      <w:bookmarkEnd w:id="3"/>
      <w:r>
        <w:rPr>
          <w:sz w:val="38"/>
          <w:szCs w:val="38"/>
        </w:rPr>
        <w:t>Is it beneficial for intra-regional trade in digital services?</w:t>
      </w:r>
    </w:p>
    <w:bookmarkEnd w:id="2"/>
    <w:p w14:paraId="3D55926F" w14:textId="77777777" w:rsidR="00D87A46" w:rsidRDefault="00D87A46" w:rsidP="00D87A46">
      <w:pPr>
        <w:spacing w:after="200"/>
        <w:jc w:val="center"/>
        <w:rPr>
          <w:b/>
          <w:sz w:val="18"/>
          <w:szCs w:val="18"/>
        </w:rPr>
      </w:pPr>
    </w:p>
    <w:p w14:paraId="16DF7828" w14:textId="77777777" w:rsidR="00D87A46" w:rsidRPr="00AB3636" w:rsidRDefault="00D87A46" w:rsidP="00D87A46">
      <w:pPr>
        <w:spacing w:after="200"/>
        <w:jc w:val="center"/>
        <w:rPr>
          <w:sz w:val="20"/>
          <w:szCs w:val="20"/>
          <w:lang w:val="it-IT"/>
        </w:rPr>
      </w:pPr>
      <w:r w:rsidRPr="00AB3636">
        <w:rPr>
          <w:sz w:val="20"/>
          <w:szCs w:val="20"/>
          <w:lang w:val="it-IT"/>
        </w:rPr>
        <w:t xml:space="preserve">Martina F. Ferracane (EUI), Simón González Ugarte (EUI), Erik van </w:t>
      </w:r>
      <w:proofErr w:type="spellStart"/>
      <w:r w:rsidRPr="00AB3636">
        <w:rPr>
          <w:sz w:val="20"/>
          <w:szCs w:val="20"/>
          <w:lang w:val="it-IT"/>
        </w:rPr>
        <w:t>der</w:t>
      </w:r>
      <w:proofErr w:type="spellEnd"/>
      <w:r w:rsidRPr="00AB3636">
        <w:rPr>
          <w:sz w:val="20"/>
          <w:szCs w:val="20"/>
          <w:lang w:val="it-IT"/>
        </w:rPr>
        <w:t xml:space="preserve"> </w:t>
      </w:r>
      <w:proofErr w:type="spellStart"/>
      <w:r w:rsidRPr="00AB3636">
        <w:rPr>
          <w:sz w:val="20"/>
          <w:szCs w:val="20"/>
          <w:lang w:val="it-IT"/>
        </w:rPr>
        <w:t>Marel</w:t>
      </w:r>
      <w:proofErr w:type="spellEnd"/>
      <w:r w:rsidRPr="00AB3636">
        <w:rPr>
          <w:sz w:val="20"/>
          <w:szCs w:val="20"/>
          <w:lang w:val="it-IT"/>
        </w:rPr>
        <w:t xml:space="preserve"> (ECIPE &amp; ULB)</w:t>
      </w:r>
      <w:r>
        <w:rPr>
          <w:rStyle w:val="FootnoteReference"/>
          <w:sz w:val="20"/>
          <w:szCs w:val="20"/>
          <w:lang w:val="it-IT"/>
        </w:rPr>
        <w:footnoteReference w:id="1"/>
      </w:r>
    </w:p>
    <w:p w14:paraId="1611431E" w14:textId="77777777" w:rsidR="00D87A46" w:rsidRPr="00AB3636" w:rsidRDefault="00D87A46" w:rsidP="00D87A46">
      <w:pPr>
        <w:spacing w:after="200"/>
        <w:rPr>
          <w:b/>
          <w:sz w:val="28"/>
          <w:szCs w:val="28"/>
          <w:lang w:val="it-IT"/>
        </w:rPr>
      </w:pPr>
    </w:p>
    <w:p w14:paraId="2F488C4C" w14:textId="77777777" w:rsidR="00D87A46" w:rsidRDefault="00D87A46" w:rsidP="00D87A46">
      <w:pPr>
        <w:pStyle w:val="Heading3"/>
        <w:spacing w:after="200"/>
      </w:pPr>
      <w:bookmarkStart w:id="4" w:name="_heading=h.fczo3s2oses9" w:colFirst="0" w:colLast="0"/>
      <w:bookmarkEnd w:id="4"/>
      <w:r>
        <w:t>Abstract</w:t>
      </w:r>
    </w:p>
    <w:p w14:paraId="0D3B1482" w14:textId="77777777" w:rsidR="00D87A46" w:rsidRDefault="00D87A46" w:rsidP="00D87A46">
      <w:pPr>
        <w:spacing w:after="200"/>
        <w:jc w:val="both"/>
        <w:rPr>
          <w:sz w:val="24"/>
          <w:szCs w:val="24"/>
        </w:rPr>
      </w:pPr>
      <w:r>
        <w:rPr>
          <w:sz w:val="24"/>
          <w:szCs w:val="24"/>
        </w:rPr>
        <w:t xml:space="preserve">African countries are increasingly regulating personal data. The Brussels effect is strong in the region, with most African countries having adopted policies on personal data transfers and domestic data protection influenced by the European Union’s General Data Protection Regulation (GDPR). The EU model is characterised by a comprehensive data protection regime and conditions applied to transfers across borders. In addition, several African economies have implemented stricter policies on data transfers, following the control model traditionally pursued in China. Previous research indicates that policies that restrict the transfer of data across borders are linked to reduced levels of trade in digital services, while a strong data protection regime supports trade in digital services by increasing consumer trust. However, there are no empirical studies with a specific regional focus on Africa. We use information on regulatory regimes in 54 African countries to estimate with a gravity model the impact of data policies on trade in services. Our analysis shows that the Brussels effect does not appear to be beneficial in promoting intra-regional trade as both the conditions applied to transfers across borders and the presence of ambitious data protection regimes domestically are associated with lower intra-regional trade in digital services, although the results differ by income level. We estimate that a regional commitment to open data transfers within the region could lead to an increase in intra-regional trade in digital </w:t>
      </w:r>
      <w:r w:rsidRPr="004F45FA">
        <w:rPr>
          <w:sz w:val="24"/>
          <w:szCs w:val="24"/>
        </w:rPr>
        <w:t>services of up to 11%, amounting to 135 million USD.</w:t>
      </w:r>
    </w:p>
    <w:p w14:paraId="2E8E6AFC" w14:textId="77777777" w:rsidR="00D87A46" w:rsidRDefault="00D87A46" w:rsidP="00D87A46">
      <w:pPr>
        <w:pStyle w:val="Heading3"/>
        <w:spacing w:after="200"/>
      </w:pPr>
      <w:bookmarkStart w:id="5" w:name="_heading=h.qbzaiju4hzm5" w:colFirst="0" w:colLast="0"/>
      <w:bookmarkEnd w:id="5"/>
      <w:r>
        <w:t>Keywords</w:t>
      </w:r>
    </w:p>
    <w:p w14:paraId="28AB2263" w14:textId="77777777" w:rsidR="00D87A46" w:rsidRDefault="00D87A46" w:rsidP="00D87A46">
      <w:pPr>
        <w:spacing w:after="200"/>
        <w:jc w:val="both"/>
        <w:rPr>
          <w:b/>
          <w:sz w:val="28"/>
          <w:szCs w:val="28"/>
        </w:rPr>
      </w:pPr>
      <w:r>
        <w:rPr>
          <w:sz w:val="24"/>
          <w:szCs w:val="24"/>
        </w:rPr>
        <w:t>Cross-border data transfers; data protection; digital services; digital trade; regional integration</w:t>
      </w:r>
      <w:r>
        <w:rPr>
          <w:sz w:val="24"/>
          <w:szCs w:val="24"/>
          <w:highlight w:val="white"/>
        </w:rPr>
        <w:t>.</w:t>
      </w:r>
      <w:r>
        <w:rPr>
          <w:sz w:val="24"/>
          <w:szCs w:val="24"/>
        </w:rPr>
        <w:t xml:space="preserve"> </w:t>
      </w:r>
    </w:p>
    <w:p w14:paraId="7A8AE1A6" w14:textId="77777777" w:rsidR="00D87A46" w:rsidRDefault="00D87A46">
      <w:pPr>
        <w:spacing w:after="200"/>
        <w:ind w:left="720" w:hanging="360"/>
        <w:jc w:val="both"/>
      </w:pPr>
    </w:p>
    <w:p w14:paraId="0000000A" w14:textId="77777777" w:rsidR="00E51BAE" w:rsidRDefault="00236A55">
      <w:pPr>
        <w:pStyle w:val="Heading3"/>
        <w:numPr>
          <w:ilvl w:val="0"/>
          <w:numId w:val="1"/>
        </w:numPr>
        <w:spacing w:after="200"/>
        <w:jc w:val="both"/>
      </w:pPr>
      <w:r>
        <w:lastRenderedPageBreak/>
        <w:t>Introduction</w:t>
      </w:r>
    </w:p>
    <w:p w14:paraId="145D9A9D" w14:textId="735DA4DE" w:rsidR="00E416E1" w:rsidRDefault="00A248C0">
      <w:pPr>
        <w:spacing w:after="200"/>
        <w:jc w:val="both"/>
        <w:rPr>
          <w:sz w:val="24"/>
          <w:szCs w:val="24"/>
        </w:rPr>
      </w:pPr>
      <w:r w:rsidRPr="00A248C0">
        <w:rPr>
          <w:sz w:val="24"/>
          <w:szCs w:val="24"/>
        </w:rPr>
        <w:t xml:space="preserve">Cross-border data flows are a key priority for developing a digital single market in Africa, </w:t>
      </w:r>
      <w:r w:rsidR="00D9087D">
        <w:rPr>
          <w:sz w:val="24"/>
          <w:szCs w:val="24"/>
        </w:rPr>
        <w:t>as acknowledged in t</w:t>
      </w:r>
      <w:r w:rsidR="00236A55">
        <w:rPr>
          <w:sz w:val="24"/>
          <w:szCs w:val="24"/>
        </w:rPr>
        <w:t>he African Union (AU) Data Policy Framework</w:t>
      </w:r>
      <w:r w:rsidR="00236A55">
        <w:rPr>
          <w:sz w:val="24"/>
          <w:szCs w:val="24"/>
          <w:vertAlign w:val="superscript"/>
        </w:rPr>
        <w:footnoteReference w:id="2"/>
      </w:r>
      <w:r w:rsidR="00236A55">
        <w:rPr>
          <w:sz w:val="24"/>
          <w:szCs w:val="24"/>
        </w:rPr>
        <w:t xml:space="preserve"> and the Digital Transformation Strategy of the AU Commission</w:t>
      </w:r>
      <w:r w:rsidR="00D9087D">
        <w:rPr>
          <w:sz w:val="24"/>
          <w:szCs w:val="24"/>
        </w:rPr>
        <w:t>,</w:t>
      </w:r>
      <w:r w:rsidR="00236A55">
        <w:rPr>
          <w:sz w:val="24"/>
          <w:szCs w:val="24"/>
          <w:vertAlign w:val="superscript"/>
        </w:rPr>
        <w:footnoteReference w:id="3"/>
      </w:r>
      <w:r w:rsidR="00D9087D">
        <w:rPr>
          <w:sz w:val="24"/>
          <w:szCs w:val="24"/>
        </w:rPr>
        <w:t xml:space="preserve"> which</w:t>
      </w:r>
      <w:r w:rsidRPr="00A248C0">
        <w:rPr>
          <w:sz w:val="24"/>
          <w:szCs w:val="24"/>
        </w:rPr>
        <w:t xml:space="preserve"> advocat</w:t>
      </w:r>
      <w:r w:rsidR="00D9087D">
        <w:rPr>
          <w:sz w:val="24"/>
          <w:szCs w:val="24"/>
        </w:rPr>
        <w:t>e</w:t>
      </w:r>
      <w:r w:rsidRPr="00A248C0">
        <w:rPr>
          <w:sz w:val="24"/>
          <w:szCs w:val="24"/>
        </w:rPr>
        <w:t xml:space="preserve"> for the harmoni</w:t>
      </w:r>
      <w:r>
        <w:rPr>
          <w:sz w:val="24"/>
          <w:szCs w:val="24"/>
        </w:rPr>
        <w:t>s</w:t>
      </w:r>
      <w:r w:rsidRPr="00A248C0">
        <w:rPr>
          <w:sz w:val="24"/>
          <w:szCs w:val="24"/>
        </w:rPr>
        <w:t xml:space="preserve">ation of </w:t>
      </w:r>
      <w:r>
        <w:rPr>
          <w:sz w:val="24"/>
          <w:szCs w:val="24"/>
        </w:rPr>
        <w:t>rules for</w:t>
      </w:r>
      <w:r w:rsidRPr="00A248C0">
        <w:rPr>
          <w:sz w:val="24"/>
          <w:szCs w:val="24"/>
        </w:rPr>
        <w:t xml:space="preserve"> cross-border data transfers among AU Member States.</w:t>
      </w:r>
      <w:r w:rsidR="00236A55">
        <w:rPr>
          <w:sz w:val="24"/>
          <w:szCs w:val="24"/>
        </w:rPr>
        <w:t xml:space="preserve"> </w:t>
      </w:r>
      <w:r w:rsidR="00D9087D">
        <w:rPr>
          <w:sz w:val="24"/>
          <w:szCs w:val="24"/>
        </w:rPr>
        <w:t xml:space="preserve">This shared understanding led African countries to commit to open data transfers within the region as part of the recently adopted </w:t>
      </w:r>
      <w:r w:rsidR="00D9087D" w:rsidRPr="00A248C0">
        <w:rPr>
          <w:sz w:val="24"/>
          <w:szCs w:val="24"/>
        </w:rPr>
        <w:t>Digital Trade Protocol of the African Continental Free Trade Area (</w:t>
      </w:r>
      <w:proofErr w:type="spellStart"/>
      <w:r w:rsidR="00D9087D" w:rsidRPr="00A248C0">
        <w:rPr>
          <w:sz w:val="24"/>
          <w:szCs w:val="24"/>
        </w:rPr>
        <w:t>AfCFTA</w:t>
      </w:r>
      <w:proofErr w:type="spellEnd"/>
      <w:r w:rsidR="00D9087D" w:rsidRPr="00A248C0">
        <w:rPr>
          <w:sz w:val="24"/>
          <w:szCs w:val="24"/>
        </w:rPr>
        <w:t>).</w:t>
      </w:r>
      <w:r w:rsidR="00D9087D">
        <w:rPr>
          <w:sz w:val="24"/>
          <w:szCs w:val="24"/>
          <w:vertAlign w:val="superscript"/>
        </w:rPr>
        <w:footnoteReference w:id="4"/>
      </w:r>
      <w:r w:rsidR="00E416E1">
        <w:rPr>
          <w:sz w:val="24"/>
          <w:szCs w:val="24"/>
        </w:rPr>
        <w:t xml:space="preserve"> </w:t>
      </w:r>
    </w:p>
    <w:p w14:paraId="0000000C" w14:textId="40B5BE01" w:rsidR="00E51BAE" w:rsidRDefault="00236A55">
      <w:pPr>
        <w:spacing w:after="200"/>
        <w:jc w:val="both"/>
        <w:rPr>
          <w:sz w:val="24"/>
          <w:szCs w:val="24"/>
        </w:rPr>
      </w:pPr>
      <w:r>
        <w:rPr>
          <w:sz w:val="24"/>
          <w:szCs w:val="24"/>
        </w:rPr>
        <w:t xml:space="preserve">While African countries </w:t>
      </w:r>
      <w:r w:rsidR="00E416E1">
        <w:rPr>
          <w:sz w:val="24"/>
          <w:szCs w:val="24"/>
        </w:rPr>
        <w:t>have committed</w:t>
      </w:r>
      <w:r>
        <w:rPr>
          <w:sz w:val="24"/>
          <w:szCs w:val="24"/>
        </w:rPr>
        <w:t xml:space="preserve"> to favour data transfers and creat</w:t>
      </w:r>
      <w:r w:rsidR="00670DE9">
        <w:rPr>
          <w:sz w:val="24"/>
          <w:szCs w:val="24"/>
        </w:rPr>
        <w:t>ing a regional single market, restrictions on data flow keep rising in the region</w:t>
      </w:r>
      <w:r>
        <w:rPr>
          <w:sz w:val="24"/>
          <w:szCs w:val="24"/>
        </w:rPr>
        <w:t>. Based on the data collected by the European University Institute (EUI) and the UN Economic Commission for Africa (UN-ECA) for a sample of 54 African countries</w:t>
      </w:r>
      <w:r>
        <w:rPr>
          <w:sz w:val="24"/>
          <w:szCs w:val="24"/>
          <w:vertAlign w:val="superscript"/>
        </w:rPr>
        <w:footnoteReference w:id="5"/>
      </w:r>
      <w:r>
        <w:rPr>
          <w:sz w:val="24"/>
          <w:szCs w:val="24"/>
        </w:rPr>
        <w:t xml:space="preserve"> and published in the Digital Trade Integration (DTI) database,</w:t>
      </w:r>
      <w:r>
        <w:rPr>
          <w:sz w:val="24"/>
          <w:szCs w:val="24"/>
          <w:vertAlign w:val="superscript"/>
        </w:rPr>
        <w:footnoteReference w:id="6"/>
      </w:r>
      <w:r>
        <w:rPr>
          <w:sz w:val="24"/>
          <w:szCs w:val="24"/>
        </w:rPr>
        <w:t xml:space="preserve"> </w:t>
      </w:r>
      <w:r w:rsidRPr="00CA0B57">
        <w:rPr>
          <w:sz w:val="24"/>
          <w:szCs w:val="24"/>
        </w:rPr>
        <w:t>40</w:t>
      </w:r>
      <w:r>
        <w:rPr>
          <w:sz w:val="24"/>
          <w:szCs w:val="24"/>
        </w:rPr>
        <w:t xml:space="preserve"> </w:t>
      </w:r>
      <w:r w:rsidR="00A248C0">
        <w:rPr>
          <w:sz w:val="24"/>
          <w:szCs w:val="24"/>
        </w:rPr>
        <w:t>economies in the region</w:t>
      </w:r>
      <w:r>
        <w:rPr>
          <w:sz w:val="24"/>
          <w:szCs w:val="24"/>
        </w:rPr>
        <w:t xml:space="preserve"> restrict cross-border transfers of personal data by either requiring processing data locally or imposing conditions for data transfers. In this paper, we focus on policies applying to</w:t>
      </w:r>
      <w:r w:rsidR="00A248C0">
        <w:rPr>
          <w:sz w:val="24"/>
          <w:szCs w:val="24"/>
        </w:rPr>
        <w:t xml:space="preserve"> </w:t>
      </w:r>
      <w:r>
        <w:rPr>
          <w:sz w:val="24"/>
          <w:szCs w:val="24"/>
        </w:rPr>
        <w:t xml:space="preserve">personal data, as they are driven by similar policy objectives and are expected to </w:t>
      </w:r>
      <w:r w:rsidR="00670DE9">
        <w:rPr>
          <w:sz w:val="24"/>
          <w:szCs w:val="24"/>
        </w:rPr>
        <w:t>significantly impact</w:t>
      </w:r>
      <w:r>
        <w:rPr>
          <w:sz w:val="24"/>
          <w:szCs w:val="24"/>
        </w:rPr>
        <w:t xml:space="preserve"> trade in services.</w:t>
      </w:r>
      <w:r w:rsidR="00E11345">
        <w:rPr>
          <w:rStyle w:val="FootnoteReference"/>
          <w:sz w:val="24"/>
          <w:szCs w:val="24"/>
        </w:rPr>
        <w:footnoteReference w:id="7"/>
      </w:r>
      <w:r>
        <w:rPr>
          <w:sz w:val="24"/>
          <w:szCs w:val="24"/>
        </w:rPr>
        <w:t xml:space="preserve"> Yet, several additional policies that restrict data transfers in specific sectors are implemented in the region.</w:t>
      </w:r>
      <w:r w:rsidR="00A248C0">
        <w:rPr>
          <w:rStyle w:val="FootnoteReference"/>
          <w:sz w:val="24"/>
          <w:szCs w:val="24"/>
        </w:rPr>
        <w:footnoteReference w:id="8"/>
      </w:r>
    </w:p>
    <w:p w14:paraId="0000000D" w14:textId="507039C4" w:rsidR="00E51BAE" w:rsidRDefault="00236A55">
      <w:pPr>
        <w:spacing w:after="200"/>
        <w:jc w:val="both"/>
        <w:rPr>
          <w:sz w:val="24"/>
          <w:szCs w:val="24"/>
        </w:rPr>
      </w:pPr>
      <w:r>
        <w:rPr>
          <w:sz w:val="24"/>
          <w:szCs w:val="24"/>
        </w:rPr>
        <w:t xml:space="preserve">These restrictions </w:t>
      </w:r>
      <w:r w:rsidR="00CA0B57">
        <w:rPr>
          <w:sz w:val="24"/>
          <w:szCs w:val="24"/>
        </w:rPr>
        <w:t>can</w:t>
      </w:r>
      <w:r>
        <w:rPr>
          <w:sz w:val="24"/>
          <w:szCs w:val="24"/>
        </w:rPr>
        <w:t xml:space="preserve"> create high trade costs for African businesses engaging in digital trade, which, in turn, </w:t>
      </w:r>
      <w:r w:rsidR="00CA0B57">
        <w:rPr>
          <w:sz w:val="24"/>
          <w:szCs w:val="24"/>
        </w:rPr>
        <w:t xml:space="preserve">are likely to </w:t>
      </w:r>
      <w:r>
        <w:rPr>
          <w:sz w:val="24"/>
          <w:szCs w:val="24"/>
        </w:rPr>
        <w:t xml:space="preserve">impact the </w:t>
      </w:r>
      <w:r w:rsidR="00670DE9">
        <w:rPr>
          <w:sz w:val="24"/>
          <w:szCs w:val="24"/>
        </w:rPr>
        <w:t>region's growth opportunities</w:t>
      </w:r>
      <w:r>
        <w:rPr>
          <w:sz w:val="24"/>
          <w:szCs w:val="24"/>
        </w:rPr>
        <w:t>. This is confirmed by a recent study performed by EUI and UN-ECA</w:t>
      </w:r>
      <w:r w:rsidR="00CA0B57">
        <w:rPr>
          <w:sz w:val="24"/>
          <w:szCs w:val="24"/>
        </w:rPr>
        <w:t>, which shows</w:t>
      </w:r>
      <w:r>
        <w:rPr>
          <w:sz w:val="24"/>
          <w:szCs w:val="24"/>
        </w:rPr>
        <w:t xml:space="preserve"> that cross-border data policies are associated with lower levels of trade in digital services.</w:t>
      </w:r>
      <w:r w:rsidR="002B7C44">
        <w:rPr>
          <w:rStyle w:val="FootnoteReference"/>
          <w:sz w:val="24"/>
          <w:szCs w:val="24"/>
        </w:rPr>
        <w:footnoteReference w:id="9"/>
      </w:r>
      <w:r>
        <w:rPr>
          <w:sz w:val="24"/>
          <w:szCs w:val="24"/>
        </w:rPr>
        <w:t xml:space="preserve"> </w:t>
      </w:r>
      <w:r w:rsidR="00CA0B57">
        <w:rPr>
          <w:sz w:val="24"/>
          <w:szCs w:val="24"/>
        </w:rPr>
        <w:t>The</w:t>
      </w:r>
      <w:r>
        <w:rPr>
          <w:sz w:val="24"/>
          <w:szCs w:val="24"/>
        </w:rPr>
        <w:t xml:space="preserve"> study</w:t>
      </w:r>
      <w:r w:rsidR="00CA0B57">
        <w:rPr>
          <w:sz w:val="24"/>
          <w:szCs w:val="24"/>
        </w:rPr>
        <w:t xml:space="preserve"> also finds</w:t>
      </w:r>
      <w:r>
        <w:rPr>
          <w:sz w:val="24"/>
          <w:szCs w:val="24"/>
        </w:rPr>
        <w:t xml:space="preserve"> </w:t>
      </w:r>
      <w:r>
        <w:rPr>
          <w:sz w:val="24"/>
          <w:szCs w:val="24"/>
        </w:rPr>
        <w:lastRenderedPageBreak/>
        <w:t xml:space="preserve">that heterogeneity in the regulations on cross-border data flow also increases trade costs for digital trade. </w:t>
      </w:r>
    </w:p>
    <w:p w14:paraId="1E83AABB" w14:textId="665DE409" w:rsidR="00A248C0" w:rsidRDefault="00236A55">
      <w:pPr>
        <w:spacing w:after="200"/>
        <w:jc w:val="both"/>
        <w:rPr>
          <w:sz w:val="24"/>
          <w:szCs w:val="24"/>
        </w:rPr>
      </w:pPr>
      <w:r>
        <w:rPr>
          <w:sz w:val="24"/>
          <w:szCs w:val="24"/>
        </w:rPr>
        <w:t xml:space="preserve">This paper studies </w:t>
      </w:r>
      <w:r w:rsidR="00A248C0">
        <w:rPr>
          <w:sz w:val="24"/>
          <w:szCs w:val="24"/>
        </w:rPr>
        <w:t>how</w:t>
      </w:r>
      <w:r>
        <w:rPr>
          <w:sz w:val="24"/>
          <w:szCs w:val="24"/>
        </w:rPr>
        <w:t xml:space="preserve"> different data models</w:t>
      </w:r>
      <w:r w:rsidR="00A248C0">
        <w:rPr>
          <w:sz w:val="24"/>
          <w:szCs w:val="24"/>
        </w:rPr>
        <w:t xml:space="preserve"> adopted in the region</w:t>
      </w:r>
      <w:r>
        <w:rPr>
          <w:sz w:val="24"/>
          <w:szCs w:val="24"/>
        </w:rPr>
        <w:t xml:space="preserve"> </w:t>
      </w:r>
      <w:r w:rsidR="00A248C0">
        <w:rPr>
          <w:sz w:val="24"/>
          <w:szCs w:val="24"/>
        </w:rPr>
        <w:t xml:space="preserve">impact </w:t>
      </w:r>
      <w:r w:rsidR="00CA0B57">
        <w:rPr>
          <w:sz w:val="24"/>
          <w:szCs w:val="24"/>
        </w:rPr>
        <w:t xml:space="preserve">intra-regional </w:t>
      </w:r>
      <w:r>
        <w:rPr>
          <w:sz w:val="24"/>
          <w:szCs w:val="24"/>
        </w:rPr>
        <w:t>trade</w:t>
      </w:r>
      <w:r w:rsidR="00CA0B57">
        <w:rPr>
          <w:sz w:val="24"/>
          <w:szCs w:val="24"/>
        </w:rPr>
        <w:t xml:space="preserve"> in digital services</w:t>
      </w:r>
      <w:r>
        <w:rPr>
          <w:sz w:val="24"/>
          <w:szCs w:val="24"/>
        </w:rPr>
        <w:t xml:space="preserve">. We do so by examining the regulatory model </w:t>
      </w:r>
      <w:r w:rsidR="00A248C0">
        <w:rPr>
          <w:sz w:val="24"/>
          <w:szCs w:val="24"/>
        </w:rPr>
        <w:t>for</w:t>
      </w:r>
      <w:r w:rsidR="00CA0B57">
        <w:rPr>
          <w:sz w:val="24"/>
          <w:szCs w:val="24"/>
        </w:rPr>
        <w:t xml:space="preserve"> </w:t>
      </w:r>
      <w:r w:rsidR="00A248C0">
        <w:rPr>
          <w:sz w:val="24"/>
          <w:szCs w:val="24"/>
        </w:rPr>
        <w:t xml:space="preserve">the </w:t>
      </w:r>
      <w:r>
        <w:rPr>
          <w:sz w:val="24"/>
          <w:szCs w:val="24"/>
        </w:rPr>
        <w:t>cross-border flow of personal data</w:t>
      </w:r>
      <w:r w:rsidR="00A248C0">
        <w:rPr>
          <w:sz w:val="24"/>
          <w:szCs w:val="24"/>
        </w:rPr>
        <w:t xml:space="preserve"> applied by each African country</w:t>
      </w:r>
      <w:r>
        <w:rPr>
          <w:sz w:val="24"/>
          <w:szCs w:val="24"/>
        </w:rPr>
        <w:t xml:space="preserve"> and estimating the extent to which sharing a similar </w:t>
      </w:r>
      <w:r w:rsidR="00CA0B57">
        <w:rPr>
          <w:sz w:val="24"/>
          <w:szCs w:val="24"/>
        </w:rPr>
        <w:t xml:space="preserve">data </w:t>
      </w:r>
      <w:r>
        <w:rPr>
          <w:sz w:val="24"/>
          <w:szCs w:val="24"/>
        </w:rPr>
        <w:t>model is associated with greater or lower digital services trade</w:t>
      </w:r>
      <w:r w:rsidR="00CA0B57">
        <w:rPr>
          <w:sz w:val="24"/>
          <w:szCs w:val="24"/>
        </w:rPr>
        <w:t xml:space="preserve"> between African countries</w:t>
      </w:r>
      <w:r>
        <w:rPr>
          <w:sz w:val="24"/>
          <w:szCs w:val="24"/>
        </w:rPr>
        <w:t xml:space="preserve">. </w:t>
      </w:r>
      <w:r w:rsidR="00A248C0">
        <w:rPr>
          <w:sz w:val="24"/>
          <w:szCs w:val="24"/>
        </w:rPr>
        <w:t>Regulatory frameworks for cross-border data transfers can broadly be categorised into three different models: open, conditional, or control model.</w:t>
      </w:r>
      <w:r w:rsidR="00556861">
        <w:rPr>
          <w:rStyle w:val="FootnoteReference"/>
          <w:sz w:val="24"/>
          <w:szCs w:val="24"/>
        </w:rPr>
        <w:footnoteReference w:id="10"/>
      </w:r>
      <w:r w:rsidR="00A248C0">
        <w:rPr>
          <w:sz w:val="24"/>
          <w:szCs w:val="24"/>
        </w:rPr>
        <w:t xml:space="preserve"> The open model is characterised by the absence of restrictions on cross-border data flows and the absence of a comprehensive framework for personal data protection that applies to domestic data processing. The presence of certain conditions for the transfer and processing of personal data characterises the conditional model, which is often influenced by the framework adopted by the European Union. The control model is defined by extensive restrictions applied to data transfers across borders, regardless of the presence of a data protection framework in the country. </w:t>
      </w:r>
    </w:p>
    <w:p w14:paraId="0000000E" w14:textId="70A0ED3D" w:rsidR="00E51BAE" w:rsidRDefault="00236A55">
      <w:pPr>
        <w:spacing w:after="200"/>
        <w:jc w:val="both"/>
        <w:rPr>
          <w:sz w:val="24"/>
          <w:szCs w:val="24"/>
        </w:rPr>
      </w:pPr>
      <w:r>
        <w:rPr>
          <w:sz w:val="24"/>
          <w:szCs w:val="24"/>
        </w:rPr>
        <w:t xml:space="preserve">We also study the additional effect of implementing a comprehensive data protection framework for processing personal data. ​​On </w:t>
      </w:r>
      <w:r w:rsidR="00670DE9">
        <w:rPr>
          <w:sz w:val="24"/>
          <w:szCs w:val="24"/>
        </w:rPr>
        <w:t>the one hand, such a framework might increase the costs of doing busines</w:t>
      </w:r>
      <w:r>
        <w:rPr>
          <w:sz w:val="24"/>
          <w:szCs w:val="24"/>
        </w:rPr>
        <w:t xml:space="preserve">s, mainly in the form of compliance costs. On the other hand, it could also instil trust in the digital economy. In addition, as most countries have implemented a domestic regime </w:t>
      </w:r>
      <w:r w:rsidR="00A248C0">
        <w:rPr>
          <w:sz w:val="24"/>
          <w:szCs w:val="24"/>
        </w:rPr>
        <w:t>for</w:t>
      </w:r>
      <w:r>
        <w:rPr>
          <w:sz w:val="24"/>
          <w:szCs w:val="24"/>
        </w:rPr>
        <w:t xml:space="preserve"> data protection influenced by the European Union model, </w:t>
      </w:r>
      <w:r w:rsidR="00670DE9">
        <w:rPr>
          <w:sz w:val="24"/>
          <w:szCs w:val="24"/>
        </w:rPr>
        <w:t>a comprehensive data protection law could positively impact</w:t>
      </w:r>
      <w:r>
        <w:rPr>
          <w:sz w:val="24"/>
          <w:szCs w:val="24"/>
        </w:rPr>
        <w:t xml:space="preserve"> trade by lowering regulatory heterogeneity.</w:t>
      </w:r>
    </w:p>
    <w:p w14:paraId="00000011" w14:textId="54566BAF" w:rsidR="00E51BAE" w:rsidRDefault="00236A55">
      <w:pPr>
        <w:spacing w:after="200"/>
        <w:jc w:val="both"/>
        <w:rPr>
          <w:sz w:val="24"/>
          <w:szCs w:val="24"/>
        </w:rPr>
      </w:pPr>
      <w:r>
        <w:rPr>
          <w:sz w:val="24"/>
          <w:szCs w:val="24"/>
        </w:rPr>
        <w:t>This paper is closely connected to an emerging series of empirical papers that stud</w:t>
      </w:r>
      <w:r w:rsidR="00CA0B57">
        <w:rPr>
          <w:sz w:val="24"/>
          <w:szCs w:val="24"/>
        </w:rPr>
        <w:t>y the impact of data-related restrictions on digital services trade</w:t>
      </w:r>
      <w:r>
        <w:rPr>
          <w:sz w:val="24"/>
          <w:szCs w:val="24"/>
        </w:rPr>
        <w:t>.</w:t>
      </w:r>
      <w:r w:rsidR="001C6DB4">
        <w:rPr>
          <w:rStyle w:val="FootnoteReference"/>
          <w:sz w:val="24"/>
          <w:szCs w:val="24"/>
        </w:rPr>
        <w:footnoteReference w:id="11"/>
      </w:r>
      <w:r>
        <w:rPr>
          <w:sz w:val="24"/>
          <w:szCs w:val="24"/>
        </w:rPr>
        <w:t xml:space="preserve"> </w:t>
      </w:r>
      <w:r w:rsidR="00967DD2">
        <w:rPr>
          <w:sz w:val="24"/>
          <w:szCs w:val="24"/>
        </w:rPr>
        <w:t xml:space="preserve">It </w:t>
      </w:r>
      <w:r>
        <w:rPr>
          <w:sz w:val="24"/>
          <w:szCs w:val="24"/>
        </w:rPr>
        <w:t>builds on th</w:t>
      </w:r>
      <w:r w:rsidR="00A248C0">
        <w:rPr>
          <w:sz w:val="24"/>
          <w:szCs w:val="24"/>
        </w:rPr>
        <w:t xml:space="preserve">is literature </w:t>
      </w:r>
      <w:r>
        <w:rPr>
          <w:sz w:val="24"/>
          <w:szCs w:val="24"/>
        </w:rPr>
        <w:t xml:space="preserve">but with a specific focus on African countries. </w:t>
      </w:r>
      <w:r w:rsidR="00A248C0">
        <w:rPr>
          <w:sz w:val="24"/>
          <w:szCs w:val="24"/>
        </w:rPr>
        <w:t>Using a gravity model, we</w:t>
      </w:r>
      <w:r>
        <w:rPr>
          <w:sz w:val="24"/>
          <w:szCs w:val="24"/>
        </w:rPr>
        <w:t xml:space="preserve"> estimate </w:t>
      </w:r>
      <w:r w:rsidR="00A248C0">
        <w:rPr>
          <w:sz w:val="24"/>
          <w:szCs w:val="24"/>
        </w:rPr>
        <w:t>how sharing a</w:t>
      </w:r>
      <w:r>
        <w:rPr>
          <w:sz w:val="24"/>
          <w:szCs w:val="24"/>
        </w:rPr>
        <w:t xml:space="preserve"> </w:t>
      </w:r>
      <w:r w:rsidR="00A248C0">
        <w:rPr>
          <w:sz w:val="24"/>
          <w:szCs w:val="24"/>
        </w:rPr>
        <w:t>data model</w:t>
      </w:r>
      <w:r>
        <w:rPr>
          <w:sz w:val="24"/>
          <w:szCs w:val="24"/>
        </w:rPr>
        <w:t xml:space="preserve"> </w:t>
      </w:r>
      <w:r w:rsidR="00A248C0">
        <w:rPr>
          <w:sz w:val="24"/>
          <w:szCs w:val="24"/>
        </w:rPr>
        <w:t xml:space="preserve">and a comprehensive data protection law </w:t>
      </w:r>
      <w:r>
        <w:rPr>
          <w:sz w:val="24"/>
          <w:szCs w:val="24"/>
        </w:rPr>
        <w:t>impact</w:t>
      </w:r>
      <w:r w:rsidR="00A248C0">
        <w:rPr>
          <w:sz w:val="24"/>
          <w:szCs w:val="24"/>
        </w:rPr>
        <w:t>s</w:t>
      </w:r>
      <w:r>
        <w:rPr>
          <w:sz w:val="24"/>
          <w:szCs w:val="24"/>
        </w:rPr>
        <w:t xml:space="preserve"> </w:t>
      </w:r>
      <w:r w:rsidR="00A248C0">
        <w:rPr>
          <w:sz w:val="24"/>
          <w:szCs w:val="24"/>
        </w:rPr>
        <w:t xml:space="preserve">intra-regional </w:t>
      </w:r>
      <w:r>
        <w:rPr>
          <w:sz w:val="24"/>
          <w:szCs w:val="24"/>
        </w:rPr>
        <w:t>trade in digital services</w:t>
      </w:r>
      <w:r w:rsidR="00A248C0">
        <w:rPr>
          <w:sz w:val="24"/>
          <w:szCs w:val="24"/>
        </w:rPr>
        <w:t>. The results of this analysis can eventually guide us in identifying the optimal regulatory data framework for the African continent to minimise t</w:t>
      </w:r>
      <w:r w:rsidR="001F536D">
        <w:rPr>
          <w:sz w:val="24"/>
          <w:szCs w:val="24"/>
        </w:rPr>
        <w:t>r</w:t>
      </w:r>
      <w:r w:rsidR="00A248C0">
        <w:rPr>
          <w:sz w:val="24"/>
          <w:szCs w:val="24"/>
        </w:rPr>
        <w:t>ade costs in digital services.</w:t>
      </w:r>
    </w:p>
    <w:p w14:paraId="00000012" w14:textId="210E84CA" w:rsidR="00E51BAE" w:rsidRDefault="00236A55">
      <w:pPr>
        <w:spacing w:after="200"/>
        <w:jc w:val="both"/>
        <w:rPr>
          <w:sz w:val="24"/>
          <w:szCs w:val="24"/>
        </w:rPr>
      </w:pPr>
      <w:r>
        <w:rPr>
          <w:sz w:val="24"/>
          <w:szCs w:val="24"/>
        </w:rPr>
        <w:t>The paper is organised as follows. The next section discusses further the related literature regarding data-related regulations and their impact on digital trade. Section 3 provides an overview of the three regulatory data models and shows which of the three models African countries currently apply for cross-border data transfers and which countries</w:t>
      </w:r>
      <w:r w:rsidR="00A248C0">
        <w:rPr>
          <w:sz w:val="24"/>
          <w:szCs w:val="24"/>
        </w:rPr>
        <w:t xml:space="preserve"> in the region</w:t>
      </w:r>
      <w:r>
        <w:rPr>
          <w:sz w:val="24"/>
          <w:szCs w:val="24"/>
        </w:rPr>
        <w:t xml:space="preserve"> implement a comprehensive data protection law. Section 4 describes our empirical approach to estimating the trade impact using the gravity model, whereas Section 5 </w:t>
      </w:r>
      <w:r>
        <w:rPr>
          <w:sz w:val="24"/>
          <w:szCs w:val="24"/>
        </w:rPr>
        <w:lastRenderedPageBreak/>
        <w:t xml:space="preserve">provides the results. Finally, the last section concludes by providing policy insights based on our results. </w:t>
      </w:r>
    </w:p>
    <w:p w14:paraId="00000013" w14:textId="77777777" w:rsidR="00E51BAE" w:rsidRDefault="00236A55">
      <w:pPr>
        <w:pStyle w:val="Heading3"/>
        <w:numPr>
          <w:ilvl w:val="0"/>
          <w:numId w:val="1"/>
        </w:numPr>
        <w:spacing w:after="200"/>
        <w:jc w:val="both"/>
      </w:pPr>
      <w:bookmarkStart w:id="6" w:name="_heading=h.kz9pcxammju0" w:colFirst="0" w:colLast="0"/>
      <w:bookmarkEnd w:id="6"/>
      <w:r>
        <w:t>Literature review</w:t>
      </w:r>
    </w:p>
    <w:p w14:paraId="34970D8D" w14:textId="087447FD" w:rsidR="00967DD2" w:rsidRDefault="00670DE9" w:rsidP="00967DD2">
      <w:pPr>
        <w:spacing w:after="200"/>
        <w:jc w:val="both"/>
        <w:rPr>
          <w:sz w:val="24"/>
          <w:szCs w:val="24"/>
        </w:rPr>
      </w:pPr>
      <w:r>
        <w:rPr>
          <w:sz w:val="24"/>
          <w:szCs w:val="24"/>
        </w:rPr>
        <w:t>An emerging literature empirically assesses</w:t>
      </w:r>
      <w:r w:rsidR="00236A55">
        <w:rPr>
          <w:sz w:val="24"/>
          <w:szCs w:val="24"/>
        </w:rPr>
        <w:t xml:space="preserve"> the extent to which </w:t>
      </w:r>
      <w:r w:rsidR="00A248C0">
        <w:rPr>
          <w:sz w:val="24"/>
          <w:szCs w:val="24"/>
        </w:rPr>
        <w:t>data</w:t>
      </w:r>
      <w:r w:rsidR="00236A55">
        <w:rPr>
          <w:sz w:val="24"/>
          <w:szCs w:val="24"/>
        </w:rPr>
        <w:t xml:space="preserve"> regulations potentially inhibit or stimulate trade</w:t>
      </w:r>
      <w:r w:rsidR="00967DD2">
        <w:rPr>
          <w:sz w:val="24"/>
          <w:szCs w:val="24"/>
        </w:rPr>
        <w:t xml:space="preserve"> and productivity</w:t>
      </w:r>
      <w:r w:rsidR="00236A55" w:rsidRPr="00743B52">
        <w:rPr>
          <w:sz w:val="24"/>
          <w:szCs w:val="24"/>
        </w:rPr>
        <w:t>.</w:t>
      </w:r>
      <w:r w:rsidR="00A248C0" w:rsidRPr="00743B52">
        <w:rPr>
          <w:sz w:val="24"/>
          <w:szCs w:val="24"/>
        </w:rPr>
        <w:t xml:space="preserve"> </w:t>
      </w:r>
      <w:r w:rsidR="00967DD2" w:rsidRPr="00743B52">
        <w:rPr>
          <w:sz w:val="24"/>
          <w:szCs w:val="24"/>
        </w:rPr>
        <w:t xml:space="preserve">Ferracane and van der </w:t>
      </w:r>
      <w:proofErr w:type="spellStart"/>
      <w:r w:rsidR="00967DD2" w:rsidRPr="00743B52">
        <w:rPr>
          <w:sz w:val="24"/>
          <w:szCs w:val="24"/>
        </w:rPr>
        <w:t>Marel</w:t>
      </w:r>
      <w:proofErr w:type="spellEnd"/>
      <w:r w:rsidR="00967DD2" w:rsidRPr="00743B52">
        <w:rPr>
          <w:sz w:val="24"/>
          <w:szCs w:val="24"/>
        </w:rPr>
        <w:t xml:space="preserve"> (2021a) find that</w:t>
      </w:r>
      <w:r w:rsidR="00236A55" w:rsidRPr="00743B52">
        <w:rPr>
          <w:sz w:val="24"/>
          <w:szCs w:val="24"/>
        </w:rPr>
        <w:t xml:space="preserve"> specific regulatory restrictions targeting the cross-border </w:t>
      </w:r>
      <w:r w:rsidRPr="00743B52">
        <w:rPr>
          <w:sz w:val="24"/>
          <w:szCs w:val="24"/>
        </w:rPr>
        <w:t>data flows</w:t>
      </w:r>
      <w:r w:rsidR="00236A55" w:rsidRPr="00743B52">
        <w:rPr>
          <w:sz w:val="24"/>
          <w:szCs w:val="24"/>
        </w:rPr>
        <w:t xml:space="preserve"> </w:t>
      </w:r>
      <w:r w:rsidR="00CA6D48" w:rsidRPr="00743B52">
        <w:rPr>
          <w:sz w:val="24"/>
          <w:szCs w:val="24"/>
        </w:rPr>
        <w:t>negatively impact</w:t>
      </w:r>
      <w:r w:rsidR="00236A55" w:rsidRPr="00743B52">
        <w:rPr>
          <w:sz w:val="24"/>
          <w:szCs w:val="24"/>
        </w:rPr>
        <w:t xml:space="preserve"> trade in digital services across developed and developing countries</w:t>
      </w:r>
      <w:r w:rsidR="00967DD2" w:rsidRPr="00743B52">
        <w:rPr>
          <w:sz w:val="24"/>
          <w:szCs w:val="24"/>
        </w:rPr>
        <w:t>.</w:t>
      </w:r>
      <w:r w:rsidR="006E32FE" w:rsidRPr="00743B52">
        <w:rPr>
          <w:rStyle w:val="FootnoteReference"/>
          <w:sz w:val="24"/>
          <w:szCs w:val="24"/>
        </w:rPr>
        <w:footnoteReference w:id="12"/>
      </w:r>
      <w:r w:rsidR="00967DD2" w:rsidRPr="00743B52">
        <w:rPr>
          <w:sz w:val="24"/>
          <w:szCs w:val="24"/>
        </w:rPr>
        <w:t xml:space="preserve"> </w:t>
      </w:r>
      <w:r w:rsidR="00236A55" w:rsidRPr="00743B52">
        <w:rPr>
          <w:sz w:val="24"/>
          <w:szCs w:val="24"/>
        </w:rPr>
        <w:t>Similarly, for developed countries</w:t>
      </w:r>
      <w:r w:rsidR="00A248C0" w:rsidRPr="00743B52">
        <w:rPr>
          <w:sz w:val="24"/>
          <w:szCs w:val="24"/>
        </w:rPr>
        <w:t xml:space="preserve"> only,</w:t>
      </w:r>
      <w:r w:rsidR="00236A55" w:rsidRPr="00743B52">
        <w:rPr>
          <w:sz w:val="24"/>
          <w:szCs w:val="24"/>
        </w:rPr>
        <w:t xml:space="preserve"> </w:t>
      </w:r>
      <w:bookmarkStart w:id="7" w:name="OLE_LINK2"/>
      <w:r w:rsidR="00967DD2" w:rsidRPr="00743B52">
        <w:rPr>
          <w:sz w:val="24"/>
          <w:szCs w:val="24"/>
        </w:rPr>
        <w:t>López-González e</w:t>
      </w:r>
      <w:r w:rsidR="00967DD2" w:rsidRPr="00743B52">
        <w:rPr>
          <w:i/>
          <w:iCs/>
          <w:sz w:val="24"/>
          <w:szCs w:val="24"/>
        </w:rPr>
        <w:t>t al.</w:t>
      </w:r>
      <w:r w:rsidR="00967DD2" w:rsidRPr="00743B52">
        <w:rPr>
          <w:sz w:val="24"/>
          <w:szCs w:val="24"/>
        </w:rPr>
        <w:t xml:space="preserve"> (20</w:t>
      </w:r>
      <w:bookmarkEnd w:id="7"/>
      <w:r w:rsidR="00CA6D48" w:rsidRPr="00743B52">
        <w:rPr>
          <w:sz w:val="24"/>
          <w:szCs w:val="24"/>
        </w:rPr>
        <w:t>22</w:t>
      </w:r>
      <w:r w:rsidR="00967DD2" w:rsidRPr="00743B52">
        <w:rPr>
          <w:sz w:val="24"/>
          <w:szCs w:val="24"/>
        </w:rPr>
        <w:t>) find that, although these measures raise demand for domestic ICT services, they also raise</w:t>
      </w:r>
      <w:r w:rsidR="00967DD2" w:rsidRPr="00967DD2">
        <w:rPr>
          <w:sz w:val="24"/>
          <w:szCs w:val="24"/>
        </w:rPr>
        <w:t xml:space="preserve"> the costs of ICT inputs for other sectors</w:t>
      </w:r>
      <w:r w:rsidR="00967DD2">
        <w:rPr>
          <w:sz w:val="24"/>
          <w:szCs w:val="24"/>
        </w:rPr>
        <w:t>, resulting in an overall</w:t>
      </w:r>
      <w:r w:rsidR="00967DD2" w:rsidRPr="00967DD2">
        <w:rPr>
          <w:sz w:val="24"/>
          <w:szCs w:val="24"/>
        </w:rPr>
        <w:t xml:space="preserve"> negative impact on other sectors</w:t>
      </w:r>
      <w:r w:rsidR="00967DD2">
        <w:rPr>
          <w:sz w:val="24"/>
          <w:szCs w:val="24"/>
        </w:rPr>
        <w:t xml:space="preserve">, which </w:t>
      </w:r>
      <w:r w:rsidR="00967DD2" w:rsidRPr="00967DD2">
        <w:rPr>
          <w:sz w:val="24"/>
          <w:szCs w:val="24"/>
        </w:rPr>
        <w:t>outweighs the positive impact on domestic data services</w:t>
      </w:r>
      <w:r w:rsidR="00967DD2">
        <w:rPr>
          <w:sz w:val="24"/>
          <w:szCs w:val="24"/>
        </w:rPr>
        <w:t>.</w:t>
      </w:r>
      <w:r w:rsidR="00490156">
        <w:rPr>
          <w:rStyle w:val="FootnoteReference"/>
          <w:sz w:val="24"/>
          <w:szCs w:val="24"/>
        </w:rPr>
        <w:footnoteReference w:id="13"/>
      </w:r>
    </w:p>
    <w:p w14:paraId="00000015" w14:textId="2965B0A7" w:rsidR="00E51BAE" w:rsidRDefault="00967DD2" w:rsidP="00967DD2">
      <w:pPr>
        <w:spacing w:after="200"/>
        <w:jc w:val="both"/>
        <w:rPr>
          <w:sz w:val="24"/>
          <w:szCs w:val="24"/>
        </w:rPr>
      </w:pPr>
      <w:r>
        <w:rPr>
          <w:sz w:val="24"/>
          <w:szCs w:val="24"/>
        </w:rPr>
        <w:t xml:space="preserve">The </w:t>
      </w:r>
      <w:r w:rsidRPr="00967DD2">
        <w:rPr>
          <w:sz w:val="24"/>
          <w:szCs w:val="24"/>
        </w:rPr>
        <w:t>United States</w:t>
      </w:r>
      <w:r>
        <w:rPr>
          <w:sz w:val="24"/>
          <w:szCs w:val="24"/>
        </w:rPr>
        <w:t xml:space="preserve"> </w:t>
      </w:r>
      <w:r w:rsidRPr="00967DD2">
        <w:rPr>
          <w:sz w:val="24"/>
          <w:szCs w:val="24"/>
        </w:rPr>
        <w:t>International Trade Commission</w:t>
      </w:r>
      <w:r>
        <w:rPr>
          <w:sz w:val="24"/>
          <w:szCs w:val="24"/>
        </w:rPr>
        <w:t xml:space="preserve"> (USITC) found that open data flows resulting from the implementation of the commitments in the US-Mexico-Canada USMCA would lead to a reduction in trade costs from these provisions, ranging</w:t>
      </w:r>
      <w:r w:rsidRPr="00967DD2">
        <w:rPr>
          <w:sz w:val="24"/>
          <w:szCs w:val="24"/>
        </w:rPr>
        <w:t xml:space="preserve"> between 1.1 and 1.4 percentage points, depending</w:t>
      </w:r>
      <w:r>
        <w:rPr>
          <w:sz w:val="24"/>
          <w:szCs w:val="24"/>
        </w:rPr>
        <w:t xml:space="preserve"> </w:t>
      </w:r>
      <w:r w:rsidRPr="00967DD2">
        <w:rPr>
          <w:sz w:val="24"/>
          <w:szCs w:val="24"/>
        </w:rPr>
        <w:t>on the country</w:t>
      </w:r>
      <w:r>
        <w:rPr>
          <w:sz w:val="24"/>
          <w:szCs w:val="24"/>
        </w:rPr>
        <w:t>.</w:t>
      </w:r>
      <w:r w:rsidR="005B3CCC">
        <w:rPr>
          <w:rStyle w:val="FootnoteReference"/>
          <w:sz w:val="24"/>
          <w:szCs w:val="24"/>
        </w:rPr>
        <w:footnoteReference w:id="14"/>
      </w:r>
      <w:r>
        <w:rPr>
          <w:sz w:val="24"/>
          <w:szCs w:val="24"/>
        </w:rPr>
        <w:t xml:space="preserve"> </w:t>
      </w:r>
      <w:r w:rsidR="00A248C0">
        <w:rPr>
          <w:sz w:val="24"/>
          <w:szCs w:val="24"/>
        </w:rPr>
        <w:t>Ferracane</w:t>
      </w:r>
      <w:r w:rsidR="00A248C0">
        <w:rPr>
          <w:i/>
          <w:sz w:val="24"/>
          <w:szCs w:val="24"/>
        </w:rPr>
        <w:t xml:space="preserve"> et al.</w:t>
      </w:r>
      <w:r w:rsidR="00A248C0">
        <w:rPr>
          <w:sz w:val="24"/>
          <w:szCs w:val="24"/>
        </w:rPr>
        <w:t xml:space="preserve"> (2020) </w:t>
      </w:r>
      <w:r w:rsidR="00236A55">
        <w:rPr>
          <w:sz w:val="24"/>
          <w:szCs w:val="24"/>
        </w:rPr>
        <w:t>show that regulatory restrictions also inhibit local firms from reaping higher productivity gains.</w:t>
      </w:r>
      <w:r w:rsidR="001C6DB4">
        <w:rPr>
          <w:rStyle w:val="FootnoteReference"/>
          <w:sz w:val="24"/>
          <w:szCs w:val="24"/>
        </w:rPr>
        <w:footnoteReference w:id="15"/>
      </w:r>
    </w:p>
    <w:p w14:paraId="00000016" w14:textId="7F5CB85B" w:rsidR="00E51BAE" w:rsidRDefault="00236A55">
      <w:pPr>
        <w:spacing w:after="200"/>
        <w:jc w:val="both"/>
        <w:rPr>
          <w:sz w:val="24"/>
          <w:szCs w:val="24"/>
        </w:rPr>
      </w:pPr>
      <w:r>
        <w:rPr>
          <w:sz w:val="24"/>
          <w:szCs w:val="24"/>
        </w:rPr>
        <w:t xml:space="preserve">Another strand of the literature assesses how the broader regulatory frameworks regarding cross-border flow and domestic data processing relate to trade in services. As noted in the World Development Report </w:t>
      </w:r>
      <w:r w:rsidR="00A94974">
        <w:rPr>
          <w:sz w:val="24"/>
          <w:szCs w:val="24"/>
        </w:rPr>
        <w:t>2021</w:t>
      </w:r>
      <w:r>
        <w:rPr>
          <w:sz w:val="24"/>
          <w:szCs w:val="24"/>
        </w:rPr>
        <w:t>,</w:t>
      </w:r>
      <w:r w:rsidR="00A94974">
        <w:rPr>
          <w:rStyle w:val="FootnoteReference"/>
          <w:sz w:val="24"/>
          <w:szCs w:val="24"/>
        </w:rPr>
        <w:footnoteReference w:id="16"/>
      </w:r>
      <w:r>
        <w:rPr>
          <w:sz w:val="24"/>
          <w:szCs w:val="24"/>
        </w:rPr>
        <w:t xml:space="preserve"> three global models regulating data are currently in place. The report and associated studies show that it matters to which regulatory model trading partners belong as different models have different impacts (positive or negative) on the ability of partner countries to trade services with each other.</w:t>
      </w:r>
      <w:r w:rsidR="000A2B61">
        <w:rPr>
          <w:rStyle w:val="FootnoteReference"/>
          <w:sz w:val="24"/>
          <w:szCs w:val="24"/>
        </w:rPr>
        <w:footnoteReference w:id="17"/>
      </w:r>
      <w:r w:rsidR="000A2B61">
        <w:rPr>
          <w:sz w:val="24"/>
          <w:szCs w:val="24"/>
        </w:rPr>
        <w:t xml:space="preserve"> </w:t>
      </w:r>
      <w:r>
        <w:rPr>
          <w:sz w:val="24"/>
          <w:szCs w:val="24"/>
        </w:rPr>
        <w:t xml:space="preserve">Using a gravity model with a sample of 143 economies, the authors find that a model </w:t>
      </w:r>
      <w:r w:rsidR="00A248C0">
        <w:rPr>
          <w:sz w:val="24"/>
          <w:szCs w:val="24"/>
        </w:rPr>
        <w:t>based on</w:t>
      </w:r>
      <w:r>
        <w:rPr>
          <w:sz w:val="24"/>
          <w:szCs w:val="24"/>
        </w:rPr>
        <w:t xml:space="preserve"> open data transfers associated with a strong d</w:t>
      </w:r>
      <w:r w:rsidR="00A248C0">
        <w:rPr>
          <w:sz w:val="24"/>
          <w:szCs w:val="24"/>
        </w:rPr>
        <w:t>omestic data protection regime</w:t>
      </w:r>
      <w:r>
        <w:rPr>
          <w:sz w:val="24"/>
          <w:szCs w:val="24"/>
        </w:rPr>
        <w:t xml:space="preserve"> is the best suited to foster digital</w:t>
      </w:r>
      <w:r w:rsidR="00A248C0">
        <w:rPr>
          <w:sz w:val="24"/>
          <w:szCs w:val="24"/>
        </w:rPr>
        <w:t xml:space="preserve"> services</w:t>
      </w:r>
      <w:r>
        <w:rPr>
          <w:sz w:val="24"/>
          <w:szCs w:val="24"/>
        </w:rPr>
        <w:t xml:space="preserve"> trade. In contrast, restrictions on data transfers and the lack of domestic regulation on data protection can harm trade in </w:t>
      </w:r>
      <w:r w:rsidR="00A248C0">
        <w:rPr>
          <w:sz w:val="24"/>
          <w:szCs w:val="24"/>
        </w:rPr>
        <w:t xml:space="preserve">digital </w:t>
      </w:r>
      <w:r>
        <w:rPr>
          <w:sz w:val="24"/>
          <w:szCs w:val="24"/>
        </w:rPr>
        <w:t>services.</w:t>
      </w:r>
    </w:p>
    <w:p w14:paraId="00000017" w14:textId="782B6BBD" w:rsidR="00E51BAE" w:rsidRDefault="00A248C0">
      <w:pPr>
        <w:spacing w:after="200"/>
        <w:jc w:val="both"/>
        <w:rPr>
          <w:sz w:val="24"/>
          <w:szCs w:val="24"/>
        </w:rPr>
      </w:pPr>
      <w:r>
        <w:rPr>
          <w:sz w:val="24"/>
          <w:szCs w:val="24"/>
        </w:rPr>
        <w:t>T</w:t>
      </w:r>
      <w:r w:rsidR="00236A55">
        <w:rPr>
          <w:sz w:val="24"/>
          <w:szCs w:val="24"/>
        </w:rPr>
        <w:t xml:space="preserve">his paper also contributes to a broader strand of the literature covering research on the economics of privacy, including the economic value and consequences of protecting and disclosing personal </w:t>
      </w:r>
      <w:r w:rsidR="00236A55" w:rsidRPr="00743B52">
        <w:rPr>
          <w:sz w:val="24"/>
          <w:szCs w:val="24"/>
        </w:rPr>
        <w:t xml:space="preserve">data. </w:t>
      </w:r>
      <w:proofErr w:type="spellStart"/>
      <w:r w:rsidR="00236A55" w:rsidRPr="00743B52">
        <w:rPr>
          <w:sz w:val="24"/>
          <w:szCs w:val="24"/>
        </w:rPr>
        <w:t>Acquisti</w:t>
      </w:r>
      <w:proofErr w:type="spellEnd"/>
      <w:r w:rsidR="00236A55" w:rsidRPr="00743B52">
        <w:rPr>
          <w:sz w:val="24"/>
          <w:szCs w:val="24"/>
        </w:rPr>
        <w:t xml:space="preserve"> </w:t>
      </w:r>
      <w:r w:rsidR="00236A55" w:rsidRPr="00743B52">
        <w:rPr>
          <w:i/>
          <w:sz w:val="24"/>
          <w:szCs w:val="24"/>
        </w:rPr>
        <w:t>et al.</w:t>
      </w:r>
      <w:r w:rsidR="00236A55" w:rsidRPr="00743B52">
        <w:rPr>
          <w:sz w:val="24"/>
          <w:szCs w:val="24"/>
        </w:rPr>
        <w:t xml:space="preserve"> (2016) provide</w:t>
      </w:r>
      <w:r w:rsidR="00236A55">
        <w:rPr>
          <w:sz w:val="24"/>
          <w:szCs w:val="24"/>
        </w:rPr>
        <w:t xml:space="preserve"> a general overview of the theoretical and empirical research on the economics of privacy and show how the economic analysis of privacy has evolved and has become increasingly nuanced and complex with advancements in information technology.</w:t>
      </w:r>
      <w:r w:rsidR="0016323E">
        <w:rPr>
          <w:rStyle w:val="FootnoteReference"/>
          <w:sz w:val="24"/>
          <w:szCs w:val="24"/>
        </w:rPr>
        <w:footnoteReference w:id="18"/>
      </w:r>
      <w:r w:rsidR="00236A55">
        <w:rPr>
          <w:sz w:val="24"/>
          <w:szCs w:val="24"/>
        </w:rPr>
        <w:t xml:space="preserve"> </w:t>
      </w:r>
      <w:r>
        <w:rPr>
          <w:sz w:val="24"/>
          <w:szCs w:val="24"/>
        </w:rPr>
        <w:t xml:space="preserve">While </w:t>
      </w:r>
      <w:r w:rsidR="00236A55">
        <w:rPr>
          <w:sz w:val="24"/>
          <w:szCs w:val="24"/>
        </w:rPr>
        <w:t xml:space="preserve">comprehensive data protection </w:t>
      </w:r>
      <w:r w:rsidR="00236A55">
        <w:rPr>
          <w:sz w:val="24"/>
          <w:szCs w:val="24"/>
        </w:rPr>
        <w:lastRenderedPageBreak/>
        <w:t>regulation</w:t>
      </w:r>
      <w:r>
        <w:rPr>
          <w:sz w:val="24"/>
          <w:szCs w:val="24"/>
        </w:rPr>
        <w:t>s such as the European Union’s General Data Protection Regulation (GDPR) can enhance online customers’ trust,</w:t>
      </w:r>
      <w:r w:rsidR="00A94974">
        <w:rPr>
          <w:rStyle w:val="FootnoteReference"/>
          <w:sz w:val="24"/>
          <w:szCs w:val="24"/>
        </w:rPr>
        <w:footnoteReference w:id="19"/>
      </w:r>
      <w:r>
        <w:rPr>
          <w:sz w:val="24"/>
          <w:szCs w:val="24"/>
        </w:rPr>
        <w:t xml:space="preserve"> they can also create</w:t>
      </w:r>
      <w:r w:rsidR="00236A55">
        <w:rPr>
          <w:sz w:val="24"/>
          <w:szCs w:val="24"/>
        </w:rPr>
        <w:t xml:space="preserve"> significant compliance costs.</w:t>
      </w:r>
      <w:r w:rsidR="007B6866">
        <w:rPr>
          <w:rStyle w:val="FootnoteReference"/>
          <w:sz w:val="24"/>
          <w:szCs w:val="24"/>
        </w:rPr>
        <w:footnoteReference w:id="20"/>
      </w:r>
      <w:r>
        <w:rPr>
          <w:sz w:val="24"/>
          <w:szCs w:val="24"/>
        </w:rPr>
        <w:t xml:space="preserve"> </w:t>
      </w:r>
    </w:p>
    <w:p w14:paraId="74E98BE2" w14:textId="02D0EF3D" w:rsidR="00A248C0" w:rsidRDefault="00A248C0">
      <w:pPr>
        <w:spacing w:after="200"/>
        <w:jc w:val="both"/>
        <w:rPr>
          <w:sz w:val="24"/>
          <w:szCs w:val="24"/>
        </w:rPr>
      </w:pPr>
      <w:r>
        <w:rPr>
          <w:sz w:val="24"/>
          <w:szCs w:val="24"/>
        </w:rPr>
        <w:t>Studies with a specific focus on intra-African digital trade are scar</w:t>
      </w:r>
      <w:r w:rsidR="00967DD2">
        <w:rPr>
          <w:sz w:val="24"/>
          <w:szCs w:val="24"/>
        </w:rPr>
        <w:t>ce</w:t>
      </w:r>
      <w:r>
        <w:rPr>
          <w:sz w:val="24"/>
          <w:szCs w:val="24"/>
        </w:rPr>
        <w:t xml:space="preserve">. Some studies evaluate the benefits </w:t>
      </w:r>
      <w:r w:rsidR="00670DE9">
        <w:rPr>
          <w:sz w:val="24"/>
          <w:szCs w:val="24"/>
        </w:rPr>
        <w:t>of</w:t>
      </w:r>
      <w:r>
        <w:rPr>
          <w:sz w:val="24"/>
          <w:szCs w:val="24"/>
        </w:rPr>
        <w:t xml:space="preserve"> higher integration of Africa in the global value chains,</w:t>
      </w:r>
      <w:r w:rsidR="00CE5E7A">
        <w:rPr>
          <w:rStyle w:val="FootnoteReference"/>
          <w:sz w:val="24"/>
          <w:szCs w:val="24"/>
        </w:rPr>
        <w:footnoteReference w:id="21"/>
      </w:r>
      <w:r>
        <w:rPr>
          <w:sz w:val="24"/>
          <w:szCs w:val="24"/>
        </w:rPr>
        <w:t xml:space="preserve"> including through digitalisation.</w:t>
      </w:r>
      <w:r w:rsidR="0049085D">
        <w:rPr>
          <w:rStyle w:val="FootnoteReference"/>
          <w:sz w:val="24"/>
          <w:szCs w:val="24"/>
        </w:rPr>
        <w:footnoteReference w:id="22"/>
      </w:r>
      <w:r>
        <w:rPr>
          <w:sz w:val="24"/>
          <w:szCs w:val="24"/>
        </w:rPr>
        <w:t xml:space="preserve"> One study shows that restrictions and regulatory heterogeneity on cross-border data flows are associated with lower levels of trade in digital services</w:t>
      </w:r>
      <w:r w:rsidR="00967DD2">
        <w:rPr>
          <w:sz w:val="24"/>
          <w:szCs w:val="24"/>
        </w:rPr>
        <w:t>.</w:t>
      </w:r>
      <w:r w:rsidR="002B7C44">
        <w:rPr>
          <w:rStyle w:val="FootnoteReference"/>
          <w:sz w:val="24"/>
          <w:szCs w:val="24"/>
        </w:rPr>
        <w:footnoteReference w:id="23"/>
      </w:r>
      <w:r w:rsidR="00967DD2">
        <w:rPr>
          <w:sz w:val="24"/>
          <w:szCs w:val="24"/>
        </w:rPr>
        <w:t xml:space="preserve"> However,</w:t>
      </w:r>
      <w:r>
        <w:rPr>
          <w:sz w:val="24"/>
          <w:szCs w:val="24"/>
        </w:rPr>
        <w:t xml:space="preserve"> the study looks at the bulk of policies and does not provide insights about </w:t>
      </w:r>
      <w:r w:rsidR="00967DD2">
        <w:rPr>
          <w:sz w:val="24"/>
          <w:szCs w:val="24"/>
        </w:rPr>
        <w:t>the impact of specific types of policies on</w:t>
      </w:r>
      <w:r>
        <w:rPr>
          <w:sz w:val="24"/>
          <w:szCs w:val="24"/>
        </w:rPr>
        <w:t xml:space="preserve"> intra-regional trade.</w:t>
      </w:r>
    </w:p>
    <w:p w14:paraId="00000018" w14:textId="545689F0" w:rsidR="00E51BAE" w:rsidRDefault="00A248C0">
      <w:pPr>
        <w:spacing w:after="200"/>
        <w:jc w:val="both"/>
        <w:rPr>
          <w:sz w:val="24"/>
          <w:szCs w:val="24"/>
        </w:rPr>
      </w:pPr>
      <w:r>
        <w:rPr>
          <w:sz w:val="24"/>
          <w:szCs w:val="24"/>
        </w:rPr>
        <w:t xml:space="preserve">Despite the rich policy debate on the need to harmonise data protection policies in the region, including in the context of the </w:t>
      </w:r>
      <w:proofErr w:type="spellStart"/>
      <w:r>
        <w:rPr>
          <w:sz w:val="24"/>
          <w:szCs w:val="24"/>
        </w:rPr>
        <w:t>AfCFTA</w:t>
      </w:r>
      <w:proofErr w:type="spellEnd"/>
      <w:r w:rsidR="00193E8A">
        <w:rPr>
          <w:rStyle w:val="FootnoteReference"/>
          <w:sz w:val="24"/>
          <w:szCs w:val="24"/>
        </w:rPr>
        <w:footnoteReference w:id="24"/>
      </w:r>
      <w:r>
        <w:rPr>
          <w:sz w:val="24"/>
          <w:szCs w:val="24"/>
        </w:rPr>
        <w:t xml:space="preserve"> and several authors inquir</w:t>
      </w:r>
      <w:r w:rsidR="00967DD2">
        <w:rPr>
          <w:sz w:val="24"/>
          <w:szCs w:val="24"/>
        </w:rPr>
        <w:t>ing</w:t>
      </w:r>
      <w:r>
        <w:rPr>
          <w:sz w:val="24"/>
          <w:szCs w:val="24"/>
        </w:rPr>
        <w:t xml:space="preserve"> about the necessity for the African region of data policies tailored to its needs and values,</w:t>
      </w:r>
      <w:r w:rsidR="00863F56">
        <w:rPr>
          <w:rStyle w:val="FootnoteReference"/>
          <w:sz w:val="24"/>
          <w:szCs w:val="24"/>
        </w:rPr>
        <w:footnoteReference w:id="25"/>
      </w:r>
      <w:r>
        <w:rPr>
          <w:sz w:val="24"/>
          <w:szCs w:val="24"/>
        </w:rPr>
        <w:t xml:space="preserve"> there are no empirical studies assessing the effect of data policies on intra-regional trade in Africa. This</w:t>
      </w:r>
      <w:r w:rsidR="00236A55">
        <w:rPr>
          <w:sz w:val="24"/>
          <w:szCs w:val="24"/>
        </w:rPr>
        <w:t xml:space="preserve"> paper </w:t>
      </w:r>
      <w:r>
        <w:rPr>
          <w:sz w:val="24"/>
          <w:szCs w:val="24"/>
        </w:rPr>
        <w:t xml:space="preserve">aims to fill this gap by </w:t>
      </w:r>
      <w:r w:rsidR="00236A55">
        <w:rPr>
          <w:sz w:val="24"/>
          <w:szCs w:val="24"/>
        </w:rPr>
        <w:t>combin</w:t>
      </w:r>
      <w:r>
        <w:rPr>
          <w:sz w:val="24"/>
          <w:szCs w:val="24"/>
        </w:rPr>
        <w:t>ing</w:t>
      </w:r>
      <w:r w:rsidR="00236A55">
        <w:rPr>
          <w:sz w:val="24"/>
          <w:szCs w:val="24"/>
        </w:rPr>
        <w:t xml:space="preserve"> varying strands of the literature regarding data restrictions, data protection, and data governance, with a unique focus on African countries. </w:t>
      </w:r>
    </w:p>
    <w:p w14:paraId="00000019" w14:textId="77777777" w:rsidR="00E51BAE" w:rsidRDefault="00236A55">
      <w:pPr>
        <w:pStyle w:val="Heading3"/>
        <w:numPr>
          <w:ilvl w:val="0"/>
          <w:numId w:val="1"/>
        </w:numPr>
        <w:spacing w:after="200"/>
        <w:jc w:val="both"/>
      </w:pPr>
      <w:bookmarkStart w:id="9" w:name="_heading=h.v45lqwc4behs" w:colFirst="0" w:colLast="0"/>
      <w:bookmarkEnd w:id="9"/>
      <w:r>
        <w:t>Data policies in Africa</w:t>
      </w:r>
    </w:p>
    <w:p w14:paraId="0000001A" w14:textId="58120DB4" w:rsidR="00E51BAE" w:rsidRDefault="00236A55">
      <w:pPr>
        <w:spacing w:after="240"/>
        <w:jc w:val="both"/>
        <w:rPr>
          <w:sz w:val="24"/>
          <w:szCs w:val="24"/>
        </w:rPr>
      </w:pPr>
      <w:r>
        <w:rPr>
          <w:sz w:val="24"/>
          <w:szCs w:val="24"/>
        </w:rPr>
        <w:t xml:space="preserve">At the global level, three main regulatory models have emerged to regulate the cross-border transfers of personal data. The main features of these models are summarised in Table 1. The first model, which the United States traditionally advocates, is the open model. This model is characterised by the absence of restrictions on cross-border data flows. Countries following this model usually rely on a baseline set of privacy principles, leaving companies the flexibility to self-regulate on a voluntary basis. Under this model, firms usually remain accountable for how personal data is treated, including when it is transferred to a recipient in a third country. However, several countries following this model lack accountability for how personal data is treated after it crosses borders. This model also covers all those countries that simply still need to regulate the transfer of personal data. In </w:t>
      </w:r>
      <w:r>
        <w:rPr>
          <w:sz w:val="24"/>
          <w:szCs w:val="24"/>
        </w:rPr>
        <w:lastRenderedPageBreak/>
        <w:t>general, countries that fall under this model consider data protection as a consumer right, and they usually lack a comprehensive framework for personal data protection that applies to domestic data processing.</w:t>
      </w:r>
    </w:p>
    <w:p w14:paraId="0000001B" w14:textId="3F3B25BF" w:rsidR="00E51BAE" w:rsidRDefault="00236A55">
      <w:pPr>
        <w:spacing w:before="240" w:after="240"/>
        <w:jc w:val="both"/>
        <w:rPr>
          <w:sz w:val="24"/>
          <w:szCs w:val="24"/>
        </w:rPr>
      </w:pPr>
      <w:r>
        <w:rPr>
          <w:sz w:val="24"/>
          <w:szCs w:val="24"/>
        </w:rPr>
        <w:t>The second model is the conditional model, characterised by the presence of certain conditions for the transfer of personal data across borders. Countries following this model take a comprehensive and fundamental rights approach to data protection with preventative regulation implementing certain conditions to be fulfilled ex-ante for the transfer of personal data across borders.</w:t>
      </w:r>
      <w:r>
        <w:rPr>
          <w:sz w:val="24"/>
          <w:szCs w:val="24"/>
          <w:vertAlign w:val="superscript"/>
        </w:rPr>
        <w:footnoteReference w:id="26"/>
      </w:r>
      <w:r>
        <w:rPr>
          <w:sz w:val="24"/>
          <w:szCs w:val="24"/>
        </w:rPr>
        <w:t xml:space="preserve"> These conditions can be diverse,</w:t>
      </w:r>
      <w:r w:rsidR="00967DD2">
        <w:rPr>
          <w:sz w:val="24"/>
          <w:szCs w:val="24"/>
        </w:rPr>
        <w:t xml:space="preserve"> and </w:t>
      </w:r>
      <w:r>
        <w:rPr>
          <w:sz w:val="24"/>
          <w:szCs w:val="24"/>
        </w:rPr>
        <w:t>includ</w:t>
      </w:r>
      <w:r w:rsidR="00967DD2">
        <w:rPr>
          <w:sz w:val="24"/>
          <w:szCs w:val="24"/>
        </w:rPr>
        <w:t>e</w:t>
      </w:r>
      <w:r>
        <w:rPr>
          <w:sz w:val="24"/>
          <w:szCs w:val="24"/>
        </w:rPr>
        <w:t xml:space="preserve"> the consent of the data subject, the use of specific legal mechanisms such as binding corporate rules, the compliance with specific codes of conduct, or the requirement that the recipient countries have a regime for data protection considered ‘adequate’. In these countries, personal data protection is usually treated as a fundamental human right, and </w:t>
      </w:r>
      <w:r w:rsidR="00967DD2">
        <w:rPr>
          <w:sz w:val="24"/>
          <w:szCs w:val="24"/>
        </w:rPr>
        <w:t>they</w:t>
      </w:r>
      <w:r>
        <w:rPr>
          <w:sz w:val="24"/>
          <w:szCs w:val="24"/>
        </w:rPr>
        <w:t xml:space="preserve"> usually implement a comprehensive regime for personal data protection at the domestic level. The European Union advocates this model in its GDPR</w:t>
      </w:r>
      <w:r>
        <w:rPr>
          <w:sz w:val="24"/>
          <w:szCs w:val="24"/>
          <w:vertAlign w:val="superscript"/>
        </w:rPr>
        <w:footnoteReference w:id="27"/>
      </w:r>
      <w:r>
        <w:rPr>
          <w:sz w:val="24"/>
          <w:szCs w:val="24"/>
        </w:rPr>
        <w:t>, and before in its 1995 Directive for Data Protection, which established an international benchmark for data protection regulation. This model has exerted such an influence globally that scholars use the term “Brussels effect” to define this phenomenon.</w:t>
      </w:r>
      <w:r w:rsidR="00863F56">
        <w:rPr>
          <w:rStyle w:val="FootnoteReference"/>
          <w:sz w:val="24"/>
          <w:szCs w:val="24"/>
        </w:rPr>
        <w:footnoteReference w:id="28"/>
      </w:r>
      <w:r>
        <w:rPr>
          <w:sz w:val="24"/>
          <w:szCs w:val="24"/>
        </w:rPr>
        <w:t xml:space="preserve"> As we will show below, Africa is no exception, with most of the countries in the region having adopted regulations heavily influenced by the GDPR. </w:t>
      </w:r>
    </w:p>
    <w:p w14:paraId="0000001C" w14:textId="7B180715" w:rsidR="00E51BAE" w:rsidRDefault="00236A55">
      <w:pPr>
        <w:spacing w:before="240" w:after="240"/>
        <w:jc w:val="both"/>
        <w:rPr>
          <w:sz w:val="24"/>
          <w:szCs w:val="24"/>
        </w:rPr>
      </w:pPr>
      <w:r>
        <w:rPr>
          <w:sz w:val="24"/>
          <w:szCs w:val="24"/>
        </w:rPr>
        <w:t>Finally, the third model is based on controlled data transfers. This model is more common among countries where the concept of the right to privacy is relatively recent.</w:t>
      </w:r>
      <w:r>
        <w:rPr>
          <w:sz w:val="24"/>
          <w:szCs w:val="24"/>
          <w:vertAlign w:val="superscript"/>
        </w:rPr>
        <w:footnoteReference w:id="29"/>
      </w:r>
      <w:r>
        <w:rPr>
          <w:sz w:val="24"/>
          <w:szCs w:val="24"/>
        </w:rPr>
        <w:t xml:space="preserve"> Countries following this model tend to link data privacy to cybersecurity, given that, generally, data regulation is elevated to a matter of national security,</w:t>
      </w:r>
      <w:r>
        <w:rPr>
          <w:sz w:val="24"/>
          <w:szCs w:val="24"/>
          <w:vertAlign w:val="superscript"/>
        </w:rPr>
        <w:footnoteReference w:id="30"/>
      </w:r>
      <w:r>
        <w:rPr>
          <w:sz w:val="24"/>
          <w:szCs w:val="24"/>
        </w:rPr>
        <w:t xml:space="preserve"> and implement extensive restrictions on cross-border data transfers, including the local processing of data or the ex-ante authorisation by the government to transfer data abroad following a security assessment.</w:t>
      </w:r>
      <w:r>
        <w:rPr>
          <w:sz w:val="24"/>
          <w:szCs w:val="24"/>
          <w:vertAlign w:val="superscript"/>
        </w:rPr>
        <w:footnoteReference w:id="31"/>
      </w:r>
      <w:r>
        <w:rPr>
          <w:sz w:val="24"/>
          <w:szCs w:val="24"/>
        </w:rPr>
        <w:t xml:space="preserve"> Concerning the domestic processing of personal data, some of these </w:t>
      </w:r>
      <w:r>
        <w:rPr>
          <w:sz w:val="24"/>
          <w:szCs w:val="24"/>
        </w:rPr>
        <w:lastRenderedPageBreak/>
        <w:t xml:space="preserve">countries implement comprehensive data protection laws, and others do not implement these regulations. Generally, regardless of the presence of a comprehensive data protection law, these countries </w:t>
      </w:r>
      <w:r w:rsidR="00967DD2">
        <w:rPr>
          <w:sz w:val="24"/>
          <w:szCs w:val="24"/>
        </w:rPr>
        <w:t>exercise</w:t>
      </w:r>
      <w:r>
        <w:rPr>
          <w:sz w:val="24"/>
          <w:szCs w:val="24"/>
        </w:rPr>
        <w:t xml:space="preserve"> extensive and systematic control over personal data, </w:t>
      </w:r>
      <w:r w:rsidR="00967DD2">
        <w:rPr>
          <w:sz w:val="24"/>
          <w:szCs w:val="24"/>
        </w:rPr>
        <w:t>sometimes through</w:t>
      </w:r>
      <w:r>
        <w:rPr>
          <w:sz w:val="24"/>
          <w:szCs w:val="24"/>
        </w:rPr>
        <w:t xml:space="preserve"> indiscriminate government access to </w:t>
      </w:r>
      <w:r w:rsidR="00967DD2">
        <w:rPr>
          <w:sz w:val="24"/>
          <w:szCs w:val="24"/>
        </w:rPr>
        <w:t xml:space="preserve">personal </w:t>
      </w:r>
      <w:r>
        <w:rPr>
          <w:sz w:val="24"/>
          <w:szCs w:val="24"/>
        </w:rPr>
        <w:t xml:space="preserve">data </w:t>
      </w:r>
      <w:r w:rsidR="00967DD2">
        <w:rPr>
          <w:sz w:val="24"/>
          <w:szCs w:val="24"/>
        </w:rPr>
        <w:t>justified under</w:t>
      </w:r>
      <w:r>
        <w:rPr>
          <w:sz w:val="24"/>
          <w:szCs w:val="24"/>
        </w:rPr>
        <w:t xml:space="preserve"> national security and public order.</w:t>
      </w:r>
      <w:r>
        <w:rPr>
          <w:sz w:val="24"/>
          <w:szCs w:val="24"/>
          <w:vertAlign w:val="superscript"/>
        </w:rPr>
        <w:footnoteReference w:id="32"/>
      </w:r>
    </w:p>
    <w:p w14:paraId="0000001D" w14:textId="77777777" w:rsidR="00E51BAE" w:rsidRDefault="00236A55">
      <w:pPr>
        <w:pStyle w:val="Heading4"/>
        <w:spacing w:after="200"/>
        <w:jc w:val="center"/>
      </w:pPr>
      <w:bookmarkStart w:id="10" w:name="_heading=h.q8e1gxkm73v" w:colFirst="0" w:colLast="0"/>
      <w:bookmarkEnd w:id="10"/>
      <w:r>
        <w:t>Table 1: Main features of data models on cross-border data transfers</w:t>
      </w:r>
    </w:p>
    <w:tbl>
      <w:tblPr>
        <w:tblStyle w:val="a5"/>
        <w:tblW w:w="8910" w:type="dxa"/>
        <w:tblBorders>
          <w:top w:val="nil"/>
          <w:left w:val="nil"/>
          <w:bottom w:val="nil"/>
          <w:right w:val="nil"/>
          <w:insideH w:val="nil"/>
          <w:insideV w:val="nil"/>
        </w:tblBorders>
        <w:tblLayout w:type="fixed"/>
        <w:tblLook w:val="0600" w:firstRow="0" w:lastRow="0" w:firstColumn="0" w:lastColumn="0" w:noHBand="1" w:noVBand="1"/>
      </w:tblPr>
      <w:tblGrid>
        <w:gridCol w:w="1860"/>
        <w:gridCol w:w="7050"/>
      </w:tblGrid>
      <w:tr w:rsidR="00E51BAE" w14:paraId="70F138B7" w14:textId="77777777">
        <w:trPr>
          <w:trHeight w:val="907"/>
        </w:trPr>
        <w:tc>
          <w:tcPr>
            <w:tcW w:w="186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000001E" w14:textId="77777777" w:rsidR="00E51BAE" w:rsidRDefault="00236A55">
            <w:pPr>
              <w:widowControl w:val="0"/>
              <w:rPr>
                <w:b/>
                <w:sz w:val="24"/>
                <w:szCs w:val="24"/>
              </w:rPr>
            </w:pPr>
            <w:r>
              <w:rPr>
                <w:b/>
                <w:sz w:val="24"/>
                <w:szCs w:val="24"/>
              </w:rPr>
              <w:t>Open model</w:t>
            </w:r>
          </w:p>
        </w:tc>
        <w:tc>
          <w:tcPr>
            <w:tcW w:w="705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000001F" w14:textId="77777777" w:rsidR="00E51BAE" w:rsidRDefault="00236A55">
            <w:pPr>
              <w:widowControl w:val="0"/>
              <w:rPr>
                <w:sz w:val="24"/>
                <w:szCs w:val="24"/>
              </w:rPr>
            </w:pPr>
            <w:r>
              <w:rPr>
                <w:sz w:val="24"/>
                <w:szCs w:val="24"/>
              </w:rPr>
              <w:t xml:space="preserve">Self-certification; self-assessment schemes; ex-post accountability; trade agreements and plurilateral/bilateral arrangements as only means to regulate data transfers. </w:t>
            </w:r>
          </w:p>
        </w:tc>
      </w:tr>
      <w:tr w:rsidR="00E51BAE" w14:paraId="7119C79A" w14:textId="77777777">
        <w:trPr>
          <w:trHeight w:val="159"/>
        </w:trPr>
        <w:tc>
          <w:tcPr>
            <w:tcW w:w="186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0000020" w14:textId="77777777" w:rsidR="00E51BAE" w:rsidRDefault="00236A55">
            <w:pPr>
              <w:widowControl w:val="0"/>
              <w:rPr>
                <w:b/>
                <w:sz w:val="24"/>
                <w:szCs w:val="24"/>
              </w:rPr>
            </w:pPr>
            <w:r>
              <w:rPr>
                <w:b/>
                <w:sz w:val="24"/>
                <w:szCs w:val="24"/>
              </w:rPr>
              <w:t>Conditional model</w:t>
            </w:r>
          </w:p>
        </w:tc>
        <w:tc>
          <w:tcPr>
            <w:tcW w:w="705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62864A7" w14:textId="77777777" w:rsidR="00AF1982" w:rsidRDefault="00236A55">
            <w:pPr>
              <w:widowControl w:val="0"/>
              <w:rPr>
                <w:sz w:val="24"/>
                <w:szCs w:val="24"/>
              </w:rPr>
            </w:pPr>
            <w:r>
              <w:rPr>
                <w:sz w:val="24"/>
                <w:szCs w:val="24"/>
              </w:rPr>
              <w:t>Conditions to be fulfilled ex-ante, including the adequacy</w:t>
            </w:r>
          </w:p>
          <w:p w14:paraId="00000021" w14:textId="5E29D6F5" w:rsidR="00E51BAE" w:rsidRDefault="00236A55">
            <w:pPr>
              <w:widowControl w:val="0"/>
              <w:rPr>
                <w:sz w:val="24"/>
                <w:szCs w:val="24"/>
              </w:rPr>
            </w:pPr>
            <w:r>
              <w:rPr>
                <w:sz w:val="24"/>
                <w:szCs w:val="24"/>
              </w:rPr>
              <w:t xml:space="preserve"> of the recipient country, binding corporate rules (BCR), standard contract clauses (SCCs,) data subject consent, and codes of conduct, among other conditions. </w:t>
            </w:r>
          </w:p>
        </w:tc>
      </w:tr>
      <w:tr w:rsidR="00E51BAE" w14:paraId="050B5A5B" w14:textId="77777777">
        <w:trPr>
          <w:trHeight w:val="159"/>
        </w:trPr>
        <w:tc>
          <w:tcPr>
            <w:tcW w:w="18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022" w14:textId="77777777" w:rsidR="00E51BAE" w:rsidRDefault="00236A55">
            <w:pPr>
              <w:widowControl w:val="0"/>
              <w:rPr>
                <w:b/>
                <w:sz w:val="24"/>
                <w:szCs w:val="24"/>
              </w:rPr>
            </w:pPr>
            <w:r>
              <w:rPr>
                <w:b/>
                <w:sz w:val="24"/>
                <w:szCs w:val="24"/>
              </w:rPr>
              <w:t>Control model</w:t>
            </w:r>
          </w:p>
        </w:tc>
        <w:tc>
          <w:tcPr>
            <w:tcW w:w="7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023" w14:textId="77777777" w:rsidR="00E51BAE" w:rsidRDefault="00236A55">
            <w:pPr>
              <w:widowControl w:val="0"/>
              <w:rPr>
                <w:sz w:val="24"/>
                <w:szCs w:val="24"/>
              </w:rPr>
            </w:pPr>
            <w:r>
              <w:rPr>
                <w:sz w:val="24"/>
                <w:szCs w:val="24"/>
              </w:rPr>
              <w:t>Strict conditions including bans to transfer data across borders; local processing requirements: ad hoc government authorisation for data transfers; infrastructure requirements; ex-ante security assessments.</w:t>
            </w:r>
          </w:p>
        </w:tc>
      </w:tr>
    </w:tbl>
    <w:p w14:paraId="00000024" w14:textId="06379597" w:rsidR="00E51BAE" w:rsidRDefault="00236A55">
      <w:pPr>
        <w:spacing w:after="200"/>
        <w:jc w:val="both"/>
        <w:rPr>
          <w:sz w:val="20"/>
          <w:szCs w:val="20"/>
        </w:rPr>
      </w:pPr>
      <w:r>
        <w:rPr>
          <w:sz w:val="20"/>
          <w:szCs w:val="20"/>
        </w:rPr>
        <w:t xml:space="preserve">Source: Ferracane and van der </w:t>
      </w:r>
      <w:proofErr w:type="spellStart"/>
      <w:r>
        <w:rPr>
          <w:sz w:val="20"/>
          <w:szCs w:val="20"/>
        </w:rPr>
        <w:t>Marel</w:t>
      </w:r>
      <w:proofErr w:type="spellEnd"/>
      <w:r>
        <w:rPr>
          <w:sz w:val="20"/>
          <w:szCs w:val="20"/>
        </w:rPr>
        <w:t xml:space="preserve"> (202</w:t>
      </w:r>
      <w:r w:rsidR="00262783">
        <w:rPr>
          <w:sz w:val="20"/>
          <w:szCs w:val="20"/>
        </w:rPr>
        <w:t>4</w:t>
      </w:r>
      <w:r>
        <w:rPr>
          <w:sz w:val="20"/>
          <w:szCs w:val="20"/>
        </w:rPr>
        <w:t>).</w:t>
      </w:r>
    </w:p>
    <w:p w14:paraId="00000025" w14:textId="46942ED5" w:rsidR="00E51BAE" w:rsidRDefault="00967DD2">
      <w:pPr>
        <w:spacing w:before="240" w:after="240"/>
        <w:jc w:val="both"/>
        <w:rPr>
          <w:sz w:val="24"/>
          <w:szCs w:val="24"/>
        </w:rPr>
      </w:pPr>
      <w:r>
        <w:rPr>
          <w:sz w:val="24"/>
          <w:szCs w:val="24"/>
        </w:rPr>
        <w:t>Until the year 2000</w:t>
      </w:r>
      <w:r w:rsidR="00236A55">
        <w:rPr>
          <w:sz w:val="24"/>
          <w:szCs w:val="24"/>
        </w:rPr>
        <w:t xml:space="preserve">, all </w:t>
      </w:r>
      <w:r>
        <w:rPr>
          <w:sz w:val="24"/>
          <w:szCs w:val="24"/>
        </w:rPr>
        <w:t xml:space="preserve">African </w:t>
      </w:r>
      <w:r w:rsidR="00236A55">
        <w:rPr>
          <w:sz w:val="24"/>
          <w:szCs w:val="24"/>
        </w:rPr>
        <w:t xml:space="preserve">countries followed an open model for cross-border data flows </w:t>
      </w:r>
      <w:proofErr w:type="gramStart"/>
      <w:r>
        <w:rPr>
          <w:sz w:val="24"/>
          <w:szCs w:val="24"/>
        </w:rPr>
        <w:t>as a result of</w:t>
      </w:r>
      <w:proofErr w:type="gramEnd"/>
      <w:r w:rsidR="00236A55">
        <w:rPr>
          <w:sz w:val="24"/>
          <w:szCs w:val="24"/>
        </w:rPr>
        <w:t xml:space="preserve"> the general lack of regulation in this area. This picture remained mostly unchanged until 2010, </w:t>
      </w:r>
      <w:r>
        <w:rPr>
          <w:sz w:val="24"/>
          <w:szCs w:val="24"/>
        </w:rPr>
        <w:t>while the last decade</w:t>
      </w:r>
      <w:r w:rsidR="00236A55">
        <w:rPr>
          <w:sz w:val="24"/>
          <w:szCs w:val="24"/>
        </w:rPr>
        <w:t xml:space="preserve"> witnessed significant regulatory action</w:t>
      </w:r>
      <w:r>
        <w:rPr>
          <w:sz w:val="24"/>
          <w:szCs w:val="24"/>
        </w:rPr>
        <w:t xml:space="preserve"> (</w:t>
      </w:r>
      <w:r w:rsidR="00236A55">
        <w:rPr>
          <w:sz w:val="24"/>
          <w:szCs w:val="24"/>
        </w:rPr>
        <w:t>Figure 1</w:t>
      </w:r>
      <w:r>
        <w:rPr>
          <w:sz w:val="24"/>
          <w:szCs w:val="24"/>
        </w:rPr>
        <w:t>)</w:t>
      </w:r>
      <w:r w:rsidR="00236A55">
        <w:rPr>
          <w:sz w:val="24"/>
          <w:szCs w:val="24"/>
        </w:rPr>
        <w:t>. In 2023, a total of 40 countries regulated transfers of personal data, of which 2</w:t>
      </w:r>
      <w:r w:rsidR="00E47DE8">
        <w:rPr>
          <w:sz w:val="24"/>
          <w:szCs w:val="24"/>
        </w:rPr>
        <w:t>6</w:t>
      </w:r>
      <w:r w:rsidR="00236A55">
        <w:rPr>
          <w:sz w:val="24"/>
          <w:szCs w:val="24"/>
        </w:rPr>
        <w:t xml:space="preserve"> implemented a conditional flow model (4</w:t>
      </w:r>
      <w:r w:rsidR="00E47DE8">
        <w:rPr>
          <w:sz w:val="24"/>
          <w:szCs w:val="24"/>
        </w:rPr>
        <w:t>8</w:t>
      </w:r>
      <w:r w:rsidR="00236A55">
        <w:rPr>
          <w:sz w:val="24"/>
          <w:szCs w:val="24"/>
        </w:rPr>
        <w:t xml:space="preserve"> per cent), whereas 1</w:t>
      </w:r>
      <w:r w:rsidR="00E47DE8">
        <w:rPr>
          <w:sz w:val="24"/>
          <w:szCs w:val="24"/>
        </w:rPr>
        <w:t>4</w:t>
      </w:r>
      <w:r w:rsidR="00236A55">
        <w:rPr>
          <w:sz w:val="24"/>
          <w:szCs w:val="24"/>
        </w:rPr>
        <w:t xml:space="preserve"> implemented a control model (2</w:t>
      </w:r>
      <w:r w:rsidR="00E47DE8">
        <w:rPr>
          <w:sz w:val="24"/>
          <w:szCs w:val="24"/>
        </w:rPr>
        <w:t>6</w:t>
      </w:r>
      <w:r w:rsidR="00236A55">
        <w:rPr>
          <w:sz w:val="24"/>
          <w:szCs w:val="24"/>
        </w:rPr>
        <w:t xml:space="preserve"> per cent). The rest of the countries do not impose any restrictions on the transfer of personal data (26 per cent). </w:t>
      </w:r>
    </w:p>
    <w:p w14:paraId="00000026" w14:textId="0DFEA2CF" w:rsidR="00E51BAE" w:rsidRDefault="00236A55">
      <w:pPr>
        <w:pStyle w:val="Heading4"/>
        <w:spacing w:after="200"/>
        <w:jc w:val="center"/>
      </w:pPr>
      <w:bookmarkStart w:id="11" w:name="_heading=h.ie57opkzn1xj" w:colFirst="0" w:colLast="0"/>
      <w:bookmarkEnd w:id="11"/>
      <w:r>
        <w:lastRenderedPageBreak/>
        <w:t xml:space="preserve">Figure 1: Share of countries </w:t>
      </w:r>
      <w:r w:rsidR="00967DD2">
        <w:t>adopting</w:t>
      </w:r>
      <w:r>
        <w:t xml:space="preserve"> the three models for cross-border data transfers</w:t>
      </w:r>
      <w:r w:rsidR="00967DD2">
        <w:t xml:space="preserve"> (2000-2013)</w:t>
      </w:r>
    </w:p>
    <w:p w14:paraId="00000027" w14:textId="20614903" w:rsidR="00E51BAE" w:rsidRDefault="00967DD2" w:rsidP="00237AE0">
      <w:pPr>
        <w:jc w:val="center"/>
        <w:rPr>
          <w:sz w:val="24"/>
          <w:szCs w:val="24"/>
        </w:rPr>
      </w:pPr>
      <w:r>
        <w:rPr>
          <w:noProof/>
        </w:rPr>
        <w:drawing>
          <wp:inline distT="0" distB="0" distL="0" distR="0" wp14:anchorId="4F3AB083" wp14:editId="40DC7685">
            <wp:extent cx="4953534" cy="2935621"/>
            <wp:effectExtent l="0" t="0" r="0" b="0"/>
            <wp:docPr id="3" name="Picture 2">
              <a:extLst xmlns:a="http://schemas.openxmlformats.org/drawingml/2006/main">
                <a:ext uri="{FF2B5EF4-FFF2-40B4-BE49-F238E27FC236}">
                  <a16:creationId xmlns:a16="http://schemas.microsoft.com/office/drawing/2014/main" id="{41FA79DF-68C6-CF56-7468-C161EB5F105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41FA79DF-68C6-CF56-7468-C161EB5F105A}"/>
                        </a:ext>
                      </a:extLst>
                    </pic:cNvPr>
                    <pic:cNvPicPr>
                      <a:picLocks noChangeAspect="1"/>
                    </pic:cNvPicPr>
                  </pic:nvPicPr>
                  <pic:blipFill>
                    <a:blip r:embed="rId9"/>
                    <a:stretch>
                      <a:fillRect/>
                    </a:stretch>
                  </pic:blipFill>
                  <pic:spPr>
                    <a:xfrm>
                      <a:off x="0" y="0"/>
                      <a:ext cx="4955865" cy="2937003"/>
                    </a:xfrm>
                    <a:prstGeom prst="rect">
                      <a:avLst/>
                    </a:prstGeom>
                  </pic:spPr>
                </pic:pic>
              </a:graphicData>
            </a:graphic>
          </wp:inline>
        </w:drawing>
      </w:r>
    </w:p>
    <w:p w14:paraId="00000028" w14:textId="506D71B8" w:rsidR="00E51BAE" w:rsidRDefault="00236A55" w:rsidP="005E64C5">
      <w:pPr>
        <w:spacing w:after="200"/>
        <w:jc w:val="center"/>
        <w:rPr>
          <w:sz w:val="20"/>
          <w:szCs w:val="20"/>
        </w:rPr>
      </w:pPr>
      <w:r>
        <w:rPr>
          <w:sz w:val="20"/>
          <w:szCs w:val="20"/>
        </w:rPr>
        <w:t>Source: Authors based on DTI database.</w:t>
      </w:r>
    </w:p>
    <w:p w14:paraId="00000029" w14:textId="09A8F697" w:rsidR="00E51BAE" w:rsidRDefault="00236A55">
      <w:pPr>
        <w:spacing w:after="200"/>
        <w:jc w:val="both"/>
        <w:rPr>
          <w:sz w:val="24"/>
          <w:szCs w:val="24"/>
        </w:rPr>
      </w:pPr>
      <w:r>
        <w:rPr>
          <w:sz w:val="24"/>
          <w:szCs w:val="24"/>
        </w:rPr>
        <w:t xml:space="preserve">For the 54 countries in our sample, we also assess whether they have implemented a comprehensive data protection regime, </w:t>
      </w:r>
      <w:r w:rsidR="00967DD2">
        <w:rPr>
          <w:sz w:val="24"/>
          <w:szCs w:val="24"/>
        </w:rPr>
        <w:t xml:space="preserve">that is </w:t>
      </w:r>
      <w:r>
        <w:rPr>
          <w:sz w:val="24"/>
          <w:szCs w:val="24"/>
        </w:rPr>
        <w:t xml:space="preserve">a framework characterised by wide data subject rights, including the requirement for data subject consent for data collection and the rights to access, modify and delete personal data. In most cases, the laws also establish data protection authorities (DPAs) or agencies. When countries lack a comprehensive framework for personal data, data subjects have limited rights regarding how their data is handled. In some countries, while a horizontal data protection regime is missing, there are sectoral rules for certain sensitive categories of data, such as in finance and health. </w:t>
      </w:r>
    </w:p>
    <w:p w14:paraId="0000002A" w14:textId="55A5ED9E" w:rsidR="00E51BAE" w:rsidRDefault="00236A55">
      <w:pPr>
        <w:spacing w:after="200"/>
        <w:jc w:val="both"/>
        <w:rPr>
          <w:sz w:val="24"/>
          <w:szCs w:val="24"/>
        </w:rPr>
      </w:pPr>
      <w:r>
        <w:rPr>
          <w:sz w:val="24"/>
          <w:szCs w:val="24"/>
        </w:rPr>
        <w:t xml:space="preserve">Figure 2 shows a clear trend with a gradual increase in countries implementing comprehensive data regimes </w:t>
      </w:r>
      <w:r w:rsidR="00967DD2">
        <w:rPr>
          <w:sz w:val="24"/>
          <w:szCs w:val="24"/>
        </w:rPr>
        <w:t>over time</w:t>
      </w:r>
      <w:r>
        <w:rPr>
          <w:sz w:val="24"/>
          <w:szCs w:val="24"/>
        </w:rPr>
        <w:t>. By 2010, only 7 countries in the region had implemented a comprehensive regime for data protection, while as many as 36 countries had a data protection framework in place in 2023. That is, only one-third of the countries in the region lack a comprehensive regime for data protection. This trend is probably connected with the general increased interest worldwide in the issue of data protection, especially following Snowden’s revelations. Most countries adopt a regime resembling the European Union’s GDPR, reflecting the growing importance of the Brussels effect in the region.</w:t>
      </w:r>
    </w:p>
    <w:p w14:paraId="0000002B" w14:textId="042BC543" w:rsidR="00E51BAE" w:rsidRDefault="00236A55">
      <w:pPr>
        <w:pStyle w:val="Heading4"/>
        <w:spacing w:after="200"/>
        <w:jc w:val="center"/>
      </w:pPr>
      <w:bookmarkStart w:id="12" w:name="_heading=h.qenxuzilzyyo" w:colFirst="0" w:colLast="0"/>
      <w:bookmarkEnd w:id="12"/>
      <w:r>
        <w:lastRenderedPageBreak/>
        <w:t xml:space="preserve">Figure 2: </w:t>
      </w:r>
      <w:r w:rsidR="00967DD2">
        <w:t>Share of c</w:t>
      </w:r>
      <w:r>
        <w:t xml:space="preserve">ountries </w:t>
      </w:r>
      <w:r w:rsidR="00967DD2">
        <w:t>adopting</w:t>
      </w:r>
      <w:r>
        <w:t xml:space="preserve"> a comprehensive data protection regime </w:t>
      </w:r>
      <w:r w:rsidR="00967DD2">
        <w:t>(2000-2013)</w:t>
      </w:r>
    </w:p>
    <w:p w14:paraId="0000002C" w14:textId="6CF44AA0" w:rsidR="00E51BAE" w:rsidRDefault="00967DD2" w:rsidP="00237AE0">
      <w:pPr>
        <w:jc w:val="center"/>
        <w:rPr>
          <w:sz w:val="24"/>
          <w:szCs w:val="24"/>
        </w:rPr>
      </w:pPr>
      <w:r>
        <w:rPr>
          <w:noProof/>
        </w:rPr>
        <w:drawing>
          <wp:inline distT="0" distB="0" distL="0" distR="0" wp14:anchorId="72DFDC06" wp14:editId="2AEBCF89">
            <wp:extent cx="4891764" cy="2738358"/>
            <wp:effectExtent l="0" t="0" r="0" b="5080"/>
            <wp:docPr id="4" name="Picture 3">
              <a:extLst xmlns:a="http://schemas.openxmlformats.org/drawingml/2006/main">
                <a:ext uri="{FF2B5EF4-FFF2-40B4-BE49-F238E27FC236}">
                  <a16:creationId xmlns:a16="http://schemas.microsoft.com/office/drawing/2014/main" id="{7E3398C0-B10E-8A70-1129-3DE13D1782A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7E3398C0-B10E-8A70-1129-3DE13D1782AD}"/>
                        </a:ext>
                      </a:extLst>
                    </pic:cNvPr>
                    <pic:cNvPicPr>
                      <a:picLocks noChangeAspect="1"/>
                    </pic:cNvPicPr>
                  </pic:nvPicPr>
                  <pic:blipFill>
                    <a:blip r:embed="rId10"/>
                    <a:stretch>
                      <a:fillRect/>
                    </a:stretch>
                  </pic:blipFill>
                  <pic:spPr>
                    <a:xfrm>
                      <a:off x="0" y="0"/>
                      <a:ext cx="4892439" cy="2738736"/>
                    </a:xfrm>
                    <a:prstGeom prst="rect">
                      <a:avLst/>
                    </a:prstGeom>
                  </pic:spPr>
                </pic:pic>
              </a:graphicData>
            </a:graphic>
          </wp:inline>
        </w:drawing>
      </w:r>
    </w:p>
    <w:p w14:paraId="0000002D" w14:textId="77777777" w:rsidR="00E51BAE" w:rsidRDefault="00236A55">
      <w:pPr>
        <w:spacing w:after="200"/>
        <w:jc w:val="both"/>
        <w:rPr>
          <w:sz w:val="20"/>
          <w:szCs w:val="20"/>
        </w:rPr>
      </w:pPr>
      <w:r>
        <w:rPr>
          <w:sz w:val="20"/>
          <w:szCs w:val="20"/>
        </w:rPr>
        <w:t>Source: Authors based on DTI database.</w:t>
      </w:r>
    </w:p>
    <w:p w14:paraId="0000002E" w14:textId="3FAF6878" w:rsidR="00E51BAE" w:rsidRDefault="00236A55">
      <w:pPr>
        <w:spacing w:after="200"/>
        <w:jc w:val="both"/>
      </w:pPr>
      <w:r>
        <w:rPr>
          <w:sz w:val="24"/>
          <w:szCs w:val="24"/>
        </w:rPr>
        <w:t xml:space="preserve">As a result, the regulatory landscape for data across the African continent has become significantly fragmented, as </w:t>
      </w:r>
      <w:r w:rsidR="00967DD2">
        <w:rPr>
          <w:sz w:val="24"/>
          <w:szCs w:val="24"/>
        </w:rPr>
        <w:t>shown</w:t>
      </w:r>
      <w:r>
        <w:rPr>
          <w:sz w:val="24"/>
          <w:szCs w:val="24"/>
        </w:rPr>
        <w:t xml:space="preserve"> in Figure 3. </w:t>
      </w:r>
    </w:p>
    <w:p w14:paraId="0000002F" w14:textId="77777777" w:rsidR="00E51BAE" w:rsidRDefault="00236A55">
      <w:pPr>
        <w:pStyle w:val="Heading4"/>
        <w:spacing w:after="200"/>
        <w:jc w:val="center"/>
      </w:pPr>
      <w:bookmarkStart w:id="13" w:name="_heading=h.rq4uo9kdm4jz" w:colFirst="0" w:colLast="0"/>
      <w:bookmarkEnd w:id="13"/>
      <w:r>
        <w:t>Figure 3: Regulatory landscape for data models in Africa (2023)</w:t>
      </w:r>
    </w:p>
    <w:p w14:paraId="00000030" w14:textId="4BA026C9" w:rsidR="00E51BAE" w:rsidRDefault="00442B56" w:rsidP="00176A57">
      <w:pPr>
        <w:spacing w:after="240"/>
        <w:jc w:val="center"/>
      </w:pPr>
      <w:r w:rsidRPr="00442B56">
        <w:rPr>
          <w:noProof/>
        </w:rPr>
        <w:drawing>
          <wp:inline distT="0" distB="0" distL="0" distR="0" wp14:anchorId="59FCD34C" wp14:editId="760501CF">
            <wp:extent cx="6032500" cy="3341370"/>
            <wp:effectExtent l="0" t="0" r="0" b="0"/>
            <wp:docPr id="14342406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240601" name=""/>
                    <pic:cNvPicPr/>
                  </pic:nvPicPr>
                  <pic:blipFill>
                    <a:blip r:embed="rId11"/>
                    <a:stretch>
                      <a:fillRect/>
                    </a:stretch>
                  </pic:blipFill>
                  <pic:spPr>
                    <a:xfrm>
                      <a:off x="0" y="0"/>
                      <a:ext cx="6032500" cy="3341370"/>
                    </a:xfrm>
                    <a:prstGeom prst="rect">
                      <a:avLst/>
                    </a:prstGeom>
                  </pic:spPr>
                </pic:pic>
              </a:graphicData>
            </a:graphic>
          </wp:inline>
        </w:drawing>
      </w:r>
    </w:p>
    <w:p w14:paraId="00000031" w14:textId="5F8C34D6" w:rsidR="00E51BAE" w:rsidRDefault="00236A55">
      <w:pPr>
        <w:spacing w:after="200"/>
        <w:jc w:val="both"/>
        <w:rPr>
          <w:sz w:val="20"/>
          <w:szCs w:val="20"/>
        </w:rPr>
      </w:pPr>
      <w:r>
        <w:rPr>
          <w:sz w:val="20"/>
          <w:szCs w:val="20"/>
        </w:rPr>
        <w:t>Source: Authors based on DTI database.</w:t>
      </w:r>
    </w:p>
    <w:p w14:paraId="00000032" w14:textId="73A3874B" w:rsidR="00E51BAE" w:rsidRDefault="00236A55">
      <w:pPr>
        <w:spacing w:after="200"/>
        <w:jc w:val="both"/>
        <w:rPr>
          <w:sz w:val="20"/>
          <w:szCs w:val="20"/>
        </w:rPr>
      </w:pPr>
      <w:r>
        <w:rPr>
          <w:sz w:val="24"/>
          <w:szCs w:val="24"/>
        </w:rPr>
        <w:t xml:space="preserve">As mentioned above, countries implementing a conditional model for data transfers generally do so in the context of a broader implementation of a comprehensive regime for data protection, often inspired by the European Union’s GDPR. Therefore, most countries in our sample that implemented a data protection law inspired by the EU framework have </w:t>
      </w:r>
      <w:r>
        <w:rPr>
          <w:sz w:val="24"/>
          <w:szCs w:val="24"/>
        </w:rPr>
        <w:lastRenderedPageBreak/>
        <w:t>also implemented a conditional regime for data transfers. Yet, this is not always the case. Some countries have implemented additional restrictions in their data protection law that result in a control regime for data transfers, as is the case for those countries requiring the government's approval in addition to the consent of the data subjects to transfer data across borders.</w:t>
      </w:r>
      <w:r w:rsidR="00967DD2">
        <w:rPr>
          <w:rStyle w:val="FootnoteReference"/>
          <w:sz w:val="24"/>
          <w:szCs w:val="24"/>
        </w:rPr>
        <w:footnoteReference w:id="33"/>
      </w:r>
      <w:r>
        <w:rPr>
          <w:sz w:val="24"/>
          <w:szCs w:val="24"/>
        </w:rPr>
        <w:t xml:space="preserve"> On the other hand, countries that have not implemented any data protection law have either an open transfer of data across borders as they lack regulation in this area or, in some cases, they implement strict conditions, resulting in a control model.</w:t>
      </w:r>
    </w:p>
    <w:p w14:paraId="00000033" w14:textId="77777777" w:rsidR="00E51BAE" w:rsidRDefault="00236A55">
      <w:pPr>
        <w:pStyle w:val="Heading3"/>
        <w:numPr>
          <w:ilvl w:val="0"/>
          <w:numId w:val="1"/>
        </w:numPr>
        <w:spacing w:after="200"/>
        <w:jc w:val="both"/>
      </w:pPr>
      <w:bookmarkStart w:id="14" w:name="_heading=h.l60gvmp85sti" w:colFirst="0" w:colLast="0"/>
      <w:bookmarkEnd w:id="14"/>
      <w:r>
        <w:t>Empirical strategy</w:t>
      </w:r>
    </w:p>
    <w:p w14:paraId="00000034" w14:textId="3CB22DA6" w:rsidR="00E51BAE" w:rsidRPr="00DD5980" w:rsidRDefault="00056A15">
      <w:pPr>
        <w:spacing w:before="240" w:after="240"/>
        <w:jc w:val="both"/>
        <w:rPr>
          <w:sz w:val="24"/>
          <w:szCs w:val="24"/>
        </w:rPr>
      </w:pPr>
      <w:r w:rsidRPr="00DD5980">
        <w:rPr>
          <w:sz w:val="24"/>
          <w:szCs w:val="24"/>
        </w:rPr>
        <w:t>This section presents the</w:t>
      </w:r>
      <w:r w:rsidR="00967DD2">
        <w:rPr>
          <w:sz w:val="24"/>
          <w:szCs w:val="24"/>
        </w:rPr>
        <w:t xml:space="preserve"> </w:t>
      </w:r>
      <w:r w:rsidR="00967DD2" w:rsidRPr="00DD5980">
        <w:rPr>
          <w:sz w:val="24"/>
          <w:szCs w:val="24"/>
        </w:rPr>
        <w:t>specification</w:t>
      </w:r>
      <w:r w:rsidR="00967DD2">
        <w:rPr>
          <w:sz w:val="24"/>
          <w:szCs w:val="24"/>
        </w:rPr>
        <w:t xml:space="preserve"> of the</w:t>
      </w:r>
      <w:r w:rsidRPr="00DD5980">
        <w:rPr>
          <w:sz w:val="24"/>
          <w:szCs w:val="24"/>
        </w:rPr>
        <w:t xml:space="preserve"> baseline regression using the gravity model. We start b</w:t>
      </w:r>
      <w:r w:rsidR="00D32FFC" w:rsidRPr="00DD5980">
        <w:rPr>
          <w:sz w:val="24"/>
          <w:szCs w:val="24"/>
        </w:rPr>
        <w:t>y</w:t>
      </w:r>
      <w:r w:rsidRPr="00DD5980">
        <w:rPr>
          <w:sz w:val="24"/>
          <w:szCs w:val="24"/>
        </w:rPr>
        <w:t xml:space="preserve"> estimat</w:t>
      </w:r>
      <w:r w:rsidR="00D32FFC" w:rsidRPr="00DD5980">
        <w:rPr>
          <w:sz w:val="24"/>
          <w:szCs w:val="24"/>
        </w:rPr>
        <w:t>ing</w:t>
      </w:r>
      <w:r w:rsidRPr="00DD5980">
        <w:rPr>
          <w:sz w:val="24"/>
          <w:szCs w:val="24"/>
        </w:rPr>
        <w:t xml:space="preserve"> whether sharing </w:t>
      </w:r>
      <w:r w:rsidR="006439BF" w:rsidRPr="00DD5980">
        <w:rPr>
          <w:sz w:val="24"/>
          <w:szCs w:val="24"/>
        </w:rPr>
        <w:t>any</w:t>
      </w:r>
      <w:r w:rsidRPr="00DD5980">
        <w:rPr>
          <w:sz w:val="24"/>
          <w:szCs w:val="24"/>
        </w:rPr>
        <w:t xml:space="preserve"> of the three data models correlates with greater or lower trade in digital services compared to the benchmark, </w:t>
      </w:r>
      <w:r w:rsidR="004F45FA">
        <w:rPr>
          <w:sz w:val="24"/>
          <w:szCs w:val="24"/>
        </w:rPr>
        <w:t>which</w:t>
      </w:r>
      <w:r w:rsidR="00967DD2">
        <w:rPr>
          <w:sz w:val="24"/>
          <w:szCs w:val="24"/>
        </w:rPr>
        <w:t xml:space="preserve"> is</w:t>
      </w:r>
      <w:r w:rsidRPr="00DD5980">
        <w:rPr>
          <w:sz w:val="24"/>
          <w:szCs w:val="24"/>
        </w:rPr>
        <w:t xml:space="preserve"> </w:t>
      </w:r>
      <w:r w:rsidR="00967DD2">
        <w:rPr>
          <w:sz w:val="24"/>
          <w:szCs w:val="24"/>
        </w:rPr>
        <w:t>not</w:t>
      </w:r>
      <w:r w:rsidRPr="00DD5980">
        <w:rPr>
          <w:sz w:val="24"/>
          <w:szCs w:val="24"/>
        </w:rPr>
        <w:t xml:space="preserve"> sharing </w:t>
      </w:r>
      <w:r w:rsidR="00967DD2">
        <w:rPr>
          <w:sz w:val="24"/>
          <w:szCs w:val="24"/>
        </w:rPr>
        <w:t>the same</w:t>
      </w:r>
      <w:r w:rsidRPr="00DD5980">
        <w:rPr>
          <w:sz w:val="24"/>
          <w:szCs w:val="24"/>
        </w:rPr>
        <w:t xml:space="preserve"> data model. The empirical strategy uses a binary variable between the exporting and importing countries, varying over time, to indicate whether country pairs in our sample share the same regulatory model for data. This variable is assigned a value of one if they do and zero otherwise.</w:t>
      </w:r>
    </w:p>
    <w:p w14:paraId="00000035" w14:textId="1D052C3A" w:rsidR="00E51BAE" w:rsidRPr="00DD5980" w:rsidRDefault="004030CB">
      <w:pPr>
        <w:spacing w:before="240" w:after="240"/>
        <w:jc w:val="both"/>
        <w:rPr>
          <w:sz w:val="24"/>
          <w:szCs w:val="24"/>
        </w:rPr>
      </w:pPr>
      <w:r w:rsidRPr="00DD5980">
        <w:rPr>
          <w:sz w:val="24"/>
          <w:szCs w:val="24"/>
        </w:rPr>
        <w:t xml:space="preserve">Because of its dyadic nature, this indicator resembles other conventional time-varying </w:t>
      </w:r>
      <w:r w:rsidRPr="00743B52">
        <w:rPr>
          <w:sz w:val="24"/>
          <w:szCs w:val="24"/>
        </w:rPr>
        <w:t xml:space="preserve">bilateral gravity variables, such as whether countries share an FTA or are members of the WTO. However, our indicator is more </w:t>
      </w:r>
      <w:proofErr w:type="gramStart"/>
      <w:r w:rsidRPr="00743B52">
        <w:rPr>
          <w:sz w:val="24"/>
          <w:szCs w:val="24"/>
        </w:rPr>
        <w:t>similar to</w:t>
      </w:r>
      <w:proofErr w:type="gramEnd"/>
      <w:r w:rsidRPr="00743B52">
        <w:rPr>
          <w:sz w:val="24"/>
          <w:szCs w:val="24"/>
        </w:rPr>
        <w:t xml:space="preserve"> the time-varying variable developed by La Porta </w:t>
      </w:r>
      <w:r w:rsidRPr="00743B52">
        <w:rPr>
          <w:i/>
          <w:iCs/>
          <w:sz w:val="24"/>
          <w:szCs w:val="24"/>
        </w:rPr>
        <w:t>et al.</w:t>
      </w:r>
      <w:r w:rsidRPr="00743B52">
        <w:rPr>
          <w:sz w:val="24"/>
          <w:szCs w:val="24"/>
        </w:rPr>
        <w:t xml:space="preserve"> (2008),</w:t>
      </w:r>
      <w:r w:rsidR="00902CF2" w:rsidRPr="00743B52">
        <w:rPr>
          <w:rStyle w:val="FootnoteReference"/>
          <w:sz w:val="24"/>
          <w:szCs w:val="24"/>
        </w:rPr>
        <w:footnoteReference w:id="34"/>
      </w:r>
      <w:r w:rsidRPr="00743B52">
        <w:rPr>
          <w:sz w:val="24"/>
          <w:szCs w:val="24"/>
        </w:rPr>
        <w:t xml:space="preserve"> which measures whether countries share similar legal origins, categori</w:t>
      </w:r>
      <w:r w:rsidR="004F45FA" w:rsidRPr="00743B52">
        <w:rPr>
          <w:sz w:val="24"/>
          <w:szCs w:val="24"/>
        </w:rPr>
        <w:t>s</w:t>
      </w:r>
      <w:r w:rsidRPr="00743B52">
        <w:rPr>
          <w:sz w:val="24"/>
          <w:szCs w:val="24"/>
        </w:rPr>
        <w:t>ed into French, German, and Scandinavian legal systems. Therefore, the interpretation of our variable aligns more closely with this latter work.</w:t>
      </w:r>
      <w:r w:rsidR="006E6511" w:rsidRPr="00743B52">
        <w:rPr>
          <w:sz w:val="24"/>
          <w:szCs w:val="24"/>
        </w:rPr>
        <w:t xml:space="preserve"> </w:t>
      </w:r>
      <w:r w:rsidR="00786AA6" w:rsidRPr="00743B52">
        <w:rPr>
          <w:sz w:val="24"/>
          <w:szCs w:val="24"/>
        </w:rPr>
        <w:t xml:space="preserve">Melitz and </w:t>
      </w:r>
      <w:proofErr w:type="spellStart"/>
      <w:r w:rsidR="00786AA6" w:rsidRPr="00743B52">
        <w:rPr>
          <w:sz w:val="24"/>
          <w:szCs w:val="24"/>
        </w:rPr>
        <w:t>Toubal</w:t>
      </w:r>
      <w:proofErr w:type="spellEnd"/>
      <w:r w:rsidR="00786AA6" w:rsidRPr="00743B52">
        <w:rPr>
          <w:sz w:val="24"/>
          <w:szCs w:val="24"/>
        </w:rPr>
        <w:t xml:space="preserve"> (2019) use this legal origin variable in a gravity model to assess whether a common legal system between partner countries</w:t>
      </w:r>
      <w:r w:rsidR="00786AA6" w:rsidRPr="00DD5980">
        <w:rPr>
          <w:sz w:val="24"/>
          <w:szCs w:val="24"/>
        </w:rPr>
        <w:t xml:space="preserve"> impacts trade</w:t>
      </w:r>
      <w:r w:rsidR="00967DD2">
        <w:rPr>
          <w:sz w:val="24"/>
          <w:szCs w:val="24"/>
        </w:rPr>
        <w:t xml:space="preserve">, </w:t>
      </w:r>
      <w:r w:rsidRPr="00DD5980">
        <w:rPr>
          <w:sz w:val="24"/>
          <w:szCs w:val="24"/>
        </w:rPr>
        <w:t>finding</w:t>
      </w:r>
      <w:r w:rsidR="00967DD2">
        <w:rPr>
          <w:sz w:val="24"/>
          <w:szCs w:val="24"/>
        </w:rPr>
        <w:t xml:space="preserve"> a</w:t>
      </w:r>
      <w:r w:rsidRPr="00DD5980">
        <w:rPr>
          <w:sz w:val="24"/>
          <w:szCs w:val="24"/>
        </w:rPr>
        <w:t xml:space="preserve"> positive and significant</w:t>
      </w:r>
      <w:r w:rsidR="00967DD2">
        <w:rPr>
          <w:sz w:val="24"/>
          <w:szCs w:val="24"/>
        </w:rPr>
        <w:t xml:space="preserve"> impact</w:t>
      </w:r>
      <w:r w:rsidRPr="00DD5980">
        <w:rPr>
          <w:sz w:val="24"/>
          <w:szCs w:val="24"/>
        </w:rPr>
        <w:t>.</w:t>
      </w:r>
      <w:r w:rsidR="00F13004">
        <w:rPr>
          <w:rStyle w:val="FootnoteReference"/>
          <w:sz w:val="24"/>
          <w:szCs w:val="24"/>
        </w:rPr>
        <w:footnoteReference w:id="35"/>
      </w:r>
      <w:r w:rsidR="00D174A7" w:rsidRPr="00DD5980">
        <w:rPr>
          <w:sz w:val="24"/>
          <w:szCs w:val="24"/>
        </w:rPr>
        <w:t xml:space="preserve"> </w:t>
      </w:r>
    </w:p>
    <w:p w14:paraId="00000036" w14:textId="7B7C7D99" w:rsidR="00E51BAE" w:rsidRPr="00DD5980" w:rsidRDefault="008F2E15">
      <w:pPr>
        <w:spacing w:before="240" w:after="240"/>
        <w:jc w:val="both"/>
        <w:rPr>
          <w:sz w:val="24"/>
          <w:szCs w:val="24"/>
        </w:rPr>
      </w:pPr>
      <w:r w:rsidRPr="00DD5980">
        <w:rPr>
          <w:sz w:val="24"/>
          <w:szCs w:val="24"/>
        </w:rPr>
        <w:t xml:space="preserve">In our baseline regression, we examine whether having a common model for data transfers and a data protection regime affects bilateral digital services trade between partner countries. In the next step, we extend this baseline regression to determine whether the results differ by </w:t>
      </w:r>
      <w:r w:rsidR="00224CBF" w:rsidRPr="00DD5980">
        <w:rPr>
          <w:sz w:val="24"/>
          <w:szCs w:val="24"/>
        </w:rPr>
        <w:t>type</w:t>
      </w:r>
      <w:r w:rsidRPr="00DD5980">
        <w:rPr>
          <w:sz w:val="24"/>
          <w:szCs w:val="24"/>
        </w:rPr>
        <w:t xml:space="preserve"> of data model.</w:t>
      </w:r>
    </w:p>
    <w:p w14:paraId="00000037" w14:textId="77777777" w:rsidR="00E51BAE" w:rsidRDefault="00236A55">
      <w:pPr>
        <w:pStyle w:val="Heading4"/>
        <w:spacing w:before="240" w:after="240"/>
        <w:ind w:left="360"/>
        <w:jc w:val="both"/>
      </w:pPr>
      <w:bookmarkStart w:id="15" w:name="_heading=h.c9l90tdratau" w:colFirst="0" w:colLast="0"/>
      <w:bookmarkEnd w:id="15"/>
      <w:r>
        <w:t>3.1</w:t>
      </w:r>
      <w:r>
        <w:rPr>
          <w:sz w:val="14"/>
          <w:szCs w:val="14"/>
        </w:rPr>
        <w:t xml:space="preserve">   </w:t>
      </w:r>
      <w:r>
        <w:t>Baseline regression</w:t>
      </w:r>
    </w:p>
    <w:p w14:paraId="00000038" w14:textId="71063717" w:rsidR="00E51BAE" w:rsidRPr="00D62F92" w:rsidRDefault="00236A55">
      <w:pPr>
        <w:spacing w:before="240" w:after="240"/>
        <w:jc w:val="both"/>
        <w:rPr>
          <w:sz w:val="24"/>
          <w:szCs w:val="24"/>
        </w:rPr>
      </w:pPr>
      <w:r w:rsidRPr="00D62F92">
        <w:rPr>
          <w:sz w:val="24"/>
          <w:szCs w:val="24"/>
        </w:rPr>
        <w:t xml:space="preserve">Equation (1) formally measures whether sharing the same data model for cross-border data transfers and </w:t>
      </w:r>
      <w:r w:rsidR="0083431A" w:rsidRPr="00D62F92">
        <w:rPr>
          <w:sz w:val="24"/>
          <w:szCs w:val="24"/>
        </w:rPr>
        <w:t>a</w:t>
      </w:r>
      <w:r w:rsidRPr="00D62F92">
        <w:rPr>
          <w:sz w:val="24"/>
          <w:szCs w:val="24"/>
        </w:rPr>
        <w:t xml:space="preserve"> </w:t>
      </w:r>
      <w:r w:rsidR="0083431A" w:rsidRPr="00D62F92">
        <w:rPr>
          <w:sz w:val="24"/>
          <w:szCs w:val="24"/>
        </w:rPr>
        <w:t>regime</w:t>
      </w:r>
      <w:r w:rsidR="00B31F38" w:rsidRPr="00D62F92">
        <w:rPr>
          <w:sz w:val="24"/>
          <w:szCs w:val="24"/>
        </w:rPr>
        <w:t xml:space="preserve"> for</w:t>
      </w:r>
      <w:r w:rsidR="0083431A" w:rsidRPr="00D62F92">
        <w:rPr>
          <w:sz w:val="24"/>
          <w:szCs w:val="24"/>
        </w:rPr>
        <w:t xml:space="preserve"> </w:t>
      </w:r>
      <w:r w:rsidRPr="00D62F92">
        <w:rPr>
          <w:sz w:val="24"/>
          <w:szCs w:val="24"/>
        </w:rPr>
        <w:t>data protection affects trade in digital services between country-pairs.</w:t>
      </w:r>
      <w:r w:rsidR="00B31F38" w:rsidRPr="00D62F92">
        <w:rPr>
          <w:sz w:val="24"/>
          <w:szCs w:val="24"/>
        </w:rPr>
        <w:t xml:space="preserve"> </w:t>
      </w:r>
      <w:r w:rsidR="00307F35" w:rsidRPr="00D62F92">
        <w:rPr>
          <w:sz w:val="24"/>
          <w:szCs w:val="24"/>
        </w:rPr>
        <w:t>Specifically</w:t>
      </w:r>
      <w:r w:rsidRPr="00D62F92">
        <w:rPr>
          <w:sz w:val="24"/>
          <w:szCs w:val="24"/>
        </w:rPr>
        <w:t>, we regress bilateral trade in service</w:t>
      </w:r>
      <w:r w:rsidR="004F45FA">
        <w:rPr>
          <w:sz w:val="24"/>
          <w:szCs w:val="24"/>
        </w:rPr>
        <w:t>s</w:t>
      </w:r>
      <w:r w:rsidR="00D9790C" w:rsidRPr="00D62F92">
        <w:rPr>
          <w:sz w:val="24"/>
          <w:szCs w:val="24"/>
        </w:rPr>
        <w:t xml:space="preserve"> sector </w:t>
      </w:r>
      <m:oMath>
        <m:r>
          <w:rPr>
            <w:rFonts w:ascii="Cambria Math" w:hAnsi="Cambria Math"/>
            <w:sz w:val="24"/>
            <w:szCs w:val="24"/>
          </w:rPr>
          <m:t>s</m:t>
        </m:r>
      </m:oMath>
      <w:r w:rsidR="00D9790C" w:rsidRPr="00D62F92">
        <w:rPr>
          <w:sz w:val="24"/>
          <w:szCs w:val="24"/>
        </w:rPr>
        <w:t xml:space="preserve"> </w:t>
      </w:r>
      <w:r w:rsidRPr="00D62F92">
        <w:rPr>
          <w:sz w:val="24"/>
          <w:szCs w:val="24"/>
        </w:rPr>
        <w:t xml:space="preserve">between country </w:t>
      </w:r>
      <m:oMath>
        <m:r>
          <w:rPr>
            <w:rFonts w:ascii="Cambria Math" w:hAnsi="Cambria Math"/>
            <w:sz w:val="24"/>
            <w:szCs w:val="24"/>
          </w:rPr>
          <m:t>o</m:t>
        </m:r>
      </m:oMath>
      <w:r w:rsidRPr="00D62F92">
        <w:rPr>
          <w:sz w:val="24"/>
          <w:szCs w:val="24"/>
        </w:rPr>
        <w:t xml:space="preserve"> (exporter) and country </w:t>
      </w:r>
      <m:oMath>
        <m:r>
          <w:rPr>
            <w:rFonts w:ascii="Cambria Math" w:hAnsi="Cambria Math"/>
            <w:sz w:val="24"/>
            <w:szCs w:val="24"/>
          </w:rPr>
          <m:t>d</m:t>
        </m:r>
      </m:oMath>
      <w:r w:rsidRPr="00D62F92">
        <w:rPr>
          <w:sz w:val="24"/>
          <w:szCs w:val="24"/>
        </w:rPr>
        <w:t xml:space="preserve"> (importer) over </w:t>
      </w:r>
      <m:oMath>
        <m:r>
          <w:rPr>
            <w:rFonts w:ascii="Cambria Math" w:hAnsi="Cambria Math"/>
            <w:sz w:val="24"/>
            <w:szCs w:val="24"/>
          </w:rPr>
          <m:t>t</m:t>
        </m:r>
      </m:oMath>
      <w:r w:rsidRPr="00D62F92">
        <w:rPr>
          <w:i/>
          <w:sz w:val="24"/>
          <w:szCs w:val="24"/>
        </w:rPr>
        <w:t xml:space="preserve"> </w:t>
      </w:r>
      <w:r w:rsidRPr="00D62F92">
        <w:rPr>
          <w:sz w:val="24"/>
          <w:szCs w:val="24"/>
        </w:rPr>
        <w:t>(time) on our dyadic indicator</w:t>
      </w:r>
      <w:r w:rsidR="00967DD2">
        <w:rPr>
          <w:sz w:val="24"/>
          <w:szCs w:val="24"/>
        </w:rPr>
        <w:t>s</w:t>
      </w:r>
      <w:r w:rsidRPr="00D62F92">
        <w:rPr>
          <w:sz w:val="24"/>
          <w:szCs w:val="24"/>
        </w:rPr>
        <w:t>, reflecting whether countries share the same data model and protection regime</w:t>
      </w:r>
      <w:r w:rsidR="00B31F38" w:rsidRPr="00D62F92">
        <w:rPr>
          <w:sz w:val="24"/>
          <w:szCs w:val="24"/>
        </w:rPr>
        <w:t xml:space="preserve"> separately</w:t>
      </w:r>
      <w:r w:rsidR="00F453DD" w:rsidRPr="00D62F92">
        <w:rPr>
          <w:sz w:val="24"/>
          <w:szCs w:val="24"/>
        </w:rPr>
        <w:t xml:space="preserve">, captured </w:t>
      </w:r>
      <w:r w:rsidR="00F453DD" w:rsidRPr="00D62F92">
        <w:rPr>
          <w:sz w:val="24"/>
          <w:szCs w:val="24"/>
        </w:rPr>
        <w:lastRenderedPageBreak/>
        <w:t xml:space="preserve">by the terms </w:t>
      </w:r>
      <m:oMath>
        <m:r>
          <w:rPr>
            <w:rFonts w:ascii="Cambria Math" w:hAnsi="Cambria Math"/>
            <w:sz w:val="24"/>
            <w:szCs w:val="24"/>
          </w:rPr>
          <m:t>DM_ odst</m:t>
        </m:r>
      </m:oMath>
      <w:r w:rsidR="008F7AC5" w:rsidRPr="00D62F92">
        <w:rPr>
          <w:sz w:val="24"/>
          <w:szCs w:val="24"/>
        </w:rPr>
        <w:t xml:space="preserve"> and </w:t>
      </w:r>
      <m:oMath>
        <m:r>
          <w:rPr>
            <w:rFonts w:ascii="Cambria Math" w:hAnsi="Cambria Math"/>
            <w:sz w:val="24"/>
            <w:szCs w:val="24"/>
          </w:rPr>
          <m:t>DP_ odst</m:t>
        </m:r>
      </m:oMath>
      <w:r w:rsidR="008F7AC5" w:rsidRPr="00D62F92">
        <w:rPr>
          <w:sz w:val="24"/>
          <w:szCs w:val="24"/>
        </w:rPr>
        <w:t>, respectively</w:t>
      </w:r>
      <w:r w:rsidRPr="00D62F92">
        <w:rPr>
          <w:sz w:val="24"/>
          <w:szCs w:val="24"/>
        </w:rPr>
        <w:t>. Hence, the empirical baseline model takes the following form:</w:t>
      </w:r>
    </w:p>
    <w:p w14:paraId="00000039" w14:textId="4319D595" w:rsidR="00E51BAE" w:rsidRPr="00816996" w:rsidRDefault="00236A55">
      <w:pPr>
        <w:spacing w:before="240" w:after="240"/>
        <w:jc w:val="right"/>
        <w:rPr>
          <w:sz w:val="24"/>
          <w:szCs w:val="24"/>
        </w:rPr>
      </w:pPr>
      <m:oMathPara>
        <m:oMath>
          <m:r>
            <w:rPr>
              <w:rFonts w:ascii="Cambria Math" w:hAnsi="Cambria Math"/>
            </w:rPr>
            <m:t>DSX_odst=</m:t>
          </m:r>
          <m:r>
            <m:rPr>
              <m:sty m:val="p"/>
            </m:rPr>
            <w:rPr>
              <w:rFonts w:ascii="Cambria Math" w:hAnsi="Cambria Math"/>
            </w:rPr>
            <m:t>exp⁡</m:t>
          </m:r>
          <m:r>
            <w:rPr>
              <w:rFonts w:ascii="Cambria Math" w:hAnsi="Cambria Math"/>
            </w:rPr>
            <m:t>[θ_1 DM_ odst+θ_2 DP_ odst+δ_ods+δ_odt+δ_ost+ δ_dst ]* ε_odst      (1)</m:t>
          </m:r>
        </m:oMath>
      </m:oMathPara>
    </w:p>
    <w:p w14:paraId="71187092" w14:textId="28973C48" w:rsidR="004E4190" w:rsidRPr="00D62F92" w:rsidRDefault="00967DD2">
      <w:pPr>
        <w:spacing w:before="240" w:after="240"/>
        <w:jc w:val="both"/>
        <w:rPr>
          <w:sz w:val="24"/>
          <w:szCs w:val="24"/>
        </w:rPr>
      </w:pPr>
      <w:r>
        <w:rPr>
          <w:sz w:val="24"/>
          <w:szCs w:val="24"/>
        </w:rPr>
        <w:t>O</w:t>
      </w:r>
      <w:r w:rsidRPr="00D62F92">
        <w:rPr>
          <w:sz w:val="24"/>
          <w:szCs w:val="24"/>
        </w:rPr>
        <w:t xml:space="preserve">ur trade variable, </w:t>
      </w:r>
      <m:oMath>
        <m:r>
          <w:rPr>
            <w:rFonts w:ascii="Cambria Math" w:hAnsi="Cambria Math"/>
            <w:sz w:val="24"/>
            <w:szCs w:val="24"/>
          </w:rPr>
          <m:t>DSX_odst</m:t>
        </m:r>
      </m:oMath>
      <w:r w:rsidRPr="00D62F92">
        <w:rPr>
          <w:sz w:val="24"/>
          <w:szCs w:val="24"/>
        </w:rPr>
        <w:t>, covers all service sectors, both digital and non-digital, varying by exporter, importer, year, and sector.</w:t>
      </w:r>
      <w:r>
        <w:rPr>
          <w:sz w:val="24"/>
          <w:szCs w:val="24"/>
        </w:rPr>
        <w:t xml:space="preserve"> O</w:t>
      </w:r>
      <w:r w:rsidR="004E4190" w:rsidRPr="00D62F92">
        <w:rPr>
          <w:sz w:val="24"/>
          <w:szCs w:val="24"/>
        </w:rPr>
        <w:t>ur variable</w:t>
      </w:r>
      <w:r>
        <w:rPr>
          <w:sz w:val="24"/>
          <w:szCs w:val="24"/>
        </w:rPr>
        <w:t>s</w:t>
      </w:r>
      <w:r w:rsidR="004E4190" w:rsidRPr="00D62F92">
        <w:rPr>
          <w:sz w:val="24"/>
          <w:szCs w:val="24"/>
        </w:rPr>
        <w:t xml:space="preserve"> of interest </w:t>
      </w:r>
      <w:r>
        <w:rPr>
          <w:sz w:val="24"/>
          <w:szCs w:val="24"/>
        </w:rPr>
        <w:t xml:space="preserve">also </w:t>
      </w:r>
      <w:r w:rsidR="004E4190" w:rsidRPr="00D62F92">
        <w:rPr>
          <w:sz w:val="24"/>
          <w:szCs w:val="24"/>
        </w:rPr>
        <w:t>var</w:t>
      </w:r>
      <w:r>
        <w:rPr>
          <w:sz w:val="24"/>
          <w:szCs w:val="24"/>
        </w:rPr>
        <w:t>y</w:t>
      </w:r>
      <w:r w:rsidR="004E4190" w:rsidRPr="00D62F92">
        <w:rPr>
          <w:sz w:val="24"/>
          <w:szCs w:val="24"/>
        </w:rPr>
        <w:t xml:space="preserve"> by sector, denoted by subscript </w:t>
      </w:r>
      <m:oMath>
        <m:r>
          <w:rPr>
            <w:rFonts w:ascii="Cambria Math" w:hAnsi="Cambria Math"/>
            <w:sz w:val="24"/>
            <w:szCs w:val="24"/>
          </w:rPr>
          <m:t>s</m:t>
        </m:r>
      </m:oMath>
      <w:r>
        <w:rPr>
          <w:sz w:val="24"/>
          <w:szCs w:val="24"/>
        </w:rPr>
        <w:t xml:space="preserve">, </w:t>
      </w:r>
      <w:r w:rsidR="004E4190" w:rsidRPr="00D62F92">
        <w:rPr>
          <w:sz w:val="24"/>
          <w:szCs w:val="24"/>
        </w:rPr>
        <w:t xml:space="preserve"> includ</w:t>
      </w:r>
      <w:r>
        <w:rPr>
          <w:sz w:val="24"/>
          <w:szCs w:val="24"/>
        </w:rPr>
        <w:t>ing</w:t>
      </w:r>
      <w:r w:rsidR="004E4190" w:rsidRPr="00D62F92">
        <w:rPr>
          <w:sz w:val="24"/>
          <w:szCs w:val="24"/>
        </w:rPr>
        <w:t xml:space="preserve"> the full range of services sectors. To capture the effect of data models on digital services, we interact </w:t>
      </w:r>
      <w:r w:rsidR="004F45FA">
        <w:rPr>
          <w:sz w:val="24"/>
          <w:szCs w:val="24"/>
        </w:rPr>
        <w:t>the</w:t>
      </w:r>
      <w:r w:rsidR="004E4190" w:rsidRPr="00D62F92">
        <w:rPr>
          <w:sz w:val="24"/>
          <w:szCs w:val="24"/>
        </w:rPr>
        <w:t xml:space="preserve"> data model </w:t>
      </w:r>
      <w:r>
        <w:rPr>
          <w:sz w:val="24"/>
          <w:szCs w:val="24"/>
        </w:rPr>
        <w:t xml:space="preserve">and protection regime </w:t>
      </w:r>
      <w:r w:rsidR="004E4190" w:rsidRPr="00D62F92">
        <w:rPr>
          <w:sz w:val="24"/>
          <w:szCs w:val="24"/>
        </w:rPr>
        <w:t>indicator</w:t>
      </w:r>
      <w:r>
        <w:rPr>
          <w:sz w:val="24"/>
          <w:szCs w:val="24"/>
        </w:rPr>
        <w:t>s</w:t>
      </w:r>
      <w:r w:rsidR="004E4190" w:rsidRPr="00D62F92">
        <w:rPr>
          <w:sz w:val="24"/>
          <w:szCs w:val="24"/>
        </w:rPr>
        <w:t xml:space="preserve"> with a dummy variable indicating whether sector </w:t>
      </w:r>
      <m:oMath>
        <m:r>
          <w:rPr>
            <w:rFonts w:ascii="Cambria Math" w:hAnsi="Cambria Math"/>
            <w:sz w:val="24"/>
            <w:szCs w:val="24"/>
          </w:rPr>
          <m:t>s</m:t>
        </m:r>
      </m:oMath>
      <w:r w:rsidR="004E4190" w:rsidRPr="00D62F92">
        <w:rPr>
          <w:sz w:val="24"/>
          <w:szCs w:val="24"/>
        </w:rPr>
        <w:t xml:space="preserve"> is a digital service sector. The rationale is that data policies are unlikely to affect all services sectors equally. </w:t>
      </w:r>
      <w:r w:rsidR="00B57BF6" w:rsidRPr="00D62F92">
        <w:rPr>
          <w:sz w:val="24"/>
          <w:szCs w:val="24"/>
        </w:rPr>
        <w:t xml:space="preserve">Our identification strategy assumes that changes </w:t>
      </w:r>
      <w:r>
        <w:rPr>
          <w:sz w:val="24"/>
          <w:szCs w:val="24"/>
        </w:rPr>
        <w:t>in data models</w:t>
      </w:r>
      <w:r w:rsidR="00B57BF6" w:rsidRPr="00D62F92">
        <w:rPr>
          <w:sz w:val="24"/>
          <w:szCs w:val="24"/>
        </w:rPr>
        <w:t xml:space="preserve">, specifically the switch from an open to a conditional or control regime, are likely to have a disproportionate impact on sectors reliant on data. </w:t>
      </w:r>
      <w:r w:rsidR="004E4190" w:rsidRPr="00D62F92">
        <w:rPr>
          <w:sz w:val="24"/>
          <w:szCs w:val="24"/>
        </w:rPr>
        <w:t>The categori</w:t>
      </w:r>
      <w:r w:rsidR="004F45FA">
        <w:rPr>
          <w:sz w:val="24"/>
          <w:szCs w:val="24"/>
        </w:rPr>
        <w:t>s</w:t>
      </w:r>
      <w:r w:rsidR="004E4190" w:rsidRPr="00D62F92">
        <w:rPr>
          <w:sz w:val="24"/>
          <w:szCs w:val="24"/>
        </w:rPr>
        <w:t xml:space="preserve">ation of digital sectors is explained further in </w:t>
      </w:r>
      <w:r>
        <w:rPr>
          <w:sz w:val="24"/>
          <w:szCs w:val="24"/>
        </w:rPr>
        <w:t>S</w:t>
      </w:r>
      <w:r w:rsidR="004E4190" w:rsidRPr="00D62F92">
        <w:rPr>
          <w:sz w:val="24"/>
          <w:szCs w:val="24"/>
        </w:rPr>
        <w:t xml:space="preserve">ection 3.2. </w:t>
      </w:r>
    </w:p>
    <w:p w14:paraId="349F4E97" w14:textId="08B8D210" w:rsidR="003B5676" w:rsidRPr="00816996" w:rsidRDefault="005F4F71">
      <w:pPr>
        <w:spacing w:before="240" w:after="240"/>
        <w:jc w:val="both"/>
        <w:rPr>
          <w:sz w:val="24"/>
          <w:szCs w:val="24"/>
        </w:rPr>
      </w:pPr>
      <w:r w:rsidRPr="00816996">
        <w:rPr>
          <w:sz w:val="24"/>
          <w:szCs w:val="24"/>
        </w:rPr>
        <w:t xml:space="preserve">In the next step, we split the term </w:t>
      </w:r>
      <m:oMath>
        <m:r>
          <w:rPr>
            <w:rFonts w:ascii="Cambria Math" w:hAnsi="Cambria Math"/>
            <w:sz w:val="24"/>
            <w:szCs w:val="24"/>
          </w:rPr>
          <m:t>DM_ odst</m:t>
        </m:r>
      </m:oMath>
      <w:r w:rsidRPr="00816996">
        <w:rPr>
          <w:sz w:val="24"/>
          <w:szCs w:val="24"/>
        </w:rPr>
        <w:t xml:space="preserve"> into the three different data models to study the trade effect of sharing the open, conditional, or </w:t>
      </w:r>
      <w:r w:rsidR="00831BFB">
        <w:rPr>
          <w:sz w:val="24"/>
          <w:szCs w:val="24"/>
        </w:rPr>
        <w:t>control</w:t>
      </w:r>
      <w:r w:rsidRPr="00816996">
        <w:rPr>
          <w:sz w:val="24"/>
          <w:szCs w:val="24"/>
        </w:rPr>
        <w:t xml:space="preserve"> model for the cross-border flow of data between partner countries </w:t>
      </w:r>
      <m:oMath>
        <m:r>
          <w:rPr>
            <w:rFonts w:ascii="Cambria Math" w:hAnsi="Cambria Math"/>
            <w:sz w:val="24"/>
            <w:szCs w:val="24"/>
          </w:rPr>
          <m:t>o</m:t>
        </m:r>
      </m:oMath>
      <w:r w:rsidRPr="00816996">
        <w:rPr>
          <w:sz w:val="24"/>
          <w:szCs w:val="24"/>
        </w:rPr>
        <w:t xml:space="preserve"> and </w:t>
      </w:r>
      <m:oMath>
        <m:r>
          <w:rPr>
            <w:rFonts w:ascii="Cambria Math" w:hAnsi="Cambria Math"/>
            <w:sz w:val="24"/>
            <w:szCs w:val="24"/>
          </w:rPr>
          <m:t>d</m:t>
        </m:r>
      </m:oMath>
      <w:r w:rsidR="00816996" w:rsidRPr="00816996">
        <w:rPr>
          <w:sz w:val="24"/>
          <w:szCs w:val="24"/>
        </w:rPr>
        <w:t xml:space="preserve">, over time </w:t>
      </w:r>
      <m:oMath>
        <m:r>
          <w:rPr>
            <w:rFonts w:ascii="Cambria Math" w:hAnsi="Cambria Math"/>
            <w:sz w:val="24"/>
            <w:szCs w:val="24"/>
          </w:rPr>
          <m:t>t</m:t>
        </m:r>
      </m:oMath>
      <w:r w:rsidR="00816996" w:rsidRPr="00816996">
        <w:rPr>
          <w:sz w:val="24"/>
          <w:szCs w:val="24"/>
        </w:rPr>
        <w:t>.</w:t>
      </w:r>
      <w:r w:rsidRPr="00816996">
        <w:rPr>
          <w:sz w:val="24"/>
          <w:szCs w:val="24"/>
        </w:rPr>
        <w:t xml:space="preserve"> </w:t>
      </w:r>
      <w:r w:rsidR="00816996">
        <w:rPr>
          <w:sz w:val="24"/>
          <w:szCs w:val="24"/>
        </w:rPr>
        <w:t>In</w:t>
      </w:r>
      <w:r w:rsidRPr="00816996">
        <w:rPr>
          <w:sz w:val="24"/>
          <w:szCs w:val="24"/>
        </w:rPr>
        <w:t xml:space="preserve"> doing so, the extended empirical baseline model formally takes the following form</w:t>
      </w:r>
      <w:r w:rsidR="00236A55" w:rsidRPr="00816996">
        <w:rPr>
          <w:sz w:val="24"/>
          <w:szCs w:val="24"/>
        </w:rPr>
        <w:t>:</w:t>
      </w:r>
    </w:p>
    <w:p w14:paraId="0000003C" w14:textId="0A7DD33C" w:rsidR="00E51BAE" w:rsidRPr="00967DD2" w:rsidRDefault="00236A55">
      <w:pPr>
        <w:spacing w:before="240" w:after="240"/>
        <w:jc w:val="right"/>
        <w:rPr>
          <w:sz w:val="19"/>
          <w:szCs w:val="19"/>
        </w:rPr>
      </w:pPr>
      <m:oMathPara>
        <m:oMath>
          <m:r>
            <w:rPr>
              <w:rFonts w:ascii="Cambria Math" w:hAnsi="Cambria Math"/>
              <w:sz w:val="19"/>
              <w:szCs w:val="19"/>
            </w:rPr>
            <m:t>DSX_odst=exp [θ_1 OP_ odst+θ_2 CO_odst+θ_3 GC_odst+δ_ods+δ_odt+δ_ost+ δ_dst ]*ε_odst   (2)</m:t>
          </m:r>
        </m:oMath>
      </m:oMathPara>
    </w:p>
    <w:p w14:paraId="61B9ABEC" w14:textId="75751921" w:rsidR="00E04FE5" w:rsidRPr="00E04FE5" w:rsidRDefault="00967DD2">
      <w:pPr>
        <w:spacing w:before="240" w:after="240"/>
        <w:jc w:val="both"/>
        <w:rPr>
          <w:sz w:val="24"/>
          <w:szCs w:val="24"/>
        </w:rPr>
      </w:pPr>
      <m:oMath>
        <m:r>
          <w:rPr>
            <w:rFonts w:ascii="Cambria Math" w:hAnsi="Cambria Math"/>
            <w:sz w:val="24"/>
            <w:szCs w:val="24"/>
          </w:rPr>
          <m:t>OP_ odst</m:t>
        </m:r>
      </m:oMath>
      <w:r>
        <w:rPr>
          <w:sz w:val="24"/>
          <w:szCs w:val="24"/>
        </w:rPr>
        <w:t xml:space="preserve">, </w:t>
      </w:r>
      <m:oMath>
        <m:r>
          <w:rPr>
            <w:rFonts w:ascii="Cambria Math" w:hAnsi="Cambria Math"/>
            <w:sz w:val="24"/>
            <w:szCs w:val="24"/>
          </w:rPr>
          <m:t>CO_ods</m:t>
        </m:r>
      </m:oMath>
      <w:r w:rsidRPr="00967DD2">
        <w:rPr>
          <w:sz w:val="24"/>
          <w:szCs w:val="24"/>
        </w:rPr>
        <w:t xml:space="preserve">, and </w:t>
      </w:r>
      <m:oMath>
        <m:r>
          <w:rPr>
            <w:rFonts w:ascii="Cambria Math" w:hAnsi="Cambria Math"/>
            <w:sz w:val="24"/>
            <w:szCs w:val="24"/>
          </w:rPr>
          <m:t>GC_odst</m:t>
        </m:r>
      </m:oMath>
      <w:r w:rsidRPr="00E04FE5">
        <w:rPr>
          <w:sz w:val="24"/>
          <w:szCs w:val="24"/>
        </w:rPr>
        <w:t xml:space="preserve"> </w:t>
      </w:r>
      <w:r w:rsidR="00E04FE5" w:rsidRPr="00E04FE5">
        <w:rPr>
          <w:sz w:val="24"/>
          <w:szCs w:val="24"/>
        </w:rPr>
        <w:t xml:space="preserve">represent the open, conditional, and control models for data, respectively. Note that we allow all three independent variables to vary by sector </w:t>
      </w:r>
      <m:oMath>
        <m:r>
          <w:rPr>
            <w:rFonts w:ascii="Cambria Math" w:hAnsi="Cambria Math"/>
            <w:sz w:val="24"/>
            <w:szCs w:val="24"/>
          </w:rPr>
          <m:t>s</m:t>
        </m:r>
      </m:oMath>
      <w:r w:rsidR="00E04FE5" w:rsidRPr="00E04FE5">
        <w:rPr>
          <w:sz w:val="24"/>
          <w:szCs w:val="24"/>
        </w:rPr>
        <w:t xml:space="preserve">, as we </w:t>
      </w:r>
      <w:r w:rsidR="00E04FE5">
        <w:rPr>
          <w:sz w:val="24"/>
          <w:szCs w:val="24"/>
        </w:rPr>
        <w:t>again</w:t>
      </w:r>
      <w:r w:rsidR="00E04FE5" w:rsidRPr="00E04FE5">
        <w:rPr>
          <w:sz w:val="24"/>
          <w:szCs w:val="24"/>
        </w:rPr>
        <w:t xml:space="preserve"> interact the three data models with a </w:t>
      </w:r>
      <w:r w:rsidR="00E04FE5">
        <w:rPr>
          <w:sz w:val="24"/>
          <w:szCs w:val="24"/>
        </w:rPr>
        <w:t xml:space="preserve">similar </w:t>
      </w:r>
      <w:r w:rsidR="00E04FE5" w:rsidRPr="00E04FE5">
        <w:rPr>
          <w:sz w:val="24"/>
          <w:szCs w:val="24"/>
        </w:rPr>
        <w:t>dummy variable indicating whether the sector is digital or not.</w:t>
      </w:r>
      <w:r w:rsidR="00E04FE5">
        <w:rPr>
          <w:sz w:val="24"/>
          <w:szCs w:val="24"/>
        </w:rPr>
        <w:t xml:space="preserve"> </w:t>
      </w:r>
    </w:p>
    <w:p w14:paraId="595941A4" w14:textId="030CC9B0" w:rsidR="00146EBD" w:rsidRPr="00A05DB9" w:rsidRDefault="00236A55">
      <w:pPr>
        <w:spacing w:before="240" w:after="240"/>
        <w:jc w:val="both"/>
        <w:rPr>
          <w:sz w:val="24"/>
          <w:szCs w:val="24"/>
        </w:rPr>
      </w:pPr>
      <w:r>
        <w:rPr>
          <w:sz w:val="24"/>
          <w:szCs w:val="24"/>
        </w:rPr>
        <w:t xml:space="preserve">The terms </w:t>
      </w:r>
      <m:oMath>
        <m:r>
          <w:rPr>
            <w:rFonts w:ascii="Cambria Math" w:hAnsi="Cambria Math"/>
            <w:sz w:val="24"/>
            <w:szCs w:val="24"/>
          </w:rPr>
          <m:t>δ_ods</m:t>
        </m:r>
      </m:oMath>
      <w:r>
        <w:rPr>
          <w:sz w:val="24"/>
          <w:szCs w:val="24"/>
        </w:rPr>
        <w:t xml:space="preserve">, </w:t>
      </w:r>
      <m:oMath>
        <m:r>
          <w:rPr>
            <w:rFonts w:ascii="Cambria Math" w:hAnsi="Cambria Math"/>
            <w:sz w:val="24"/>
            <w:szCs w:val="24"/>
          </w:rPr>
          <m:t>δ_odt</m:t>
        </m:r>
      </m:oMath>
      <w:r>
        <w:rPr>
          <w:sz w:val="24"/>
          <w:szCs w:val="24"/>
        </w:rPr>
        <w:t xml:space="preserve">, </w:t>
      </w:r>
      <m:oMath>
        <m:r>
          <w:rPr>
            <w:rFonts w:ascii="Cambria Math" w:hAnsi="Cambria Math"/>
            <w:sz w:val="24"/>
            <w:szCs w:val="24"/>
          </w:rPr>
          <m:t>δ_ost</m:t>
        </m:r>
      </m:oMath>
      <w:r>
        <w:rPr>
          <w:sz w:val="24"/>
          <w:szCs w:val="24"/>
        </w:rPr>
        <w:t xml:space="preserve">, and </w:t>
      </w:r>
      <m:oMath>
        <m:r>
          <w:rPr>
            <w:rFonts w:ascii="Cambria Math" w:hAnsi="Cambria Math"/>
            <w:sz w:val="24"/>
            <w:szCs w:val="24"/>
          </w:rPr>
          <m:t xml:space="preserve">δ_dst </m:t>
        </m:r>
      </m:oMath>
      <w:r w:rsidR="002B2E9D" w:rsidRPr="002B2E9D">
        <w:rPr>
          <w:sz w:val="24"/>
          <w:szCs w:val="24"/>
        </w:rPr>
        <w:t xml:space="preserve">refer to the four sets of fixed effects applied in both equations. Respectively, they denote the exporter-importer-sector, exporter-importer-time, exporter-sector-year, and importer-sector-year fixed effects. The latter two are the </w:t>
      </w:r>
      <w:r w:rsidR="002B2E9D">
        <w:rPr>
          <w:sz w:val="24"/>
          <w:szCs w:val="24"/>
        </w:rPr>
        <w:t xml:space="preserve">widely cited </w:t>
      </w:r>
      <w:r w:rsidR="002B2E9D" w:rsidRPr="002B2E9D">
        <w:rPr>
          <w:sz w:val="24"/>
          <w:szCs w:val="24"/>
        </w:rPr>
        <w:t xml:space="preserve">multilateral resistance terms for both exporter and importer, varying by sector. The inclusion of </w:t>
      </w:r>
      <m:oMath>
        <m:r>
          <w:rPr>
            <w:rFonts w:ascii="Cambria Math" w:hAnsi="Cambria Math"/>
            <w:sz w:val="24"/>
            <w:szCs w:val="24"/>
          </w:rPr>
          <m:t>δ_odt</m:t>
        </m:r>
      </m:oMath>
      <w:r w:rsidR="002B2E9D" w:rsidRPr="002B2E9D">
        <w:rPr>
          <w:sz w:val="24"/>
          <w:szCs w:val="24"/>
        </w:rPr>
        <w:t xml:space="preserve"> in both equations conveniently subsumes all gravity variables that vary by country-pair-year, such as sharing an RTA and WTO membership. Note, however, that due to the inclusion of </w:t>
      </w:r>
      <w:r w:rsidR="002B2E9D">
        <w:rPr>
          <w:sz w:val="24"/>
          <w:szCs w:val="24"/>
        </w:rPr>
        <w:t>our</w:t>
      </w:r>
      <w:r w:rsidR="002B2E9D" w:rsidRPr="002B2E9D">
        <w:rPr>
          <w:sz w:val="24"/>
          <w:szCs w:val="24"/>
        </w:rPr>
        <w:t xml:space="preserve"> sector-level interactions, the interpretation of the </w:t>
      </w:r>
      <w:r w:rsidR="001B7960">
        <w:rPr>
          <w:sz w:val="24"/>
          <w:szCs w:val="24"/>
        </w:rPr>
        <w:t>empirical</w:t>
      </w:r>
      <w:r w:rsidR="002B2E9D" w:rsidRPr="002B2E9D">
        <w:rPr>
          <w:sz w:val="24"/>
          <w:szCs w:val="24"/>
        </w:rPr>
        <w:t xml:space="preserve"> results slightly changes: any significant </w:t>
      </w:r>
      <w:r w:rsidR="00764953">
        <w:rPr>
          <w:sz w:val="24"/>
          <w:szCs w:val="24"/>
        </w:rPr>
        <w:t xml:space="preserve">positive </w:t>
      </w:r>
      <w:r w:rsidR="002B2E9D" w:rsidRPr="002B2E9D">
        <w:rPr>
          <w:sz w:val="24"/>
          <w:szCs w:val="24"/>
        </w:rPr>
        <w:t xml:space="preserve">outcome indicates a change </w:t>
      </w:r>
      <w:r w:rsidR="00E475E0">
        <w:rPr>
          <w:sz w:val="24"/>
          <w:szCs w:val="24"/>
        </w:rPr>
        <w:t>towards</w:t>
      </w:r>
      <w:r w:rsidR="002B2E9D" w:rsidRPr="002B2E9D">
        <w:rPr>
          <w:sz w:val="24"/>
          <w:szCs w:val="24"/>
        </w:rPr>
        <w:t xml:space="preserve"> digital services trade flows relative to non-digital services trade due to the policy change. Finally, </w:t>
      </w:r>
      <m:oMath>
        <m:r>
          <w:rPr>
            <w:rFonts w:ascii="Cambria Math" w:hAnsi="Cambria Math"/>
            <w:sz w:val="24"/>
            <w:szCs w:val="24"/>
          </w:rPr>
          <m:t>ε_odst</m:t>
        </m:r>
      </m:oMath>
      <w:r w:rsidR="002B2E9D" w:rsidRPr="00A05DB9">
        <w:rPr>
          <w:sz w:val="24"/>
          <w:szCs w:val="24"/>
        </w:rPr>
        <w:t xml:space="preserve"> is the residual term</w:t>
      </w:r>
      <w:r w:rsidR="00146EBD" w:rsidRPr="00A05DB9">
        <w:rPr>
          <w:sz w:val="24"/>
          <w:szCs w:val="24"/>
        </w:rPr>
        <w:t>.</w:t>
      </w:r>
    </w:p>
    <w:p w14:paraId="53B4F488" w14:textId="6AE539D3" w:rsidR="00A177EE" w:rsidRPr="00E04FE5" w:rsidRDefault="003829BC" w:rsidP="00A177EE">
      <w:pPr>
        <w:spacing w:before="240" w:after="240"/>
        <w:jc w:val="both"/>
        <w:rPr>
          <w:sz w:val="24"/>
          <w:szCs w:val="24"/>
        </w:rPr>
      </w:pPr>
      <w:r w:rsidRPr="003829BC">
        <w:rPr>
          <w:sz w:val="24"/>
          <w:szCs w:val="24"/>
        </w:rPr>
        <w:t>Admittedly, the two equations face endogeneity concerns. To address this issue and ensure our estimations are exogenous, we would need an instrument, which is very challenging in our case. Therefore, all policy variables in both Equation (1) and Equation (2) are lagged by two years to minimize any endogeneity concerns as much as possible.</w:t>
      </w:r>
    </w:p>
    <w:p w14:paraId="0000003F" w14:textId="7FBD841E" w:rsidR="00E51BAE" w:rsidRDefault="00236A55">
      <w:pPr>
        <w:spacing w:before="240" w:after="240"/>
        <w:jc w:val="both"/>
        <w:rPr>
          <w:sz w:val="24"/>
          <w:szCs w:val="24"/>
        </w:rPr>
      </w:pPr>
      <w:r w:rsidRPr="00743B52">
        <w:rPr>
          <w:sz w:val="24"/>
          <w:szCs w:val="24"/>
        </w:rPr>
        <w:lastRenderedPageBreak/>
        <w:t xml:space="preserve">The model is estimated with PPML </w:t>
      </w:r>
      <w:r w:rsidR="00070468" w:rsidRPr="00743B52">
        <w:rPr>
          <w:sz w:val="24"/>
          <w:szCs w:val="24"/>
        </w:rPr>
        <w:t xml:space="preserve">with fixed effects </w:t>
      </w:r>
      <w:r w:rsidRPr="00743B52">
        <w:rPr>
          <w:sz w:val="24"/>
          <w:szCs w:val="24"/>
        </w:rPr>
        <w:t xml:space="preserve">following standard practice as recommended by Santos Silva and </w:t>
      </w:r>
      <w:proofErr w:type="spellStart"/>
      <w:r w:rsidRPr="00743B52">
        <w:rPr>
          <w:sz w:val="24"/>
          <w:szCs w:val="24"/>
        </w:rPr>
        <w:t>Tenreyro</w:t>
      </w:r>
      <w:proofErr w:type="spellEnd"/>
      <w:r w:rsidRPr="00743B52">
        <w:rPr>
          <w:sz w:val="24"/>
          <w:szCs w:val="24"/>
        </w:rPr>
        <w:t xml:space="preserve"> (2006)</w:t>
      </w:r>
      <w:r w:rsidR="00024FB5" w:rsidRPr="00743B52">
        <w:rPr>
          <w:rStyle w:val="FootnoteReference"/>
          <w:sz w:val="24"/>
          <w:szCs w:val="24"/>
        </w:rPr>
        <w:footnoteReference w:id="36"/>
      </w:r>
      <w:r w:rsidRPr="00743B52">
        <w:rPr>
          <w:sz w:val="24"/>
          <w:szCs w:val="24"/>
        </w:rPr>
        <w:t xml:space="preserve"> in addition to Baier and </w:t>
      </w:r>
      <w:proofErr w:type="spellStart"/>
      <w:r w:rsidRPr="00743B52">
        <w:rPr>
          <w:sz w:val="24"/>
          <w:szCs w:val="24"/>
        </w:rPr>
        <w:t>Bergstrand</w:t>
      </w:r>
      <w:proofErr w:type="spellEnd"/>
      <w:r w:rsidRPr="00743B52">
        <w:rPr>
          <w:sz w:val="24"/>
          <w:szCs w:val="24"/>
        </w:rPr>
        <w:t xml:space="preserve"> (2007),</w:t>
      </w:r>
      <w:r w:rsidR="007B6866" w:rsidRPr="00743B52">
        <w:rPr>
          <w:rStyle w:val="FootnoteReference"/>
          <w:sz w:val="24"/>
          <w:szCs w:val="24"/>
        </w:rPr>
        <w:footnoteReference w:id="37"/>
      </w:r>
      <w:r w:rsidRPr="00743B52">
        <w:rPr>
          <w:sz w:val="24"/>
          <w:szCs w:val="24"/>
        </w:rPr>
        <w:t xml:space="preserve"> Anderson and </w:t>
      </w:r>
      <w:proofErr w:type="spellStart"/>
      <w:r w:rsidRPr="00743B52">
        <w:rPr>
          <w:sz w:val="24"/>
          <w:szCs w:val="24"/>
        </w:rPr>
        <w:t>Yotov</w:t>
      </w:r>
      <w:proofErr w:type="spellEnd"/>
      <w:r w:rsidRPr="00743B52">
        <w:rPr>
          <w:sz w:val="24"/>
          <w:szCs w:val="24"/>
        </w:rPr>
        <w:t xml:space="preserve"> (2016),</w:t>
      </w:r>
      <w:r w:rsidR="0016323E" w:rsidRPr="00743B52">
        <w:rPr>
          <w:rStyle w:val="FootnoteReference"/>
          <w:sz w:val="24"/>
          <w:szCs w:val="24"/>
        </w:rPr>
        <w:footnoteReference w:id="38"/>
      </w:r>
      <w:r w:rsidRPr="00743B52">
        <w:rPr>
          <w:sz w:val="24"/>
          <w:szCs w:val="24"/>
        </w:rPr>
        <w:t xml:space="preserve"> </w:t>
      </w:r>
      <w:proofErr w:type="spellStart"/>
      <w:r w:rsidRPr="00743B52">
        <w:rPr>
          <w:sz w:val="24"/>
          <w:szCs w:val="24"/>
        </w:rPr>
        <w:t>Piermartini</w:t>
      </w:r>
      <w:proofErr w:type="spellEnd"/>
      <w:r w:rsidRPr="00743B52">
        <w:rPr>
          <w:sz w:val="24"/>
          <w:szCs w:val="24"/>
        </w:rPr>
        <w:t xml:space="preserve"> and </w:t>
      </w:r>
      <w:proofErr w:type="spellStart"/>
      <w:r w:rsidRPr="00743B52">
        <w:rPr>
          <w:sz w:val="24"/>
          <w:szCs w:val="24"/>
        </w:rPr>
        <w:t>Yotov</w:t>
      </w:r>
      <w:proofErr w:type="spellEnd"/>
      <w:r w:rsidRPr="00743B52">
        <w:rPr>
          <w:sz w:val="24"/>
          <w:szCs w:val="24"/>
        </w:rPr>
        <w:t xml:space="preserve"> (2016).</w:t>
      </w:r>
      <w:r w:rsidR="00193E8A" w:rsidRPr="00743B52">
        <w:rPr>
          <w:rStyle w:val="FootnoteReference"/>
          <w:sz w:val="24"/>
          <w:szCs w:val="24"/>
        </w:rPr>
        <w:footnoteReference w:id="39"/>
      </w:r>
      <w:r w:rsidRPr="00743B52">
        <w:rPr>
          <w:sz w:val="24"/>
          <w:szCs w:val="24"/>
        </w:rPr>
        <w:t xml:space="preserve"> By doing so, </w:t>
      </w:r>
      <w:proofErr w:type="spellStart"/>
      <w:r w:rsidRPr="00743B52">
        <w:rPr>
          <w:sz w:val="24"/>
          <w:szCs w:val="24"/>
        </w:rPr>
        <w:t>Fally</w:t>
      </w:r>
      <w:proofErr w:type="spellEnd"/>
      <w:r w:rsidRPr="00743B52">
        <w:rPr>
          <w:sz w:val="24"/>
          <w:szCs w:val="24"/>
        </w:rPr>
        <w:t xml:space="preserve"> (2015) shows that the estimated fixed effects correspond exactly to the terms required by the structural model.</w:t>
      </w:r>
      <w:r w:rsidR="00CA1186" w:rsidRPr="00743B52">
        <w:rPr>
          <w:rStyle w:val="FootnoteReference"/>
          <w:sz w:val="24"/>
          <w:szCs w:val="24"/>
        </w:rPr>
        <w:footnoteReference w:id="40"/>
      </w:r>
      <w:r w:rsidRPr="00743B52">
        <w:rPr>
          <w:sz w:val="24"/>
          <w:szCs w:val="24"/>
        </w:rPr>
        <w:t xml:space="preserve"> We check for possible non-existence of estimates </w:t>
      </w:r>
      <w:r w:rsidR="00070468" w:rsidRPr="00743B52">
        <w:rPr>
          <w:sz w:val="24"/>
          <w:szCs w:val="24"/>
        </w:rPr>
        <w:t xml:space="preserve">following </w:t>
      </w:r>
      <w:r w:rsidRPr="00743B52">
        <w:rPr>
          <w:sz w:val="24"/>
          <w:szCs w:val="24"/>
        </w:rPr>
        <w:t xml:space="preserve">Santos Silva </w:t>
      </w:r>
      <w:r w:rsidR="00967DD2" w:rsidRPr="00743B52">
        <w:rPr>
          <w:sz w:val="24"/>
          <w:szCs w:val="24"/>
        </w:rPr>
        <w:t>and</w:t>
      </w:r>
      <w:r w:rsidRPr="00743B52">
        <w:rPr>
          <w:sz w:val="24"/>
          <w:szCs w:val="24"/>
        </w:rPr>
        <w:t xml:space="preserve"> </w:t>
      </w:r>
      <w:proofErr w:type="spellStart"/>
      <w:r w:rsidRPr="00743B52">
        <w:rPr>
          <w:sz w:val="24"/>
          <w:szCs w:val="24"/>
        </w:rPr>
        <w:t>Tenreyro</w:t>
      </w:r>
      <w:proofErr w:type="spellEnd"/>
      <w:r w:rsidR="00070468" w:rsidRPr="00743B52">
        <w:rPr>
          <w:sz w:val="24"/>
          <w:szCs w:val="24"/>
        </w:rPr>
        <w:t xml:space="preserve"> (</w:t>
      </w:r>
      <w:r w:rsidRPr="00743B52">
        <w:rPr>
          <w:sz w:val="24"/>
          <w:szCs w:val="24"/>
        </w:rPr>
        <w:t>2010)</w:t>
      </w:r>
      <w:r w:rsidR="005B3CCC" w:rsidRPr="00743B52">
        <w:rPr>
          <w:rStyle w:val="FootnoteReference"/>
          <w:sz w:val="24"/>
          <w:szCs w:val="24"/>
        </w:rPr>
        <w:footnoteReference w:id="41"/>
      </w:r>
      <w:r w:rsidR="00070468" w:rsidRPr="00743B52">
        <w:rPr>
          <w:sz w:val="24"/>
          <w:szCs w:val="24"/>
        </w:rPr>
        <w:t xml:space="preserve"> and </w:t>
      </w:r>
      <w:r w:rsidRPr="00743B52">
        <w:rPr>
          <w:sz w:val="24"/>
          <w:szCs w:val="24"/>
        </w:rPr>
        <w:t xml:space="preserve">apply the procedures developed by Dai </w:t>
      </w:r>
      <w:r w:rsidRPr="00743B52">
        <w:rPr>
          <w:i/>
          <w:sz w:val="24"/>
          <w:szCs w:val="24"/>
        </w:rPr>
        <w:t>et al.</w:t>
      </w:r>
      <w:r w:rsidRPr="00743B52">
        <w:rPr>
          <w:sz w:val="24"/>
          <w:szCs w:val="24"/>
        </w:rPr>
        <w:t xml:space="preserve"> (2014),</w:t>
      </w:r>
      <w:r w:rsidR="009E5907" w:rsidRPr="00743B52">
        <w:rPr>
          <w:rStyle w:val="FootnoteReference"/>
          <w:sz w:val="24"/>
          <w:szCs w:val="24"/>
        </w:rPr>
        <w:footnoteReference w:id="42"/>
      </w:r>
      <w:r w:rsidRPr="00743B52">
        <w:rPr>
          <w:sz w:val="24"/>
          <w:szCs w:val="24"/>
        </w:rPr>
        <w:t xml:space="preserve"> which address the use of many dyadic fixed effects combined with the trend effects needed to identify the impact of time-varying policies consistently. </w:t>
      </w:r>
      <w:r w:rsidR="00503AB0" w:rsidRPr="00743B52">
        <w:rPr>
          <w:sz w:val="24"/>
          <w:szCs w:val="24"/>
        </w:rPr>
        <w:t xml:space="preserve">Regressions are estimated with robust standard errors clustered by country-pair and year, following the three-way clustering approach by Egger and </w:t>
      </w:r>
      <w:proofErr w:type="spellStart"/>
      <w:r w:rsidR="00503AB0" w:rsidRPr="00743B52">
        <w:rPr>
          <w:sz w:val="24"/>
          <w:szCs w:val="24"/>
        </w:rPr>
        <w:t>Tarlea</w:t>
      </w:r>
      <w:proofErr w:type="spellEnd"/>
      <w:r w:rsidR="00503AB0" w:rsidRPr="00743B52">
        <w:rPr>
          <w:sz w:val="24"/>
          <w:szCs w:val="24"/>
        </w:rPr>
        <w:t xml:space="preserve"> (2015).</w:t>
      </w:r>
      <w:r w:rsidR="009E5907" w:rsidRPr="00743B52">
        <w:rPr>
          <w:rStyle w:val="FootnoteReference"/>
          <w:sz w:val="24"/>
          <w:szCs w:val="24"/>
        </w:rPr>
        <w:footnoteReference w:id="43"/>
      </w:r>
    </w:p>
    <w:p w14:paraId="00000040" w14:textId="77777777" w:rsidR="00E51BAE" w:rsidRDefault="00236A55">
      <w:pPr>
        <w:pStyle w:val="Heading4"/>
        <w:spacing w:after="200"/>
        <w:jc w:val="both"/>
      </w:pPr>
      <w:bookmarkStart w:id="16" w:name="_heading=h.yuuuuc1dqzpt" w:colFirst="0" w:colLast="0"/>
      <w:bookmarkEnd w:id="16"/>
      <w:r>
        <w:t>3.2. Digital service sectors</w:t>
      </w:r>
    </w:p>
    <w:p w14:paraId="6E5C2610" w14:textId="4F46A157" w:rsidR="00AD1285" w:rsidRDefault="00AD1285">
      <w:pPr>
        <w:spacing w:after="200"/>
        <w:jc w:val="both"/>
        <w:rPr>
          <w:sz w:val="24"/>
          <w:szCs w:val="24"/>
        </w:rPr>
      </w:pPr>
      <w:r w:rsidRPr="00AD1285">
        <w:rPr>
          <w:sz w:val="24"/>
          <w:szCs w:val="24"/>
        </w:rPr>
        <w:t xml:space="preserve">We use </w:t>
      </w:r>
      <w:r w:rsidR="002F6FEA">
        <w:rPr>
          <w:sz w:val="24"/>
          <w:szCs w:val="24"/>
        </w:rPr>
        <w:t>three</w:t>
      </w:r>
      <w:r w:rsidRPr="00AD1285">
        <w:rPr>
          <w:sz w:val="24"/>
          <w:szCs w:val="24"/>
        </w:rPr>
        <w:t xml:space="preserve"> measures to define digital services sectors, as there is no commonly accepted definition of digital services. </w:t>
      </w:r>
      <w:r w:rsidR="002F6FEA">
        <w:rPr>
          <w:sz w:val="24"/>
          <w:szCs w:val="24"/>
        </w:rPr>
        <w:t>All three</w:t>
      </w:r>
      <w:r w:rsidRPr="00AD1285">
        <w:rPr>
          <w:sz w:val="24"/>
          <w:szCs w:val="24"/>
        </w:rPr>
        <w:t xml:space="preserve"> approaches help determine whether a sector qualifies as digital</w:t>
      </w:r>
      <w:r w:rsidR="002F6FEA">
        <w:rPr>
          <w:sz w:val="24"/>
          <w:szCs w:val="24"/>
        </w:rPr>
        <w:t xml:space="preserve"> and </w:t>
      </w:r>
      <w:r w:rsidR="00CE4FB0">
        <w:rPr>
          <w:sz w:val="24"/>
          <w:szCs w:val="24"/>
        </w:rPr>
        <w:t>whether it is reliant on data.</w:t>
      </w:r>
    </w:p>
    <w:p w14:paraId="1E0E1380" w14:textId="5623E5E8" w:rsidR="0015106A" w:rsidRDefault="00413C95">
      <w:pPr>
        <w:spacing w:after="200"/>
        <w:jc w:val="both"/>
        <w:rPr>
          <w:sz w:val="24"/>
          <w:szCs w:val="24"/>
        </w:rPr>
      </w:pPr>
      <w:r w:rsidRPr="00413C95">
        <w:rPr>
          <w:sz w:val="24"/>
          <w:szCs w:val="24"/>
        </w:rPr>
        <w:t>First, the OECD-WTO-IMF Handbook on Measuring Digital Trade categorizes digital trade into two overlapping sets of products: digitally ordered and digitally delivered trade.</w:t>
      </w:r>
      <w:r w:rsidR="00B761AE">
        <w:rPr>
          <w:rStyle w:val="FootnoteReference"/>
          <w:sz w:val="24"/>
          <w:szCs w:val="24"/>
        </w:rPr>
        <w:footnoteReference w:id="44"/>
      </w:r>
      <w:r w:rsidRPr="00413C95">
        <w:rPr>
          <w:sz w:val="24"/>
          <w:szCs w:val="24"/>
        </w:rPr>
        <w:t xml:space="preserve"> Given that the former is more difficult to measure, and since the </w:t>
      </w:r>
      <w:r w:rsidR="00967DD2">
        <w:rPr>
          <w:sz w:val="24"/>
          <w:szCs w:val="24"/>
        </w:rPr>
        <w:t>H</w:t>
      </w:r>
      <w:r w:rsidRPr="00413C95">
        <w:rPr>
          <w:sz w:val="24"/>
          <w:szCs w:val="24"/>
        </w:rPr>
        <w:t xml:space="preserve">andbook concludes that only services can be digitally delivered, we focus on digitally delivered services. The </w:t>
      </w:r>
      <w:r w:rsidR="00967DD2">
        <w:rPr>
          <w:sz w:val="24"/>
          <w:szCs w:val="24"/>
        </w:rPr>
        <w:t>H</w:t>
      </w:r>
      <w:r w:rsidRPr="00413C95">
        <w:rPr>
          <w:sz w:val="24"/>
          <w:szCs w:val="24"/>
        </w:rPr>
        <w:t xml:space="preserve">andbook defines digitally delivered services as comprising all service sectors except those closely tied to goods trade, such as transport, processing of physical inputs owned by others, maintenance and repair of goods, travel, and construction. </w:t>
      </w:r>
      <w:r w:rsidR="00E5526E">
        <w:rPr>
          <w:sz w:val="24"/>
          <w:szCs w:val="24"/>
        </w:rPr>
        <w:t>C</w:t>
      </w:r>
      <w:r w:rsidR="00E5526E" w:rsidRPr="00413C95">
        <w:rPr>
          <w:sz w:val="24"/>
          <w:szCs w:val="24"/>
        </w:rPr>
        <w:t>olumn (5)</w:t>
      </w:r>
      <w:r w:rsidR="00E5526E">
        <w:rPr>
          <w:sz w:val="24"/>
          <w:szCs w:val="24"/>
        </w:rPr>
        <w:t xml:space="preserve"> in T</w:t>
      </w:r>
      <w:r w:rsidRPr="00413C95">
        <w:rPr>
          <w:sz w:val="24"/>
          <w:szCs w:val="24"/>
        </w:rPr>
        <w:t>able A2</w:t>
      </w:r>
      <w:r w:rsidR="00E5526E">
        <w:rPr>
          <w:sz w:val="24"/>
          <w:szCs w:val="24"/>
        </w:rPr>
        <w:t xml:space="preserve"> </w:t>
      </w:r>
      <w:r w:rsidRPr="00413C95">
        <w:rPr>
          <w:sz w:val="24"/>
          <w:szCs w:val="24"/>
        </w:rPr>
        <w:t>lists the services classified as digitally deliverable by the Handbook</w:t>
      </w:r>
      <w:r w:rsidR="00A73B50">
        <w:rPr>
          <w:sz w:val="24"/>
          <w:szCs w:val="24"/>
        </w:rPr>
        <w:t xml:space="preserve">. </w:t>
      </w:r>
    </w:p>
    <w:p w14:paraId="27BD01ED" w14:textId="6C06D02E" w:rsidR="007061F9" w:rsidRDefault="007061F9">
      <w:pPr>
        <w:spacing w:before="240" w:after="240"/>
        <w:jc w:val="both"/>
        <w:rPr>
          <w:sz w:val="24"/>
          <w:szCs w:val="24"/>
        </w:rPr>
      </w:pPr>
      <w:r w:rsidRPr="007061F9">
        <w:rPr>
          <w:sz w:val="24"/>
          <w:szCs w:val="24"/>
        </w:rPr>
        <w:t>However, the list of digitally deliver</w:t>
      </w:r>
      <w:r w:rsidR="00967DD2">
        <w:rPr>
          <w:sz w:val="24"/>
          <w:szCs w:val="24"/>
        </w:rPr>
        <w:t>ed</w:t>
      </w:r>
      <w:r w:rsidRPr="007061F9">
        <w:rPr>
          <w:sz w:val="24"/>
          <w:szCs w:val="24"/>
        </w:rPr>
        <w:t xml:space="preserve"> services leaves open the question of whether some sectors are more sensitive to cost frictions related to data policies due to their reliance on data in their production models. To further narrow down this list, </w:t>
      </w:r>
      <w:r w:rsidRPr="00743B52">
        <w:rPr>
          <w:sz w:val="24"/>
          <w:szCs w:val="24"/>
        </w:rPr>
        <w:t xml:space="preserve">Ferracane and van der </w:t>
      </w:r>
      <w:proofErr w:type="spellStart"/>
      <w:r w:rsidRPr="00743B52">
        <w:rPr>
          <w:sz w:val="24"/>
          <w:szCs w:val="24"/>
        </w:rPr>
        <w:t>Marel</w:t>
      </w:r>
      <w:proofErr w:type="spellEnd"/>
      <w:r w:rsidRPr="00743B52">
        <w:rPr>
          <w:sz w:val="24"/>
          <w:szCs w:val="24"/>
        </w:rPr>
        <w:t xml:space="preserve"> (2021a)</w:t>
      </w:r>
      <w:r w:rsidRPr="007061F9">
        <w:rPr>
          <w:sz w:val="24"/>
          <w:szCs w:val="24"/>
        </w:rPr>
        <w:t xml:space="preserve"> developed an alternative approach to defining digital services through an indicator called "data intensity"</w:t>
      </w:r>
      <w:r w:rsidR="0074086A">
        <w:rPr>
          <w:sz w:val="24"/>
          <w:szCs w:val="24"/>
        </w:rPr>
        <w:t>.</w:t>
      </w:r>
      <w:r w:rsidR="0074086A">
        <w:rPr>
          <w:rStyle w:val="FootnoteReference"/>
          <w:sz w:val="24"/>
          <w:szCs w:val="24"/>
        </w:rPr>
        <w:footnoteReference w:id="45"/>
      </w:r>
      <w:r w:rsidRPr="007061F9">
        <w:rPr>
          <w:sz w:val="24"/>
          <w:szCs w:val="24"/>
        </w:rPr>
        <w:t xml:space="preserve"> This data intensity measures the ratio of software </w:t>
      </w:r>
      <w:r w:rsidRPr="007061F9">
        <w:rPr>
          <w:sz w:val="24"/>
          <w:szCs w:val="24"/>
        </w:rPr>
        <w:lastRenderedPageBreak/>
        <w:t>expenditures to labo</w:t>
      </w:r>
      <w:r w:rsidR="004F45FA">
        <w:rPr>
          <w:sz w:val="24"/>
          <w:szCs w:val="24"/>
        </w:rPr>
        <w:t>ur costs in USD, using data from the U.S. Census and the</w:t>
      </w:r>
      <w:r w:rsidRPr="007061F9">
        <w:rPr>
          <w:sz w:val="24"/>
          <w:szCs w:val="24"/>
        </w:rPr>
        <w:t xml:space="preserve"> U.S. Bureau of Labor Statistics. Software expenditures are defined as the expenditures in </w:t>
      </w:r>
      <w:r w:rsidR="004F45FA">
        <w:rPr>
          <w:sz w:val="24"/>
          <w:szCs w:val="24"/>
        </w:rPr>
        <w:t>M</w:t>
      </w:r>
      <w:r w:rsidRPr="007061F9">
        <w:rPr>
          <w:sz w:val="24"/>
          <w:szCs w:val="24"/>
        </w:rPr>
        <w:t xml:space="preserve">illion USD for each sector, and </w:t>
      </w:r>
      <w:proofErr w:type="spellStart"/>
      <w:r w:rsidRPr="007061F9">
        <w:rPr>
          <w:sz w:val="24"/>
          <w:szCs w:val="24"/>
        </w:rPr>
        <w:t>labor</w:t>
      </w:r>
      <w:proofErr w:type="spellEnd"/>
      <w:r w:rsidRPr="007061F9">
        <w:rPr>
          <w:sz w:val="24"/>
          <w:szCs w:val="24"/>
        </w:rPr>
        <w:t xml:space="preserve"> costs are measured as the expenditures on labo</w:t>
      </w:r>
      <w:r w:rsidR="004F45FA">
        <w:rPr>
          <w:sz w:val="24"/>
          <w:szCs w:val="24"/>
        </w:rPr>
        <w:t>u</w:t>
      </w:r>
      <w:r w:rsidRPr="007061F9">
        <w:rPr>
          <w:sz w:val="24"/>
          <w:szCs w:val="24"/>
        </w:rPr>
        <w:t>r for each sector. The sectors with the highest ratios are telecommunications, computer services, information services, finance, and insurance. Column (6) in Table A2 reports the software-to-</w:t>
      </w:r>
      <w:proofErr w:type="spellStart"/>
      <w:r w:rsidRPr="007061F9">
        <w:rPr>
          <w:sz w:val="24"/>
          <w:szCs w:val="24"/>
        </w:rPr>
        <w:t>labor</w:t>
      </w:r>
      <w:proofErr w:type="spellEnd"/>
      <w:r w:rsidRPr="007061F9">
        <w:rPr>
          <w:sz w:val="24"/>
          <w:szCs w:val="24"/>
        </w:rPr>
        <w:t xml:space="preserve"> ratios for each sector.</w:t>
      </w:r>
    </w:p>
    <w:p w14:paraId="76A37E8D" w14:textId="0B8D11FA" w:rsidR="009A79AD" w:rsidRDefault="00362935" w:rsidP="009A79AD">
      <w:pPr>
        <w:spacing w:before="240" w:after="240"/>
        <w:jc w:val="both"/>
        <w:rPr>
          <w:sz w:val="24"/>
          <w:szCs w:val="24"/>
        </w:rPr>
      </w:pPr>
      <w:r w:rsidRPr="00362935">
        <w:rPr>
          <w:sz w:val="24"/>
          <w:szCs w:val="24"/>
        </w:rPr>
        <w:t xml:space="preserve">We further refine our list of data-reliant services by identifying which sectors depend more heavily on the cross-border flow of personal data. </w:t>
      </w:r>
      <w:r w:rsidR="002F6FEA">
        <w:rPr>
          <w:sz w:val="24"/>
          <w:szCs w:val="24"/>
        </w:rPr>
        <w:t xml:space="preserve">We do so </w:t>
      </w:r>
      <w:r w:rsidRPr="00362935">
        <w:rPr>
          <w:sz w:val="24"/>
          <w:szCs w:val="24"/>
        </w:rPr>
        <w:t xml:space="preserve">by referring to the list of companies that obtained certification under the Privacy Shield Framework (PS) maintained by the US Department of Commerce. This certification </w:t>
      </w:r>
      <w:r>
        <w:rPr>
          <w:sz w:val="24"/>
          <w:szCs w:val="24"/>
        </w:rPr>
        <w:t xml:space="preserve">scheme </w:t>
      </w:r>
      <w:r w:rsidRPr="00362935">
        <w:rPr>
          <w:sz w:val="24"/>
          <w:szCs w:val="24"/>
        </w:rPr>
        <w:t>allow</w:t>
      </w:r>
      <w:r>
        <w:rPr>
          <w:sz w:val="24"/>
          <w:szCs w:val="24"/>
        </w:rPr>
        <w:t>ed</w:t>
      </w:r>
      <w:r w:rsidRPr="00362935">
        <w:rPr>
          <w:sz w:val="24"/>
          <w:szCs w:val="24"/>
        </w:rPr>
        <w:t xml:space="preserve"> U</w:t>
      </w:r>
      <w:r w:rsidR="00262FCE">
        <w:rPr>
          <w:sz w:val="24"/>
          <w:szCs w:val="24"/>
        </w:rPr>
        <w:t>.</w:t>
      </w:r>
      <w:r w:rsidRPr="00362935">
        <w:rPr>
          <w:sz w:val="24"/>
          <w:szCs w:val="24"/>
        </w:rPr>
        <w:t>S</w:t>
      </w:r>
      <w:r w:rsidR="00262FCE">
        <w:rPr>
          <w:sz w:val="24"/>
          <w:szCs w:val="24"/>
        </w:rPr>
        <w:t>.</w:t>
      </w:r>
      <w:r w:rsidRPr="00362935">
        <w:rPr>
          <w:sz w:val="24"/>
          <w:szCs w:val="24"/>
        </w:rPr>
        <w:t xml:space="preserve"> companies to process European citizens’ data. The PS forms a legal agreement regulating the exchange of personal data flows between two of the world’s largest bilateral digital service trade models: the EU’s GDPR and the US's open model</w:t>
      </w:r>
      <w:r w:rsidR="00236A55">
        <w:rPr>
          <w:sz w:val="24"/>
          <w:szCs w:val="24"/>
        </w:rPr>
        <w:t>.</w:t>
      </w:r>
      <w:r w:rsidR="00236A55">
        <w:rPr>
          <w:sz w:val="24"/>
          <w:szCs w:val="24"/>
          <w:vertAlign w:val="superscript"/>
        </w:rPr>
        <w:footnoteReference w:id="46"/>
      </w:r>
      <w:r w:rsidR="00262FCE">
        <w:rPr>
          <w:sz w:val="24"/>
          <w:szCs w:val="24"/>
        </w:rPr>
        <w:t xml:space="preserve"> All companies </w:t>
      </w:r>
      <w:r w:rsidR="00222911">
        <w:rPr>
          <w:sz w:val="24"/>
          <w:szCs w:val="24"/>
        </w:rPr>
        <w:t>on</w:t>
      </w:r>
      <w:r w:rsidR="00262FCE">
        <w:rPr>
          <w:sz w:val="24"/>
          <w:szCs w:val="24"/>
        </w:rPr>
        <w:t xml:space="preserve"> the PS </w:t>
      </w:r>
      <w:r w:rsidR="00222911">
        <w:rPr>
          <w:sz w:val="24"/>
          <w:szCs w:val="24"/>
        </w:rPr>
        <w:t xml:space="preserve">list </w:t>
      </w:r>
      <w:r w:rsidR="00262FCE">
        <w:rPr>
          <w:sz w:val="24"/>
          <w:szCs w:val="24"/>
        </w:rPr>
        <w:t xml:space="preserve">report their sectoral activity. We use this information to compute the share of </w:t>
      </w:r>
      <w:r w:rsidR="00C333A2">
        <w:rPr>
          <w:sz w:val="24"/>
          <w:szCs w:val="24"/>
        </w:rPr>
        <w:t xml:space="preserve">certified </w:t>
      </w:r>
      <w:r w:rsidR="00262FCE">
        <w:rPr>
          <w:sz w:val="24"/>
          <w:szCs w:val="24"/>
        </w:rPr>
        <w:t>companies</w:t>
      </w:r>
      <w:r w:rsidR="00A154D5">
        <w:rPr>
          <w:sz w:val="24"/>
          <w:szCs w:val="24"/>
        </w:rPr>
        <w:t xml:space="preserve"> </w:t>
      </w:r>
      <w:r w:rsidR="00737223">
        <w:rPr>
          <w:sz w:val="24"/>
          <w:szCs w:val="24"/>
        </w:rPr>
        <w:t xml:space="preserve">in the total number of U.S. firms </w:t>
      </w:r>
      <w:r w:rsidR="00D70C6C">
        <w:rPr>
          <w:sz w:val="24"/>
          <w:szCs w:val="24"/>
        </w:rPr>
        <w:t>for</w:t>
      </w:r>
      <w:r w:rsidR="00A154D5">
        <w:rPr>
          <w:sz w:val="24"/>
          <w:szCs w:val="24"/>
        </w:rPr>
        <w:t xml:space="preserve"> each services sector</w:t>
      </w:r>
      <w:r w:rsidR="009A79AD">
        <w:rPr>
          <w:sz w:val="24"/>
          <w:szCs w:val="24"/>
        </w:rPr>
        <w:t xml:space="preserve">. Data on the total number of U.S. firms is from </w:t>
      </w:r>
      <w:r w:rsidR="00D70C6C" w:rsidRPr="00D70C6C">
        <w:rPr>
          <w:sz w:val="24"/>
          <w:szCs w:val="24"/>
        </w:rPr>
        <w:t>the U</w:t>
      </w:r>
      <w:r w:rsidR="009A79AD">
        <w:rPr>
          <w:sz w:val="24"/>
          <w:szCs w:val="24"/>
        </w:rPr>
        <w:t>.</w:t>
      </w:r>
      <w:r w:rsidR="00D70C6C" w:rsidRPr="00D70C6C">
        <w:rPr>
          <w:sz w:val="24"/>
          <w:szCs w:val="24"/>
        </w:rPr>
        <w:t>S</w:t>
      </w:r>
      <w:r w:rsidR="009A79AD">
        <w:rPr>
          <w:sz w:val="24"/>
          <w:szCs w:val="24"/>
        </w:rPr>
        <w:t>.</w:t>
      </w:r>
      <w:r w:rsidR="00D70C6C" w:rsidRPr="00D70C6C">
        <w:rPr>
          <w:sz w:val="24"/>
          <w:szCs w:val="24"/>
        </w:rPr>
        <w:t xml:space="preserve"> Census</w:t>
      </w:r>
      <w:r w:rsidR="00A154D5">
        <w:rPr>
          <w:sz w:val="24"/>
          <w:szCs w:val="24"/>
        </w:rPr>
        <w:t xml:space="preserve">. </w:t>
      </w:r>
      <w:r w:rsidR="00724D05">
        <w:rPr>
          <w:sz w:val="24"/>
          <w:szCs w:val="24"/>
        </w:rPr>
        <w:t>C</w:t>
      </w:r>
      <w:r w:rsidR="009A79AD" w:rsidRPr="00051FBD">
        <w:rPr>
          <w:sz w:val="24"/>
          <w:szCs w:val="24"/>
        </w:rPr>
        <w:t xml:space="preserve">olumn (7) </w:t>
      </w:r>
      <w:r w:rsidR="003B5676">
        <w:rPr>
          <w:sz w:val="24"/>
          <w:szCs w:val="24"/>
        </w:rPr>
        <w:t>in</w:t>
      </w:r>
      <w:r w:rsidR="009A79AD" w:rsidRPr="00051FBD">
        <w:rPr>
          <w:sz w:val="24"/>
          <w:szCs w:val="24"/>
        </w:rPr>
        <w:t xml:space="preserve"> Table A2</w:t>
      </w:r>
      <w:r w:rsidR="00724D05">
        <w:rPr>
          <w:sz w:val="24"/>
          <w:szCs w:val="24"/>
        </w:rPr>
        <w:t xml:space="preserve"> reports the shares</w:t>
      </w:r>
      <w:r w:rsidR="004F45FA">
        <w:rPr>
          <w:sz w:val="24"/>
          <w:szCs w:val="24"/>
        </w:rPr>
        <w:t>. It</w:t>
      </w:r>
      <w:r w:rsidR="00724D05">
        <w:rPr>
          <w:sz w:val="24"/>
          <w:szCs w:val="24"/>
        </w:rPr>
        <w:t xml:space="preserve"> </w:t>
      </w:r>
      <w:r w:rsidR="003B5676">
        <w:rPr>
          <w:sz w:val="24"/>
          <w:szCs w:val="24"/>
        </w:rPr>
        <w:t>shows</w:t>
      </w:r>
      <w:r w:rsidR="00724D05">
        <w:rPr>
          <w:sz w:val="24"/>
          <w:szCs w:val="24"/>
        </w:rPr>
        <w:t xml:space="preserve"> that </w:t>
      </w:r>
      <w:r w:rsidR="009A79AD" w:rsidRPr="00051FBD">
        <w:rPr>
          <w:sz w:val="24"/>
          <w:szCs w:val="24"/>
        </w:rPr>
        <w:t xml:space="preserve">business services, healthcare, media and entertainment, education, and travel services </w:t>
      </w:r>
      <w:r w:rsidR="00B70256">
        <w:rPr>
          <w:sz w:val="24"/>
          <w:szCs w:val="24"/>
        </w:rPr>
        <w:t xml:space="preserve">are all </w:t>
      </w:r>
      <w:r w:rsidR="003B5676">
        <w:rPr>
          <w:sz w:val="24"/>
          <w:szCs w:val="24"/>
        </w:rPr>
        <w:t xml:space="preserve">most </w:t>
      </w:r>
      <w:r w:rsidR="00B70256">
        <w:rPr>
          <w:sz w:val="24"/>
          <w:szCs w:val="24"/>
        </w:rPr>
        <w:t>reliant on cross-border data flows under the PS regime</w:t>
      </w:r>
      <w:r w:rsidR="009A79AD" w:rsidRPr="00051FBD">
        <w:rPr>
          <w:sz w:val="24"/>
          <w:szCs w:val="24"/>
        </w:rPr>
        <w:t>.</w:t>
      </w:r>
      <w:r w:rsidR="003B5676">
        <w:rPr>
          <w:sz w:val="24"/>
          <w:szCs w:val="24"/>
          <w:vertAlign w:val="superscript"/>
        </w:rPr>
        <w:footnoteReference w:id="47"/>
      </w:r>
    </w:p>
    <w:p w14:paraId="00000046" w14:textId="4BCA8CF8" w:rsidR="00E51BAE" w:rsidRDefault="005E64C5">
      <w:pPr>
        <w:spacing w:before="240" w:after="240"/>
        <w:jc w:val="both"/>
        <w:rPr>
          <w:sz w:val="24"/>
          <w:szCs w:val="24"/>
        </w:rPr>
      </w:pPr>
      <w:r>
        <w:rPr>
          <w:sz w:val="24"/>
          <w:szCs w:val="24"/>
        </w:rPr>
        <w:t xml:space="preserve">Annex </w:t>
      </w:r>
      <w:r w:rsidR="00A53C9E" w:rsidRPr="00A53C9E">
        <w:rPr>
          <w:sz w:val="24"/>
          <w:szCs w:val="24"/>
        </w:rPr>
        <w:t>Table A</w:t>
      </w:r>
      <w:r>
        <w:rPr>
          <w:sz w:val="24"/>
          <w:szCs w:val="24"/>
        </w:rPr>
        <w:t>1</w:t>
      </w:r>
      <w:r w:rsidR="00A53C9E" w:rsidRPr="00A53C9E">
        <w:rPr>
          <w:sz w:val="24"/>
          <w:szCs w:val="24"/>
        </w:rPr>
        <w:t xml:space="preserve"> provides the final </w:t>
      </w:r>
      <w:r w:rsidR="00734512">
        <w:rPr>
          <w:sz w:val="24"/>
          <w:szCs w:val="24"/>
        </w:rPr>
        <w:t>list</w:t>
      </w:r>
      <w:r w:rsidR="00A53C9E" w:rsidRPr="00A53C9E">
        <w:rPr>
          <w:sz w:val="24"/>
          <w:szCs w:val="24"/>
        </w:rPr>
        <w:t xml:space="preserve"> of digital services sectors based on our three digital measures. Our selection gradually expands the scope of digital services, starting with the narrowest sectoral scope in </w:t>
      </w:r>
      <w:r w:rsidR="00967DD2">
        <w:rPr>
          <w:sz w:val="24"/>
          <w:szCs w:val="24"/>
        </w:rPr>
        <w:t>C</w:t>
      </w:r>
      <w:r w:rsidR="00A53C9E" w:rsidRPr="00A53C9E">
        <w:rPr>
          <w:sz w:val="24"/>
          <w:szCs w:val="24"/>
        </w:rPr>
        <w:t xml:space="preserve">olumn (1), which includes core digital services: publishing, audio-visuals, telecom, computer services, and business services. In </w:t>
      </w:r>
      <w:r w:rsidR="00967DD2">
        <w:rPr>
          <w:sz w:val="24"/>
          <w:szCs w:val="24"/>
        </w:rPr>
        <w:t>C</w:t>
      </w:r>
      <w:r w:rsidR="00A53C9E" w:rsidRPr="00A53C9E">
        <w:rPr>
          <w:sz w:val="24"/>
          <w:szCs w:val="24"/>
        </w:rPr>
        <w:t xml:space="preserve">olumn (2), we expand this definition by adding financial and insurance services, which also heavily rely on data. The third definition in </w:t>
      </w:r>
      <w:r w:rsidR="00967DD2">
        <w:rPr>
          <w:sz w:val="24"/>
          <w:szCs w:val="24"/>
        </w:rPr>
        <w:t>C</w:t>
      </w:r>
      <w:r w:rsidR="00A53C9E" w:rsidRPr="00A53C9E">
        <w:rPr>
          <w:sz w:val="24"/>
          <w:szCs w:val="24"/>
        </w:rPr>
        <w:t xml:space="preserve">olumn (3) includes various personal services, and the final definition in </w:t>
      </w:r>
      <w:r w:rsidR="00967DD2">
        <w:rPr>
          <w:sz w:val="24"/>
          <w:szCs w:val="24"/>
        </w:rPr>
        <w:t>C</w:t>
      </w:r>
      <w:r w:rsidR="00A53C9E" w:rsidRPr="00A53C9E">
        <w:rPr>
          <w:sz w:val="24"/>
          <w:szCs w:val="24"/>
        </w:rPr>
        <w:t>olumn (4) additionally covers charges for intellectual property rights. We use all four definitions of digital services sectors in our regressions.</w:t>
      </w:r>
      <w:r w:rsidR="00236A55">
        <w:rPr>
          <w:sz w:val="24"/>
          <w:szCs w:val="24"/>
          <w:vertAlign w:val="superscript"/>
        </w:rPr>
        <w:footnoteReference w:id="48"/>
      </w:r>
    </w:p>
    <w:p w14:paraId="00000047" w14:textId="77777777" w:rsidR="00E51BAE" w:rsidRDefault="00236A55">
      <w:pPr>
        <w:pStyle w:val="Heading4"/>
        <w:spacing w:after="200"/>
        <w:jc w:val="both"/>
      </w:pPr>
      <w:bookmarkStart w:id="17" w:name="_heading=h.r3wy51yex3ax" w:colFirst="0" w:colLast="0"/>
      <w:bookmarkEnd w:id="17"/>
      <w:r>
        <w:lastRenderedPageBreak/>
        <w:t>3.3. Trade Data</w:t>
      </w:r>
    </w:p>
    <w:p w14:paraId="1E7A10BD" w14:textId="3A4263B7" w:rsidR="00CA6D48" w:rsidRDefault="005B3B5B">
      <w:pPr>
        <w:spacing w:before="240" w:after="240"/>
        <w:jc w:val="both"/>
        <w:rPr>
          <w:sz w:val="24"/>
          <w:szCs w:val="24"/>
        </w:rPr>
      </w:pPr>
      <w:r w:rsidRPr="005B3B5B">
        <w:rPr>
          <w:sz w:val="24"/>
          <w:szCs w:val="24"/>
        </w:rPr>
        <w:t>Data on bilateral trade in gross values are sourced from the WTO-OECD Balanced Trade in Services Dataset</w:t>
      </w:r>
      <w:r w:rsidR="00734512">
        <w:rPr>
          <w:sz w:val="24"/>
          <w:szCs w:val="24"/>
        </w:rPr>
        <w:t xml:space="preserve">, also known as </w:t>
      </w:r>
      <w:proofErr w:type="spellStart"/>
      <w:r w:rsidR="00236A55">
        <w:rPr>
          <w:sz w:val="24"/>
          <w:szCs w:val="24"/>
        </w:rPr>
        <w:t>BaTiS</w:t>
      </w:r>
      <w:proofErr w:type="spellEnd"/>
      <w:r w:rsidR="00902CF2">
        <w:rPr>
          <w:sz w:val="24"/>
          <w:szCs w:val="24"/>
        </w:rPr>
        <w:t>.</w:t>
      </w:r>
      <w:r w:rsidR="00902CF2">
        <w:rPr>
          <w:rStyle w:val="FootnoteReference"/>
          <w:sz w:val="24"/>
          <w:szCs w:val="24"/>
        </w:rPr>
        <w:footnoteReference w:id="49"/>
      </w:r>
      <w:r w:rsidR="00902CF2">
        <w:rPr>
          <w:sz w:val="24"/>
          <w:szCs w:val="24"/>
        </w:rPr>
        <w:t xml:space="preserve"> </w:t>
      </w:r>
      <w:r w:rsidR="00A61FE7" w:rsidRPr="00A61FE7">
        <w:rPr>
          <w:sz w:val="24"/>
          <w:szCs w:val="24"/>
        </w:rPr>
        <w:t xml:space="preserve">The primary advantage of using </w:t>
      </w:r>
      <w:proofErr w:type="spellStart"/>
      <w:r w:rsidR="00A61FE7" w:rsidRPr="00A61FE7">
        <w:rPr>
          <w:sz w:val="24"/>
          <w:szCs w:val="24"/>
        </w:rPr>
        <w:t>BaTiS</w:t>
      </w:r>
      <w:proofErr w:type="spellEnd"/>
      <w:r w:rsidR="00A61FE7" w:rsidRPr="00A61FE7">
        <w:rPr>
          <w:sz w:val="24"/>
          <w:szCs w:val="24"/>
        </w:rPr>
        <w:t xml:space="preserve"> is its comprehensive recording of services trade for many developing countries, including those in Africa. Another database that captures services trade flows for many developing countries is the International Trade and Production Database for Estimation (ITPD-E) from the United States International Trade Commission.</w:t>
      </w:r>
      <w:r w:rsidR="007F0CBA">
        <w:rPr>
          <w:rStyle w:val="FootnoteReference"/>
          <w:sz w:val="24"/>
          <w:szCs w:val="24"/>
        </w:rPr>
        <w:footnoteReference w:id="50"/>
      </w:r>
      <w:r w:rsidR="00A61FE7" w:rsidRPr="00A61FE7">
        <w:rPr>
          <w:sz w:val="24"/>
          <w:szCs w:val="24"/>
        </w:rPr>
        <w:t xml:space="preserve"> </w:t>
      </w:r>
      <w:r w:rsidR="00A61FE7">
        <w:rPr>
          <w:sz w:val="24"/>
          <w:szCs w:val="24"/>
        </w:rPr>
        <w:t xml:space="preserve">The difference between </w:t>
      </w:r>
      <w:proofErr w:type="spellStart"/>
      <w:r w:rsidR="00A61FE7">
        <w:rPr>
          <w:sz w:val="24"/>
          <w:szCs w:val="24"/>
        </w:rPr>
        <w:t>B</w:t>
      </w:r>
      <w:r w:rsidR="009E64D6">
        <w:rPr>
          <w:sz w:val="24"/>
          <w:szCs w:val="24"/>
        </w:rPr>
        <w:t>aTiS</w:t>
      </w:r>
      <w:proofErr w:type="spellEnd"/>
      <w:r w:rsidR="009E64D6">
        <w:rPr>
          <w:sz w:val="24"/>
          <w:szCs w:val="24"/>
        </w:rPr>
        <w:t xml:space="preserve"> and the ITPD-E is that the latter only records reported trade data, whereas </w:t>
      </w:r>
      <w:proofErr w:type="spellStart"/>
      <w:r w:rsidR="009E64D6">
        <w:rPr>
          <w:sz w:val="24"/>
          <w:szCs w:val="24"/>
        </w:rPr>
        <w:t>BaTiS</w:t>
      </w:r>
      <w:proofErr w:type="spellEnd"/>
      <w:r w:rsidR="009E64D6">
        <w:rPr>
          <w:sz w:val="24"/>
          <w:szCs w:val="24"/>
        </w:rPr>
        <w:t xml:space="preserve"> also imputes trade data using statistical techniques. </w:t>
      </w:r>
    </w:p>
    <w:p w14:paraId="5CDA88E8" w14:textId="6AFDBD50" w:rsidR="00A61FE7" w:rsidRDefault="00CA6D48">
      <w:pPr>
        <w:spacing w:before="240" w:after="240"/>
        <w:jc w:val="both"/>
        <w:rPr>
          <w:sz w:val="24"/>
          <w:szCs w:val="24"/>
        </w:rPr>
      </w:pPr>
      <w:r>
        <w:rPr>
          <w:sz w:val="24"/>
          <w:szCs w:val="24"/>
        </w:rPr>
        <w:t>T</w:t>
      </w:r>
      <w:r w:rsidRPr="00EE4A15">
        <w:rPr>
          <w:sz w:val="24"/>
          <w:szCs w:val="24"/>
        </w:rPr>
        <w:t xml:space="preserve">he biggest drawback of </w:t>
      </w:r>
      <w:proofErr w:type="spellStart"/>
      <w:r w:rsidRPr="00EE4A15">
        <w:rPr>
          <w:sz w:val="24"/>
          <w:szCs w:val="24"/>
        </w:rPr>
        <w:t>BaTiS</w:t>
      </w:r>
      <w:proofErr w:type="spellEnd"/>
      <w:r w:rsidRPr="00EE4A15">
        <w:rPr>
          <w:sz w:val="24"/>
          <w:szCs w:val="24"/>
        </w:rPr>
        <w:t xml:space="preserve"> is that many trade flows for developing countries are based on estimation procedures, including those for African countries. These estimates are derived using various methods, ranging from simple techniques like </w:t>
      </w:r>
      <w:proofErr w:type="spellStart"/>
      <w:r w:rsidRPr="00EE4A15">
        <w:rPr>
          <w:sz w:val="24"/>
          <w:szCs w:val="24"/>
        </w:rPr>
        <w:t>backcasting</w:t>
      </w:r>
      <w:proofErr w:type="spellEnd"/>
      <w:r w:rsidRPr="00EE4A15">
        <w:rPr>
          <w:sz w:val="24"/>
          <w:szCs w:val="24"/>
        </w:rPr>
        <w:t xml:space="preserve"> and interpolation to more sophisticated ones like gravity models. Despite this limitation, </w:t>
      </w:r>
      <w:proofErr w:type="spellStart"/>
      <w:r w:rsidRPr="00EE4A15">
        <w:rPr>
          <w:sz w:val="24"/>
          <w:szCs w:val="24"/>
        </w:rPr>
        <w:t>BaTiS</w:t>
      </w:r>
      <w:proofErr w:type="spellEnd"/>
      <w:r w:rsidRPr="00EE4A15">
        <w:rPr>
          <w:sz w:val="24"/>
          <w:szCs w:val="24"/>
        </w:rPr>
        <w:t xml:space="preserve"> remains the best available cross-country trade dataset for African countries to obtain probable econometric results.</w:t>
      </w:r>
      <w:r>
        <w:rPr>
          <w:sz w:val="24"/>
          <w:szCs w:val="24"/>
        </w:rPr>
        <w:t xml:space="preserve"> In fact, a</w:t>
      </w:r>
      <w:r w:rsidR="00A61FE7" w:rsidRPr="00A61FE7">
        <w:rPr>
          <w:sz w:val="24"/>
          <w:szCs w:val="24"/>
        </w:rPr>
        <w:t>lthough ITPD-E covers an impressive array of developing countries, it has significant gaps for the African region</w:t>
      </w:r>
      <w:r>
        <w:rPr>
          <w:sz w:val="24"/>
          <w:szCs w:val="24"/>
        </w:rPr>
        <w:t>.</w:t>
      </w:r>
      <w:r w:rsidR="00A61FE7" w:rsidRPr="00A61FE7">
        <w:rPr>
          <w:sz w:val="24"/>
          <w:szCs w:val="24"/>
        </w:rPr>
        <w:t xml:space="preserve"> </w:t>
      </w:r>
    </w:p>
    <w:p w14:paraId="0000004A" w14:textId="1E6F05B4" w:rsidR="00E51BAE" w:rsidRDefault="00CA6D48">
      <w:pPr>
        <w:spacing w:before="240" w:after="240"/>
        <w:jc w:val="both"/>
        <w:rPr>
          <w:sz w:val="24"/>
          <w:szCs w:val="24"/>
        </w:rPr>
      </w:pPr>
      <w:r w:rsidRPr="00A61FE7">
        <w:rPr>
          <w:sz w:val="24"/>
          <w:szCs w:val="24"/>
        </w:rPr>
        <w:t>Therefore, w</w:t>
      </w:r>
      <w:r>
        <w:rPr>
          <w:sz w:val="24"/>
          <w:szCs w:val="24"/>
        </w:rPr>
        <w:t>hile we</w:t>
      </w:r>
      <w:r w:rsidRPr="00A61FE7">
        <w:rPr>
          <w:sz w:val="24"/>
          <w:szCs w:val="24"/>
        </w:rPr>
        <w:t xml:space="preserve"> prefer to use data from </w:t>
      </w:r>
      <w:proofErr w:type="spellStart"/>
      <w:r w:rsidRPr="00A61FE7">
        <w:rPr>
          <w:sz w:val="24"/>
          <w:szCs w:val="24"/>
        </w:rPr>
        <w:t>BaTiS</w:t>
      </w:r>
      <w:proofErr w:type="spellEnd"/>
      <w:r>
        <w:rPr>
          <w:sz w:val="24"/>
          <w:szCs w:val="24"/>
        </w:rPr>
        <w:t xml:space="preserve">, it is important to note that </w:t>
      </w:r>
      <w:r w:rsidR="00EE4A15" w:rsidRPr="00EE4A15">
        <w:rPr>
          <w:sz w:val="24"/>
          <w:szCs w:val="24"/>
        </w:rPr>
        <w:t xml:space="preserve">the results of this paper should be interpreted with caution. </w:t>
      </w:r>
      <w:r>
        <w:rPr>
          <w:sz w:val="24"/>
          <w:szCs w:val="24"/>
        </w:rPr>
        <w:t>This is despite</w:t>
      </w:r>
      <w:r w:rsidR="00EE4A15" w:rsidRPr="00EE4A15">
        <w:rPr>
          <w:sz w:val="24"/>
          <w:szCs w:val="24"/>
        </w:rPr>
        <w:t xml:space="preserve"> the numerous fixed effects applied</w:t>
      </w:r>
      <w:r>
        <w:rPr>
          <w:sz w:val="24"/>
          <w:szCs w:val="24"/>
        </w:rPr>
        <w:t xml:space="preserve">, which </w:t>
      </w:r>
      <w:r w:rsidR="00EE4A15" w:rsidRPr="00EE4A15">
        <w:rPr>
          <w:sz w:val="24"/>
          <w:szCs w:val="24"/>
        </w:rPr>
        <w:t xml:space="preserve">help eliminate standard confounding gravity factors used to estimate trade flows in the </w:t>
      </w:r>
      <w:proofErr w:type="spellStart"/>
      <w:r w:rsidR="00EE4A15" w:rsidRPr="00EE4A15">
        <w:rPr>
          <w:sz w:val="24"/>
          <w:szCs w:val="24"/>
        </w:rPr>
        <w:t>BaTiS</w:t>
      </w:r>
      <w:proofErr w:type="spellEnd"/>
      <w:r w:rsidR="00EE4A15" w:rsidRPr="00EE4A15">
        <w:rPr>
          <w:sz w:val="24"/>
          <w:szCs w:val="24"/>
        </w:rPr>
        <w:t xml:space="preserve"> database, which might otherwise cause biased results</w:t>
      </w:r>
      <w:r w:rsidR="00236A55">
        <w:rPr>
          <w:sz w:val="24"/>
          <w:szCs w:val="24"/>
        </w:rPr>
        <w:t xml:space="preserve">. </w:t>
      </w:r>
    </w:p>
    <w:p w14:paraId="0000004B" w14:textId="77777777" w:rsidR="00E51BAE" w:rsidRDefault="00236A55">
      <w:pPr>
        <w:pStyle w:val="Heading3"/>
        <w:numPr>
          <w:ilvl w:val="0"/>
          <w:numId w:val="1"/>
        </w:numPr>
        <w:spacing w:after="200"/>
        <w:jc w:val="both"/>
      </w:pPr>
      <w:bookmarkStart w:id="18" w:name="_heading=h.ofx8f5e6bpu7" w:colFirst="0" w:colLast="0"/>
      <w:bookmarkEnd w:id="18"/>
      <w:r>
        <w:t>Results</w:t>
      </w:r>
    </w:p>
    <w:p w14:paraId="15DECF03" w14:textId="426CD76D" w:rsidR="00CA6D48" w:rsidRDefault="00236A55">
      <w:pPr>
        <w:spacing w:after="200"/>
        <w:jc w:val="both"/>
        <w:rPr>
          <w:sz w:val="24"/>
          <w:szCs w:val="24"/>
        </w:rPr>
      </w:pPr>
      <w:r>
        <w:rPr>
          <w:sz w:val="24"/>
          <w:szCs w:val="24"/>
        </w:rPr>
        <w:t>The results of the first set of regressions following equation (1) are reported in Table 2</w:t>
      </w:r>
      <w:r w:rsidR="00B83619">
        <w:rPr>
          <w:sz w:val="24"/>
          <w:szCs w:val="24"/>
        </w:rPr>
        <w:t xml:space="preserve">. The </w:t>
      </w:r>
      <w:r w:rsidR="00F82DE2">
        <w:rPr>
          <w:sz w:val="24"/>
          <w:szCs w:val="24"/>
        </w:rPr>
        <w:t>Table</w:t>
      </w:r>
      <w:r w:rsidR="00B83619">
        <w:rPr>
          <w:sz w:val="24"/>
          <w:szCs w:val="24"/>
        </w:rPr>
        <w:t xml:space="preserve"> show</w:t>
      </w:r>
      <w:r w:rsidR="00F82DE2">
        <w:rPr>
          <w:sz w:val="24"/>
          <w:szCs w:val="24"/>
        </w:rPr>
        <w:t>s</w:t>
      </w:r>
      <w:r w:rsidR="00B83619">
        <w:rPr>
          <w:sz w:val="24"/>
          <w:szCs w:val="24"/>
        </w:rPr>
        <w:t xml:space="preserve"> </w:t>
      </w:r>
      <w:r>
        <w:rPr>
          <w:sz w:val="24"/>
          <w:szCs w:val="24"/>
        </w:rPr>
        <w:t>the coefficient outcomes for countries sharing the same data model</w:t>
      </w:r>
      <w:r w:rsidR="00CA6D48">
        <w:rPr>
          <w:sz w:val="24"/>
          <w:szCs w:val="24"/>
        </w:rPr>
        <w:t xml:space="preserve"> (regardless of which one they follow)</w:t>
      </w:r>
      <w:r>
        <w:rPr>
          <w:sz w:val="24"/>
          <w:szCs w:val="24"/>
        </w:rPr>
        <w:t xml:space="preserve"> and a comprehensive data protection regime. We do not find any significant effect from sharing the same data model, </w:t>
      </w:r>
      <w:r w:rsidR="00CA6D48">
        <w:rPr>
          <w:sz w:val="24"/>
          <w:szCs w:val="24"/>
        </w:rPr>
        <w:t xml:space="preserve">which </w:t>
      </w:r>
      <w:r w:rsidR="00670DE9">
        <w:rPr>
          <w:sz w:val="24"/>
          <w:szCs w:val="24"/>
        </w:rPr>
        <w:t>aligns</w:t>
      </w:r>
      <w:r>
        <w:rPr>
          <w:sz w:val="24"/>
          <w:szCs w:val="24"/>
        </w:rPr>
        <w:t xml:space="preserve"> with previous research. This is because the effect varies by data model, as </w:t>
      </w:r>
      <w:r w:rsidR="00670DE9">
        <w:rPr>
          <w:sz w:val="24"/>
          <w:szCs w:val="24"/>
        </w:rPr>
        <w:t>shown</w:t>
      </w:r>
      <w:r w:rsidR="00F82DE2">
        <w:rPr>
          <w:sz w:val="24"/>
          <w:szCs w:val="24"/>
        </w:rPr>
        <w:t xml:space="preserve"> </w:t>
      </w:r>
      <w:r w:rsidR="001C6A75">
        <w:rPr>
          <w:sz w:val="24"/>
          <w:szCs w:val="24"/>
        </w:rPr>
        <w:t>below</w:t>
      </w:r>
      <w:r>
        <w:rPr>
          <w:sz w:val="24"/>
          <w:szCs w:val="24"/>
        </w:rPr>
        <w:t>.</w:t>
      </w:r>
      <w:r w:rsidR="00CA6D48">
        <w:rPr>
          <w:sz w:val="24"/>
          <w:szCs w:val="24"/>
        </w:rPr>
        <w:t xml:space="preserve"> </w:t>
      </w:r>
      <w:r w:rsidR="00895ABB" w:rsidRPr="00895ABB">
        <w:rPr>
          <w:sz w:val="24"/>
          <w:szCs w:val="24"/>
        </w:rPr>
        <w:t>However, we find significant negative results from sharing the same data protection regime across all definitions of digital services, with the effect being strongest for the narrower definition (</w:t>
      </w:r>
      <w:r w:rsidR="00CA6D48">
        <w:rPr>
          <w:sz w:val="24"/>
          <w:szCs w:val="24"/>
        </w:rPr>
        <w:t>C</w:t>
      </w:r>
      <w:r w:rsidR="00895ABB" w:rsidRPr="00895ABB">
        <w:rPr>
          <w:sz w:val="24"/>
          <w:szCs w:val="24"/>
        </w:rPr>
        <w:t xml:space="preserve">olumn 1). </w:t>
      </w:r>
    </w:p>
    <w:p w14:paraId="49E146ED" w14:textId="3A7DBD8E" w:rsidR="00895ABB" w:rsidRDefault="00895ABB">
      <w:pPr>
        <w:spacing w:after="200"/>
        <w:jc w:val="both"/>
        <w:rPr>
          <w:sz w:val="24"/>
          <w:szCs w:val="24"/>
        </w:rPr>
      </w:pPr>
      <w:r w:rsidRPr="00895ABB">
        <w:rPr>
          <w:sz w:val="24"/>
          <w:szCs w:val="24"/>
        </w:rPr>
        <w:t xml:space="preserve">This means that, on average, the presence of a comprehensive data protection law between partner countries is negatively associated with intra-African trade in digital services. This finding aligns with previous studies highlighting the costs of the GDPR, which, as shown above, has heavily influenced the data protection laws in the </w:t>
      </w:r>
      <w:r w:rsidR="00AE17A0">
        <w:rPr>
          <w:sz w:val="24"/>
          <w:szCs w:val="24"/>
        </w:rPr>
        <w:t xml:space="preserve">African </w:t>
      </w:r>
      <w:r w:rsidRPr="00895ABB">
        <w:rPr>
          <w:sz w:val="24"/>
          <w:szCs w:val="24"/>
        </w:rPr>
        <w:t>region.</w:t>
      </w:r>
      <w:r w:rsidR="00BF2B17">
        <w:rPr>
          <w:rStyle w:val="FootnoteReference"/>
          <w:sz w:val="24"/>
          <w:szCs w:val="24"/>
        </w:rPr>
        <w:footnoteReference w:id="51"/>
      </w:r>
      <w:r w:rsidRPr="00895ABB">
        <w:rPr>
          <w:sz w:val="24"/>
          <w:szCs w:val="24"/>
        </w:rPr>
        <w:t xml:space="preserve"> This result is </w:t>
      </w:r>
      <w:r w:rsidR="00AE17A0">
        <w:rPr>
          <w:sz w:val="24"/>
          <w:szCs w:val="24"/>
        </w:rPr>
        <w:t xml:space="preserve">also </w:t>
      </w:r>
      <w:r w:rsidRPr="00895ABB">
        <w:rPr>
          <w:sz w:val="24"/>
          <w:szCs w:val="24"/>
        </w:rPr>
        <w:t xml:space="preserve">consistent with works such as </w:t>
      </w:r>
      <w:r w:rsidRPr="00743B52">
        <w:rPr>
          <w:sz w:val="24"/>
          <w:szCs w:val="24"/>
        </w:rPr>
        <w:t>Mannion (2020)</w:t>
      </w:r>
      <w:r w:rsidR="00743B52">
        <w:rPr>
          <w:rStyle w:val="FootnoteReference"/>
          <w:sz w:val="24"/>
          <w:szCs w:val="24"/>
        </w:rPr>
        <w:footnoteReference w:id="52"/>
      </w:r>
      <w:r w:rsidRPr="00743B52">
        <w:rPr>
          <w:sz w:val="24"/>
          <w:szCs w:val="24"/>
        </w:rPr>
        <w:t xml:space="preserve"> </w:t>
      </w:r>
      <w:r w:rsidRPr="00FA1FFE">
        <w:rPr>
          <w:sz w:val="24"/>
          <w:szCs w:val="24"/>
        </w:rPr>
        <w:t xml:space="preserve">and Bryant </w:t>
      </w:r>
      <w:r w:rsidRPr="00FA1FFE">
        <w:rPr>
          <w:sz w:val="24"/>
          <w:szCs w:val="24"/>
        </w:rPr>
        <w:lastRenderedPageBreak/>
        <w:t>(2021</w:t>
      </w:r>
      <w:r w:rsidRPr="00895ABB">
        <w:rPr>
          <w:sz w:val="24"/>
          <w:szCs w:val="24"/>
        </w:rPr>
        <w:t>),</w:t>
      </w:r>
      <w:r w:rsidR="0049085D">
        <w:rPr>
          <w:rStyle w:val="FootnoteReference"/>
          <w:sz w:val="24"/>
          <w:szCs w:val="24"/>
        </w:rPr>
        <w:footnoteReference w:id="53"/>
      </w:r>
      <w:r w:rsidRPr="00895ABB">
        <w:rPr>
          <w:sz w:val="24"/>
          <w:szCs w:val="24"/>
        </w:rPr>
        <w:t xml:space="preserve"> which discuss the potential negative impact of importing the EU’s conditional model of regulating data protection in Africa. </w:t>
      </w:r>
      <w:r w:rsidR="00CA6D48">
        <w:rPr>
          <w:sz w:val="24"/>
          <w:szCs w:val="24"/>
        </w:rPr>
        <w:t>Yet</w:t>
      </w:r>
      <w:r w:rsidRPr="00895ABB">
        <w:rPr>
          <w:sz w:val="24"/>
          <w:szCs w:val="24"/>
        </w:rPr>
        <w:t xml:space="preserve">, </w:t>
      </w:r>
      <w:r w:rsidR="00CA6D48">
        <w:rPr>
          <w:sz w:val="24"/>
          <w:szCs w:val="24"/>
        </w:rPr>
        <w:t xml:space="preserve">these findings differ from </w:t>
      </w:r>
      <w:r w:rsidRPr="00895ABB">
        <w:rPr>
          <w:sz w:val="24"/>
          <w:szCs w:val="24"/>
        </w:rPr>
        <w:t>s</w:t>
      </w:r>
      <w:r w:rsidR="00CA6D48">
        <w:rPr>
          <w:sz w:val="24"/>
          <w:szCs w:val="24"/>
        </w:rPr>
        <w:t>ome</w:t>
      </w:r>
      <w:r w:rsidRPr="00895ABB">
        <w:rPr>
          <w:sz w:val="24"/>
          <w:szCs w:val="24"/>
        </w:rPr>
        <w:t xml:space="preserve"> studies </w:t>
      </w:r>
      <w:r w:rsidR="00CA6D48">
        <w:rPr>
          <w:sz w:val="24"/>
          <w:szCs w:val="24"/>
        </w:rPr>
        <w:t xml:space="preserve">that </w:t>
      </w:r>
      <w:r w:rsidRPr="00895ABB">
        <w:rPr>
          <w:sz w:val="24"/>
          <w:szCs w:val="24"/>
        </w:rPr>
        <w:t>have emphasi</w:t>
      </w:r>
      <w:r w:rsidR="00CA0B57">
        <w:rPr>
          <w:sz w:val="24"/>
          <w:szCs w:val="24"/>
        </w:rPr>
        <w:t>s</w:t>
      </w:r>
      <w:r w:rsidRPr="00895ABB">
        <w:rPr>
          <w:sz w:val="24"/>
          <w:szCs w:val="24"/>
        </w:rPr>
        <w:t>ed the importance of data protection in increasing consumer trust</w:t>
      </w:r>
      <w:r w:rsidR="00CA6D48">
        <w:rPr>
          <w:sz w:val="24"/>
          <w:szCs w:val="24"/>
        </w:rPr>
        <w:t>,</w:t>
      </w:r>
      <w:r w:rsidR="003D155C">
        <w:rPr>
          <w:rStyle w:val="FootnoteReference"/>
          <w:sz w:val="24"/>
          <w:szCs w:val="24"/>
        </w:rPr>
        <w:footnoteReference w:id="54"/>
      </w:r>
      <w:r w:rsidRPr="00895ABB">
        <w:rPr>
          <w:sz w:val="24"/>
          <w:szCs w:val="24"/>
        </w:rPr>
        <w:t xml:space="preserve"> </w:t>
      </w:r>
      <w:r w:rsidR="00CA6D48">
        <w:rPr>
          <w:sz w:val="24"/>
          <w:szCs w:val="24"/>
        </w:rPr>
        <w:t>although the evidence is not consistent.</w:t>
      </w:r>
      <w:r w:rsidR="00EB0DDE">
        <w:rPr>
          <w:rStyle w:val="FootnoteReference"/>
          <w:sz w:val="24"/>
          <w:szCs w:val="24"/>
        </w:rPr>
        <w:footnoteReference w:id="55"/>
      </w:r>
      <w:r w:rsidR="00CA6D48">
        <w:rPr>
          <w:sz w:val="24"/>
          <w:szCs w:val="24"/>
        </w:rPr>
        <w:t xml:space="preserve"> Moreover, this finding differs from a previous study covering a larger group of countries, where the authors</w:t>
      </w:r>
      <w:r w:rsidRPr="00895ABB">
        <w:rPr>
          <w:sz w:val="24"/>
          <w:szCs w:val="24"/>
        </w:rPr>
        <w:t xml:space="preserve"> found that a domestic regime for data protection </w:t>
      </w:r>
      <w:r w:rsidR="00CA6D48">
        <w:rPr>
          <w:sz w:val="24"/>
          <w:szCs w:val="24"/>
        </w:rPr>
        <w:t xml:space="preserve">would be expected to </w:t>
      </w:r>
      <w:r w:rsidRPr="00895ABB">
        <w:rPr>
          <w:sz w:val="24"/>
          <w:szCs w:val="24"/>
        </w:rPr>
        <w:t>support digital trade</w:t>
      </w:r>
      <w:r w:rsidR="00CA6D48">
        <w:rPr>
          <w:sz w:val="24"/>
          <w:szCs w:val="24"/>
        </w:rPr>
        <w:t>.</w:t>
      </w:r>
      <w:r w:rsidR="000A2B61">
        <w:rPr>
          <w:rStyle w:val="FootnoteReference"/>
          <w:sz w:val="24"/>
          <w:szCs w:val="24"/>
        </w:rPr>
        <w:footnoteReference w:id="56"/>
      </w:r>
    </w:p>
    <w:p w14:paraId="0882B910" w14:textId="5821D07B" w:rsidR="00B67A12" w:rsidRDefault="00B67A12">
      <w:pPr>
        <w:spacing w:after="200"/>
        <w:jc w:val="both"/>
        <w:rPr>
          <w:sz w:val="24"/>
          <w:szCs w:val="24"/>
        </w:rPr>
      </w:pPr>
      <w:r w:rsidRPr="00B67A12">
        <w:rPr>
          <w:sz w:val="24"/>
          <w:szCs w:val="24"/>
        </w:rPr>
        <w:t>To further investigate the negative relationship between data protection and trade in digital services, we extend the baseline regression to assess whether the effect of data protection regimes varies by income level. Since some African countries are more developed than others, we examine whether the compliance costs associated with implementing a comprehensive data protection regime disproportionately affect</w:t>
      </w:r>
      <w:r>
        <w:rPr>
          <w:sz w:val="24"/>
          <w:szCs w:val="24"/>
        </w:rPr>
        <w:t xml:space="preserve"> trade in</w:t>
      </w:r>
      <w:r w:rsidRPr="00B67A12">
        <w:rPr>
          <w:sz w:val="24"/>
          <w:szCs w:val="24"/>
        </w:rPr>
        <w:t xml:space="preserve"> less developed countries. In fact, developed countries, which often have more productive firms, typically find it easier to recoup the compliance costs associated with new regulations, such as a data protection regime. This could explain the positive effects of such regulations on consumer trust found in the literature.</w:t>
      </w:r>
    </w:p>
    <w:p w14:paraId="0000004F" w14:textId="5455ABE9" w:rsidR="00E51BAE" w:rsidRDefault="00B132E1">
      <w:pPr>
        <w:spacing w:after="200"/>
        <w:jc w:val="both"/>
        <w:rPr>
          <w:sz w:val="24"/>
          <w:szCs w:val="24"/>
        </w:rPr>
      </w:pPr>
      <w:r w:rsidRPr="00B132E1">
        <w:rPr>
          <w:sz w:val="24"/>
          <w:szCs w:val="24"/>
        </w:rPr>
        <w:t>To test this hypothesis, we categori</w:t>
      </w:r>
      <w:r w:rsidR="00CA6D48">
        <w:rPr>
          <w:sz w:val="24"/>
          <w:szCs w:val="24"/>
        </w:rPr>
        <w:t>s</w:t>
      </w:r>
      <w:r w:rsidRPr="00B132E1">
        <w:rPr>
          <w:sz w:val="24"/>
          <w:szCs w:val="24"/>
        </w:rPr>
        <w:t xml:space="preserve">e the 54 African countries by income </w:t>
      </w:r>
      <w:r>
        <w:rPr>
          <w:sz w:val="24"/>
          <w:szCs w:val="24"/>
        </w:rPr>
        <w:t>groups</w:t>
      </w:r>
      <w:r w:rsidRPr="00B132E1">
        <w:rPr>
          <w:sz w:val="24"/>
          <w:szCs w:val="24"/>
        </w:rPr>
        <w:t xml:space="preserve"> according to the World Bank classification: high-income, upper-middle-income, lower-middle-income, and low-income. We assign country pairs to each of these four income groups and create a dummy variable that takes the value of 1 if countries share the same income group. </w:t>
      </w:r>
      <w:r w:rsidR="00262016">
        <w:rPr>
          <w:sz w:val="24"/>
          <w:szCs w:val="24"/>
        </w:rPr>
        <w:t xml:space="preserve">We also do this for countries that do not fall in the same income group, </w:t>
      </w:r>
      <w:r w:rsidR="00CA6D48">
        <w:rPr>
          <w:sz w:val="24"/>
          <w:szCs w:val="24"/>
        </w:rPr>
        <w:t xml:space="preserve">which is </w:t>
      </w:r>
      <w:r w:rsidR="00262016">
        <w:rPr>
          <w:sz w:val="24"/>
          <w:szCs w:val="24"/>
        </w:rPr>
        <w:t xml:space="preserve">called OT. </w:t>
      </w:r>
      <w:r w:rsidRPr="00B132E1">
        <w:rPr>
          <w:sz w:val="24"/>
          <w:szCs w:val="24"/>
        </w:rPr>
        <w:t>Th</w:t>
      </w:r>
      <w:r w:rsidR="00262016">
        <w:rPr>
          <w:sz w:val="24"/>
          <w:szCs w:val="24"/>
        </w:rPr>
        <w:t>ese</w:t>
      </w:r>
      <w:r w:rsidRPr="00B132E1">
        <w:rPr>
          <w:sz w:val="24"/>
          <w:szCs w:val="24"/>
        </w:rPr>
        <w:t xml:space="preserve"> dummy</w:t>
      </w:r>
      <w:r w:rsidR="00262016">
        <w:rPr>
          <w:sz w:val="24"/>
          <w:szCs w:val="24"/>
        </w:rPr>
        <w:t xml:space="preserve"> indicators</w:t>
      </w:r>
      <w:r w:rsidRPr="00B132E1">
        <w:rPr>
          <w:sz w:val="24"/>
          <w:szCs w:val="24"/>
        </w:rPr>
        <w:t xml:space="preserve"> </w:t>
      </w:r>
      <w:r w:rsidR="00262016">
        <w:rPr>
          <w:sz w:val="24"/>
          <w:szCs w:val="24"/>
        </w:rPr>
        <w:t>are</w:t>
      </w:r>
      <w:r w:rsidRPr="00B132E1">
        <w:rPr>
          <w:sz w:val="24"/>
          <w:szCs w:val="24"/>
        </w:rPr>
        <w:t xml:space="preserve"> then interacted with </w:t>
      </w:r>
      <w:r w:rsidR="00C305C6">
        <w:rPr>
          <w:sz w:val="24"/>
          <w:szCs w:val="24"/>
        </w:rPr>
        <w:t>our</w:t>
      </w:r>
      <w:r w:rsidRPr="00B132E1">
        <w:rPr>
          <w:sz w:val="24"/>
          <w:szCs w:val="24"/>
        </w:rPr>
        <w:t xml:space="preserve"> dummy for sharing a data protection regime. These interaction </w:t>
      </w:r>
      <w:r w:rsidR="00262016">
        <w:rPr>
          <w:sz w:val="24"/>
          <w:szCs w:val="24"/>
        </w:rPr>
        <w:t>terms</w:t>
      </w:r>
      <w:r w:rsidRPr="00B132E1">
        <w:rPr>
          <w:sz w:val="24"/>
          <w:szCs w:val="24"/>
        </w:rPr>
        <w:t xml:space="preserve"> measure </w:t>
      </w:r>
      <w:r w:rsidR="00CA6D48">
        <w:rPr>
          <w:sz w:val="24"/>
          <w:szCs w:val="24"/>
        </w:rPr>
        <w:t>how</w:t>
      </w:r>
      <w:r w:rsidRPr="00B132E1">
        <w:rPr>
          <w:sz w:val="24"/>
          <w:szCs w:val="24"/>
        </w:rPr>
        <w:t xml:space="preserve"> the negative effect of sharing a comprehensive data protection regulation varies by income group. The </w:t>
      </w:r>
      <w:r w:rsidR="00C27C49">
        <w:rPr>
          <w:sz w:val="24"/>
          <w:szCs w:val="24"/>
        </w:rPr>
        <w:t>regression outcomes</w:t>
      </w:r>
      <w:r w:rsidRPr="00B132E1">
        <w:rPr>
          <w:sz w:val="24"/>
          <w:szCs w:val="24"/>
        </w:rPr>
        <w:t xml:space="preserve"> are reported in </w:t>
      </w:r>
      <w:r w:rsidR="00CA6D48">
        <w:rPr>
          <w:sz w:val="24"/>
          <w:szCs w:val="24"/>
        </w:rPr>
        <w:t>C</w:t>
      </w:r>
      <w:r w:rsidRPr="00B132E1">
        <w:rPr>
          <w:sz w:val="24"/>
          <w:szCs w:val="24"/>
        </w:rPr>
        <w:t>olumns 5-8 of Table 2. In the table, high-income countries are not included due to too few observations, and upper-middle-income countries are used as a benchmark</w:t>
      </w:r>
      <w:r w:rsidR="00236A55">
        <w:rPr>
          <w:sz w:val="24"/>
          <w:szCs w:val="24"/>
        </w:rPr>
        <w:t>.</w:t>
      </w:r>
      <w:r w:rsidR="00236A55">
        <w:rPr>
          <w:sz w:val="24"/>
          <w:szCs w:val="24"/>
          <w:vertAlign w:val="superscript"/>
        </w:rPr>
        <w:footnoteReference w:id="57"/>
      </w:r>
    </w:p>
    <w:p w14:paraId="00000050" w14:textId="77777777" w:rsidR="00E51BAE" w:rsidRDefault="00236A55">
      <w:pPr>
        <w:pStyle w:val="Heading4"/>
        <w:spacing w:after="200"/>
        <w:jc w:val="center"/>
      </w:pPr>
      <w:bookmarkStart w:id="19" w:name="_heading=h.8de4vyxvqwgk" w:colFirst="0" w:colLast="0"/>
      <w:bookmarkEnd w:id="19"/>
      <w:r>
        <w:t>Table 2: Regression results following equation (1)</w:t>
      </w:r>
    </w:p>
    <w:tbl>
      <w:tblPr>
        <w:tblW w:w="5000" w:type="pct"/>
        <w:tblCellMar>
          <w:left w:w="70" w:type="dxa"/>
          <w:right w:w="70" w:type="dxa"/>
        </w:tblCellMar>
        <w:tblLook w:val="04A0" w:firstRow="1" w:lastRow="0" w:firstColumn="1" w:lastColumn="0" w:noHBand="0" w:noVBand="1"/>
      </w:tblPr>
      <w:tblGrid>
        <w:gridCol w:w="2652"/>
        <w:gridCol w:w="859"/>
        <w:gridCol w:w="851"/>
        <w:gridCol w:w="853"/>
        <w:gridCol w:w="853"/>
        <w:gridCol w:w="859"/>
        <w:gridCol w:w="859"/>
        <w:gridCol w:w="859"/>
        <w:gridCol w:w="855"/>
      </w:tblGrid>
      <w:tr w:rsidR="008E2E6E" w:rsidRPr="008E2E6E" w14:paraId="3C1D13DA" w14:textId="77777777" w:rsidTr="008E2E6E">
        <w:trPr>
          <w:trHeight w:val="288"/>
        </w:trPr>
        <w:tc>
          <w:tcPr>
            <w:tcW w:w="1396" w:type="pct"/>
            <w:tcBorders>
              <w:top w:val="single" w:sz="4" w:space="0" w:color="auto"/>
              <w:left w:val="nil"/>
              <w:bottom w:val="nil"/>
              <w:right w:val="nil"/>
            </w:tcBorders>
            <w:shd w:val="clear" w:color="auto" w:fill="auto"/>
            <w:noWrap/>
            <w:vAlign w:val="bottom"/>
            <w:hideMark/>
          </w:tcPr>
          <w:p w14:paraId="624882C6" w14:textId="77777777" w:rsidR="008E2E6E" w:rsidRPr="008E2E6E" w:rsidRDefault="008E2E6E" w:rsidP="008E2E6E">
            <w:pPr>
              <w:spacing w:line="240" w:lineRule="auto"/>
              <w:rPr>
                <w:rFonts w:ascii="Aptos Narrow" w:eastAsia="Times New Roman" w:hAnsi="Aptos Narrow" w:cs="Times New Roman"/>
                <w:color w:val="000000"/>
                <w:sz w:val="18"/>
                <w:szCs w:val="18"/>
                <w:lang w:val="de-DE" w:eastAsia="de-DE"/>
              </w:rPr>
            </w:pPr>
            <w:r w:rsidRPr="008E2E6E">
              <w:rPr>
                <w:rFonts w:ascii="Aptos Narrow" w:eastAsia="Times New Roman" w:hAnsi="Aptos Narrow" w:cs="Times New Roman"/>
                <w:color w:val="000000"/>
                <w:sz w:val="18"/>
                <w:szCs w:val="18"/>
                <w:lang w:val="de-DE" w:eastAsia="de-DE"/>
              </w:rPr>
              <w:t> </w:t>
            </w:r>
          </w:p>
        </w:tc>
        <w:tc>
          <w:tcPr>
            <w:tcW w:w="452" w:type="pct"/>
            <w:tcBorders>
              <w:top w:val="single" w:sz="4" w:space="0" w:color="auto"/>
              <w:left w:val="nil"/>
              <w:bottom w:val="nil"/>
              <w:right w:val="nil"/>
            </w:tcBorders>
            <w:shd w:val="clear" w:color="auto" w:fill="auto"/>
            <w:noWrap/>
            <w:vAlign w:val="bottom"/>
            <w:hideMark/>
          </w:tcPr>
          <w:p w14:paraId="12CDD739" w14:textId="77777777" w:rsidR="008E2E6E" w:rsidRPr="008E2E6E" w:rsidRDefault="008E2E6E" w:rsidP="008E2E6E">
            <w:pPr>
              <w:spacing w:line="240" w:lineRule="auto"/>
              <w:jc w:val="center"/>
              <w:rPr>
                <w:rFonts w:ascii="Aptos Narrow" w:eastAsia="Times New Roman" w:hAnsi="Aptos Narrow" w:cs="Times New Roman"/>
                <w:color w:val="000000"/>
                <w:sz w:val="18"/>
                <w:szCs w:val="18"/>
                <w:lang w:val="de-DE" w:eastAsia="de-DE"/>
              </w:rPr>
            </w:pPr>
            <w:r w:rsidRPr="008E2E6E">
              <w:rPr>
                <w:rFonts w:ascii="Aptos Narrow" w:eastAsia="Times New Roman" w:hAnsi="Aptos Narrow" w:cs="Times New Roman"/>
                <w:color w:val="000000"/>
                <w:sz w:val="18"/>
                <w:szCs w:val="18"/>
                <w:lang w:val="de-DE" w:eastAsia="de-DE"/>
              </w:rPr>
              <w:t>(1)</w:t>
            </w:r>
          </w:p>
        </w:tc>
        <w:tc>
          <w:tcPr>
            <w:tcW w:w="448" w:type="pct"/>
            <w:tcBorders>
              <w:top w:val="single" w:sz="4" w:space="0" w:color="auto"/>
              <w:left w:val="nil"/>
              <w:bottom w:val="nil"/>
              <w:right w:val="nil"/>
            </w:tcBorders>
            <w:shd w:val="clear" w:color="auto" w:fill="auto"/>
            <w:noWrap/>
            <w:vAlign w:val="bottom"/>
            <w:hideMark/>
          </w:tcPr>
          <w:p w14:paraId="7DC671C1" w14:textId="77777777" w:rsidR="008E2E6E" w:rsidRPr="008E2E6E" w:rsidRDefault="008E2E6E" w:rsidP="008E2E6E">
            <w:pPr>
              <w:spacing w:line="240" w:lineRule="auto"/>
              <w:jc w:val="center"/>
              <w:rPr>
                <w:rFonts w:ascii="Aptos Narrow" w:eastAsia="Times New Roman" w:hAnsi="Aptos Narrow" w:cs="Times New Roman"/>
                <w:color w:val="000000"/>
                <w:sz w:val="18"/>
                <w:szCs w:val="18"/>
                <w:lang w:val="de-DE" w:eastAsia="de-DE"/>
              </w:rPr>
            </w:pPr>
            <w:r w:rsidRPr="008E2E6E">
              <w:rPr>
                <w:rFonts w:ascii="Aptos Narrow" w:eastAsia="Times New Roman" w:hAnsi="Aptos Narrow" w:cs="Times New Roman"/>
                <w:color w:val="000000"/>
                <w:sz w:val="18"/>
                <w:szCs w:val="18"/>
                <w:lang w:val="de-DE" w:eastAsia="de-DE"/>
              </w:rPr>
              <w:t>(2)</w:t>
            </w:r>
          </w:p>
        </w:tc>
        <w:tc>
          <w:tcPr>
            <w:tcW w:w="449" w:type="pct"/>
            <w:tcBorders>
              <w:top w:val="single" w:sz="4" w:space="0" w:color="auto"/>
              <w:left w:val="nil"/>
              <w:bottom w:val="nil"/>
              <w:right w:val="nil"/>
            </w:tcBorders>
            <w:shd w:val="clear" w:color="auto" w:fill="auto"/>
            <w:noWrap/>
            <w:vAlign w:val="bottom"/>
            <w:hideMark/>
          </w:tcPr>
          <w:p w14:paraId="41070754" w14:textId="77777777" w:rsidR="008E2E6E" w:rsidRPr="008E2E6E" w:rsidRDefault="008E2E6E" w:rsidP="008E2E6E">
            <w:pPr>
              <w:spacing w:line="240" w:lineRule="auto"/>
              <w:jc w:val="center"/>
              <w:rPr>
                <w:rFonts w:ascii="Aptos Narrow" w:eastAsia="Times New Roman" w:hAnsi="Aptos Narrow" w:cs="Times New Roman"/>
                <w:color w:val="000000"/>
                <w:sz w:val="18"/>
                <w:szCs w:val="18"/>
                <w:lang w:val="de-DE" w:eastAsia="de-DE"/>
              </w:rPr>
            </w:pPr>
            <w:r w:rsidRPr="008E2E6E">
              <w:rPr>
                <w:rFonts w:ascii="Aptos Narrow" w:eastAsia="Times New Roman" w:hAnsi="Aptos Narrow" w:cs="Times New Roman"/>
                <w:color w:val="000000"/>
                <w:sz w:val="18"/>
                <w:szCs w:val="18"/>
                <w:lang w:val="de-DE" w:eastAsia="de-DE"/>
              </w:rPr>
              <w:t>(3)</w:t>
            </w:r>
          </w:p>
        </w:tc>
        <w:tc>
          <w:tcPr>
            <w:tcW w:w="449" w:type="pct"/>
            <w:tcBorders>
              <w:top w:val="single" w:sz="4" w:space="0" w:color="auto"/>
              <w:left w:val="nil"/>
              <w:bottom w:val="nil"/>
              <w:right w:val="nil"/>
            </w:tcBorders>
            <w:shd w:val="clear" w:color="auto" w:fill="auto"/>
            <w:noWrap/>
            <w:vAlign w:val="bottom"/>
            <w:hideMark/>
          </w:tcPr>
          <w:p w14:paraId="45B0F210" w14:textId="77777777" w:rsidR="008E2E6E" w:rsidRPr="008E2E6E" w:rsidRDefault="008E2E6E" w:rsidP="008E2E6E">
            <w:pPr>
              <w:spacing w:line="240" w:lineRule="auto"/>
              <w:jc w:val="center"/>
              <w:rPr>
                <w:rFonts w:ascii="Aptos Narrow" w:eastAsia="Times New Roman" w:hAnsi="Aptos Narrow" w:cs="Times New Roman"/>
                <w:color w:val="000000"/>
                <w:sz w:val="18"/>
                <w:szCs w:val="18"/>
                <w:lang w:val="de-DE" w:eastAsia="de-DE"/>
              </w:rPr>
            </w:pPr>
            <w:r w:rsidRPr="008E2E6E">
              <w:rPr>
                <w:rFonts w:ascii="Aptos Narrow" w:eastAsia="Times New Roman" w:hAnsi="Aptos Narrow" w:cs="Times New Roman"/>
                <w:color w:val="000000"/>
                <w:sz w:val="18"/>
                <w:szCs w:val="18"/>
                <w:lang w:val="de-DE" w:eastAsia="de-DE"/>
              </w:rPr>
              <w:t>(4)</w:t>
            </w:r>
          </w:p>
        </w:tc>
        <w:tc>
          <w:tcPr>
            <w:tcW w:w="452" w:type="pct"/>
            <w:tcBorders>
              <w:top w:val="single" w:sz="4" w:space="0" w:color="auto"/>
              <w:left w:val="nil"/>
              <w:bottom w:val="nil"/>
              <w:right w:val="nil"/>
            </w:tcBorders>
            <w:shd w:val="clear" w:color="auto" w:fill="auto"/>
            <w:noWrap/>
            <w:vAlign w:val="bottom"/>
            <w:hideMark/>
          </w:tcPr>
          <w:p w14:paraId="304333C5" w14:textId="77777777" w:rsidR="008E2E6E" w:rsidRPr="008E2E6E" w:rsidRDefault="008E2E6E" w:rsidP="008E2E6E">
            <w:pPr>
              <w:spacing w:line="240" w:lineRule="auto"/>
              <w:jc w:val="center"/>
              <w:rPr>
                <w:rFonts w:ascii="Aptos Narrow" w:eastAsia="Times New Roman" w:hAnsi="Aptos Narrow" w:cs="Times New Roman"/>
                <w:color w:val="000000"/>
                <w:sz w:val="18"/>
                <w:szCs w:val="18"/>
                <w:lang w:val="de-DE" w:eastAsia="de-DE"/>
              </w:rPr>
            </w:pPr>
            <w:r w:rsidRPr="008E2E6E">
              <w:rPr>
                <w:rFonts w:ascii="Aptos Narrow" w:eastAsia="Times New Roman" w:hAnsi="Aptos Narrow" w:cs="Times New Roman"/>
                <w:color w:val="000000"/>
                <w:sz w:val="18"/>
                <w:szCs w:val="18"/>
                <w:lang w:val="de-DE" w:eastAsia="de-DE"/>
              </w:rPr>
              <w:t>(5)</w:t>
            </w:r>
          </w:p>
        </w:tc>
        <w:tc>
          <w:tcPr>
            <w:tcW w:w="452" w:type="pct"/>
            <w:tcBorders>
              <w:top w:val="single" w:sz="4" w:space="0" w:color="auto"/>
              <w:left w:val="nil"/>
              <w:bottom w:val="nil"/>
              <w:right w:val="nil"/>
            </w:tcBorders>
            <w:shd w:val="clear" w:color="auto" w:fill="auto"/>
            <w:noWrap/>
            <w:vAlign w:val="bottom"/>
            <w:hideMark/>
          </w:tcPr>
          <w:p w14:paraId="1D25CBE2" w14:textId="77777777" w:rsidR="008E2E6E" w:rsidRPr="008E2E6E" w:rsidRDefault="008E2E6E" w:rsidP="008E2E6E">
            <w:pPr>
              <w:spacing w:line="240" w:lineRule="auto"/>
              <w:jc w:val="center"/>
              <w:rPr>
                <w:rFonts w:ascii="Aptos Narrow" w:eastAsia="Times New Roman" w:hAnsi="Aptos Narrow" w:cs="Times New Roman"/>
                <w:color w:val="000000"/>
                <w:sz w:val="18"/>
                <w:szCs w:val="18"/>
                <w:lang w:val="de-DE" w:eastAsia="de-DE"/>
              </w:rPr>
            </w:pPr>
            <w:r w:rsidRPr="008E2E6E">
              <w:rPr>
                <w:rFonts w:ascii="Aptos Narrow" w:eastAsia="Times New Roman" w:hAnsi="Aptos Narrow" w:cs="Times New Roman"/>
                <w:color w:val="000000"/>
                <w:sz w:val="18"/>
                <w:szCs w:val="18"/>
                <w:lang w:val="de-DE" w:eastAsia="de-DE"/>
              </w:rPr>
              <w:t>(6)</w:t>
            </w:r>
          </w:p>
        </w:tc>
        <w:tc>
          <w:tcPr>
            <w:tcW w:w="452" w:type="pct"/>
            <w:tcBorders>
              <w:top w:val="single" w:sz="4" w:space="0" w:color="auto"/>
              <w:left w:val="nil"/>
              <w:bottom w:val="nil"/>
              <w:right w:val="nil"/>
            </w:tcBorders>
            <w:shd w:val="clear" w:color="auto" w:fill="auto"/>
            <w:noWrap/>
            <w:vAlign w:val="bottom"/>
            <w:hideMark/>
          </w:tcPr>
          <w:p w14:paraId="4E0B633C" w14:textId="77777777" w:rsidR="008E2E6E" w:rsidRPr="008E2E6E" w:rsidRDefault="008E2E6E" w:rsidP="008E2E6E">
            <w:pPr>
              <w:spacing w:line="240" w:lineRule="auto"/>
              <w:jc w:val="center"/>
              <w:rPr>
                <w:rFonts w:ascii="Aptos Narrow" w:eastAsia="Times New Roman" w:hAnsi="Aptos Narrow" w:cs="Times New Roman"/>
                <w:color w:val="000000"/>
                <w:sz w:val="18"/>
                <w:szCs w:val="18"/>
                <w:lang w:val="de-DE" w:eastAsia="de-DE"/>
              </w:rPr>
            </w:pPr>
            <w:r w:rsidRPr="008E2E6E">
              <w:rPr>
                <w:rFonts w:ascii="Aptos Narrow" w:eastAsia="Times New Roman" w:hAnsi="Aptos Narrow" w:cs="Times New Roman"/>
                <w:color w:val="000000"/>
                <w:sz w:val="18"/>
                <w:szCs w:val="18"/>
                <w:lang w:val="de-DE" w:eastAsia="de-DE"/>
              </w:rPr>
              <w:t>(7)</w:t>
            </w:r>
          </w:p>
        </w:tc>
        <w:tc>
          <w:tcPr>
            <w:tcW w:w="452" w:type="pct"/>
            <w:tcBorders>
              <w:top w:val="single" w:sz="4" w:space="0" w:color="auto"/>
              <w:left w:val="nil"/>
              <w:bottom w:val="nil"/>
              <w:right w:val="nil"/>
            </w:tcBorders>
            <w:shd w:val="clear" w:color="auto" w:fill="auto"/>
            <w:noWrap/>
            <w:vAlign w:val="bottom"/>
            <w:hideMark/>
          </w:tcPr>
          <w:p w14:paraId="25EACF3D" w14:textId="77777777" w:rsidR="008E2E6E" w:rsidRPr="008E2E6E" w:rsidRDefault="008E2E6E" w:rsidP="008E2E6E">
            <w:pPr>
              <w:spacing w:line="240" w:lineRule="auto"/>
              <w:jc w:val="center"/>
              <w:rPr>
                <w:rFonts w:ascii="Aptos Narrow" w:eastAsia="Times New Roman" w:hAnsi="Aptos Narrow" w:cs="Times New Roman"/>
                <w:color w:val="000000"/>
                <w:sz w:val="18"/>
                <w:szCs w:val="18"/>
                <w:lang w:val="de-DE" w:eastAsia="de-DE"/>
              </w:rPr>
            </w:pPr>
            <w:r w:rsidRPr="008E2E6E">
              <w:rPr>
                <w:rFonts w:ascii="Aptos Narrow" w:eastAsia="Times New Roman" w:hAnsi="Aptos Narrow" w:cs="Times New Roman"/>
                <w:color w:val="000000"/>
                <w:sz w:val="18"/>
                <w:szCs w:val="18"/>
                <w:lang w:val="de-DE" w:eastAsia="de-DE"/>
              </w:rPr>
              <w:t>(8)</w:t>
            </w:r>
          </w:p>
        </w:tc>
      </w:tr>
      <w:tr w:rsidR="008E2E6E" w:rsidRPr="008E2E6E" w14:paraId="39B51379" w14:textId="77777777" w:rsidTr="008E2E6E">
        <w:trPr>
          <w:trHeight w:val="288"/>
        </w:trPr>
        <w:tc>
          <w:tcPr>
            <w:tcW w:w="1396" w:type="pct"/>
            <w:tcBorders>
              <w:top w:val="nil"/>
              <w:left w:val="nil"/>
              <w:bottom w:val="nil"/>
              <w:right w:val="nil"/>
            </w:tcBorders>
            <w:shd w:val="clear" w:color="auto" w:fill="auto"/>
            <w:noWrap/>
            <w:vAlign w:val="bottom"/>
            <w:hideMark/>
          </w:tcPr>
          <w:p w14:paraId="428F70FB" w14:textId="77777777" w:rsidR="008E2E6E" w:rsidRPr="008E2E6E" w:rsidRDefault="008E2E6E" w:rsidP="008E2E6E">
            <w:pPr>
              <w:spacing w:line="240" w:lineRule="auto"/>
              <w:jc w:val="center"/>
              <w:rPr>
                <w:rFonts w:ascii="Aptos Narrow" w:eastAsia="Times New Roman" w:hAnsi="Aptos Narrow" w:cs="Times New Roman"/>
                <w:color w:val="000000"/>
                <w:sz w:val="18"/>
                <w:szCs w:val="18"/>
                <w:lang w:val="de-DE" w:eastAsia="de-DE"/>
              </w:rPr>
            </w:pPr>
          </w:p>
        </w:tc>
        <w:tc>
          <w:tcPr>
            <w:tcW w:w="452" w:type="pct"/>
            <w:tcBorders>
              <w:top w:val="nil"/>
              <w:left w:val="nil"/>
              <w:bottom w:val="nil"/>
              <w:right w:val="nil"/>
            </w:tcBorders>
            <w:shd w:val="clear" w:color="auto" w:fill="auto"/>
            <w:noWrap/>
            <w:vAlign w:val="bottom"/>
            <w:hideMark/>
          </w:tcPr>
          <w:p w14:paraId="13EE1E69" w14:textId="77777777" w:rsidR="008E2E6E" w:rsidRPr="008E2E6E" w:rsidRDefault="008E2E6E" w:rsidP="008E2E6E">
            <w:pPr>
              <w:spacing w:line="240" w:lineRule="auto"/>
              <w:jc w:val="center"/>
              <w:rPr>
                <w:rFonts w:ascii="Aptos Narrow" w:eastAsia="Times New Roman" w:hAnsi="Aptos Narrow" w:cs="Times New Roman"/>
                <w:color w:val="000000"/>
                <w:sz w:val="18"/>
                <w:szCs w:val="18"/>
                <w:lang w:val="de-DE" w:eastAsia="de-DE"/>
              </w:rPr>
            </w:pPr>
            <w:r w:rsidRPr="008E2E6E">
              <w:rPr>
                <w:rFonts w:ascii="Aptos Narrow" w:eastAsia="Times New Roman" w:hAnsi="Aptos Narrow" w:cs="Times New Roman"/>
                <w:color w:val="000000"/>
                <w:sz w:val="18"/>
                <w:szCs w:val="18"/>
                <w:lang w:val="de-DE" w:eastAsia="de-DE"/>
              </w:rPr>
              <w:t>EXP</w:t>
            </w:r>
          </w:p>
        </w:tc>
        <w:tc>
          <w:tcPr>
            <w:tcW w:w="448" w:type="pct"/>
            <w:tcBorders>
              <w:top w:val="nil"/>
              <w:left w:val="nil"/>
              <w:bottom w:val="nil"/>
              <w:right w:val="nil"/>
            </w:tcBorders>
            <w:shd w:val="clear" w:color="auto" w:fill="auto"/>
            <w:noWrap/>
            <w:vAlign w:val="bottom"/>
            <w:hideMark/>
          </w:tcPr>
          <w:p w14:paraId="311151BA" w14:textId="77777777" w:rsidR="008E2E6E" w:rsidRPr="008E2E6E" w:rsidRDefault="008E2E6E" w:rsidP="008E2E6E">
            <w:pPr>
              <w:spacing w:line="240" w:lineRule="auto"/>
              <w:jc w:val="center"/>
              <w:rPr>
                <w:rFonts w:ascii="Aptos Narrow" w:eastAsia="Times New Roman" w:hAnsi="Aptos Narrow" w:cs="Times New Roman"/>
                <w:color w:val="000000"/>
                <w:sz w:val="18"/>
                <w:szCs w:val="18"/>
                <w:lang w:val="de-DE" w:eastAsia="de-DE"/>
              </w:rPr>
            </w:pPr>
            <w:r w:rsidRPr="008E2E6E">
              <w:rPr>
                <w:rFonts w:ascii="Aptos Narrow" w:eastAsia="Times New Roman" w:hAnsi="Aptos Narrow" w:cs="Times New Roman"/>
                <w:color w:val="000000"/>
                <w:sz w:val="18"/>
                <w:szCs w:val="18"/>
                <w:lang w:val="de-DE" w:eastAsia="de-DE"/>
              </w:rPr>
              <w:t>EXP</w:t>
            </w:r>
          </w:p>
        </w:tc>
        <w:tc>
          <w:tcPr>
            <w:tcW w:w="449" w:type="pct"/>
            <w:tcBorders>
              <w:top w:val="nil"/>
              <w:left w:val="nil"/>
              <w:bottom w:val="nil"/>
              <w:right w:val="nil"/>
            </w:tcBorders>
            <w:shd w:val="clear" w:color="auto" w:fill="auto"/>
            <w:noWrap/>
            <w:vAlign w:val="bottom"/>
            <w:hideMark/>
          </w:tcPr>
          <w:p w14:paraId="00790D2A" w14:textId="77777777" w:rsidR="008E2E6E" w:rsidRPr="008E2E6E" w:rsidRDefault="008E2E6E" w:rsidP="008E2E6E">
            <w:pPr>
              <w:spacing w:line="240" w:lineRule="auto"/>
              <w:jc w:val="center"/>
              <w:rPr>
                <w:rFonts w:ascii="Aptos Narrow" w:eastAsia="Times New Roman" w:hAnsi="Aptos Narrow" w:cs="Times New Roman"/>
                <w:color w:val="000000"/>
                <w:sz w:val="18"/>
                <w:szCs w:val="18"/>
                <w:lang w:val="de-DE" w:eastAsia="de-DE"/>
              </w:rPr>
            </w:pPr>
            <w:r w:rsidRPr="008E2E6E">
              <w:rPr>
                <w:rFonts w:ascii="Aptos Narrow" w:eastAsia="Times New Roman" w:hAnsi="Aptos Narrow" w:cs="Times New Roman"/>
                <w:color w:val="000000"/>
                <w:sz w:val="18"/>
                <w:szCs w:val="18"/>
                <w:lang w:val="de-DE" w:eastAsia="de-DE"/>
              </w:rPr>
              <w:t>EXP</w:t>
            </w:r>
          </w:p>
        </w:tc>
        <w:tc>
          <w:tcPr>
            <w:tcW w:w="449" w:type="pct"/>
            <w:tcBorders>
              <w:top w:val="nil"/>
              <w:left w:val="nil"/>
              <w:bottom w:val="nil"/>
              <w:right w:val="nil"/>
            </w:tcBorders>
            <w:shd w:val="clear" w:color="auto" w:fill="auto"/>
            <w:noWrap/>
            <w:vAlign w:val="bottom"/>
            <w:hideMark/>
          </w:tcPr>
          <w:p w14:paraId="3EFAA766" w14:textId="77777777" w:rsidR="008E2E6E" w:rsidRPr="008E2E6E" w:rsidRDefault="008E2E6E" w:rsidP="008E2E6E">
            <w:pPr>
              <w:spacing w:line="240" w:lineRule="auto"/>
              <w:jc w:val="center"/>
              <w:rPr>
                <w:rFonts w:ascii="Aptos Narrow" w:eastAsia="Times New Roman" w:hAnsi="Aptos Narrow" w:cs="Times New Roman"/>
                <w:color w:val="000000"/>
                <w:sz w:val="18"/>
                <w:szCs w:val="18"/>
                <w:lang w:val="de-DE" w:eastAsia="de-DE"/>
              </w:rPr>
            </w:pPr>
            <w:r w:rsidRPr="008E2E6E">
              <w:rPr>
                <w:rFonts w:ascii="Aptos Narrow" w:eastAsia="Times New Roman" w:hAnsi="Aptos Narrow" w:cs="Times New Roman"/>
                <w:color w:val="000000"/>
                <w:sz w:val="18"/>
                <w:szCs w:val="18"/>
                <w:lang w:val="de-DE" w:eastAsia="de-DE"/>
              </w:rPr>
              <w:t>EXP</w:t>
            </w:r>
          </w:p>
        </w:tc>
        <w:tc>
          <w:tcPr>
            <w:tcW w:w="452" w:type="pct"/>
            <w:tcBorders>
              <w:top w:val="nil"/>
              <w:left w:val="nil"/>
              <w:bottom w:val="nil"/>
              <w:right w:val="nil"/>
            </w:tcBorders>
            <w:shd w:val="clear" w:color="auto" w:fill="auto"/>
            <w:noWrap/>
            <w:vAlign w:val="bottom"/>
            <w:hideMark/>
          </w:tcPr>
          <w:p w14:paraId="30F4D52A" w14:textId="77777777" w:rsidR="008E2E6E" w:rsidRPr="008E2E6E" w:rsidRDefault="008E2E6E" w:rsidP="008E2E6E">
            <w:pPr>
              <w:spacing w:line="240" w:lineRule="auto"/>
              <w:jc w:val="center"/>
              <w:rPr>
                <w:rFonts w:ascii="Aptos Narrow" w:eastAsia="Times New Roman" w:hAnsi="Aptos Narrow" w:cs="Times New Roman"/>
                <w:color w:val="000000"/>
                <w:sz w:val="18"/>
                <w:szCs w:val="18"/>
                <w:lang w:val="de-DE" w:eastAsia="de-DE"/>
              </w:rPr>
            </w:pPr>
            <w:r w:rsidRPr="008E2E6E">
              <w:rPr>
                <w:rFonts w:ascii="Aptos Narrow" w:eastAsia="Times New Roman" w:hAnsi="Aptos Narrow" w:cs="Times New Roman"/>
                <w:color w:val="000000"/>
                <w:sz w:val="18"/>
                <w:szCs w:val="18"/>
                <w:lang w:val="de-DE" w:eastAsia="de-DE"/>
              </w:rPr>
              <w:t>EXP</w:t>
            </w:r>
          </w:p>
        </w:tc>
        <w:tc>
          <w:tcPr>
            <w:tcW w:w="452" w:type="pct"/>
            <w:tcBorders>
              <w:top w:val="nil"/>
              <w:left w:val="nil"/>
              <w:bottom w:val="nil"/>
              <w:right w:val="nil"/>
            </w:tcBorders>
            <w:shd w:val="clear" w:color="auto" w:fill="auto"/>
            <w:noWrap/>
            <w:vAlign w:val="bottom"/>
            <w:hideMark/>
          </w:tcPr>
          <w:p w14:paraId="3BA27AC9" w14:textId="77777777" w:rsidR="008E2E6E" w:rsidRPr="008E2E6E" w:rsidRDefault="008E2E6E" w:rsidP="008E2E6E">
            <w:pPr>
              <w:spacing w:line="240" w:lineRule="auto"/>
              <w:jc w:val="center"/>
              <w:rPr>
                <w:rFonts w:ascii="Aptos Narrow" w:eastAsia="Times New Roman" w:hAnsi="Aptos Narrow" w:cs="Times New Roman"/>
                <w:color w:val="000000"/>
                <w:sz w:val="18"/>
                <w:szCs w:val="18"/>
                <w:lang w:val="de-DE" w:eastAsia="de-DE"/>
              </w:rPr>
            </w:pPr>
            <w:r w:rsidRPr="008E2E6E">
              <w:rPr>
                <w:rFonts w:ascii="Aptos Narrow" w:eastAsia="Times New Roman" w:hAnsi="Aptos Narrow" w:cs="Times New Roman"/>
                <w:color w:val="000000"/>
                <w:sz w:val="18"/>
                <w:szCs w:val="18"/>
                <w:lang w:val="de-DE" w:eastAsia="de-DE"/>
              </w:rPr>
              <w:t>EXP</w:t>
            </w:r>
          </w:p>
        </w:tc>
        <w:tc>
          <w:tcPr>
            <w:tcW w:w="452" w:type="pct"/>
            <w:tcBorders>
              <w:top w:val="nil"/>
              <w:left w:val="nil"/>
              <w:bottom w:val="nil"/>
              <w:right w:val="nil"/>
            </w:tcBorders>
            <w:shd w:val="clear" w:color="auto" w:fill="auto"/>
            <w:noWrap/>
            <w:vAlign w:val="bottom"/>
            <w:hideMark/>
          </w:tcPr>
          <w:p w14:paraId="634D3248" w14:textId="77777777" w:rsidR="008E2E6E" w:rsidRPr="008E2E6E" w:rsidRDefault="008E2E6E" w:rsidP="008E2E6E">
            <w:pPr>
              <w:spacing w:line="240" w:lineRule="auto"/>
              <w:jc w:val="center"/>
              <w:rPr>
                <w:rFonts w:ascii="Aptos Narrow" w:eastAsia="Times New Roman" w:hAnsi="Aptos Narrow" w:cs="Times New Roman"/>
                <w:color w:val="000000"/>
                <w:sz w:val="18"/>
                <w:szCs w:val="18"/>
                <w:lang w:val="de-DE" w:eastAsia="de-DE"/>
              </w:rPr>
            </w:pPr>
            <w:r w:rsidRPr="008E2E6E">
              <w:rPr>
                <w:rFonts w:ascii="Aptos Narrow" w:eastAsia="Times New Roman" w:hAnsi="Aptos Narrow" w:cs="Times New Roman"/>
                <w:color w:val="000000"/>
                <w:sz w:val="18"/>
                <w:szCs w:val="18"/>
                <w:lang w:val="de-DE" w:eastAsia="de-DE"/>
              </w:rPr>
              <w:t>EXP</w:t>
            </w:r>
          </w:p>
        </w:tc>
        <w:tc>
          <w:tcPr>
            <w:tcW w:w="452" w:type="pct"/>
            <w:tcBorders>
              <w:top w:val="nil"/>
              <w:left w:val="nil"/>
              <w:bottom w:val="nil"/>
              <w:right w:val="nil"/>
            </w:tcBorders>
            <w:shd w:val="clear" w:color="auto" w:fill="auto"/>
            <w:noWrap/>
            <w:vAlign w:val="bottom"/>
            <w:hideMark/>
          </w:tcPr>
          <w:p w14:paraId="238ED604" w14:textId="77777777" w:rsidR="008E2E6E" w:rsidRPr="008E2E6E" w:rsidRDefault="008E2E6E" w:rsidP="008E2E6E">
            <w:pPr>
              <w:spacing w:line="240" w:lineRule="auto"/>
              <w:jc w:val="center"/>
              <w:rPr>
                <w:rFonts w:ascii="Aptos Narrow" w:eastAsia="Times New Roman" w:hAnsi="Aptos Narrow" w:cs="Times New Roman"/>
                <w:color w:val="000000"/>
                <w:sz w:val="18"/>
                <w:szCs w:val="18"/>
                <w:lang w:val="de-DE" w:eastAsia="de-DE"/>
              </w:rPr>
            </w:pPr>
            <w:r w:rsidRPr="008E2E6E">
              <w:rPr>
                <w:rFonts w:ascii="Aptos Narrow" w:eastAsia="Times New Roman" w:hAnsi="Aptos Narrow" w:cs="Times New Roman"/>
                <w:color w:val="000000"/>
                <w:sz w:val="18"/>
                <w:szCs w:val="18"/>
                <w:lang w:val="de-DE" w:eastAsia="de-DE"/>
              </w:rPr>
              <w:t>EXP</w:t>
            </w:r>
          </w:p>
        </w:tc>
      </w:tr>
      <w:tr w:rsidR="008E2E6E" w:rsidRPr="008E2E6E" w14:paraId="4087BFD2" w14:textId="77777777" w:rsidTr="008E2E6E">
        <w:trPr>
          <w:trHeight w:val="288"/>
        </w:trPr>
        <w:tc>
          <w:tcPr>
            <w:tcW w:w="1396" w:type="pct"/>
            <w:tcBorders>
              <w:top w:val="nil"/>
              <w:left w:val="nil"/>
              <w:bottom w:val="single" w:sz="4" w:space="0" w:color="auto"/>
              <w:right w:val="nil"/>
            </w:tcBorders>
            <w:shd w:val="clear" w:color="auto" w:fill="auto"/>
            <w:noWrap/>
            <w:vAlign w:val="bottom"/>
            <w:hideMark/>
          </w:tcPr>
          <w:p w14:paraId="72B8CF63" w14:textId="77777777" w:rsidR="008E2E6E" w:rsidRPr="008E2E6E" w:rsidRDefault="008E2E6E" w:rsidP="008E2E6E">
            <w:pPr>
              <w:spacing w:line="240" w:lineRule="auto"/>
              <w:rPr>
                <w:rFonts w:ascii="Aptos Narrow" w:eastAsia="Times New Roman" w:hAnsi="Aptos Narrow" w:cs="Times New Roman"/>
                <w:color w:val="000000"/>
                <w:sz w:val="18"/>
                <w:szCs w:val="18"/>
                <w:lang w:val="de-DE" w:eastAsia="de-DE"/>
              </w:rPr>
            </w:pPr>
            <w:r w:rsidRPr="008E2E6E">
              <w:rPr>
                <w:rFonts w:ascii="Aptos Narrow" w:eastAsia="Times New Roman" w:hAnsi="Aptos Narrow" w:cs="Times New Roman"/>
                <w:color w:val="000000"/>
                <w:sz w:val="18"/>
                <w:szCs w:val="18"/>
                <w:lang w:val="de-DE" w:eastAsia="de-DE"/>
              </w:rPr>
              <w:t> </w:t>
            </w:r>
          </w:p>
        </w:tc>
        <w:tc>
          <w:tcPr>
            <w:tcW w:w="452" w:type="pct"/>
            <w:tcBorders>
              <w:top w:val="nil"/>
              <w:left w:val="nil"/>
              <w:bottom w:val="single" w:sz="4" w:space="0" w:color="auto"/>
              <w:right w:val="nil"/>
            </w:tcBorders>
            <w:shd w:val="clear" w:color="auto" w:fill="auto"/>
            <w:noWrap/>
            <w:vAlign w:val="bottom"/>
            <w:hideMark/>
          </w:tcPr>
          <w:p w14:paraId="36F8FF47" w14:textId="77777777" w:rsidR="008E2E6E" w:rsidRPr="008E2E6E" w:rsidRDefault="008E2E6E" w:rsidP="008E2E6E">
            <w:pPr>
              <w:spacing w:line="240" w:lineRule="auto"/>
              <w:jc w:val="center"/>
              <w:rPr>
                <w:rFonts w:ascii="Aptos Narrow" w:eastAsia="Times New Roman" w:hAnsi="Aptos Narrow" w:cs="Times New Roman"/>
                <w:color w:val="000000"/>
                <w:sz w:val="18"/>
                <w:szCs w:val="18"/>
                <w:lang w:val="de-DE" w:eastAsia="de-DE"/>
              </w:rPr>
            </w:pPr>
            <w:r w:rsidRPr="008E2E6E">
              <w:rPr>
                <w:rFonts w:ascii="Aptos Narrow" w:eastAsia="Times New Roman" w:hAnsi="Aptos Narrow" w:cs="Times New Roman"/>
                <w:color w:val="000000"/>
                <w:sz w:val="18"/>
                <w:szCs w:val="18"/>
                <w:lang w:val="de-DE" w:eastAsia="de-DE"/>
              </w:rPr>
              <w:t>Dig 1</w:t>
            </w:r>
          </w:p>
        </w:tc>
        <w:tc>
          <w:tcPr>
            <w:tcW w:w="448" w:type="pct"/>
            <w:tcBorders>
              <w:top w:val="nil"/>
              <w:left w:val="nil"/>
              <w:bottom w:val="single" w:sz="4" w:space="0" w:color="auto"/>
              <w:right w:val="nil"/>
            </w:tcBorders>
            <w:shd w:val="clear" w:color="auto" w:fill="auto"/>
            <w:noWrap/>
            <w:vAlign w:val="bottom"/>
            <w:hideMark/>
          </w:tcPr>
          <w:p w14:paraId="09661971" w14:textId="77777777" w:rsidR="008E2E6E" w:rsidRPr="008E2E6E" w:rsidRDefault="008E2E6E" w:rsidP="008E2E6E">
            <w:pPr>
              <w:spacing w:line="240" w:lineRule="auto"/>
              <w:jc w:val="center"/>
              <w:rPr>
                <w:rFonts w:ascii="Aptos Narrow" w:eastAsia="Times New Roman" w:hAnsi="Aptos Narrow" w:cs="Times New Roman"/>
                <w:color w:val="000000"/>
                <w:sz w:val="18"/>
                <w:szCs w:val="18"/>
                <w:lang w:val="de-DE" w:eastAsia="de-DE"/>
              </w:rPr>
            </w:pPr>
            <w:r w:rsidRPr="008E2E6E">
              <w:rPr>
                <w:rFonts w:ascii="Aptos Narrow" w:eastAsia="Times New Roman" w:hAnsi="Aptos Narrow" w:cs="Times New Roman"/>
                <w:color w:val="000000"/>
                <w:sz w:val="18"/>
                <w:szCs w:val="18"/>
                <w:lang w:val="de-DE" w:eastAsia="de-DE"/>
              </w:rPr>
              <w:t>Dig 2</w:t>
            </w:r>
          </w:p>
        </w:tc>
        <w:tc>
          <w:tcPr>
            <w:tcW w:w="449" w:type="pct"/>
            <w:tcBorders>
              <w:top w:val="nil"/>
              <w:left w:val="nil"/>
              <w:bottom w:val="single" w:sz="4" w:space="0" w:color="auto"/>
              <w:right w:val="nil"/>
            </w:tcBorders>
            <w:shd w:val="clear" w:color="auto" w:fill="auto"/>
            <w:noWrap/>
            <w:vAlign w:val="bottom"/>
            <w:hideMark/>
          </w:tcPr>
          <w:p w14:paraId="2CEAC4F1" w14:textId="77777777" w:rsidR="008E2E6E" w:rsidRPr="008E2E6E" w:rsidRDefault="008E2E6E" w:rsidP="008E2E6E">
            <w:pPr>
              <w:spacing w:line="240" w:lineRule="auto"/>
              <w:jc w:val="center"/>
              <w:rPr>
                <w:rFonts w:ascii="Aptos Narrow" w:eastAsia="Times New Roman" w:hAnsi="Aptos Narrow" w:cs="Times New Roman"/>
                <w:color w:val="000000"/>
                <w:sz w:val="18"/>
                <w:szCs w:val="18"/>
                <w:lang w:val="de-DE" w:eastAsia="de-DE"/>
              </w:rPr>
            </w:pPr>
            <w:r w:rsidRPr="008E2E6E">
              <w:rPr>
                <w:rFonts w:ascii="Aptos Narrow" w:eastAsia="Times New Roman" w:hAnsi="Aptos Narrow" w:cs="Times New Roman"/>
                <w:color w:val="000000"/>
                <w:sz w:val="18"/>
                <w:szCs w:val="18"/>
                <w:lang w:val="de-DE" w:eastAsia="de-DE"/>
              </w:rPr>
              <w:t>Dig 3</w:t>
            </w:r>
          </w:p>
        </w:tc>
        <w:tc>
          <w:tcPr>
            <w:tcW w:w="449" w:type="pct"/>
            <w:tcBorders>
              <w:top w:val="nil"/>
              <w:left w:val="nil"/>
              <w:bottom w:val="single" w:sz="4" w:space="0" w:color="auto"/>
              <w:right w:val="nil"/>
            </w:tcBorders>
            <w:shd w:val="clear" w:color="auto" w:fill="auto"/>
            <w:noWrap/>
            <w:vAlign w:val="bottom"/>
            <w:hideMark/>
          </w:tcPr>
          <w:p w14:paraId="45921091" w14:textId="77777777" w:rsidR="008E2E6E" w:rsidRPr="008E2E6E" w:rsidRDefault="008E2E6E" w:rsidP="008E2E6E">
            <w:pPr>
              <w:spacing w:line="240" w:lineRule="auto"/>
              <w:jc w:val="center"/>
              <w:rPr>
                <w:rFonts w:ascii="Aptos Narrow" w:eastAsia="Times New Roman" w:hAnsi="Aptos Narrow" w:cs="Times New Roman"/>
                <w:color w:val="000000"/>
                <w:sz w:val="18"/>
                <w:szCs w:val="18"/>
                <w:lang w:val="de-DE" w:eastAsia="de-DE"/>
              </w:rPr>
            </w:pPr>
            <w:r w:rsidRPr="008E2E6E">
              <w:rPr>
                <w:rFonts w:ascii="Aptos Narrow" w:eastAsia="Times New Roman" w:hAnsi="Aptos Narrow" w:cs="Times New Roman"/>
                <w:color w:val="000000"/>
                <w:sz w:val="18"/>
                <w:szCs w:val="18"/>
                <w:lang w:val="de-DE" w:eastAsia="de-DE"/>
              </w:rPr>
              <w:t>Dig 4</w:t>
            </w:r>
          </w:p>
        </w:tc>
        <w:tc>
          <w:tcPr>
            <w:tcW w:w="452" w:type="pct"/>
            <w:tcBorders>
              <w:top w:val="nil"/>
              <w:left w:val="nil"/>
              <w:bottom w:val="single" w:sz="4" w:space="0" w:color="auto"/>
              <w:right w:val="nil"/>
            </w:tcBorders>
            <w:shd w:val="clear" w:color="auto" w:fill="auto"/>
            <w:noWrap/>
            <w:vAlign w:val="bottom"/>
            <w:hideMark/>
          </w:tcPr>
          <w:p w14:paraId="0F925B4D" w14:textId="69E5B32F" w:rsidR="008E2E6E" w:rsidRPr="008E2E6E" w:rsidRDefault="008E2E6E" w:rsidP="008E2E6E">
            <w:pPr>
              <w:spacing w:line="240" w:lineRule="auto"/>
              <w:jc w:val="center"/>
              <w:rPr>
                <w:rFonts w:ascii="Aptos Narrow" w:eastAsia="Times New Roman" w:hAnsi="Aptos Narrow" w:cs="Times New Roman"/>
                <w:color w:val="000000"/>
                <w:sz w:val="18"/>
                <w:szCs w:val="18"/>
                <w:lang w:val="de-DE" w:eastAsia="de-DE"/>
              </w:rPr>
            </w:pPr>
            <w:r w:rsidRPr="008E2E6E">
              <w:rPr>
                <w:rFonts w:ascii="Aptos Narrow" w:eastAsia="Times New Roman" w:hAnsi="Aptos Narrow" w:cs="Times New Roman"/>
                <w:color w:val="000000"/>
                <w:sz w:val="18"/>
                <w:szCs w:val="18"/>
                <w:lang w:val="de-DE" w:eastAsia="de-DE"/>
              </w:rPr>
              <w:t>Dig 1</w:t>
            </w:r>
          </w:p>
        </w:tc>
        <w:tc>
          <w:tcPr>
            <w:tcW w:w="452" w:type="pct"/>
            <w:tcBorders>
              <w:top w:val="nil"/>
              <w:left w:val="nil"/>
              <w:bottom w:val="single" w:sz="4" w:space="0" w:color="auto"/>
              <w:right w:val="nil"/>
            </w:tcBorders>
            <w:shd w:val="clear" w:color="auto" w:fill="auto"/>
            <w:noWrap/>
            <w:vAlign w:val="bottom"/>
            <w:hideMark/>
          </w:tcPr>
          <w:p w14:paraId="7CC55D87" w14:textId="305743E4" w:rsidR="008E2E6E" w:rsidRPr="008E2E6E" w:rsidRDefault="008E2E6E" w:rsidP="008E2E6E">
            <w:pPr>
              <w:spacing w:line="240" w:lineRule="auto"/>
              <w:jc w:val="center"/>
              <w:rPr>
                <w:rFonts w:ascii="Aptos Narrow" w:eastAsia="Times New Roman" w:hAnsi="Aptos Narrow" w:cs="Times New Roman"/>
                <w:color w:val="000000"/>
                <w:sz w:val="18"/>
                <w:szCs w:val="18"/>
                <w:lang w:val="de-DE" w:eastAsia="de-DE"/>
              </w:rPr>
            </w:pPr>
            <w:r w:rsidRPr="008E2E6E">
              <w:rPr>
                <w:rFonts w:ascii="Aptos Narrow" w:eastAsia="Times New Roman" w:hAnsi="Aptos Narrow" w:cs="Times New Roman"/>
                <w:color w:val="000000"/>
                <w:sz w:val="18"/>
                <w:szCs w:val="18"/>
                <w:lang w:val="de-DE" w:eastAsia="de-DE"/>
              </w:rPr>
              <w:t>Dig 2</w:t>
            </w:r>
          </w:p>
        </w:tc>
        <w:tc>
          <w:tcPr>
            <w:tcW w:w="452" w:type="pct"/>
            <w:tcBorders>
              <w:top w:val="nil"/>
              <w:left w:val="nil"/>
              <w:bottom w:val="single" w:sz="4" w:space="0" w:color="auto"/>
              <w:right w:val="nil"/>
            </w:tcBorders>
            <w:shd w:val="clear" w:color="auto" w:fill="auto"/>
            <w:noWrap/>
            <w:vAlign w:val="bottom"/>
            <w:hideMark/>
          </w:tcPr>
          <w:p w14:paraId="3AA20BF7" w14:textId="50FEE120" w:rsidR="008E2E6E" w:rsidRPr="008E2E6E" w:rsidRDefault="008E2E6E" w:rsidP="008E2E6E">
            <w:pPr>
              <w:spacing w:line="240" w:lineRule="auto"/>
              <w:jc w:val="center"/>
              <w:rPr>
                <w:rFonts w:ascii="Aptos Narrow" w:eastAsia="Times New Roman" w:hAnsi="Aptos Narrow" w:cs="Times New Roman"/>
                <w:color w:val="000000"/>
                <w:sz w:val="18"/>
                <w:szCs w:val="18"/>
                <w:lang w:val="de-DE" w:eastAsia="de-DE"/>
              </w:rPr>
            </w:pPr>
            <w:r w:rsidRPr="008E2E6E">
              <w:rPr>
                <w:rFonts w:ascii="Aptos Narrow" w:eastAsia="Times New Roman" w:hAnsi="Aptos Narrow" w:cs="Times New Roman"/>
                <w:color w:val="000000"/>
                <w:sz w:val="18"/>
                <w:szCs w:val="18"/>
                <w:lang w:val="de-DE" w:eastAsia="de-DE"/>
              </w:rPr>
              <w:t>Dig 3</w:t>
            </w:r>
          </w:p>
        </w:tc>
        <w:tc>
          <w:tcPr>
            <w:tcW w:w="452" w:type="pct"/>
            <w:tcBorders>
              <w:top w:val="nil"/>
              <w:left w:val="nil"/>
              <w:bottom w:val="single" w:sz="4" w:space="0" w:color="auto"/>
              <w:right w:val="nil"/>
            </w:tcBorders>
            <w:shd w:val="clear" w:color="auto" w:fill="auto"/>
            <w:noWrap/>
            <w:vAlign w:val="bottom"/>
            <w:hideMark/>
          </w:tcPr>
          <w:p w14:paraId="75B1C963" w14:textId="315B4B40" w:rsidR="008E2E6E" w:rsidRPr="008E2E6E" w:rsidRDefault="008E2E6E" w:rsidP="008E2E6E">
            <w:pPr>
              <w:spacing w:line="240" w:lineRule="auto"/>
              <w:jc w:val="center"/>
              <w:rPr>
                <w:rFonts w:ascii="Aptos Narrow" w:eastAsia="Times New Roman" w:hAnsi="Aptos Narrow" w:cs="Times New Roman"/>
                <w:color w:val="000000"/>
                <w:sz w:val="18"/>
                <w:szCs w:val="18"/>
                <w:lang w:val="de-DE" w:eastAsia="de-DE"/>
              </w:rPr>
            </w:pPr>
            <w:r w:rsidRPr="008E2E6E">
              <w:rPr>
                <w:rFonts w:ascii="Aptos Narrow" w:eastAsia="Times New Roman" w:hAnsi="Aptos Narrow" w:cs="Times New Roman"/>
                <w:color w:val="000000"/>
                <w:sz w:val="18"/>
                <w:szCs w:val="18"/>
                <w:lang w:val="de-DE" w:eastAsia="de-DE"/>
              </w:rPr>
              <w:t>Dig 4</w:t>
            </w:r>
          </w:p>
        </w:tc>
      </w:tr>
      <w:tr w:rsidR="008E2E6E" w:rsidRPr="008E2E6E" w14:paraId="63142610" w14:textId="77777777" w:rsidTr="008E2E6E">
        <w:trPr>
          <w:trHeight w:val="288"/>
        </w:trPr>
        <w:tc>
          <w:tcPr>
            <w:tcW w:w="1396" w:type="pct"/>
            <w:tcBorders>
              <w:top w:val="nil"/>
              <w:left w:val="nil"/>
              <w:bottom w:val="nil"/>
              <w:right w:val="nil"/>
            </w:tcBorders>
            <w:shd w:val="clear" w:color="auto" w:fill="auto"/>
            <w:noWrap/>
            <w:vAlign w:val="bottom"/>
            <w:hideMark/>
          </w:tcPr>
          <w:p w14:paraId="32D6A1A6" w14:textId="77777777" w:rsidR="008E2E6E" w:rsidRPr="008E2E6E" w:rsidRDefault="008E2E6E" w:rsidP="008E2E6E">
            <w:pPr>
              <w:spacing w:line="240" w:lineRule="auto"/>
              <w:jc w:val="center"/>
              <w:rPr>
                <w:rFonts w:ascii="Aptos Narrow" w:eastAsia="Times New Roman" w:hAnsi="Aptos Narrow" w:cs="Times New Roman"/>
                <w:color w:val="000000"/>
                <w:sz w:val="18"/>
                <w:szCs w:val="18"/>
                <w:lang w:val="de-DE" w:eastAsia="de-DE"/>
              </w:rPr>
            </w:pPr>
          </w:p>
        </w:tc>
        <w:tc>
          <w:tcPr>
            <w:tcW w:w="452" w:type="pct"/>
            <w:tcBorders>
              <w:top w:val="nil"/>
              <w:left w:val="nil"/>
              <w:bottom w:val="nil"/>
              <w:right w:val="nil"/>
            </w:tcBorders>
            <w:shd w:val="clear" w:color="auto" w:fill="auto"/>
            <w:noWrap/>
            <w:vAlign w:val="bottom"/>
            <w:hideMark/>
          </w:tcPr>
          <w:p w14:paraId="6F042648" w14:textId="77777777" w:rsidR="008E2E6E" w:rsidRPr="008E2E6E" w:rsidRDefault="008E2E6E" w:rsidP="008E2E6E">
            <w:pPr>
              <w:spacing w:line="240" w:lineRule="auto"/>
              <w:rPr>
                <w:rFonts w:ascii="Times New Roman" w:eastAsia="Times New Roman" w:hAnsi="Times New Roman" w:cs="Times New Roman"/>
                <w:sz w:val="18"/>
                <w:szCs w:val="18"/>
                <w:lang w:val="de-DE" w:eastAsia="de-DE"/>
              </w:rPr>
            </w:pPr>
          </w:p>
        </w:tc>
        <w:tc>
          <w:tcPr>
            <w:tcW w:w="448" w:type="pct"/>
            <w:tcBorders>
              <w:top w:val="nil"/>
              <w:left w:val="nil"/>
              <w:bottom w:val="nil"/>
              <w:right w:val="nil"/>
            </w:tcBorders>
            <w:shd w:val="clear" w:color="auto" w:fill="auto"/>
            <w:noWrap/>
            <w:vAlign w:val="bottom"/>
            <w:hideMark/>
          </w:tcPr>
          <w:p w14:paraId="0D3D9537" w14:textId="77777777" w:rsidR="008E2E6E" w:rsidRPr="008E2E6E" w:rsidRDefault="008E2E6E" w:rsidP="008E2E6E">
            <w:pPr>
              <w:spacing w:line="240" w:lineRule="auto"/>
              <w:jc w:val="center"/>
              <w:rPr>
                <w:rFonts w:ascii="Times New Roman" w:eastAsia="Times New Roman" w:hAnsi="Times New Roman" w:cs="Times New Roman"/>
                <w:sz w:val="18"/>
                <w:szCs w:val="18"/>
                <w:lang w:val="de-DE" w:eastAsia="de-DE"/>
              </w:rPr>
            </w:pPr>
          </w:p>
        </w:tc>
        <w:tc>
          <w:tcPr>
            <w:tcW w:w="449" w:type="pct"/>
            <w:tcBorders>
              <w:top w:val="nil"/>
              <w:left w:val="nil"/>
              <w:bottom w:val="nil"/>
              <w:right w:val="nil"/>
            </w:tcBorders>
            <w:shd w:val="clear" w:color="auto" w:fill="auto"/>
            <w:noWrap/>
            <w:vAlign w:val="bottom"/>
            <w:hideMark/>
          </w:tcPr>
          <w:p w14:paraId="0E92189B" w14:textId="77777777" w:rsidR="008E2E6E" w:rsidRPr="008E2E6E" w:rsidRDefault="008E2E6E" w:rsidP="008E2E6E">
            <w:pPr>
              <w:spacing w:line="240" w:lineRule="auto"/>
              <w:jc w:val="center"/>
              <w:rPr>
                <w:rFonts w:ascii="Times New Roman" w:eastAsia="Times New Roman" w:hAnsi="Times New Roman" w:cs="Times New Roman"/>
                <w:sz w:val="18"/>
                <w:szCs w:val="18"/>
                <w:lang w:val="de-DE" w:eastAsia="de-DE"/>
              </w:rPr>
            </w:pPr>
          </w:p>
        </w:tc>
        <w:tc>
          <w:tcPr>
            <w:tcW w:w="449" w:type="pct"/>
            <w:tcBorders>
              <w:top w:val="nil"/>
              <w:left w:val="nil"/>
              <w:bottom w:val="nil"/>
              <w:right w:val="nil"/>
            </w:tcBorders>
            <w:shd w:val="clear" w:color="auto" w:fill="auto"/>
            <w:noWrap/>
            <w:vAlign w:val="bottom"/>
            <w:hideMark/>
          </w:tcPr>
          <w:p w14:paraId="15C69993" w14:textId="77777777" w:rsidR="008E2E6E" w:rsidRPr="008E2E6E" w:rsidRDefault="008E2E6E" w:rsidP="008E2E6E">
            <w:pPr>
              <w:spacing w:line="240" w:lineRule="auto"/>
              <w:jc w:val="center"/>
              <w:rPr>
                <w:rFonts w:ascii="Times New Roman" w:eastAsia="Times New Roman" w:hAnsi="Times New Roman" w:cs="Times New Roman"/>
                <w:sz w:val="18"/>
                <w:szCs w:val="18"/>
                <w:lang w:val="de-DE" w:eastAsia="de-DE"/>
              </w:rPr>
            </w:pPr>
          </w:p>
        </w:tc>
        <w:tc>
          <w:tcPr>
            <w:tcW w:w="452" w:type="pct"/>
            <w:tcBorders>
              <w:top w:val="nil"/>
              <w:left w:val="nil"/>
              <w:bottom w:val="nil"/>
              <w:right w:val="nil"/>
            </w:tcBorders>
            <w:shd w:val="clear" w:color="auto" w:fill="auto"/>
            <w:noWrap/>
            <w:vAlign w:val="bottom"/>
            <w:hideMark/>
          </w:tcPr>
          <w:p w14:paraId="7EFE56C5" w14:textId="77777777" w:rsidR="008E2E6E" w:rsidRPr="008E2E6E" w:rsidRDefault="008E2E6E" w:rsidP="008E2E6E">
            <w:pPr>
              <w:spacing w:line="240" w:lineRule="auto"/>
              <w:jc w:val="center"/>
              <w:rPr>
                <w:rFonts w:ascii="Times New Roman" w:eastAsia="Times New Roman" w:hAnsi="Times New Roman" w:cs="Times New Roman"/>
                <w:sz w:val="18"/>
                <w:szCs w:val="18"/>
                <w:lang w:val="de-DE" w:eastAsia="de-DE"/>
              </w:rPr>
            </w:pPr>
          </w:p>
        </w:tc>
        <w:tc>
          <w:tcPr>
            <w:tcW w:w="452" w:type="pct"/>
            <w:tcBorders>
              <w:top w:val="nil"/>
              <w:left w:val="nil"/>
              <w:bottom w:val="nil"/>
              <w:right w:val="nil"/>
            </w:tcBorders>
            <w:shd w:val="clear" w:color="auto" w:fill="auto"/>
            <w:noWrap/>
            <w:vAlign w:val="bottom"/>
            <w:hideMark/>
          </w:tcPr>
          <w:p w14:paraId="7E53B082" w14:textId="77777777" w:rsidR="008E2E6E" w:rsidRPr="008E2E6E" w:rsidRDefault="008E2E6E" w:rsidP="008E2E6E">
            <w:pPr>
              <w:spacing w:line="240" w:lineRule="auto"/>
              <w:rPr>
                <w:rFonts w:ascii="Times New Roman" w:eastAsia="Times New Roman" w:hAnsi="Times New Roman" w:cs="Times New Roman"/>
                <w:sz w:val="18"/>
                <w:szCs w:val="18"/>
                <w:lang w:val="de-DE" w:eastAsia="de-DE"/>
              </w:rPr>
            </w:pPr>
          </w:p>
        </w:tc>
        <w:tc>
          <w:tcPr>
            <w:tcW w:w="452" w:type="pct"/>
            <w:tcBorders>
              <w:top w:val="nil"/>
              <w:left w:val="nil"/>
              <w:bottom w:val="nil"/>
              <w:right w:val="nil"/>
            </w:tcBorders>
            <w:shd w:val="clear" w:color="auto" w:fill="auto"/>
            <w:noWrap/>
            <w:vAlign w:val="bottom"/>
            <w:hideMark/>
          </w:tcPr>
          <w:p w14:paraId="6BA76F9F" w14:textId="77777777" w:rsidR="008E2E6E" w:rsidRPr="008E2E6E" w:rsidRDefault="008E2E6E" w:rsidP="008E2E6E">
            <w:pPr>
              <w:spacing w:line="240" w:lineRule="auto"/>
              <w:rPr>
                <w:rFonts w:ascii="Times New Roman" w:eastAsia="Times New Roman" w:hAnsi="Times New Roman" w:cs="Times New Roman"/>
                <w:sz w:val="18"/>
                <w:szCs w:val="18"/>
                <w:lang w:val="de-DE" w:eastAsia="de-DE"/>
              </w:rPr>
            </w:pPr>
          </w:p>
        </w:tc>
        <w:tc>
          <w:tcPr>
            <w:tcW w:w="452" w:type="pct"/>
            <w:tcBorders>
              <w:top w:val="nil"/>
              <w:left w:val="nil"/>
              <w:bottom w:val="nil"/>
              <w:right w:val="nil"/>
            </w:tcBorders>
            <w:shd w:val="clear" w:color="auto" w:fill="auto"/>
            <w:noWrap/>
            <w:vAlign w:val="bottom"/>
            <w:hideMark/>
          </w:tcPr>
          <w:p w14:paraId="11722578" w14:textId="77777777" w:rsidR="008E2E6E" w:rsidRPr="008E2E6E" w:rsidRDefault="008E2E6E" w:rsidP="008E2E6E">
            <w:pPr>
              <w:spacing w:line="240" w:lineRule="auto"/>
              <w:rPr>
                <w:rFonts w:ascii="Times New Roman" w:eastAsia="Times New Roman" w:hAnsi="Times New Roman" w:cs="Times New Roman"/>
                <w:sz w:val="18"/>
                <w:szCs w:val="18"/>
                <w:lang w:val="de-DE" w:eastAsia="de-DE"/>
              </w:rPr>
            </w:pPr>
          </w:p>
        </w:tc>
      </w:tr>
      <w:tr w:rsidR="008E2E6E" w:rsidRPr="008E2E6E" w14:paraId="431158B6" w14:textId="77777777" w:rsidTr="008E2E6E">
        <w:trPr>
          <w:trHeight w:val="288"/>
        </w:trPr>
        <w:tc>
          <w:tcPr>
            <w:tcW w:w="1396" w:type="pct"/>
            <w:tcBorders>
              <w:top w:val="nil"/>
              <w:left w:val="nil"/>
              <w:bottom w:val="nil"/>
              <w:right w:val="nil"/>
            </w:tcBorders>
            <w:shd w:val="clear" w:color="auto" w:fill="auto"/>
            <w:noWrap/>
            <w:vAlign w:val="bottom"/>
            <w:hideMark/>
          </w:tcPr>
          <w:p w14:paraId="170519DE" w14:textId="77777777" w:rsidR="008E2E6E" w:rsidRPr="008E2E6E" w:rsidRDefault="008E2E6E" w:rsidP="008E2E6E">
            <w:pPr>
              <w:spacing w:line="240" w:lineRule="auto"/>
              <w:rPr>
                <w:rFonts w:ascii="Aptos Narrow" w:eastAsia="Times New Roman" w:hAnsi="Aptos Narrow" w:cs="Times New Roman"/>
                <w:color w:val="000000"/>
                <w:sz w:val="18"/>
                <w:szCs w:val="18"/>
                <w:lang w:val="de-DE" w:eastAsia="de-DE"/>
              </w:rPr>
            </w:pPr>
            <w:r w:rsidRPr="008E2E6E">
              <w:rPr>
                <w:rFonts w:ascii="Aptos Narrow" w:eastAsia="Times New Roman" w:hAnsi="Aptos Narrow" w:cs="Times New Roman"/>
                <w:color w:val="000000"/>
                <w:sz w:val="18"/>
                <w:szCs w:val="18"/>
                <w:lang w:val="de-DE" w:eastAsia="de-DE"/>
              </w:rPr>
              <w:t xml:space="preserve">Sharing </w:t>
            </w:r>
            <w:proofErr w:type="spellStart"/>
            <w:r w:rsidRPr="008E2E6E">
              <w:rPr>
                <w:rFonts w:ascii="Aptos Narrow" w:eastAsia="Times New Roman" w:hAnsi="Aptos Narrow" w:cs="Times New Roman"/>
                <w:color w:val="000000"/>
                <w:sz w:val="18"/>
                <w:szCs w:val="18"/>
                <w:lang w:val="de-DE" w:eastAsia="de-DE"/>
              </w:rPr>
              <w:t>data</w:t>
            </w:r>
            <w:proofErr w:type="spellEnd"/>
            <w:r w:rsidRPr="008E2E6E">
              <w:rPr>
                <w:rFonts w:ascii="Aptos Narrow" w:eastAsia="Times New Roman" w:hAnsi="Aptos Narrow" w:cs="Times New Roman"/>
                <w:color w:val="000000"/>
                <w:sz w:val="18"/>
                <w:szCs w:val="18"/>
                <w:lang w:val="de-DE" w:eastAsia="de-DE"/>
              </w:rPr>
              <w:t xml:space="preserve"> </w:t>
            </w:r>
            <w:proofErr w:type="spellStart"/>
            <w:r w:rsidRPr="008E2E6E">
              <w:rPr>
                <w:rFonts w:ascii="Aptos Narrow" w:eastAsia="Times New Roman" w:hAnsi="Aptos Narrow" w:cs="Times New Roman"/>
                <w:color w:val="000000"/>
                <w:sz w:val="18"/>
                <w:szCs w:val="18"/>
                <w:lang w:val="de-DE" w:eastAsia="de-DE"/>
              </w:rPr>
              <w:t>model</w:t>
            </w:r>
            <w:proofErr w:type="spellEnd"/>
          </w:p>
        </w:tc>
        <w:tc>
          <w:tcPr>
            <w:tcW w:w="452" w:type="pct"/>
            <w:tcBorders>
              <w:top w:val="nil"/>
              <w:left w:val="nil"/>
              <w:bottom w:val="nil"/>
              <w:right w:val="nil"/>
            </w:tcBorders>
            <w:shd w:val="clear" w:color="auto" w:fill="auto"/>
            <w:noWrap/>
            <w:vAlign w:val="bottom"/>
            <w:hideMark/>
          </w:tcPr>
          <w:p w14:paraId="39BE1C43" w14:textId="77777777" w:rsidR="008E2E6E" w:rsidRPr="008E2E6E" w:rsidRDefault="008E2E6E" w:rsidP="008E2E6E">
            <w:pPr>
              <w:spacing w:line="240" w:lineRule="auto"/>
              <w:rPr>
                <w:rFonts w:ascii="Aptos Narrow" w:eastAsia="Times New Roman" w:hAnsi="Aptos Narrow" w:cs="Times New Roman"/>
                <w:color w:val="000000"/>
                <w:sz w:val="18"/>
                <w:szCs w:val="18"/>
                <w:lang w:val="de-DE" w:eastAsia="de-DE"/>
              </w:rPr>
            </w:pPr>
            <w:r w:rsidRPr="008E2E6E">
              <w:rPr>
                <w:rFonts w:ascii="Aptos Narrow" w:eastAsia="Times New Roman" w:hAnsi="Aptos Narrow" w:cs="Times New Roman"/>
                <w:color w:val="000000"/>
                <w:sz w:val="18"/>
                <w:szCs w:val="18"/>
                <w:lang w:val="de-DE" w:eastAsia="de-DE"/>
              </w:rPr>
              <w:t>0.014</w:t>
            </w:r>
          </w:p>
        </w:tc>
        <w:tc>
          <w:tcPr>
            <w:tcW w:w="448" w:type="pct"/>
            <w:tcBorders>
              <w:top w:val="nil"/>
              <w:left w:val="nil"/>
              <w:bottom w:val="nil"/>
              <w:right w:val="nil"/>
            </w:tcBorders>
            <w:shd w:val="clear" w:color="auto" w:fill="auto"/>
            <w:noWrap/>
            <w:vAlign w:val="bottom"/>
            <w:hideMark/>
          </w:tcPr>
          <w:p w14:paraId="4D4EFC2C" w14:textId="77777777" w:rsidR="008E2E6E" w:rsidRPr="008E2E6E" w:rsidRDefault="008E2E6E" w:rsidP="008E2E6E">
            <w:pPr>
              <w:spacing w:line="240" w:lineRule="auto"/>
              <w:rPr>
                <w:rFonts w:ascii="Aptos Narrow" w:eastAsia="Times New Roman" w:hAnsi="Aptos Narrow" w:cs="Times New Roman"/>
                <w:color w:val="000000"/>
                <w:sz w:val="18"/>
                <w:szCs w:val="18"/>
                <w:lang w:val="de-DE" w:eastAsia="de-DE"/>
              </w:rPr>
            </w:pPr>
            <w:r w:rsidRPr="008E2E6E">
              <w:rPr>
                <w:rFonts w:ascii="Aptos Narrow" w:eastAsia="Times New Roman" w:hAnsi="Aptos Narrow" w:cs="Times New Roman"/>
                <w:color w:val="000000"/>
                <w:sz w:val="18"/>
                <w:szCs w:val="18"/>
                <w:lang w:val="de-DE" w:eastAsia="de-DE"/>
              </w:rPr>
              <w:t>0.003</w:t>
            </w:r>
          </w:p>
        </w:tc>
        <w:tc>
          <w:tcPr>
            <w:tcW w:w="449" w:type="pct"/>
            <w:tcBorders>
              <w:top w:val="nil"/>
              <w:left w:val="nil"/>
              <w:bottom w:val="nil"/>
              <w:right w:val="nil"/>
            </w:tcBorders>
            <w:shd w:val="clear" w:color="auto" w:fill="auto"/>
            <w:noWrap/>
            <w:vAlign w:val="bottom"/>
            <w:hideMark/>
          </w:tcPr>
          <w:p w14:paraId="6A2D08E9" w14:textId="77777777" w:rsidR="008E2E6E" w:rsidRPr="008E2E6E" w:rsidRDefault="008E2E6E" w:rsidP="008E2E6E">
            <w:pPr>
              <w:spacing w:line="240" w:lineRule="auto"/>
              <w:rPr>
                <w:rFonts w:ascii="Aptos Narrow" w:eastAsia="Times New Roman" w:hAnsi="Aptos Narrow" w:cs="Times New Roman"/>
                <w:color w:val="000000"/>
                <w:sz w:val="18"/>
                <w:szCs w:val="18"/>
                <w:lang w:val="de-DE" w:eastAsia="de-DE"/>
              </w:rPr>
            </w:pPr>
            <w:r w:rsidRPr="008E2E6E">
              <w:rPr>
                <w:rFonts w:ascii="Aptos Narrow" w:eastAsia="Times New Roman" w:hAnsi="Aptos Narrow" w:cs="Times New Roman"/>
                <w:color w:val="000000"/>
                <w:sz w:val="18"/>
                <w:szCs w:val="18"/>
                <w:lang w:val="de-DE" w:eastAsia="de-DE"/>
              </w:rPr>
              <w:t>0.003</w:t>
            </w:r>
          </w:p>
        </w:tc>
        <w:tc>
          <w:tcPr>
            <w:tcW w:w="449" w:type="pct"/>
            <w:tcBorders>
              <w:top w:val="nil"/>
              <w:left w:val="nil"/>
              <w:bottom w:val="nil"/>
              <w:right w:val="nil"/>
            </w:tcBorders>
            <w:shd w:val="clear" w:color="auto" w:fill="auto"/>
            <w:noWrap/>
            <w:vAlign w:val="bottom"/>
            <w:hideMark/>
          </w:tcPr>
          <w:p w14:paraId="5CBBC62F" w14:textId="77777777" w:rsidR="008E2E6E" w:rsidRPr="008E2E6E" w:rsidRDefault="008E2E6E" w:rsidP="008E2E6E">
            <w:pPr>
              <w:spacing w:line="240" w:lineRule="auto"/>
              <w:rPr>
                <w:rFonts w:ascii="Aptos Narrow" w:eastAsia="Times New Roman" w:hAnsi="Aptos Narrow" w:cs="Times New Roman"/>
                <w:color w:val="000000"/>
                <w:sz w:val="18"/>
                <w:szCs w:val="18"/>
                <w:lang w:val="de-DE" w:eastAsia="de-DE"/>
              </w:rPr>
            </w:pPr>
            <w:r w:rsidRPr="008E2E6E">
              <w:rPr>
                <w:rFonts w:ascii="Aptos Narrow" w:eastAsia="Times New Roman" w:hAnsi="Aptos Narrow" w:cs="Times New Roman"/>
                <w:color w:val="000000"/>
                <w:sz w:val="18"/>
                <w:szCs w:val="18"/>
                <w:lang w:val="de-DE" w:eastAsia="de-DE"/>
              </w:rPr>
              <w:t>0.004</w:t>
            </w:r>
          </w:p>
        </w:tc>
        <w:tc>
          <w:tcPr>
            <w:tcW w:w="452" w:type="pct"/>
            <w:tcBorders>
              <w:top w:val="nil"/>
              <w:left w:val="nil"/>
              <w:bottom w:val="nil"/>
              <w:right w:val="nil"/>
            </w:tcBorders>
            <w:shd w:val="clear" w:color="auto" w:fill="auto"/>
            <w:noWrap/>
            <w:vAlign w:val="bottom"/>
            <w:hideMark/>
          </w:tcPr>
          <w:p w14:paraId="2AAED65D" w14:textId="77777777" w:rsidR="008E2E6E" w:rsidRPr="008E2E6E" w:rsidRDefault="008E2E6E" w:rsidP="008E2E6E">
            <w:pPr>
              <w:spacing w:line="240" w:lineRule="auto"/>
              <w:rPr>
                <w:rFonts w:ascii="Aptos Narrow" w:eastAsia="Times New Roman" w:hAnsi="Aptos Narrow" w:cs="Times New Roman"/>
                <w:color w:val="000000"/>
                <w:sz w:val="18"/>
                <w:szCs w:val="18"/>
                <w:lang w:val="de-DE" w:eastAsia="de-DE"/>
              </w:rPr>
            </w:pPr>
            <w:r w:rsidRPr="008E2E6E">
              <w:rPr>
                <w:rFonts w:ascii="Aptos Narrow" w:eastAsia="Times New Roman" w:hAnsi="Aptos Narrow" w:cs="Times New Roman"/>
                <w:color w:val="000000"/>
                <w:sz w:val="18"/>
                <w:szCs w:val="18"/>
                <w:lang w:val="de-DE" w:eastAsia="de-DE"/>
              </w:rPr>
              <w:t>0.017</w:t>
            </w:r>
          </w:p>
        </w:tc>
        <w:tc>
          <w:tcPr>
            <w:tcW w:w="452" w:type="pct"/>
            <w:tcBorders>
              <w:top w:val="nil"/>
              <w:left w:val="nil"/>
              <w:bottom w:val="nil"/>
              <w:right w:val="nil"/>
            </w:tcBorders>
            <w:shd w:val="clear" w:color="auto" w:fill="auto"/>
            <w:noWrap/>
            <w:vAlign w:val="bottom"/>
            <w:hideMark/>
          </w:tcPr>
          <w:p w14:paraId="106266BC" w14:textId="77777777" w:rsidR="008E2E6E" w:rsidRPr="008E2E6E" w:rsidRDefault="008E2E6E" w:rsidP="008E2E6E">
            <w:pPr>
              <w:spacing w:line="240" w:lineRule="auto"/>
              <w:rPr>
                <w:rFonts w:ascii="Aptos Narrow" w:eastAsia="Times New Roman" w:hAnsi="Aptos Narrow" w:cs="Times New Roman"/>
                <w:color w:val="000000"/>
                <w:sz w:val="18"/>
                <w:szCs w:val="18"/>
                <w:lang w:val="de-DE" w:eastAsia="de-DE"/>
              </w:rPr>
            </w:pPr>
            <w:r w:rsidRPr="008E2E6E">
              <w:rPr>
                <w:rFonts w:ascii="Aptos Narrow" w:eastAsia="Times New Roman" w:hAnsi="Aptos Narrow" w:cs="Times New Roman"/>
                <w:color w:val="000000"/>
                <w:sz w:val="18"/>
                <w:szCs w:val="18"/>
                <w:lang w:val="de-DE" w:eastAsia="de-DE"/>
              </w:rPr>
              <w:t>0.005</w:t>
            </w:r>
          </w:p>
        </w:tc>
        <w:tc>
          <w:tcPr>
            <w:tcW w:w="452" w:type="pct"/>
            <w:tcBorders>
              <w:top w:val="nil"/>
              <w:left w:val="nil"/>
              <w:bottom w:val="nil"/>
              <w:right w:val="nil"/>
            </w:tcBorders>
            <w:shd w:val="clear" w:color="auto" w:fill="auto"/>
            <w:noWrap/>
            <w:vAlign w:val="bottom"/>
            <w:hideMark/>
          </w:tcPr>
          <w:p w14:paraId="2A0BEF93" w14:textId="77777777" w:rsidR="008E2E6E" w:rsidRPr="008E2E6E" w:rsidRDefault="008E2E6E" w:rsidP="008E2E6E">
            <w:pPr>
              <w:spacing w:line="240" w:lineRule="auto"/>
              <w:rPr>
                <w:rFonts w:ascii="Aptos Narrow" w:eastAsia="Times New Roman" w:hAnsi="Aptos Narrow" w:cs="Times New Roman"/>
                <w:color w:val="000000"/>
                <w:sz w:val="18"/>
                <w:szCs w:val="18"/>
                <w:lang w:val="de-DE" w:eastAsia="de-DE"/>
              </w:rPr>
            </w:pPr>
            <w:r w:rsidRPr="008E2E6E">
              <w:rPr>
                <w:rFonts w:ascii="Aptos Narrow" w:eastAsia="Times New Roman" w:hAnsi="Aptos Narrow" w:cs="Times New Roman"/>
                <w:color w:val="000000"/>
                <w:sz w:val="18"/>
                <w:szCs w:val="18"/>
                <w:lang w:val="de-DE" w:eastAsia="de-DE"/>
              </w:rPr>
              <w:t>0.006</w:t>
            </w:r>
          </w:p>
        </w:tc>
        <w:tc>
          <w:tcPr>
            <w:tcW w:w="452" w:type="pct"/>
            <w:tcBorders>
              <w:top w:val="nil"/>
              <w:left w:val="nil"/>
              <w:bottom w:val="nil"/>
              <w:right w:val="nil"/>
            </w:tcBorders>
            <w:shd w:val="clear" w:color="auto" w:fill="auto"/>
            <w:noWrap/>
            <w:vAlign w:val="bottom"/>
            <w:hideMark/>
          </w:tcPr>
          <w:p w14:paraId="26F29380" w14:textId="77777777" w:rsidR="008E2E6E" w:rsidRPr="008E2E6E" w:rsidRDefault="008E2E6E" w:rsidP="008E2E6E">
            <w:pPr>
              <w:spacing w:line="240" w:lineRule="auto"/>
              <w:rPr>
                <w:rFonts w:ascii="Aptos Narrow" w:eastAsia="Times New Roman" w:hAnsi="Aptos Narrow" w:cs="Times New Roman"/>
                <w:color w:val="000000"/>
                <w:sz w:val="18"/>
                <w:szCs w:val="18"/>
                <w:lang w:val="de-DE" w:eastAsia="de-DE"/>
              </w:rPr>
            </w:pPr>
            <w:r w:rsidRPr="008E2E6E">
              <w:rPr>
                <w:rFonts w:ascii="Aptos Narrow" w:eastAsia="Times New Roman" w:hAnsi="Aptos Narrow" w:cs="Times New Roman"/>
                <w:color w:val="000000"/>
                <w:sz w:val="18"/>
                <w:szCs w:val="18"/>
                <w:lang w:val="de-DE" w:eastAsia="de-DE"/>
              </w:rPr>
              <w:t>0.006</w:t>
            </w:r>
          </w:p>
        </w:tc>
      </w:tr>
      <w:tr w:rsidR="008E2E6E" w:rsidRPr="008E2E6E" w14:paraId="798E8AAA" w14:textId="77777777" w:rsidTr="008E2E6E">
        <w:trPr>
          <w:trHeight w:val="288"/>
        </w:trPr>
        <w:tc>
          <w:tcPr>
            <w:tcW w:w="1396" w:type="pct"/>
            <w:tcBorders>
              <w:top w:val="nil"/>
              <w:left w:val="nil"/>
              <w:bottom w:val="nil"/>
              <w:right w:val="nil"/>
            </w:tcBorders>
            <w:shd w:val="clear" w:color="auto" w:fill="auto"/>
            <w:noWrap/>
            <w:vAlign w:val="bottom"/>
            <w:hideMark/>
          </w:tcPr>
          <w:p w14:paraId="0B851556" w14:textId="77777777" w:rsidR="008E2E6E" w:rsidRPr="008E2E6E" w:rsidRDefault="008E2E6E" w:rsidP="008E2E6E">
            <w:pPr>
              <w:spacing w:line="240" w:lineRule="auto"/>
              <w:rPr>
                <w:rFonts w:ascii="Aptos Narrow" w:eastAsia="Times New Roman" w:hAnsi="Aptos Narrow" w:cs="Times New Roman"/>
                <w:color w:val="000000"/>
                <w:sz w:val="18"/>
                <w:szCs w:val="18"/>
                <w:lang w:val="de-DE" w:eastAsia="de-DE"/>
              </w:rPr>
            </w:pPr>
          </w:p>
        </w:tc>
        <w:tc>
          <w:tcPr>
            <w:tcW w:w="452" w:type="pct"/>
            <w:tcBorders>
              <w:top w:val="nil"/>
              <w:left w:val="nil"/>
              <w:bottom w:val="nil"/>
              <w:right w:val="nil"/>
            </w:tcBorders>
            <w:shd w:val="clear" w:color="auto" w:fill="auto"/>
            <w:noWrap/>
            <w:vAlign w:val="bottom"/>
            <w:hideMark/>
          </w:tcPr>
          <w:p w14:paraId="0B904835" w14:textId="77777777" w:rsidR="008E2E6E" w:rsidRPr="008E2E6E" w:rsidRDefault="008E2E6E" w:rsidP="008E2E6E">
            <w:pPr>
              <w:spacing w:line="240" w:lineRule="auto"/>
              <w:rPr>
                <w:rFonts w:ascii="Aptos Narrow" w:eastAsia="Times New Roman" w:hAnsi="Aptos Narrow" w:cs="Times New Roman"/>
                <w:color w:val="000000"/>
                <w:sz w:val="18"/>
                <w:szCs w:val="18"/>
                <w:lang w:val="de-DE" w:eastAsia="de-DE"/>
              </w:rPr>
            </w:pPr>
            <w:r w:rsidRPr="008E2E6E">
              <w:rPr>
                <w:rFonts w:ascii="Aptos Narrow" w:eastAsia="Times New Roman" w:hAnsi="Aptos Narrow" w:cs="Times New Roman"/>
                <w:color w:val="000000"/>
                <w:sz w:val="18"/>
                <w:szCs w:val="18"/>
                <w:lang w:val="de-DE" w:eastAsia="de-DE"/>
              </w:rPr>
              <w:t>(0.340)</w:t>
            </w:r>
          </w:p>
        </w:tc>
        <w:tc>
          <w:tcPr>
            <w:tcW w:w="448" w:type="pct"/>
            <w:tcBorders>
              <w:top w:val="nil"/>
              <w:left w:val="nil"/>
              <w:bottom w:val="nil"/>
              <w:right w:val="nil"/>
            </w:tcBorders>
            <w:shd w:val="clear" w:color="auto" w:fill="auto"/>
            <w:noWrap/>
            <w:vAlign w:val="bottom"/>
            <w:hideMark/>
          </w:tcPr>
          <w:p w14:paraId="392EC311" w14:textId="77777777" w:rsidR="008E2E6E" w:rsidRPr="008E2E6E" w:rsidRDefault="008E2E6E" w:rsidP="008E2E6E">
            <w:pPr>
              <w:spacing w:line="240" w:lineRule="auto"/>
              <w:rPr>
                <w:rFonts w:ascii="Aptos Narrow" w:eastAsia="Times New Roman" w:hAnsi="Aptos Narrow" w:cs="Times New Roman"/>
                <w:color w:val="000000"/>
                <w:sz w:val="18"/>
                <w:szCs w:val="18"/>
                <w:lang w:val="de-DE" w:eastAsia="de-DE"/>
              </w:rPr>
            </w:pPr>
            <w:r w:rsidRPr="008E2E6E">
              <w:rPr>
                <w:rFonts w:ascii="Aptos Narrow" w:eastAsia="Times New Roman" w:hAnsi="Aptos Narrow" w:cs="Times New Roman"/>
                <w:color w:val="000000"/>
                <w:sz w:val="18"/>
                <w:szCs w:val="18"/>
                <w:lang w:val="de-DE" w:eastAsia="de-DE"/>
              </w:rPr>
              <w:t>(0.829)</w:t>
            </w:r>
          </w:p>
        </w:tc>
        <w:tc>
          <w:tcPr>
            <w:tcW w:w="449" w:type="pct"/>
            <w:tcBorders>
              <w:top w:val="nil"/>
              <w:left w:val="nil"/>
              <w:bottom w:val="nil"/>
              <w:right w:val="nil"/>
            </w:tcBorders>
            <w:shd w:val="clear" w:color="auto" w:fill="auto"/>
            <w:noWrap/>
            <w:vAlign w:val="bottom"/>
            <w:hideMark/>
          </w:tcPr>
          <w:p w14:paraId="51FE244A" w14:textId="77777777" w:rsidR="008E2E6E" w:rsidRPr="008E2E6E" w:rsidRDefault="008E2E6E" w:rsidP="008E2E6E">
            <w:pPr>
              <w:spacing w:line="240" w:lineRule="auto"/>
              <w:rPr>
                <w:rFonts w:ascii="Aptos Narrow" w:eastAsia="Times New Roman" w:hAnsi="Aptos Narrow" w:cs="Times New Roman"/>
                <w:color w:val="000000"/>
                <w:sz w:val="18"/>
                <w:szCs w:val="18"/>
                <w:lang w:val="de-DE" w:eastAsia="de-DE"/>
              </w:rPr>
            </w:pPr>
            <w:r w:rsidRPr="008E2E6E">
              <w:rPr>
                <w:rFonts w:ascii="Aptos Narrow" w:eastAsia="Times New Roman" w:hAnsi="Aptos Narrow" w:cs="Times New Roman"/>
                <w:color w:val="000000"/>
                <w:sz w:val="18"/>
                <w:szCs w:val="18"/>
                <w:lang w:val="de-DE" w:eastAsia="de-DE"/>
              </w:rPr>
              <w:t>(0.802)</w:t>
            </w:r>
          </w:p>
        </w:tc>
        <w:tc>
          <w:tcPr>
            <w:tcW w:w="449" w:type="pct"/>
            <w:tcBorders>
              <w:top w:val="nil"/>
              <w:left w:val="nil"/>
              <w:bottom w:val="nil"/>
              <w:right w:val="nil"/>
            </w:tcBorders>
            <w:shd w:val="clear" w:color="auto" w:fill="auto"/>
            <w:noWrap/>
            <w:vAlign w:val="bottom"/>
            <w:hideMark/>
          </w:tcPr>
          <w:p w14:paraId="1DC2FECE" w14:textId="77777777" w:rsidR="008E2E6E" w:rsidRPr="008E2E6E" w:rsidRDefault="008E2E6E" w:rsidP="008E2E6E">
            <w:pPr>
              <w:spacing w:line="240" w:lineRule="auto"/>
              <w:rPr>
                <w:rFonts w:ascii="Aptos Narrow" w:eastAsia="Times New Roman" w:hAnsi="Aptos Narrow" w:cs="Times New Roman"/>
                <w:color w:val="000000"/>
                <w:sz w:val="18"/>
                <w:szCs w:val="18"/>
                <w:lang w:val="de-DE" w:eastAsia="de-DE"/>
              </w:rPr>
            </w:pPr>
            <w:r w:rsidRPr="008E2E6E">
              <w:rPr>
                <w:rFonts w:ascii="Aptos Narrow" w:eastAsia="Times New Roman" w:hAnsi="Aptos Narrow" w:cs="Times New Roman"/>
                <w:color w:val="000000"/>
                <w:sz w:val="18"/>
                <w:szCs w:val="18"/>
                <w:lang w:val="de-DE" w:eastAsia="de-DE"/>
              </w:rPr>
              <w:t>(0.787)</w:t>
            </w:r>
          </w:p>
        </w:tc>
        <w:tc>
          <w:tcPr>
            <w:tcW w:w="452" w:type="pct"/>
            <w:tcBorders>
              <w:top w:val="nil"/>
              <w:left w:val="nil"/>
              <w:bottom w:val="nil"/>
              <w:right w:val="nil"/>
            </w:tcBorders>
            <w:shd w:val="clear" w:color="auto" w:fill="auto"/>
            <w:noWrap/>
            <w:vAlign w:val="bottom"/>
            <w:hideMark/>
          </w:tcPr>
          <w:p w14:paraId="5CB5E918" w14:textId="77777777" w:rsidR="008E2E6E" w:rsidRPr="008E2E6E" w:rsidRDefault="008E2E6E" w:rsidP="008E2E6E">
            <w:pPr>
              <w:spacing w:line="240" w:lineRule="auto"/>
              <w:rPr>
                <w:rFonts w:ascii="Aptos Narrow" w:eastAsia="Times New Roman" w:hAnsi="Aptos Narrow" w:cs="Times New Roman"/>
                <w:color w:val="000000"/>
                <w:sz w:val="18"/>
                <w:szCs w:val="18"/>
                <w:lang w:val="de-DE" w:eastAsia="de-DE"/>
              </w:rPr>
            </w:pPr>
            <w:r w:rsidRPr="008E2E6E">
              <w:rPr>
                <w:rFonts w:ascii="Aptos Narrow" w:eastAsia="Times New Roman" w:hAnsi="Aptos Narrow" w:cs="Times New Roman"/>
                <w:color w:val="000000"/>
                <w:sz w:val="18"/>
                <w:szCs w:val="18"/>
                <w:lang w:val="de-DE" w:eastAsia="de-DE"/>
              </w:rPr>
              <w:t>(0.250)</w:t>
            </w:r>
          </w:p>
        </w:tc>
        <w:tc>
          <w:tcPr>
            <w:tcW w:w="452" w:type="pct"/>
            <w:tcBorders>
              <w:top w:val="nil"/>
              <w:left w:val="nil"/>
              <w:bottom w:val="nil"/>
              <w:right w:val="nil"/>
            </w:tcBorders>
            <w:shd w:val="clear" w:color="auto" w:fill="auto"/>
            <w:noWrap/>
            <w:vAlign w:val="bottom"/>
            <w:hideMark/>
          </w:tcPr>
          <w:p w14:paraId="49BC29C4" w14:textId="77777777" w:rsidR="008E2E6E" w:rsidRPr="008E2E6E" w:rsidRDefault="008E2E6E" w:rsidP="008E2E6E">
            <w:pPr>
              <w:spacing w:line="240" w:lineRule="auto"/>
              <w:rPr>
                <w:rFonts w:ascii="Aptos Narrow" w:eastAsia="Times New Roman" w:hAnsi="Aptos Narrow" w:cs="Times New Roman"/>
                <w:color w:val="000000"/>
                <w:sz w:val="18"/>
                <w:szCs w:val="18"/>
                <w:lang w:val="de-DE" w:eastAsia="de-DE"/>
              </w:rPr>
            </w:pPr>
            <w:r w:rsidRPr="008E2E6E">
              <w:rPr>
                <w:rFonts w:ascii="Aptos Narrow" w:eastAsia="Times New Roman" w:hAnsi="Aptos Narrow" w:cs="Times New Roman"/>
                <w:color w:val="000000"/>
                <w:sz w:val="18"/>
                <w:szCs w:val="18"/>
                <w:lang w:val="de-DE" w:eastAsia="de-DE"/>
              </w:rPr>
              <w:t>(0.704)</w:t>
            </w:r>
          </w:p>
        </w:tc>
        <w:tc>
          <w:tcPr>
            <w:tcW w:w="452" w:type="pct"/>
            <w:tcBorders>
              <w:top w:val="nil"/>
              <w:left w:val="nil"/>
              <w:bottom w:val="nil"/>
              <w:right w:val="nil"/>
            </w:tcBorders>
            <w:shd w:val="clear" w:color="auto" w:fill="auto"/>
            <w:noWrap/>
            <w:vAlign w:val="bottom"/>
            <w:hideMark/>
          </w:tcPr>
          <w:p w14:paraId="529B1B32" w14:textId="77777777" w:rsidR="008E2E6E" w:rsidRPr="008E2E6E" w:rsidRDefault="008E2E6E" w:rsidP="008E2E6E">
            <w:pPr>
              <w:spacing w:line="240" w:lineRule="auto"/>
              <w:rPr>
                <w:rFonts w:ascii="Aptos Narrow" w:eastAsia="Times New Roman" w:hAnsi="Aptos Narrow" w:cs="Times New Roman"/>
                <w:color w:val="000000"/>
                <w:sz w:val="18"/>
                <w:szCs w:val="18"/>
                <w:lang w:val="de-DE" w:eastAsia="de-DE"/>
              </w:rPr>
            </w:pPr>
            <w:r w:rsidRPr="008E2E6E">
              <w:rPr>
                <w:rFonts w:ascii="Aptos Narrow" w:eastAsia="Times New Roman" w:hAnsi="Aptos Narrow" w:cs="Times New Roman"/>
                <w:color w:val="000000"/>
                <w:sz w:val="18"/>
                <w:szCs w:val="18"/>
                <w:lang w:val="de-DE" w:eastAsia="de-DE"/>
              </w:rPr>
              <w:t>(0.680)</w:t>
            </w:r>
          </w:p>
        </w:tc>
        <w:tc>
          <w:tcPr>
            <w:tcW w:w="452" w:type="pct"/>
            <w:tcBorders>
              <w:top w:val="nil"/>
              <w:left w:val="nil"/>
              <w:bottom w:val="nil"/>
              <w:right w:val="nil"/>
            </w:tcBorders>
            <w:shd w:val="clear" w:color="auto" w:fill="auto"/>
            <w:noWrap/>
            <w:vAlign w:val="bottom"/>
            <w:hideMark/>
          </w:tcPr>
          <w:p w14:paraId="236F2296" w14:textId="77777777" w:rsidR="008E2E6E" w:rsidRPr="008E2E6E" w:rsidRDefault="008E2E6E" w:rsidP="008E2E6E">
            <w:pPr>
              <w:spacing w:line="240" w:lineRule="auto"/>
              <w:rPr>
                <w:rFonts w:ascii="Aptos Narrow" w:eastAsia="Times New Roman" w:hAnsi="Aptos Narrow" w:cs="Times New Roman"/>
                <w:color w:val="000000"/>
                <w:sz w:val="18"/>
                <w:szCs w:val="18"/>
                <w:lang w:val="de-DE" w:eastAsia="de-DE"/>
              </w:rPr>
            </w:pPr>
            <w:r w:rsidRPr="008E2E6E">
              <w:rPr>
                <w:rFonts w:ascii="Aptos Narrow" w:eastAsia="Times New Roman" w:hAnsi="Aptos Narrow" w:cs="Times New Roman"/>
                <w:color w:val="000000"/>
                <w:sz w:val="18"/>
                <w:szCs w:val="18"/>
                <w:lang w:val="de-DE" w:eastAsia="de-DE"/>
              </w:rPr>
              <w:t>(0.669)</w:t>
            </w:r>
          </w:p>
        </w:tc>
      </w:tr>
      <w:tr w:rsidR="008E2E6E" w:rsidRPr="008E2E6E" w14:paraId="73B1DE2F" w14:textId="77777777" w:rsidTr="008E2E6E">
        <w:trPr>
          <w:trHeight w:val="288"/>
        </w:trPr>
        <w:tc>
          <w:tcPr>
            <w:tcW w:w="1396" w:type="pct"/>
            <w:tcBorders>
              <w:top w:val="nil"/>
              <w:left w:val="nil"/>
              <w:bottom w:val="nil"/>
              <w:right w:val="nil"/>
            </w:tcBorders>
            <w:shd w:val="clear" w:color="auto" w:fill="auto"/>
            <w:noWrap/>
            <w:vAlign w:val="bottom"/>
            <w:hideMark/>
          </w:tcPr>
          <w:p w14:paraId="6C6A821C" w14:textId="77777777" w:rsidR="008E2E6E" w:rsidRPr="008E2E6E" w:rsidRDefault="008E2E6E" w:rsidP="008E2E6E">
            <w:pPr>
              <w:spacing w:line="240" w:lineRule="auto"/>
              <w:rPr>
                <w:rFonts w:ascii="Aptos Narrow" w:eastAsia="Times New Roman" w:hAnsi="Aptos Narrow" w:cs="Times New Roman"/>
                <w:color w:val="000000"/>
                <w:sz w:val="18"/>
                <w:szCs w:val="18"/>
                <w:lang w:val="de-DE" w:eastAsia="de-DE"/>
              </w:rPr>
            </w:pPr>
            <w:r w:rsidRPr="008E2E6E">
              <w:rPr>
                <w:rFonts w:ascii="Aptos Narrow" w:eastAsia="Times New Roman" w:hAnsi="Aptos Narrow" w:cs="Times New Roman"/>
                <w:color w:val="000000"/>
                <w:sz w:val="18"/>
                <w:szCs w:val="18"/>
                <w:lang w:val="de-DE" w:eastAsia="de-DE"/>
              </w:rPr>
              <w:t xml:space="preserve">Sharing </w:t>
            </w:r>
            <w:proofErr w:type="spellStart"/>
            <w:r w:rsidRPr="008E2E6E">
              <w:rPr>
                <w:rFonts w:ascii="Aptos Narrow" w:eastAsia="Times New Roman" w:hAnsi="Aptos Narrow" w:cs="Times New Roman"/>
                <w:color w:val="000000"/>
                <w:sz w:val="18"/>
                <w:szCs w:val="18"/>
                <w:lang w:val="de-DE" w:eastAsia="de-DE"/>
              </w:rPr>
              <w:t>data</w:t>
            </w:r>
            <w:proofErr w:type="spellEnd"/>
            <w:r w:rsidRPr="008E2E6E">
              <w:rPr>
                <w:rFonts w:ascii="Aptos Narrow" w:eastAsia="Times New Roman" w:hAnsi="Aptos Narrow" w:cs="Times New Roman"/>
                <w:color w:val="000000"/>
                <w:sz w:val="18"/>
                <w:szCs w:val="18"/>
                <w:lang w:val="de-DE" w:eastAsia="de-DE"/>
              </w:rPr>
              <w:t xml:space="preserve"> </w:t>
            </w:r>
            <w:proofErr w:type="spellStart"/>
            <w:r w:rsidRPr="008E2E6E">
              <w:rPr>
                <w:rFonts w:ascii="Aptos Narrow" w:eastAsia="Times New Roman" w:hAnsi="Aptos Narrow" w:cs="Times New Roman"/>
                <w:color w:val="000000"/>
                <w:sz w:val="18"/>
                <w:szCs w:val="18"/>
                <w:lang w:val="de-DE" w:eastAsia="de-DE"/>
              </w:rPr>
              <w:t>protection</w:t>
            </w:r>
            <w:proofErr w:type="spellEnd"/>
          </w:p>
        </w:tc>
        <w:tc>
          <w:tcPr>
            <w:tcW w:w="452" w:type="pct"/>
            <w:tcBorders>
              <w:top w:val="nil"/>
              <w:left w:val="nil"/>
              <w:bottom w:val="nil"/>
              <w:right w:val="nil"/>
            </w:tcBorders>
            <w:shd w:val="clear" w:color="auto" w:fill="auto"/>
            <w:noWrap/>
            <w:vAlign w:val="bottom"/>
            <w:hideMark/>
          </w:tcPr>
          <w:p w14:paraId="4D0E4ACE" w14:textId="77777777" w:rsidR="008E2E6E" w:rsidRPr="008E2E6E" w:rsidRDefault="008E2E6E" w:rsidP="008E2E6E">
            <w:pPr>
              <w:spacing w:line="240" w:lineRule="auto"/>
              <w:rPr>
                <w:rFonts w:ascii="Aptos Narrow" w:eastAsia="Times New Roman" w:hAnsi="Aptos Narrow" w:cs="Times New Roman"/>
                <w:color w:val="000000"/>
                <w:sz w:val="18"/>
                <w:szCs w:val="18"/>
                <w:lang w:val="de-DE" w:eastAsia="de-DE"/>
              </w:rPr>
            </w:pPr>
            <w:r w:rsidRPr="008E2E6E">
              <w:rPr>
                <w:rFonts w:ascii="Aptos Narrow" w:eastAsia="Times New Roman" w:hAnsi="Aptos Narrow" w:cs="Times New Roman"/>
                <w:color w:val="000000"/>
                <w:sz w:val="18"/>
                <w:szCs w:val="18"/>
                <w:lang w:val="de-DE" w:eastAsia="de-DE"/>
              </w:rPr>
              <w:t>-0.065**</w:t>
            </w:r>
          </w:p>
        </w:tc>
        <w:tc>
          <w:tcPr>
            <w:tcW w:w="448" w:type="pct"/>
            <w:tcBorders>
              <w:top w:val="nil"/>
              <w:left w:val="nil"/>
              <w:bottom w:val="nil"/>
              <w:right w:val="nil"/>
            </w:tcBorders>
            <w:shd w:val="clear" w:color="auto" w:fill="auto"/>
            <w:noWrap/>
            <w:vAlign w:val="bottom"/>
            <w:hideMark/>
          </w:tcPr>
          <w:p w14:paraId="3858AA90" w14:textId="77777777" w:rsidR="008E2E6E" w:rsidRPr="008E2E6E" w:rsidRDefault="008E2E6E" w:rsidP="008E2E6E">
            <w:pPr>
              <w:spacing w:line="240" w:lineRule="auto"/>
              <w:rPr>
                <w:rFonts w:ascii="Aptos Narrow" w:eastAsia="Times New Roman" w:hAnsi="Aptos Narrow" w:cs="Times New Roman"/>
                <w:color w:val="000000"/>
                <w:sz w:val="18"/>
                <w:szCs w:val="18"/>
                <w:lang w:val="de-DE" w:eastAsia="de-DE"/>
              </w:rPr>
            </w:pPr>
            <w:r w:rsidRPr="008E2E6E">
              <w:rPr>
                <w:rFonts w:ascii="Aptos Narrow" w:eastAsia="Times New Roman" w:hAnsi="Aptos Narrow" w:cs="Times New Roman"/>
                <w:color w:val="000000"/>
                <w:sz w:val="18"/>
                <w:szCs w:val="18"/>
                <w:lang w:val="de-DE" w:eastAsia="de-DE"/>
              </w:rPr>
              <w:t>-0.044*</w:t>
            </w:r>
          </w:p>
        </w:tc>
        <w:tc>
          <w:tcPr>
            <w:tcW w:w="449" w:type="pct"/>
            <w:tcBorders>
              <w:top w:val="nil"/>
              <w:left w:val="nil"/>
              <w:bottom w:val="nil"/>
              <w:right w:val="nil"/>
            </w:tcBorders>
            <w:shd w:val="clear" w:color="auto" w:fill="auto"/>
            <w:noWrap/>
            <w:vAlign w:val="bottom"/>
            <w:hideMark/>
          </w:tcPr>
          <w:p w14:paraId="3C94151A" w14:textId="77777777" w:rsidR="008E2E6E" w:rsidRPr="008E2E6E" w:rsidRDefault="008E2E6E" w:rsidP="008E2E6E">
            <w:pPr>
              <w:spacing w:line="240" w:lineRule="auto"/>
              <w:rPr>
                <w:rFonts w:ascii="Aptos Narrow" w:eastAsia="Times New Roman" w:hAnsi="Aptos Narrow" w:cs="Times New Roman"/>
                <w:color w:val="000000"/>
                <w:sz w:val="18"/>
                <w:szCs w:val="18"/>
                <w:lang w:val="de-DE" w:eastAsia="de-DE"/>
              </w:rPr>
            </w:pPr>
            <w:r w:rsidRPr="008E2E6E">
              <w:rPr>
                <w:rFonts w:ascii="Aptos Narrow" w:eastAsia="Times New Roman" w:hAnsi="Aptos Narrow" w:cs="Times New Roman"/>
                <w:color w:val="000000"/>
                <w:sz w:val="18"/>
                <w:szCs w:val="18"/>
                <w:lang w:val="de-DE" w:eastAsia="de-DE"/>
              </w:rPr>
              <w:t>-0.045*</w:t>
            </w:r>
          </w:p>
        </w:tc>
        <w:tc>
          <w:tcPr>
            <w:tcW w:w="449" w:type="pct"/>
            <w:tcBorders>
              <w:top w:val="nil"/>
              <w:left w:val="nil"/>
              <w:bottom w:val="nil"/>
              <w:right w:val="nil"/>
            </w:tcBorders>
            <w:shd w:val="clear" w:color="auto" w:fill="auto"/>
            <w:noWrap/>
            <w:vAlign w:val="bottom"/>
            <w:hideMark/>
          </w:tcPr>
          <w:p w14:paraId="17FA6887" w14:textId="77777777" w:rsidR="008E2E6E" w:rsidRPr="008E2E6E" w:rsidRDefault="008E2E6E" w:rsidP="008E2E6E">
            <w:pPr>
              <w:spacing w:line="240" w:lineRule="auto"/>
              <w:rPr>
                <w:rFonts w:ascii="Aptos Narrow" w:eastAsia="Times New Roman" w:hAnsi="Aptos Narrow" w:cs="Times New Roman"/>
                <w:color w:val="000000"/>
                <w:sz w:val="18"/>
                <w:szCs w:val="18"/>
                <w:lang w:val="de-DE" w:eastAsia="de-DE"/>
              </w:rPr>
            </w:pPr>
            <w:r w:rsidRPr="008E2E6E">
              <w:rPr>
                <w:rFonts w:ascii="Aptos Narrow" w:eastAsia="Times New Roman" w:hAnsi="Aptos Narrow" w:cs="Times New Roman"/>
                <w:color w:val="000000"/>
                <w:sz w:val="18"/>
                <w:szCs w:val="18"/>
                <w:lang w:val="de-DE" w:eastAsia="de-DE"/>
              </w:rPr>
              <w:t>-0.045*</w:t>
            </w:r>
          </w:p>
        </w:tc>
        <w:tc>
          <w:tcPr>
            <w:tcW w:w="452" w:type="pct"/>
            <w:tcBorders>
              <w:top w:val="nil"/>
              <w:left w:val="nil"/>
              <w:bottom w:val="nil"/>
              <w:right w:val="nil"/>
            </w:tcBorders>
            <w:shd w:val="clear" w:color="auto" w:fill="auto"/>
            <w:noWrap/>
            <w:vAlign w:val="bottom"/>
            <w:hideMark/>
          </w:tcPr>
          <w:p w14:paraId="7C88D3F6" w14:textId="77777777" w:rsidR="008E2E6E" w:rsidRPr="008E2E6E" w:rsidRDefault="008E2E6E" w:rsidP="008E2E6E">
            <w:pPr>
              <w:spacing w:line="240" w:lineRule="auto"/>
              <w:rPr>
                <w:rFonts w:ascii="Aptos Narrow" w:eastAsia="Times New Roman" w:hAnsi="Aptos Narrow" w:cs="Times New Roman"/>
                <w:color w:val="000000"/>
                <w:sz w:val="18"/>
                <w:szCs w:val="18"/>
                <w:lang w:val="de-DE" w:eastAsia="de-DE"/>
              </w:rPr>
            </w:pPr>
            <w:r w:rsidRPr="008E2E6E">
              <w:rPr>
                <w:rFonts w:ascii="Aptos Narrow" w:eastAsia="Times New Roman" w:hAnsi="Aptos Narrow" w:cs="Times New Roman"/>
                <w:color w:val="000000"/>
                <w:sz w:val="18"/>
                <w:szCs w:val="18"/>
                <w:lang w:val="de-DE" w:eastAsia="de-DE"/>
              </w:rPr>
              <w:t>0.041</w:t>
            </w:r>
          </w:p>
        </w:tc>
        <w:tc>
          <w:tcPr>
            <w:tcW w:w="452" w:type="pct"/>
            <w:tcBorders>
              <w:top w:val="nil"/>
              <w:left w:val="nil"/>
              <w:bottom w:val="nil"/>
              <w:right w:val="nil"/>
            </w:tcBorders>
            <w:shd w:val="clear" w:color="auto" w:fill="auto"/>
            <w:noWrap/>
            <w:vAlign w:val="bottom"/>
            <w:hideMark/>
          </w:tcPr>
          <w:p w14:paraId="28388B2A" w14:textId="77777777" w:rsidR="008E2E6E" w:rsidRPr="008E2E6E" w:rsidRDefault="008E2E6E" w:rsidP="008E2E6E">
            <w:pPr>
              <w:spacing w:line="240" w:lineRule="auto"/>
              <w:rPr>
                <w:rFonts w:ascii="Aptos Narrow" w:eastAsia="Times New Roman" w:hAnsi="Aptos Narrow" w:cs="Times New Roman"/>
                <w:color w:val="000000"/>
                <w:sz w:val="18"/>
                <w:szCs w:val="18"/>
                <w:lang w:val="de-DE" w:eastAsia="de-DE"/>
              </w:rPr>
            </w:pPr>
            <w:r w:rsidRPr="008E2E6E">
              <w:rPr>
                <w:rFonts w:ascii="Aptos Narrow" w:eastAsia="Times New Roman" w:hAnsi="Aptos Narrow" w:cs="Times New Roman"/>
                <w:color w:val="000000"/>
                <w:sz w:val="18"/>
                <w:szCs w:val="18"/>
                <w:lang w:val="de-DE" w:eastAsia="de-DE"/>
              </w:rPr>
              <w:t>0.064</w:t>
            </w:r>
          </w:p>
        </w:tc>
        <w:tc>
          <w:tcPr>
            <w:tcW w:w="452" w:type="pct"/>
            <w:tcBorders>
              <w:top w:val="nil"/>
              <w:left w:val="nil"/>
              <w:bottom w:val="nil"/>
              <w:right w:val="nil"/>
            </w:tcBorders>
            <w:shd w:val="clear" w:color="auto" w:fill="auto"/>
            <w:noWrap/>
            <w:vAlign w:val="bottom"/>
            <w:hideMark/>
          </w:tcPr>
          <w:p w14:paraId="1C3F9B68" w14:textId="77777777" w:rsidR="008E2E6E" w:rsidRPr="008E2E6E" w:rsidRDefault="008E2E6E" w:rsidP="008E2E6E">
            <w:pPr>
              <w:spacing w:line="240" w:lineRule="auto"/>
              <w:rPr>
                <w:rFonts w:ascii="Aptos Narrow" w:eastAsia="Times New Roman" w:hAnsi="Aptos Narrow" w:cs="Times New Roman"/>
                <w:color w:val="000000"/>
                <w:sz w:val="18"/>
                <w:szCs w:val="18"/>
                <w:lang w:val="de-DE" w:eastAsia="de-DE"/>
              </w:rPr>
            </w:pPr>
            <w:r w:rsidRPr="008E2E6E">
              <w:rPr>
                <w:rFonts w:ascii="Aptos Narrow" w:eastAsia="Times New Roman" w:hAnsi="Aptos Narrow" w:cs="Times New Roman"/>
                <w:color w:val="000000"/>
                <w:sz w:val="18"/>
                <w:szCs w:val="18"/>
                <w:lang w:val="de-DE" w:eastAsia="de-DE"/>
              </w:rPr>
              <w:t>0.064</w:t>
            </w:r>
          </w:p>
        </w:tc>
        <w:tc>
          <w:tcPr>
            <w:tcW w:w="452" w:type="pct"/>
            <w:tcBorders>
              <w:top w:val="nil"/>
              <w:left w:val="nil"/>
              <w:bottom w:val="nil"/>
              <w:right w:val="nil"/>
            </w:tcBorders>
            <w:shd w:val="clear" w:color="auto" w:fill="auto"/>
            <w:noWrap/>
            <w:vAlign w:val="bottom"/>
            <w:hideMark/>
          </w:tcPr>
          <w:p w14:paraId="4F39B3C1" w14:textId="77777777" w:rsidR="008E2E6E" w:rsidRPr="008E2E6E" w:rsidRDefault="008E2E6E" w:rsidP="008E2E6E">
            <w:pPr>
              <w:spacing w:line="240" w:lineRule="auto"/>
              <w:rPr>
                <w:rFonts w:ascii="Aptos Narrow" w:eastAsia="Times New Roman" w:hAnsi="Aptos Narrow" w:cs="Times New Roman"/>
                <w:color w:val="000000"/>
                <w:sz w:val="18"/>
                <w:szCs w:val="18"/>
                <w:lang w:val="de-DE" w:eastAsia="de-DE"/>
              </w:rPr>
            </w:pPr>
            <w:r w:rsidRPr="008E2E6E">
              <w:rPr>
                <w:rFonts w:ascii="Aptos Narrow" w:eastAsia="Times New Roman" w:hAnsi="Aptos Narrow" w:cs="Times New Roman"/>
                <w:color w:val="000000"/>
                <w:sz w:val="18"/>
                <w:szCs w:val="18"/>
                <w:lang w:val="de-DE" w:eastAsia="de-DE"/>
              </w:rPr>
              <w:t>0.064</w:t>
            </w:r>
          </w:p>
        </w:tc>
      </w:tr>
      <w:tr w:rsidR="008E2E6E" w:rsidRPr="008E2E6E" w14:paraId="47AAC21C" w14:textId="77777777" w:rsidTr="008E2E6E">
        <w:trPr>
          <w:trHeight w:val="288"/>
        </w:trPr>
        <w:tc>
          <w:tcPr>
            <w:tcW w:w="1396" w:type="pct"/>
            <w:tcBorders>
              <w:top w:val="nil"/>
              <w:left w:val="nil"/>
              <w:bottom w:val="nil"/>
              <w:right w:val="nil"/>
            </w:tcBorders>
            <w:shd w:val="clear" w:color="auto" w:fill="auto"/>
            <w:noWrap/>
            <w:vAlign w:val="bottom"/>
            <w:hideMark/>
          </w:tcPr>
          <w:p w14:paraId="09A5A092" w14:textId="77777777" w:rsidR="008E2E6E" w:rsidRPr="008E2E6E" w:rsidRDefault="008E2E6E" w:rsidP="008E2E6E">
            <w:pPr>
              <w:spacing w:line="240" w:lineRule="auto"/>
              <w:rPr>
                <w:rFonts w:ascii="Aptos Narrow" w:eastAsia="Times New Roman" w:hAnsi="Aptos Narrow" w:cs="Times New Roman"/>
                <w:color w:val="000000"/>
                <w:sz w:val="18"/>
                <w:szCs w:val="18"/>
                <w:lang w:val="de-DE" w:eastAsia="de-DE"/>
              </w:rPr>
            </w:pPr>
          </w:p>
        </w:tc>
        <w:tc>
          <w:tcPr>
            <w:tcW w:w="452" w:type="pct"/>
            <w:tcBorders>
              <w:top w:val="nil"/>
              <w:left w:val="nil"/>
              <w:bottom w:val="nil"/>
              <w:right w:val="nil"/>
            </w:tcBorders>
            <w:shd w:val="clear" w:color="auto" w:fill="auto"/>
            <w:noWrap/>
            <w:vAlign w:val="bottom"/>
            <w:hideMark/>
          </w:tcPr>
          <w:p w14:paraId="320DBF4E" w14:textId="77777777" w:rsidR="008E2E6E" w:rsidRPr="008E2E6E" w:rsidRDefault="008E2E6E" w:rsidP="008E2E6E">
            <w:pPr>
              <w:spacing w:line="240" w:lineRule="auto"/>
              <w:rPr>
                <w:rFonts w:ascii="Aptos Narrow" w:eastAsia="Times New Roman" w:hAnsi="Aptos Narrow" w:cs="Times New Roman"/>
                <w:color w:val="000000"/>
                <w:sz w:val="18"/>
                <w:szCs w:val="18"/>
                <w:lang w:val="de-DE" w:eastAsia="de-DE"/>
              </w:rPr>
            </w:pPr>
            <w:r w:rsidRPr="008E2E6E">
              <w:rPr>
                <w:rFonts w:ascii="Aptos Narrow" w:eastAsia="Times New Roman" w:hAnsi="Aptos Narrow" w:cs="Times New Roman"/>
                <w:color w:val="000000"/>
                <w:sz w:val="18"/>
                <w:szCs w:val="18"/>
                <w:lang w:val="de-DE" w:eastAsia="de-DE"/>
              </w:rPr>
              <w:t>(0.014)</w:t>
            </w:r>
          </w:p>
        </w:tc>
        <w:tc>
          <w:tcPr>
            <w:tcW w:w="448" w:type="pct"/>
            <w:tcBorders>
              <w:top w:val="nil"/>
              <w:left w:val="nil"/>
              <w:bottom w:val="nil"/>
              <w:right w:val="nil"/>
            </w:tcBorders>
            <w:shd w:val="clear" w:color="auto" w:fill="auto"/>
            <w:noWrap/>
            <w:vAlign w:val="bottom"/>
            <w:hideMark/>
          </w:tcPr>
          <w:p w14:paraId="5470EB00" w14:textId="77777777" w:rsidR="008E2E6E" w:rsidRPr="008E2E6E" w:rsidRDefault="008E2E6E" w:rsidP="008E2E6E">
            <w:pPr>
              <w:spacing w:line="240" w:lineRule="auto"/>
              <w:rPr>
                <w:rFonts w:ascii="Aptos Narrow" w:eastAsia="Times New Roman" w:hAnsi="Aptos Narrow" w:cs="Times New Roman"/>
                <w:color w:val="000000"/>
                <w:sz w:val="18"/>
                <w:szCs w:val="18"/>
                <w:lang w:val="de-DE" w:eastAsia="de-DE"/>
              </w:rPr>
            </w:pPr>
            <w:r w:rsidRPr="008E2E6E">
              <w:rPr>
                <w:rFonts w:ascii="Aptos Narrow" w:eastAsia="Times New Roman" w:hAnsi="Aptos Narrow" w:cs="Times New Roman"/>
                <w:color w:val="000000"/>
                <w:sz w:val="18"/>
                <w:szCs w:val="18"/>
                <w:lang w:val="de-DE" w:eastAsia="de-DE"/>
              </w:rPr>
              <w:t>(0.073)</w:t>
            </w:r>
          </w:p>
        </w:tc>
        <w:tc>
          <w:tcPr>
            <w:tcW w:w="449" w:type="pct"/>
            <w:tcBorders>
              <w:top w:val="nil"/>
              <w:left w:val="nil"/>
              <w:bottom w:val="nil"/>
              <w:right w:val="nil"/>
            </w:tcBorders>
            <w:shd w:val="clear" w:color="auto" w:fill="auto"/>
            <w:noWrap/>
            <w:vAlign w:val="bottom"/>
            <w:hideMark/>
          </w:tcPr>
          <w:p w14:paraId="0AF44CC6" w14:textId="77777777" w:rsidR="008E2E6E" w:rsidRPr="008E2E6E" w:rsidRDefault="008E2E6E" w:rsidP="008E2E6E">
            <w:pPr>
              <w:spacing w:line="240" w:lineRule="auto"/>
              <w:rPr>
                <w:rFonts w:ascii="Aptos Narrow" w:eastAsia="Times New Roman" w:hAnsi="Aptos Narrow" w:cs="Times New Roman"/>
                <w:color w:val="000000"/>
                <w:sz w:val="18"/>
                <w:szCs w:val="18"/>
                <w:lang w:val="de-DE" w:eastAsia="de-DE"/>
              </w:rPr>
            </w:pPr>
            <w:r w:rsidRPr="008E2E6E">
              <w:rPr>
                <w:rFonts w:ascii="Aptos Narrow" w:eastAsia="Times New Roman" w:hAnsi="Aptos Narrow" w:cs="Times New Roman"/>
                <w:color w:val="000000"/>
                <w:sz w:val="18"/>
                <w:szCs w:val="18"/>
                <w:lang w:val="de-DE" w:eastAsia="de-DE"/>
              </w:rPr>
              <w:t>(0.067)</w:t>
            </w:r>
          </w:p>
        </w:tc>
        <w:tc>
          <w:tcPr>
            <w:tcW w:w="449" w:type="pct"/>
            <w:tcBorders>
              <w:top w:val="nil"/>
              <w:left w:val="nil"/>
              <w:bottom w:val="nil"/>
              <w:right w:val="nil"/>
            </w:tcBorders>
            <w:shd w:val="clear" w:color="auto" w:fill="auto"/>
            <w:noWrap/>
            <w:vAlign w:val="bottom"/>
            <w:hideMark/>
          </w:tcPr>
          <w:p w14:paraId="5931FF60" w14:textId="77777777" w:rsidR="008E2E6E" w:rsidRPr="008E2E6E" w:rsidRDefault="008E2E6E" w:rsidP="008E2E6E">
            <w:pPr>
              <w:spacing w:line="240" w:lineRule="auto"/>
              <w:rPr>
                <w:rFonts w:ascii="Aptos Narrow" w:eastAsia="Times New Roman" w:hAnsi="Aptos Narrow" w:cs="Times New Roman"/>
                <w:color w:val="000000"/>
                <w:sz w:val="18"/>
                <w:szCs w:val="18"/>
                <w:lang w:val="de-DE" w:eastAsia="de-DE"/>
              </w:rPr>
            </w:pPr>
            <w:r w:rsidRPr="008E2E6E">
              <w:rPr>
                <w:rFonts w:ascii="Aptos Narrow" w:eastAsia="Times New Roman" w:hAnsi="Aptos Narrow" w:cs="Times New Roman"/>
                <w:color w:val="000000"/>
                <w:sz w:val="18"/>
                <w:szCs w:val="18"/>
                <w:lang w:val="de-DE" w:eastAsia="de-DE"/>
              </w:rPr>
              <w:t>(0.063)</w:t>
            </w:r>
          </w:p>
        </w:tc>
        <w:tc>
          <w:tcPr>
            <w:tcW w:w="452" w:type="pct"/>
            <w:tcBorders>
              <w:top w:val="nil"/>
              <w:left w:val="nil"/>
              <w:bottom w:val="nil"/>
              <w:right w:val="nil"/>
            </w:tcBorders>
            <w:shd w:val="clear" w:color="auto" w:fill="auto"/>
            <w:noWrap/>
            <w:vAlign w:val="bottom"/>
            <w:hideMark/>
          </w:tcPr>
          <w:p w14:paraId="6E1EEF99" w14:textId="77777777" w:rsidR="008E2E6E" w:rsidRPr="008E2E6E" w:rsidRDefault="008E2E6E" w:rsidP="008E2E6E">
            <w:pPr>
              <w:spacing w:line="240" w:lineRule="auto"/>
              <w:rPr>
                <w:rFonts w:ascii="Aptos Narrow" w:eastAsia="Times New Roman" w:hAnsi="Aptos Narrow" w:cs="Times New Roman"/>
                <w:color w:val="000000"/>
                <w:sz w:val="18"/>
                <w:szCs w:val="18"/>
                <w:lang w:val="de-DE" w:eastAsia="de-DE"/>
              </w:rPr>
            </w:pPr>
            <w:r w:rsidRPr="008E2E6E">
              <w:rPr>
                <w:rFonts w:ascii="Aptos Narrow" w:eastAsia="Times New Roman" w:hAnsi="Aptos Narrow" w:cs="Times New Roman"/>
                <w:color w:val="000000"/>
                <w:sz w:val="18"/>
                <w:szCs w:val="18"/>
                <w:lang w:val="de-DE" w:eastAsia="de-DE"/>
              </w:rPr>
              <w:t>(0.507)</w:t>
            </w:r>
          </w:p>
        </w:tc>
        <w:tc>
          <w:tcPr>
            <w:tcW w:w="452" w:type="pct"/>
            <w:tcBorders>
              <w:top w:val="nil"/>
              <w:left w:val="nil"/>
              <w:bottom w:val="nil"/>
              <w:right w:val="nil"/>
            </w:tcBorders>
            <w:shd w:val="clear" w:color="auto" w:fill="auto"/>
            <w:noWrap/>
            <w:vAlign w:val="bottom"/>
            <w:hideMark/>
          </w:tcPr>
          <w:p w14:paraId="33DAA5BC" w14:textId="77777777" w:rsidR="008E2E6E" w:rsidRPr="008E2E6E" w:rsidRDefault="008E2E6E" w:rsidP="008E2E6E">
            <w:pPr>
              <w:spacing w:line="240" w:lineRule="auto"/>
              <w:rPr>
                <w:rFonts w:ascii="Aptos Narrow" w:eastAsia="Times New Roman" w:hAnsi="Aptos Narrow" w:cs="Times New Roman"/>
                <w:color w:val="000000"/>
                <w:sz w:val="18"/>
                <w:szCs w:val="18"/>
                <w:lang w:val="de-DE" w:eastAsia="de-DE"/>
              </w:rPr>
            </w:pPr>
            <w:r w:rsidRPr="008E2E6E">
              <w:rPr>
                <w:rFonts w:ascii="Aptos Narrow" w:eastAsia="Times New Roman" w:hAnsi="Aptos Narrow" w:cs="Times New Roman"/>
                <w:color w:val="000000"/>
                <w:sz w:val="18"/>
                <w:szCs w:val="18"/>
                <w:lang w:val="de-DE" w:eastAsia="de-DE"/>
              </w:rPr>
              <w:t>(0.293)</w:t>
            </w:r>
          </w:p>
        </w:tc>
        <w:tc>
          <w:tcPr>
            <w:tcW w:w="452" w:type="pct"/>
            <w:tcBorders>
              <w:top w:val="nil"/>
              <w:left w:val="nil"/>
              <w:bottom w:val="nil"/>
              <w:right w:val="nil"/>
            </w:tcBorders>
            <w:shd w:val="clear" w:color="auto" w:fill="auto"/>
            <w:noWrap/>
            <w:vAlign w:val="bottom"/>
            <w:hideMark/>
          </w:tcPr>
          <w:p w14:paraId="6614FF87" w14:textId="77777777" w:rsidR="008E2E6E" w:rsidRPr="008E2E6E" w:rsidRDefault="008E2E6E" w:rsidP="008E2E6E">
            <w:pPr>
              <w:spacing w:line="240" w:lineRule="auto"/>
              <w:rPr>
                <w:rFonts w:ascii="Aptos Narrow" w:eastAsia="Times New Roman" w:hAnsi="Aptos Narrow" w:cs="Times New Roman"/>
                <w:color w:val="000000"/>
                <w:sz w:val="18"/>
                <w:szCs w:val="18"/>
                <w:lang w:val="de-DE" w:eastAsia="de-DE"/>
              </w:rPr>
            </w:pPr>
            <w:r w:rsidRPr="008E2E6E">
              <w:rPr>
                <w:rFonts w:ascii="Aptos Narrow" w:eastAsia="Times New Roman" w:hAnsi="Aptos Narrow" w:cs="Times New Roman"/>
                <w:color w:val="000000"/>
                <w:sz w:val="18"/>
                <w:szCs w:val="18"/>
                <w:lang w:val="de-DE" w:eastAsia="de-DE"/>
              </w:rPr>
              <w:t>(0.292)</w:t>
            </w:r>
          </w:p>
        </w:tc>
        <w:tc>
          <w:tcPr>
            <w:tcW w:w="452" w:type="pct"/>
            <w:tcBorders>
              <w:top w:val="nil"/>
              <w:left w:val="nil"/>
              <w:bottom w:val="nil"/>
              <w:right w:val="nil"/>
            </w:tcBorders>
            <w:shd w:val="clear" w:color="auto" w:fill="auto"/>
            <w:noWrap/>
            <w:vAlign w:val="bottom"/>
            <w:hideMark/>
          </w:tcPr>
          <w:p w14:paraId="4E9BBCE7" w14:textId="77777777" w:rsidR="008E2E6E" w:rsidRPr="008E2E6E" w:rsidRDefault="008E2E6E" w:rsidP="008E2E6E">
            <w:pPr>
              <w:spacing w:line="240" w:lineRule="auto"/>
              <w:rPr>
                <w:rFonts w:ascii="Aptos Narrow" w:eastAsia="Times New Roman" w:hAnsi="Aptos Narrow" w:cs="Times New Roman"/>
                <w:color w:val="000000"/>
                <w:sz w:val="18"/>
                <w:szCs w:val="18"/>
                <w:lang w:val="de-DE" w:eastAsia="de-DE"/>
              </w:rPr>
            </w:pPr>
            <w:r w:rsidRPr="008E2E6E">
              <w:rPr>
                <w:rFonts w:ascii="Aptos Narrow" w:eastAsia="Times New Roman" w:hAnsi="Aptos Narrow" w:cs="Times New Roman"/>
                <w:color w:val="000000"/>
                <w:sz w:val="18"/>
                <w:szCs w:val="18"/>
                <w:lang w:val="de-DE" w:eastAsia="de-DE"/>
              </w:rPr>
              <w:t>(0.288)</w:t>
            </w:r>
          </w:p>
        </w:tc>
      </w:tr>
      <w:tr w:rsidR="008E2E6E" w:rsidRPr="008E2E6E" w14:paraId="2F5A81F0" w14:textId="77777777" w:rsidTr="008E2E6E">
        <w:trPr>
          <w:trHeight w:val="288"/>
        </w:trPr>
        <w:tc>
          <w:tcPr>
            <w:tcW w:w="1396" w:type="pct"/>
            <w:tcBorders>
              <w:top w:val="nil"/>
              <w:left w:val="nil"/>
              <w:bottom w:val="nil"/>
              <w:right w:val="nil"/>
            </w:tcBorders>
            <w:shd w:val="clear" w:color="auto" w:fill="auto"/>
            <w:noWrap/>
            <w:vAlign w:val="bottom"/>
            <w:hideMark/>
          </w:tcPr>
          <w:p w14:paraId="7CE57DFD" w14:textId="77777777" w:rsidR="008E2E6E" w:rsidRPr="008E2E6E" w:rsidRDefault="008E2E6E" w:rsidP="008E2E6E">
            <w:pPr>
              <w:spacing w:line="240" w:lineRule="auto"/>
              <w:rPr>
                <w:rFonts w:ascii="Aptos Narrow" w:eastAsia="Times New Roman" w:hAnsi="Aptos Narrow" w:cs="Times New Roman"/>
                <w:color w:val="000000"/>
                <w:sz w:val="18"/>
                <w:szCs w:val="18"/>
                <w:lang w:val="de-DE" w:eastAsia="de-DE"/>
              </w:rPr>
            </w:pPr>
            <w:r w:rsidRPr="008E2E6E">
              <w:rPr>
                <w:rFonts w:ascii="Aptos Narrow" w:eastAsia="Times New Roman" w:hAnsi="Aptos Narrow" w:cs="Times New Roman"/>
                <w:color w:val="000000"/>
                <w:sz w:val="18"/>
                <w:szCs w:val="18"/>
                <w:lang w:val="de-DE" w:eastAsia="de-DE"/>
              </w:rPr>
              <w:lastRenderedPageBreak/>
              <w:t xml:space="preserve">Sharing </w:t>
            </w:r>
            <w:proofErr w:type="spellStart"/>
            <w:r w:rsidRPr="008E2E6E">
              <w:rPr>
                <w:rFonts w:ascii="Aptos Narrow" w:eastAsia="Times New Roman" w:hAnsi="Aptos Narrow" w:cs="Times New Roman"/>
                <w:color w:val="000000"/>
                <w:sz w:val="18"/>
                <w:szCs w:val="18"/>
                <w:lang w:val="de-DE" w:eastAsia="de-DE"/>
              </w:rPr>
              <w:t>data</w:t>
            </w:r>
            <w:proofErr w:type="spellEnd"/>
            <w:r w:rsidRPr="008E2E6E">
              <w:rPr>
                <w:rFonts w:ascii="Aptos Narrow" w:eastAsia="Times New Roman" w:hAnsi="Aptos Narrow" w:cs="Times New Roman"/>
                <w:color w:val="000000"/>
                <w:sz w:val="18"/>
                <w:szCs w:val="18"/>
                <w:lang w:val="de-DE" w:eastAsia="de-DE"/>
              </w:rPr>
              <w:t xml:space="preserve"> </w:t>
            </w:r>
            <w:proofErr w:type="spellStart"/>
            <w:r w:rsidRPr="008E2E6E">
              <w:rPr>
                <w:rFonts w:ascii="Aptos Narrow" w:eastAsia="Times New Roman" w:hAnsi="Aptos Narrow" w:cs="Times New Roman"/>
                <w:color w:val="000000"/>
                <w:sz w:val="18"/>
                <w:szCs w:val="18"/>
                <w:lang w:val="de-DE" w:eastAsia="de-DE"/>
              </w:rPr>
              <w:t>protection</w:t>
            </w:r>
            <w:proofErr w:type="spellEnd"/>
            <w:r w:rsidRPr="008E2E6E">
              <w:rPr>
                <w:rFonts w:ascii="Aptos Narrow" w:eastAsia="Times New Roman" w:hAnsi="Aptos Narrow" w:cs="Times New Roman"/>
                <w:color w:val="000000"/>
                <w:sz w:val="18"/>
                <w:szCs w:val="18"/>
                <w:lang w:val="de-DE" w:eastAsia="de-DE"/>
              </w:rPr>
              <w:t xml:space="preserve"> * LMC</w:t>
            </w:r>
          </w:p>
        </w:tc>
        <w:tc>
          <w:tcPr>
            <w:tcW w:w="452" w:type="pct"/>
            <w:tcBorders>
              <w:top w:val="nil"/>
              <w:left w:val="nil"/>
              <w:bottom w:val="nil"/>
              <w:right w:val="nil"/>
            </w:tcBorders>
            <w:shd w:val="clear" w:color="auto" w:fill="auto"/>
            <w:noWrap/>
            <w:vAlign w:val="bottom"/>
            <w:hideMark/>
          </w:tcPr>
          <w:p w14:paraId="0B1F609A" w14:textId="77777777" w:rsidR="008E2E6E" w:rsidRPr="008E2E6E" w:rsidRDefault="008E2E6E" w:rsidP="008E2E6E">
            <w:pPr>
              <w:spacing w:line="240" w:lineRule="auto"/>
              <w:rPr>
                <w:rFonts w:ascii="Aptos Narrow" w:eastAsia="Times New Roman" w:hAnsi="Aptos Narrow" w:cs="Times New Roman"/>
                <w:color w:val="000000"/>
                <w:sz w:val="18"/>
                <w:szCs w:val="18"/>
                <w:lang w:val="de-DE" w:eastAsia="de-DE"/>
              </w:rPr>
            </w:pPr>
          </w:p>
        </w:tc>
        <w:tc>
          <w:tcPr>
            <w:tcW w:w="448" w:type="pct"/>
            <w:tcBorders>
              <w:top w:val="nil"/>
              <w:left w:val="nil"/>
              <w:bottom w:val="nil"/>
              <w:right w:val="nil"/>
            </w:tcBorders>
            <w:shd w:val="clear" w:color="auto" w:fill="auto"/>
            <w:noWrap/>
            <w:vAlign w:val="bottom"/>
            <w:hideMark/>
          </w:tcPr>
          <w:p w14:paraId="4DC9BA01" w14:textId="77777777" w:rsidR="008E2E6E" w:rsidRPr="008E2E6E" w:rsidRDefault="008E2E6E" w:rsidP="008E2E6E">
            <w:pPr>
              <w:spacing w:line="240" w:lineRule="auto"/>
              <w:jc w:val="center"/>
              <w:rPr>
                <w:rFonts w:ascii="Times New Roman" w:eastAsia="Times New Roman" w:hAnsi="Times New Roman" w:cs="Times New Roman"/>
                <w:sz w:val="18"/>
                <w:szCs w:val="18"/>
                <w:lang w:val="de-DE" w:eastAsia="de-DE"/>
              </w:rPr>
            </w:pPr>
          </w:p>
        </w:tc>
        <w:tc>
          <w:tcPr>
            <w:tcW w:w="449" w:type="pct"/>
            <w:tcBorders>
              <w:top w:val="nil"/>
              <w:left w:val="nil"/>
              <w:bottom w:val="nil"/>
              <w:right w:val="nil"/>
            </w:tcBorders>
            <w:shd w:val="clear" w:color="auto" w:fill="auto"/>
            <w:noWrap/>
            <w:vAlign w:val="bottom"/>
            <w:hideMark/>
          </w:tcPr>
          <w:p w14:paraId="4EF18BD5" w14:textId="77777777" w:rsidR="008E2E6E" w:rsidRPr="008E2E6E" w:rsidRDefault="008E2E6E" w:rsidP="008E2E6E">
            <w:pPr>
              <w:spacing w:line="240" w:lineRule="auto"/>
              <w:jc w:val="center"/>
              <w:rPr>
                <w:rFonts w:ascii="Times New Roman" w:eastAsia="Times New Roman" w:hAnsi="Times New Roman" w:cs="Times New Roman"/>
                <w:sz w:val="18"/>
                <w:szCs w:val="18"/>
                <w:lang w:val="de-DE" w:eastAsia="de-DE"/>
              </w:rPr>
            </w:pPr>
          </w:p>
        </w:tc>
        <w:tc>
          <w:tcPr>
            <w:tcW w:w="449" w:type="pct"/>
            <w:tcBorders>
              <w:top w:val="nil"/>
              <w:left w:val="nil"/>
              <w:bottom w:val="nil"/>
              <w:right w:val="nil"/>
            </w:tcBorders>
            <w:shd w:val="clear" w:color="auto" w:fill="auto"/>
            <w:noWrap/>
            <w:vAlign w:val="bottom"/>
            <w:hideMark/>
          </w:tcPr>
          <w:p w14:paraId="238E518F" w14:textId="77777777" w:rsidR="008E2E6E" w:rsidRPr="008E2E6E" w:rsidRDefault="008E2E6E" w:rsidP="008E2E6E">
            <w:pPr>
              <w:spacing w:line="240" w:lineRule="auto"/>
              <w:jc w:val="center"/>
              <w:rPr>
                <w:rFonts w:ascii="Times New Roman" w:eastAsia="Times New Roman" w:hAnsi="Times New Roman" w:cs="Times New Roman"/>
                <w:sz w:val="18"/>
                <w:szCs w:val="18"/>
                <w:lang w:val="de-DE" w:eastAsia="de-DE"/>
              </w:rPr>
            </w:pPr>
          </w:p>
        </w:tc>
        <w:tc>
          <w:tcPr>
            <w:tcW w:w="452" w:type="pct"/>
            <w:tcBorders>
              <w:top w:val="nil"/>
              <w:left w:val="nil"/>
              <w:bottom w:val="nil"/>
              <w:right w:val="nil"/>
            </w:tcBorders>
            <w:shd w:val="clear" w:color="auto" w:fill="auto"/>
            <w:noWrap/>
            <w:vAlign w:val="bottom"/>
            <w:hideMark/>
          </w:tcPr>
          <w:p w14:paraId="25DB92FF" w14:textId="77777777" w:rsidR="008E2E6E" w:rsidRPr="008E2E6E" w:rsidRDefault="008E2E6E" w:rsidP="008E2E6E">
            <w:pPr>
              <w:spacing w:line="240" w:lineRule="auto"/>
              <w:rPr>
                <w:rFonts w:ascii="Aptos Narrow" w:eastAsia="Times New Roman" w:hAnsi="Aptos Narrow" w:cs="Times New Roman"/>
                <w:color w:val="000000"/>
                <w:sz w:val="18"/>
                <w:szCs w:val="18"/>
                <w:lang w:val="de-DE" w:eastAsia="de-DE"/>
              </w:rPr>
            </w:pPr>
            <w:r w:rsidRPr="008E2E6E">
              <w:rPr>
                <w:rFonts w:ascii="Aptos Narrow" w:eastAsia="Times New Roman" w:hAnsi="Aptos Narrow" w:cs="Times New Roman"/>
                <w:color w:val="000000"/>
                <w:sz w:val="18"/>
                <w:szCs w:val="18"/>
                <w:lang w:val="de-DE" w:eastAsia="de-DE"/>
              </w:rPr>
              <w:t>-0.053</w:t>
            </w:r>
          </w:p>
        </w:tc>
        <w:tc>
          <w:tcPr>
            <w:tcW w:w="452" w:type="pct"/>
            <w:tcBorders>
              <w:top w:val="nil"/>
              <w:left w:val="nil"/>
              <w:bottom w:val="nil"/>
              <w:right w:val="nil"/>
            </w:tcBorders>
            <w:shd w:val="clear" w:color="auto" w:fill="auto"/>
            <w:noWrap/>
            <w:vAlign w:val="bottom"/>
            <w:hideMark/>
          </w:tcPr>
          <w:p w14:paraId="73A31561" w14:textId="77777777" w:rsidR="008E2E6E" w:rsidRPr="008E2E6E" w:rsidRDefault="008E2E6E" w:rsidP="008E2E6E">
            <w:pPr>
              <w:spacing w:line="240" w:lineRule="auto"/>
              <w:rPr>
                <w:rFonts w:ascii="Aptos Narrow" w:eastAsia="Times New Roman" w:hAnsi="Aptos Narrow" w:cs="Times New Roman"/>
                <w:color w:val="000000"/>
                <w:sz w:val="18"/>
                <w:szCs w:val="18"/>
                <w:lang w:val="de-DE" w:eastAsia="de-DE"/>
              </w:rPr>
            </w:pPr>
            <w:r w:rsidRPr="008E2E6E">
              <w:rPr>
                <w:rFonts w:ascii="Aptos Narrow" w:eastAsia="Times New Roman" w:hAnsi="Aptos Narrow" w:cs="Times New Roman"/>
                <w:color w:val="000000"/>
                <w:sz w:val="18"/>
                <w:szCs w:val="18"/>
                <w:lang w:val="de-DE" w:eastAsia="de-DE"/>
              </w:rPr>
              <w:t>-0.059</w:t>
            </w:r>
          </w:p>
        </w:tc>
        <w:tc>
          <w:tcPr>
            <w:tcW w:w="452" w:type="pct"/>
            <w:tcBorders>
              <w:top w:val="nil"/>
              <w:left w:val="nil"/>
              <w:bottom w:val="nil"/>
              <w:right w:val="nil"/>
            </w:tcBorders>
            <w:shd w:val="clear" w:color="auto" w:fill="auto"/>
            <w:noWrap/>
            <w:vAlign w:val="bottom"/>
            <w:hideMark/>
          </w:tcPr>
          <w:p w14:paraId="527814C9" w14:textId="77777777" w:rsidR="008E2E6E" w:rsidRPr="008E2E6E" w:rsidRDefault="008E2E6E" w:rsidP="008E2E6E">
            <w:pPr>
              <w:spacing w:line="240" w:lineRule="auto"/>
              <w:rPr>
                <w:rFonts w:ascii="Aptos Narrow" w:eastAsia="Times New Roman" w:hAnsi="Aptos Narrow" w:cs="Times New Roman"/>
                <w:color w:val="000000"/>
                <w:sz w:val="18"/>
                <w:szCs w:val="18"/>
                <w:lang w:val="de-DE" w:eastAsia="de-DE"/>
              </w:rPr>
            </w:pPr>
            <w:r w:rsidRPr="008E2E6E">
              <w:rPr>
                <w:rFonts w:ascii="Aptos Narrow" w:eastAsia="Times New Roman" w:hAnsi="Aptos Narrow" w:cs="Times New Roman"/>
                <w:color w:val="000000"/>
                <w:sz w:val="18"/>
                <w:szCs w:val="18"/>
                <w:lang w:val="de-DE" w:eastAsia="de-DE"/>
              </w:rPr>
              <w:t>-0.059</w:t>
            </w:r>
          </w:p>
        </w:tc>
        <w:tc>
          <w:tcPr>
            <w:tcW w:w="452" w:type="pct"/>
            <w:tcBorders>
              <w:top w:val="nil"/>
              <w:left w:val="nil"/>
              <w:bottom w:val="nil"/>
              <w:right w:val="nil"/>
            </w:tcBorders>
            <w:shd w:val="clear" w:color="auto" w:fill="auto"/>
            <w:noWrap/>
            <w:vAlign w:val="bottom"/>
            <w:hideMark/>
          </w:tcPr>
          <w:p w14:paraId="63C2483F" w14:textId="77777777" w:rsidR="008E2E6E" w:rsidRPr="008E2E6E" w:rsidRDefault="008E2E6E" w:rsidP="008E2E6E">
            <w:pPr>
              <w:spacing w:line="240" w:lineRule="auto"/>
              <w:rPr>
                <w:rFonts w:ascii="Aptos Narrow" w:eastAsia="Times New Roman" w:hAnsi="Aptos Narrow" w:cs="Times New Roman"/>
                <w:color w:val="000000"/>
                <w:sz w:val="18"/>
                <w:szCs w:val="18"/>
                <w:lang w:val="de-DE" w:eastAsia="de-DE"/>
              </w:rPr>
            </w:pPr>
            <w:r w:rsidRPr="008E2E6E">
              <w:rPr>
                <w:rFonts w:ascii="Aptos Narrow" w:eastAsia="Times New Roman" w:hAnsi="Aptos Narrow" w:cs="Times New Roman"/>
                <w:color w:val="000000"/>
                <w:sz w:val="18"/>
                <w:szCs w:val="18"/>
                <w:lang w:val="de-DE" w:eastAsia="de-DE"/>
              </w:rPr>
              <w:t>-0.062</w:t>
            </w:r>
          </w:p>
        </w:tc>
      </w:tr>
      <w:tr w:rsidR="008E2E6E" w:rsidRPr="008E2E6E" w14:paraId="48DF3B87" w14:textId="77777777" w:rsidTr="008E2E6E">
        <w:trPr>
          <w:trHeight w:val="288"/>
        </w:trPr>
        <w:tc>
          <w:tcPr>
            <w:tcW w:w="1396" w:type="pct"/>
            <w:tcBorders>
              <w:top w:val="nil"/>
              <w:left w:val="nil"/>
              <w:bottom w:val="nil"/>
              <w:right w:val="nil"/>
            </w:tcBorders>
            <w:shd w:val="clear" w:color="auto" w:fill="auto"/>
            <w:noWrap/>
            <w:vAlign w:val="bottom"/>
            <w:hideMark/>
          </w:tcPr>
          <w:p w14:paraId="3E37A0FD" w14:textId="77777777" w:rsidR="008E2E6E" w:rsidRPr="008E2E6E" w:rsidRDefault="008E2E6E" w:rsidP="008E2E6E">
            <w:pPr>
              <w:spacing w:line="240" w:lineRule="auto"/>
              <w:rPr>
                <w:rFonts w:ascii="Aptos Narrow" w:eastAsia="Times New Roman" w:hAnsi="Aptos Narrow" w:cs="Times New Roman"/>
                <w:color w:val="000000"/>
                <w:sz w:val="18"/>
                <w:szCs w:val="18"/>
                <w:lang w:val="de-DE" w:eastAsia="de-DE"/>
              </w:rPr>
            </w:pPr>
          </w:p>
        </w:tc>
        <w:tc>
          <w:tcPr>
            <w:tcW w:w="452" w:type="pct"/>
            <w:tcBorders>
              <w:top w:val="nil"/>
              <w:left w:val="nil"/>
              <w:bottom w:val="nil"/>
              <w:right w:val="nil"/>
            </w:tcBorders>
            <w:shd w:val="clear" w:color="auto" w:fill="auto"/>
            <w:noWrap/>
            <w:vAlign w:val="bottom"/>
            <w:hideMark/>
          </w:tcPr>
          <w:p w14:paraId="7727EAB7" w14:textId="77777777" w:rsidR="008E2E6E" w:rsidRPr="008E2E6E" w:rsidRDefault="008E2E6E" w:rsidP="008E2E6E">
            <w:pPr>
              <w:spacing w:line="240" w:lineRule="auto"/>
              <w:rPr>
                <w:rFonts w:ascii="Times New Roman" w:eastAsia="Times New Roman" w:hAnsi="Times New Roman" w:cs="Times New Roman"/>
                <w:sz w:val="18"/>
                <w:szCs w:val="18"/>
                <w:lang w:val="de-DE" w:eastAsia="de-DE"/>
              </w:rPr>
            </w:pPr>
          </w:p>
        </w:tc>
        <w:tc>
          <w:tcPr>
            <w:tcW w:w="448" w:type="pct"/>
            <w:tcBorders>
              <w:top w:val="nil"/>
              <w:left w:val="nil"/>
              <w:bottom w:val="nil"/>
              <w:right w:val="nil"/>
            </w:tcBorders>
            <w:shd w:val="clear" w:color="auto" w:fill="auto"/>
            <w:noWrap/>
            <w:vAlign w:val="bottom"/>
            <w:hideMark/>
          </w:tcPr>
          <w:p w14:paraId="51646265" w14:textId="77777777" w:rsidR="008E2E6E" w:rsidRPr="008E2E6E" w:rsidRDefault="008E2E6E" w:rsidP="008E2E6E">
            <w:pPr>
              <w:spacing w:line="240" w:lineRule="auto"/>
              <w:jc w:val="center"/>
              <w:rPr>
                <w:rFonts w:ascii="Times New Roman" w:eastAsia="Times New Roman" w:hAnsi="Times New Roman" w:cs="Times New Roman"/>
                <w:sz w:val="18"/>
                <w:szCs w:val="18"/>
                <w:lang w:val="de-DE" w:eastAsia="de-DE"/>
              </w:rPr>
            </w:pPr>
          </w:p>
        </w:tc>
        <w:tc>
          <w:tcPr>
            <w:tcW w:w="449" w:type="pct"/>
            <w:tcBorders>
              <w:top w:val="nil"/>
              <w:left w:val="nil"/>
              <w:bottom w:val="nil"/>
              <w:right w:val="nil"/>
            </w:tcBorders>
            <w:shd w:val="clear" w:color="auto" w:fill="auto"/>
            <w:noWrap/>
            <w:vAlign w:val="bottom"/>
            <w:hideMark/>
          </w:tcPr>
          <w:p w14:paraId="131F9689" w14:textId="77777777" w:rsidR="008E2E6E" w:rsidRPr="008E2E6E" w:rsidRDefault="008E2E6E" w:rsidP="008E2E6E">
            <w:pPr>
              <w:spacing w:line="240" w:lineRule="auto"/>
              <w:jc w:val="center"/>
              <w:rPr>
                <w:rFonts w:ascii="Times New Roman" w:eastAsia="Times New Roman" w:hAnsi="Times New Roman" w:cs="Times New Roman"/>
                <w:sz w:val="18"/>
                <w:szCs w:val="18"/>
                <w:lang w:val="de-DE" w:eastAsia="de-DE"/>
              </w:rPr>
            </w:pPr>
          </w:p>
        </w:tc>
        <w:tc>
          <w:tcPr>
            <w:tcW w:w="449" w:type="pct"/>
            <w:tcBorders>
              <w:top w:val="nil"/>
              <w:left w:val="nil"/>
              <w:bottom w:val="nil"/>
              <w:right w:val="nil"/>
            </w:tcBorders>
            <w:shd w:val="clear" w:color="auto" w:fill="auto"/>
            <w:noWrap/>
            <w:vAlign w:val="bottom"/>
            <w:hideMark/>
          </w:tcPr>
          <w:p w14:paraId="3DDEB114" w14:textId="77777777" w:rsidR="008E2E6E" w:rsidRPr="008E2E6E" w:rsidRDefault="008E2E6E" w:rsidP="008E2E6E">
            <w:pPr>
              <w:spacing w:line="240" w:lineRule="auto"/>
              <w:jc w:val="center"/>
              <w:rPr>
                <w:rFonts w:ascii="Times New Roman" w:eastAsia="Times New Roman" w:hAnsi="Times New Roman" w:cs="Times New Roman"/>
                <w:sz w:val="18"/>
                <w:szCs w:val="18"/>
                <w:lang w:val="de-DE" w:eastAsia="de-DE"/>
              </w:rPr>
            </w:pPr>
          </w:p>
        </w:tc>
        <w:tc>
          <w:tcPr>
            <w:tcW w:w="452" w:type="pct"/>
            <w:tcBorders>
              <w:top w:val="nil"/>
              <w:left w:val="nil"/>
              <w:bottom w:val="nil"/>
              <w:right w:val="nil"/>
            </w:tcBorders>
            <w:shd w:val="clear" w:color="auto" w:fill="auto"/>
            <w:noWrap/>
            <w:vAlign w:val="bottom"/>
            <w:hideMark/>
          </w:tcPr>
          <w:p w14:paraId="233C25A8" w14:textId="77777777" w:rsidR="008E2E6E" w:rsidRPr="008E2E6E" w:rsidRDefault="008E2E6E" w:rsidP="008E2E6E">
            <w:pPr>
              <w:spacing w:line="240" w:lineRule="auto"/>
              <w:rPr>
                <w:rFonts w:ascii="Aptos Narrow" w:eastAsia="Times New Roman" w:hAnsi="Aptos Narrow" w:cs="Times New Roman"/>
                <w:color w:val="000000"/>
                <w:sz w:val="18"/>
                <w:szCs w:val="18"/>
                <w:lang w:val="de-DE" w:eastAsia="de-DE"/>
              </w:rPr>
            </w:pPr>
            <w:r w:rsidRPr="008E2E6E">
              <w:rPr>
                <w:rFonts w:ascii="Aptos Narrow" w:eastAsia="Times New Roman" w:hAnsi="Aptos Narrow" w:cs="Times New Roman"/>
                <w:color w:val="000000"/>
                <w:sz w:val="18"/>
                <w:szCs w:val="18"/>
                <w:lang w:val="de-DE" w:eastAsia="de-DE"/>
              </w:rPr>
              <w:t>(0.422)</w:t>
            </w:r>
          </w:p>
        </w:tc>
        <w:tc>
          <w:tcPr>
            <w:tcW w:w="452" w:type="pct"/>
            <w:tcBorders>
              <w:top w:val="nil"/>
              <w:left w:val="nil"/>
              <w:bottom w:val="nil"/>
              <w:right w:val="nil"/>
            </w:tcBorders>
            <w:shd w:val="clear" w:color="auto" w:fill="auto"/>
            <w:noWrap/>
            <w:vAlign w:val="bottom"/>
            <w:hideMark/>
          </w:tcPr>
          <w:p w14:paraId="557D6C41" w14:textId="77777777" w:rsidR="008E2E6E" w:rsidRPr="008E2E6E" w:rsidRDefault="008E2E6E" w:rsidP="008E2E6E">
            <w:pPr>
              <w:spacing w:line="240" w:lineRule="auto"/>
              <w:rPr>
                <w:rFonts w:ascii="Aptos Narrow" w:eastAsia="Times New Roman" w:hAnsi="Aptos Narrow" w:cs="Times New Roman"/>
                <w:color w:val="000000"/>
                <w:sz w:val="18"/>
                <w:szCs w:val="18"/>
                <w:lang w:val="de-DE" w:eastAsia="de-DE"/>
              </w:rPr>
            </w:pPr>
            <w:r w:rsidRPr="008E2E6E">
              <w:rPr>
                <w:rFonts w:ascii="Aptos Narrow" w:eastAsia="Times New Roman" w:hAnsi="Aptos Narrow" w:cs="Times New Roman"/>
                <w:color w:val="000000"/>
                <w:sz w:val="18"/>
                <w:szCs w:val="18"/>
                <w:lang w:val="de-DE" w:eastAsia="de-DE"/>
              </w:rPr>
              <w:t>(0.358)</w:t>
            </w:r>
          </w:p>
        </w:tc>
        <w:tc>
          <w:tcPr>
            <w:tcW w:w="452" w:type="pct"/>
            <w:tcBorders>
              <w:top w:val="nil"/>
              <w:left w:val="nil"/>
              <w:bottom w:val="nil"/>
              <w:right w:val="nil"/>
            </w:tcBorders>
            <w:shd w:val="clear" w:color="auto" w:fill="auto"/>
            <w:noWrap/>
            <w:vAlign w:val="bottom"/>
            <w:hideMark/>
          </w:tcPr>
          <w:p w14:paraId="47AEEBBB" w14:textId="77777777" w:rsidR="008E2E6E" w:rsidRPr="008E2E6E" w:rsidRDefault="008E2E6E" w:rsidP="008E2E6E">
            <w:pPr>
              <w:spacing w:line="240" w:lineRule="auto"/>
              <w:rPr>
                <w:rFonts w:ascii="Aptos Narrow" w:eastAsia="Times New Roman" w:hAnsi="Aptos Narrow" w:cs="Times New Roman"/>
                <w:color w:val="000000"/>
                <w:sz w:val="18"/>
                <w:szCs w:val="18"/>
                <w:lang w:val="de-DE" w:eastAsia="de-DE"/>
              </w:rPr>
            </w:pPr>
            <w:r w:rsidRPr="008E2E6E">
              <w:rPr>
                <w:rFonts w:ascii="Aptos Narrow" w:eastAsia="Times New Roman" w:hAnsi="Aptos Narrow" w:cs="Times New Roman"/>
                <w:color w:val="000000"/>
                <w:sz w:val="18"/>
                <w:szCs w:val="18"/>
                <w:lang w:val="de-DE" w:eastAsia="de-DE"/>
              </w:rPr>
              <w:t>(0.353)</w:t>
            </w:r>
          </w:p>
        </w:tc>
        <w:tc>
          <w:tcPr>
            <w:tcW w:w="452" w:type="pct"/>
            <w:tcBorders>
              <w:top w:val="nil"/>
              <w:left w:val="nil"/>
              <w:bottom w:val="nil"/>
              <w:right w:val="nil"/>
            </w:tcBorders>
            <w:shd w:val="clear" w:color="auto" w:fill="auto"/>
            <w:noWrap/>
            <w:vAlign w:val="bottom"/>
            <w:hideMark/>
          </w:tcPr>
          <w:p w14:paraId="1C9630EA" w14:textId="77777777" w:rsidR="008E2E6E" w:rsidRPr="008E2E6E" w:rsidRDefault="008E2E6E" w:rsidP="008E2E6E">
            <w:pPr>
              <w:spacing w:line="240" w:lineRule="auto"/>
              <w:rPr>
                <w:rFonts w:ascii="Aptos Narrow" w:eastAsia="Times New Roman" w:hAnsi="Aptos Narrow" w:cs="Times New Roman"/>
                <w:color w:val="000000"/>
                <w:sz w:val="18"/>
                <w:szCs w:val="18"/>
                <w:lang w:val="de-DE" w:eastAsia="de-DE"/>
              </w:rPr>
            </w:pPr>
            <w:r w:rsidRPr="008E2E6E">
              <w:rPr>
                <w:rFonts w:ascii="Aptos Narrow" w:eastAsia="Times New Roman" w:hAnsi="Aptos Narrow" w:cs="Times New Roman"/>
                <w:color w:val="000000"/>
                <w:sz w:val="18"/>
                <w:szCs w:val="18"/>
                <w:lang w:val="de-DE" w:eastAsia="de-DE"/>
              </w:rPr>
              <w:t>(0.328)</w:t>
            </w:r>
          </w:p>
        </w:tc>
      </w:tr>
      <w:tr w:rsidR="008E2E6E" w:rsidRPr="008E2E6E" w14:paraId="19E2772F" w14:textId="77777777" w:rsidTr="008E2E6E">
        <w:trPr>
          <w:trHeight w:val="288"/>
        </w:trPr>
        <w:tc>
          <w:tcPr>
            <w:tcW w:w="1396" w:type="pct"/>
            <w:tcBorders>
              <w:top w:val="nil"/>
              <w:left w:val="nil"/>
              <w:bottom w:val="nil"/>
              <w:right w:val="nil"/>
            </w:tcBorders>
            <w:shd w:val="clear" w:color="auto" w:fill="auto"/>
            <w:noWrap/>
            <w:vAlign w:val="bottom"/>
            <w:hideMark/>
          </w:tcPr>
          <w:p w14:paraId="36FB7E90" w14:textId="77777777" w:rsidR="008E2E6E" w:rsidRPr="008E2E6E" w:rsidRDefault="008E2E6E" w:rsidP="008E2E6E">
            <w:pPr>
              <w:spacing w:line="240" w:lineRule="auto"/>
              <w:rPr>
                <w:rFonts w:ascii="Aptos Narrow" w:eastAsia="Times New Roman" w:hAnsi="Aptos Narrow" w:cs="Times New Roman"/>
                <w:color w:val="000000"/>
                <w:sz w:val="18"/>
                <w:szCs w:val="18"/>
                <w:lang w:val="de-DE" w:eastAsia="de-DE"/>
              </w:rPr>
            </w:pPr>
            <w:r w:rsidRPr="008E2E6E">
              <w:rPr>
                <w:rFonts w:ascii="Aptos Narrow" w:eastAsia="Times New Roman" w:hAnsi="Aptos Narrow" w:cs="Times New Roman"/>
                <w:color w:val="000000"/>
                <w:sz w:val="18"/>
                <w:szCs w:val="18"/>
                <w:lang w:val="de-DE" w:eastAsia="de-DE"/>
              </w:rPr>
              <w:t xml:space="preserve">Sharing </w:t>
            </w:r>
            <w:proofErr w:type="spellStart"/>
            <w:r w:rsidRPr="008E2E6E">
              <w:rPr>
                <w:rFonts w:ascii="Aptos Narrow" w:eastAsia="Times New Roman" w:hAnsi="Aptos Narrow" w:cs="Times New Roman"/>
                <w:color w:val="000000"/>
                <w:sz w:val="18"/>
                <w:szCs w:val="18"/>
                <w:lang w:val="de-DE" w:eastAsia="de-DE"/>
              </w:rPr>
              <w:t>data</w:t>
            </w:r>
            <w:proofErr w:type="spellEnd"/>
            <w:r w:rsidRPr="008E2E6E">
              <w:rPr>
                <w:rFonts w:ascii="Aptos Narrow" w:eastAsia="Times New Roman" w:hAnsi="Aptos Narrow" w:cs="Times New Roman"/>
                <w:color w:val="000000"/>
                <w:sz w:val="18"/>
                <w:szCs w:val="18"/>
                <w:lang w:val="de-DE" w:eastAsia="de-DE"/>
              </w:rPr>
              <w:t xml:space="preserve"> </w:t>
            </w:r>
            <w:proofErr w:type="spellStart"/>
            <w:r w:rsidRPr="008E2E6E">
              <w:rPr>
                <w:rFonts w:ascii="Aptos Narrow" w:eastAsia="Times New Roman" w:hAnsi="Aptos Narrow" w:cs="Times New Roman"/>
                <w:color w:val="000000"/>
                <w:sz w:val="18"/>
                <w:szCs w:val="18"/>
                <w:lang w:val="de-DE" w:eastAsia="de-DE"/>
              </w:rPr>
              <w:t>protection</w:t>
            </w:r>
            <w:proofErr w:type="spellEnd"/>
            <w:r w:rsidRPr="008E2E6E">
              <w:rPr>
                <w:rFonts w:ascii="Aptos Narrow" w:eastAsia="Times New Roman" w:hAnsi="Aptos Narrow" w:cs="Times New Roman"/>
                <w:color w:val="000000"/>
                <w:sz w:val="18"/>
                <w:szCs w:val="18"/>
                <w:lang w:val="de-DE" w:eastAsia="de-DE"/>
              </w:rPr>
              <w:t xml:space="preserve"> * L</w:t>
            </w:r>
          </w:p>
        </w:tc>
        <w:tc>
          <w:tcPr>
            <w:tcW w:w="452" w:type="pct"/>
            <w:tcBorders>
              <w:top w:val="nil"/>
              <w:left w:val="nil"/>
              <w:bottom w:val="nil"/>
              <w:right w:val="nil"/>
            </w:tcBorders>
            <w:shd w:val="clear" w:color="auto" w:fill="auto"/>
            <w:noWrap/>
            <w:vAlign w:val="bottom"/>
            <w:hideMark/>
          </w:tcPr>
          <w:p w14:paraId="69332FF4" w14:textId="77777777" w:rsidR="008E2E6E" w:rsidRPr="008E2E6E" w:rsidRDefault="008E2E6E" w:rsidP="008E2E6E">
            <w:pPr>
              <w:spacing w:line="240" w:lineRule="auto"/>
              <w:rPr>
                <w:rFonts w:ascii="Aptos Narrow" w:eastAsia="Times New Roman" w:hAnsi="Aptos Narrow" w:cs="Times New Roman"/>
                <w:color w:val="000000"/>
                <w:sz w:val="18"/>
                <w:szCs w:val="18"/>
                <w:lang w:val="de-DE" w:eastAsia="de-DE"/>
              </w:rPr>
            </w:pPr>
          </w:p>
        </w:tc>
        <w:tc>
          <w:tcPr>
            <w:tcW w:w="448" w:type="pct"/>
            <w:tcBorders>
              <w:top w:val="nil"/>
              <w:left w:val="nil"/>
              <w:bottom w:val="nil"/>
              <w:right w:val="nil"/>
            </w:tcBorders>
            <w:shd w:val="clear" w:color="auto" w:fill="auto"/>
            <w:noWrap/>
            <w:vAlign w:val="bottom"/>
            <w:hideMark/>
          </w:tcPr>
          <w:p w14:paraId="6BC39514" w14:textId="77777777" w:rsidR="008E2E6E" w:rsidRPr="008E2E6E" w:rsidRDefault="008E2E6E" w:rsidP="008E2E6E">
            <w:pPr>
              <w:spacing w:line="240" w:lineRule="auto"/>
              <w:jc w:val="center"/>
              <w:rPr>
                <w:rFonts w:ascii="Times New Roman" w:eastAsia="Times New Roman" w:hAnsi="Times New Roman" w:cs="Times New Roman"/>
                <w:sz w:val="18"/>
                <w:szCs w:val="18"/>
                <w:lang w:val="de-DE" w:eastAsia="de-DE"/>
              </w:rPr>
            </w:pPr>
          </w:p>
        </w:tc>
        <w:tc>
          <w:tcPr>
            <w:tcW w:w="449" w:type="pct"/>
            <w:tcBorders>
              <w:top w:val="nil"/>
              <w:left w:val="nil"/>
              <w:bottom w:val="nil"/>
              <w:right w:val="nil"/>
            </w:tcBorders>
            <w:shd w:val="clear" w:color="auto" w:fill="auto"/>
            <w:noWrap/>
            <w:vAlign w:val="bottom"/>
            <w:hideMark/>
          </w:tcPr>
          <w:p w14:paraId="493B209E" w14:textId="77777777" w:rsidR="008E2E6E" w:rsidRPr="008E2E6E" w:rsidRDefault="008E2E6E" w:rsidP="008E2E6E">
            <w:pPr>
              <w:spacing w:line="240" w:lineRule="auto"/>
              <w:jc w:val="center"/>
              <w:rPr>
                <w:rFonts w:ascii="Times New Roman" w:eastAsia="Times New Roman" w:hAnsi="Times New Roman" w:cs="Times New Roman"/>
                <w:sz w:val="18"/>
                <w:szCs w:val="18"/>
                <w:lang w:val="de-DE" w:eastAsia="de-DE"/>
              </w:rPr>
            </w:pPr>
          </w:p>
        </w:tc>
        <w:tc>
          <w:tcPr>
            <w:tcW w:w="449" w:type="pct"/>
            <w:tcBorders>
              <w:top w:val="nil"/>
              <w:left w:val="nil"/>
              <w:bottom w:val="nil"/>
              <w:right w:val="nil"/>
            </w:tcBorders>
            <w:shd w:val="clear" w:color="auto" w:fill="auto"/>
            <w:noWrap/>
            <w:vAlign w:val="bottom"/>
            <w:hideMark/>
          </w:tcPr>
          <w:p w14:paraId="7C5F2D14" w14:textId="77777777" w:rsidR="008E2E6E" w:rsidRPr="008E2E6E" w:rsidRDefault="008E2E6E" w:rsidP="008E2E6E">
            <w:pPr>
              <w:spacing w:line="240" w:lineRule="auto"/>
              <w:jc w:val="center"/>
              <w:rPr>
                <w:rFonts w:ascii="Times New Roman" w:eastAsia="Times New Roman" w:hAnsi="Times New Roman" w:cs="Times New Roman"/>
                <w:sz w:val="18"/>
                <w:szCs w:val="18"/>
                <w:lang w:val="de-DE" w:eastAsia="de-DE"/>
              </w:rPr>
            </w:pPr>
          </w:p>
        </w:tc>
        <w:tc>
          <w:tcPr>
            <w:tcW w:w="452" w:type="pct"/>
            <w:tcBorders>
              <w:top w:val="nil"/>
              <w:left w:val="nil"/>
              <w:bottom w:val="nil"/>
              <w:right w:val="nil"/>
            </w:tcBorders>
            <w:shd w:val="clear" w:color="auto" w:fill="auto"/>
            <w:noWrap/>
            <w:vAlign w:val="bottom"/>
            <w:hideMark/>
          </w:tcPr>
          <w:p w14:paraId="6A5156BE" w14:textId="77777777" w:rsidR="008E2E6E" w:rsidRPr="008E2E6E" w:rsidRDefault="008E2E6E" w:rsidP="008E2E6E">
            <w:pPr>
              <w:spacing w:line="240" w:lineRule="auto"/>
              <w:rPr>
                <w:rFonts w:ascii="Aptos Narrow" w:eastAsia="Times New Roman" w:hAnsi="Aptos Narrow" w:cs="Times New Roman"/>
                <w:color w:val="000000"/>
                <w:sz w:val="18"/>
                <w:szCs w:val="18"/>
                <w:lang w:val="de-DE" w:eastAsia="de-DE"/>
              </w:rPr>
            </w:pPr>
            <w:r w:rsidRPr="008E2E6E">
              <w:rPr>
                <w:rFonts w:ascii="Aptos Narrow" w:eastAsia="Times New Roman" w:hAnsi="Aptos Narrow" w:cs="Times New Roman"/>
                <w:color w:val="000000"/>
                <w:sz w:val="18"/>
                <w:szCs w:val="18"/>
                <w:lang w:val="de-DE" w:eastAsia="de-DE"/>
              </w:rPr>
              <w:t>-0.119**</w:t>
            </w:r>
          </w:p>
        </w:tc>
        <w:tc>
          <w:tcPr>
            <w:tcW w:w="452" w:type="pct"/>
            <w:tcBorders>
              <w:top w:val="nil"/>
              <w:left w:val="nil"/>
              <w:bottom w:val="nil"/>
              <w:right w:val="nil"/>
            </w:tcBorders>
            <w:shd w:val="clear" w:color="auto" w:fill="auto"/>
            <w:noWrap/>
            <w:vAlign w:val="bottom"/>
            <w:hideMark/>
          </w:tcPr>
          <w:p w14:paraId="4D79A83D" w14:textId="77777777" w:rsidR="008E2E6E" w:rsidRPr="008E2E6E" w:rsidRDefault="008E2E6E" w:rsidP="008E2E6E">
            <w:pPr>
              <w:spacing w:line="240" w:lineRule="auto"/>
              <w:rPr>
                <w:rFonts w:ascii="Aptos Narrow" w:eastAsia="Times New Roman" w:hAnsi="Aptos Narrow" w:cs="Times New Roman"/>
                <w:color w:val="000000"/>
                <w:sz w:val="18"/>
                <w:szCs w:val="18"/>
                <w:lang w:val="de-DE" w:eastAsia="de-DE"/>
              </w:rPr>
            </w:pPr>
            <w:r w:rsidRPr="008E2E6E">
              <w:rPr>
                <w:rFonts w:ascii="Aptos Narrow" w:eastAsia="Times New Roman" w:hAnsi="Aptos Narrow" w:cs="Times New Roman"/>
                <w:color w:val="000000"/>
                <w:sz w:val="18"/>
                <w:szCs w:val="18"/>
                <w:lang w:val="de-DE" w:eastAsia="de-DE"/>
              </w:rPr>
              <w:t>-0.118**</w:t>
            </w:r>
          </w:p>
        </w:tc>
        <w:tc>
          <w:tcPr>
            <w:tcW w:w="452" w:type="pct"/>
            <w:tcBorders>
              <w:top w:val="nil"/>
              <w:left w:val="nil"/>
              <w:bottom w:val="nil"/>
              <w:right w:val="nil"/>
            </w:tcBorders>
            <w:shd w:val="clear" w:color="auto" w:fill="auto"/>
            <w:noWrap/>
            <w:vAlign w:val="bottom"/>
            <w:hideMark/>
          </w:tcPr>
          <w:p w14:paraId="4F38179B" w14:textId="77777777" w:rsidR="008E2E6E" w:rsidRPr="008E2E6E" w:rsidRDefault="008E2E6E" w:rsidP="008E2E6E">
            <w:pPr>
              <w:spacing w:line="240" w:lineRule="auto"/>
              <w:rPr>
                <w:rFonts w:ascii="Aptos Narrow" w:eastAsia="Times New Roman" w:hAnsi="Aptos Narrow" w:cs="Times New Roman"/>
                <w:color w:val="000000"/>
                <w:sz w:val="18"/>
                <w:szCs w:val="18"/>
                <w:lang w:val="de-DE" w:eastAsia="de-DE"/>
              </w:rPr>
            </w:pPr>
            <w:r w:rsidRPr="008E2E6E">
              <w:rPr>
                <w:rFonts w:ascii="Aptos Narrow" w:eastAsia="Times New Roman" w:hAnsi="Aptos Narrow" w:cs="Times New Roman"/>
                <w:color w:val="000000"/>
                <w:sz w:val="18"/>
                <w:szCs w:val="18"/>
                <w:lang w:val="de-DE" w:eastAsia="de-DE"/>
              </w:rPr>
              <w:t>-0.117**</w:t>
            </w:r>
          </w:p>
        </w:tc>
        <w:tc>
          <w:tcPr>
            <w:tcW w:w="452" w:type="pct"/>
            <w:tcBorders>
              <w:top w:val="nil"/>
              <w:left w:val="nil"/>
              <w:bottom w:val="nil"/>
              <w:right w:val="nil"/>
            </w:tcBorders>
            <w:shd w:val="clear" w:color="auto" w:fill="auto"/>
            <w:noWrap/>
            <w:vAlign w:val="bottom"/>
            <w:hideMark/>
          </w:tcPr>
          <w:p w14:paraId="35EE8148" w14:textId="77777777" w:rsidR="008E2E6E" w:rsidRPr="008E2E6E" w:rsidRDefault="008E2E6E" w:rsidP="008E2E6E">
            <w:pPr>
              <w:spacing w:line="240" w:lineRule="auto"/>
              <w:rPr>
                <w:rFonts w:ascii="Aptos Narrow" w:eastAsia="Times New Roman" w:hAnsi="Aptos Narrow" w:cs="Times New Roman"/>
                <w:color w:val="000000"/>
                <w:sz w:val="18"/>
                <w:szCs w:val="18"/>
                <w:lang w:val="de-DE" w:eastAsia="de-DE"/>
              </w:rPr>
            </w:pPr>
            <w:r w:rsidRPr="008E2E6E">
              <w:rPr>
                <w:rFonts w:ascii="Aptos Narrow" w:eastAsia="Times New Roman" w:hAnsi="Aptos Narrow" w:cs="Times New Roman"/>
                <w:color w:val="000000"/>
                <w:sz w:val="18"/>
                <w:szCs w:val="18"/>
                <w:lang w:val="de-DE" w:eastAsia="de-DE"/>
              </w:rPr>
              <w:t>-0.118**</w:t>
            </w:r>
          </w:p>
        </w:tc>
      </w:tr>
      <w:tr w:rsidR="008E2E6E" w:rsidRPr="008E2E6E" w14:paraId="3A641E83" w14:textId="77777777" w:rsidTr="008E2E6E">
        <w:trPr>
          <w:trHeight w:val="288"/>
        </w:trPr>
        <w:tc>
          <w:tcPr>
            <w:tcW w:w="1396" w:type="pct"/>
            <w:tcBorders>
              <w:top w:val="nil"/>
              <w:left w:val="nil"/>
              <w:bottom w:val="nil"/>
              <w:right w:val="nil"/>
            </w:tcBorders>
            <w:shd w:val="clear" w:color="auto" w:fill="auto"/>
            <w:noWrap/>
            <w:vAlign w:val="bottom"/>
            <w:hideMark/>
          </w:tcPr>
          <w:p w14:paraId="2002F941" w14:textId="77777777" w:rsidR="008E2E6E" w:rsidRPr="008E2E6E" w:rsidRDefault="008E2E6E" w:rsidP="008E2E6E">
            <w:pPr>
              <w:spacing w:line="240" w:lineRule="auto"/>
              <w:rPr>
                <w:rFonts w:ascii="Aptos Narrow" w:eastAsia="Times New Roman" w:hAnsi="Aptos Narrow" w:cs="Times New Roman"/>
                <w:color w:val="000000"/>
                <w:sz w:val="18"/>
                <w:szCs w:val="18"/>
                <w:lang w:val="de-DE" w:eastAsia="de-DE"/>
              </w:rPr>
            </w:pPr>
          </w:p>
        </w:tc>
        <w:tc>
          <w:tcPr>
            <w:tcW w:w="452" w:type="pct"/>
            <w:tcBorders>
              <w:top w:val="nil"/>
              <w:left w:val="nil"/>
              <w:bottom w:val="nil"/>
              <w:right w:val="nil"/>
            </w:tcBorders>
            <w:shd w:val="clear" w:color="auto" w:fill="auto"/>
            <w:noWrap/>
            <w:vAlign w:val="bottom"/>
            <w:hideMark/>
          </w:tcPr>
          <w:p w14:paraId="2D20E86A" w14:textId="77777777" w:rsidR="008E2E6E" w:rsidRPr="008E2E6E" w:rsidRDefault="008E2E6E" w:rsidP="008E2E6E">
            <w:pPr>
              <w:spacing w:line="240" w:lineRule="auto"/>
              <w:rPr>
                <w:rFonts w:ascii="Times New Roman" w:eastAsia="Times New Roman" w:hAnsi="Times New Roman" w:cs="Times New Roman"/>
                <w:sz w:val="18"/>
                <w:szCs w:val="18"/>
                <w:lang w:val="de-DE" w:eastAsia="de-DE"/>
              </w:rPr>
            </w:pPr>
          </w:p>
        </w:tc>
        <w:tc>
          <w:tcPr>
            <w:tcW w:w="448" w:type="pct"/>
            <w:tcBorders>
              <w:top w:val="nil"/>
              <w:left w:val="nil"/>
              <w:bottom w:val="nil"/>
              <w:right w:val="nil"/>
            </w:tcBorders>
            <w:shd w:val="clear" w:color="auto" w:fill="auto"/>
            <w:noWrap/>
            <w:vAlign w:val="bottom"/>
            <w:hideMark/>
          </w:tcPr>
          <w:p w14:paraId="6280EE04" w14:textId="77777777" w:rsidR="008E2E6E" w:rsidRPr="008E2E6E" w:rsidRDefault="008E2E6E" w:rsidP="008E2E6E">
            <w:pPr>
              <w:spacing w:line="240" w:lineRule="auto"/>
              <w:jc w:val="center"/>
              <w:rPr>
                <w:rFonts w:ascii="Times New Roman" w:eastAsia="Times New Roman" w:hAnsi="Times New Roman" w:cs="Times New Roman"/>
                <w:sz w:val="18"/>
                <w:szCs w:val="18"/>
                <w:lang w:val="de-DE" w:eastAsia="de-DE"/>
              </w:rPr>
            </w:pPr>
          </w:p>
        </w:tc>
        <w:tc>
          <w:tcPr>
            <w:tcW w:w="449" w:type="pct"/>
            <w:tcBorders>
              <w:top w:val="nil"/>
              <w:left w:val="nil"/>
              <w:bottom w:val="nil"/>
              <w:right w:val="nil"/>
            </w:tcBorders>
            <w:shd w:val="clear" w:color="auto" w:fill="auto"/>
            <w:noWrap/>
            <w:vAlign w:val="bottom"/>
            <w:hideMark/>
          </w:tcPr>
          <w:p w14:paraId="0738028C" w14:textId="77777777" w:rsidR="008E2E6E" w:rsidRPr="008E2E6E" w:rsidRDefault="008E2E6E" w:rsidP="008E2E6E">
            <w:pPr>
              <w:spacing w:line="240" w:lineRule="auto"/>
              <w:jc w:val="center"/>
              <w:rPr>
                <w:rFonts w:ascii="Times New Roman" w:eastAsia="Times New Roman" w:hAnsi="Times New Roman" w:cs="Times New Roman"/>
                <w:sz w:val="18"/>
                <w:szCs w:val="18"/>
                <w:lang w:val="de-DE" w:eastAsia="de-DE"/>
              </w:rPr>
            </w:pPr>
          </w:p>
        </w:tc>
        <w:tc>
          <w:tcPr>
            <w:tcW w:w="449" w:type="pct"/>
            <w:tcBorders>
              <w:top w:val="nil"/>
              <w:left w:val="nil"/>
              <w:bottom w:val="nil"/>
              <w:right w:val="nil"/>
            </w:tcBorders>
            <w:shd w:val="clear" w:color="auto" w:fill="auto"/>
            <w:noWrap/>
            <w:vAlign w:val="bottom"/>
            <w:hideMark/>
          </w:tcPr>
          <w:p w14:paraId="0AC66857" w14:textId="77777777" w:rsidR="008E2E6E" w:rsidRPr="008E2E6E" w:rsidRDefault="008E2E6E" w:rsidP="008E2E6E">
            <w:pPr>
              <w:spacing w:line="240" w:lineRule="auto"/>
              <w:jc w:val="center"/>
              <w:rPr>
                <w:rFonts w:ascii="Times New Roman" w:eastAsia="Times New Roman" w:hAnsi="Times New Roman" w:cs="Times New Roman"/>
                <w:sz w:val="18"/>
                <w:szCs w:val="18"/>
                <w:lang w:val="de-DE" w:eastAsia="de-DE"/>
              </w:rPr>
            </w:pPr>
          </w:p>
        </w:tc>
        <w:tc>
          <w:tcPr>
            <w:tcW w:w="452" w:type="pct"/>
            <w:tcBorders>
              <w:top w:val="nil"/>
              <w:left w:val="nil"/>
              <w:bottom w:val="nil"/>
              <w:right w:val="nil"/>
            </w:tcBorders>
            <w:shd w:val="clear" w:color="auto" w:fill="auto"/>
            <w:noWrap/>
            <w:vAlign w:val="bottom"/>
            <w:hideMark/>
          </w:tcPr>
          <w:p w14:paraId="789D7CE9" w14:textId="77777777" w:rsidR="008E2E6E" w:rsidRPr="008E2E6E" w:rsidRDefault="008E2E6E" w:rsidP="008E2E6E">
            <w:pPr>
              <w:spacing w:line="240" w:lineRule="auto"/>
              <w:rPr>
                <w:rFonts w:ascii="Aptos Narrow" w:eastAsia="Times New Roman" w:hAnsi="Aptos Narrow" w:cs="Times New Roman"/>
                <w:color w:val="000000"/>
                <w:sz w:val="18"/>
                <w:szCs w:val="18"/>
                <w:lang w:val="de-DE" w:eastAsia="de-DE"/>
              </w:rPr>
            </w:pPr>
            <w:r w:rsidRPr="008E2E6E">
              <w:rPr>
                <w:rFonts w:ascii="Aptos Narrow" w:eastAsia="Times New Roman" w:hAnsi="Aptos Narrow" w:cs="Times New Roman"/>
                <w:color w:val="000000"/>
                <w:sz w:val="18"/>
                <w:szCs w:val="18"/>
                <w:lang w:val="de-DE" w:eastAsia="de-DE"/>
              </w:rPr>
              <w:t>(0.036)</w:t>
            </w:r>
          </w:p>
        </w:tc>
        <w:tc>
          <w:tcPr>
            <w:tcW w:w="452" w:type="pct"/>
            <w:tcBorders>
              <w:top w:val="nil"/>
              <w:left w:val="nil"/>
              <w:bottom w:val="nil"/>
              <w:right w:val="nil"/>
            </w:tcBorders>
            <w:shd w:val="clear" w:color="auto" w:fill="auto"/>
            <w:noWrap/>
            <w:vAlign w:val="bottom"/>
            <w:hideMark/>
          </w:tcPr>
          <w:p w14:paraId="4CCDF666" w14:textId="77777777" w:rsidR="008E2E6E" w:rsidRPr="008E2E6E" w:rsidRDefault="008E2E6E" w:rsidP="008E2E6E">
            <w:pPr>
              <w:spacing w:line="240" w:lineRule="auto"/>
              <w:rPr>
                <w:rFonts w:ascii="Aptos Narrow" w:eastAsia="Times New Roman" w:hAnsi="Aptos Narrow" w:cs="Times New Roman"/>
                <w:color w:val="000000"/>
                <w:sz w:val="18"/>
                <w:szCs w:val="18"/>
                <w:lang w:val="de-DE" w:eastAsia="de-DE"/>
              </w:rPr>
            </w:pPr>
            <w:r w:rsidRPr="008E2E6E">
              <w:rPr>
                <w:rFonts w:ascii="Aptos Narrow" w:eastAsia="Times New Roman" w:hAnsi="Aptos Narrow" w:cs="Times New Roman"/>
                <w:color w:val="000000"/>
                <w:sz w:val="18"/>
                <w:szCs w:val="18"/>
                <w:lang w:val="de-DE" w:eastAsia="de-DE"/>
              </w:rPr>
              <w:t>(0.036)</w:t>
            </w:r>
          </w:p>
        </w:tc>
        <w:tc>
          <w:tcPr>
            <w:tcW w:w="452" w:type="pct"/>
            <w:tcBorders>
              <w:top w:val="nil"/>
              <w:left w:val="nil"/>
              <w:bottom w:val="nil"/>
              <w:right w:val="nil"/>
            </w:tcBorders>
            <w:shd w:val="clear" w:color="auto" w:fill="auto"/>
            <w:noWrap/>
            <w:vAlign w:val="bottom"/>
            <w:hideMark/>
          </w:tcPr>
          <w:p w14:paraId="1472755C" w14:textId="77777777" w:rsidR="008E2E6E" w:rsidRPr="008E2E6E" w:rsidRDefault="008E2E6E" w:rsidP="008E2E6E">
            <w:pPr>
              <w:spacing w:line="240" w:lineRule="auto"/>
              <w:rPr>
                <w:rFonts w:ascii="Aptos Narrow" w:eastAsia="Times New Roman" w:hAnsi="Aptos Narrow" w:cs="Times New Roman"/>
                <w:color w:val="000000"/>
                <w:sz w:val="18"/>
                <w:szCs w:val="18"/>
                <w:lang w:val="de-DE" w:eastAsia="de-DE"/>
              </w:rPr>
            </w:pPr>
            <w:r w:rsidRPr="008E2E6E">
              <w:rPr>
                <w:rFonts w:ascii="Aptos Narrow" w:eastAsia="Times New Roman" w:hAnsi="Aptos Narrow" w:cs="Times New Roman"/>
                <w:color w:val="000000"/>
                <w:sz w:val="18"/>
                <w:szCs w:val="18"/>
                <w:lang w:val="de-DE" w:eastAsia="de-DE"/>
              </w:rPr>
              <w:t>(0.036)</w:t>
            </w:r>
          </w:p>
        </w:tc>
        <w:tc>
          <w:tcPr>
            <w:tcW w:w="452" w:type="pct"/>
            <w:tcBorders>
              <w:top w:val="nil"/>
              <w:left w:val="nil"/>
              <w:bottom w:val="nil"/>
              <w:right w:val="nil"/>
            </w:tcBorders>
            <w:shd w:val="clear" w:color="auto" w:fill="auto"/>
            <w:noWrap/>
            <w:vAlign w:val="bottom"/>
            <w:hideMark/>
          </w:tcPr>
          <w:p w14:paraId="060CF6C9" w14:textId="77777777" w:rsidR="008E2E6E" w:rsidRPr="008E2E6E" w:rsidRDefault="008E2E6E" w:rsidP="008E2E6E">
            <w:pPr>
              <w:spacing w:line="240" w:lineRule="auto"/>
              <w:rPr>
                <w:rFonts w:ascii="Aptos Narrow" w:eastAsia="Times New Roman" w:hAnsi="Aptos Narrow" w:cs="Times New Roman"/>
                <w:color w:val="000000"/>
                <w:sz w:val="18"/>
                <w:szCs w:val="18"/>
                <w:lang w:val="de-DE" w:eastAsia="de-DE"/>
              </w:rPr>
            </w:pPr>
            <w:r w:rsidRPr="008E2E6E">
              <w:rPr>
                <w:rFonts w:ascii="Aptos Narrow" w:eastAsia="Times New Roman" w:hAnsi="Aptos Narrow" w:cs="Times New Roman"/>
                <w:color w:val="000000"/>
                <w:sz w:val="18"/>
                <w:szCs w:val="18"/>
                <w:lang w:val="de-DE" w:eastAsia="de-DE"/>
              </w:rPr>
              <w:t>(0.034)</w:t>
            </w:r>
          </w:p>
        </w:tc>
      </w:tr>
      <w:tr w:rsidR="008E2E6E" w:rsidRPr="008E2E6E" w14:paraId="3E084A74" w14:textId="77777777" w:rsidTr="008E2E6E">
        <w:trPr>
          <w:trHeight w:val="288"/>
        </w:trPr>
        <w:tc>
          <w:tcPr>
            <w:tcW w:w="1396" w:type="pct"/>
            <w:tcBorders>
              <w:top w:val="nil"/>
              <w:left w:val="nil"/>
              <w:bottom w:val="nil"/>
              <w:right w:val="nil"/>
            </w:tcBorders>
            <w:shd w:val="clear" w:color="auto" w:fill="auto"/>
            <w:noWrap/>
            <w:vAlign w:val="bottom"/>
            <w:hideMark/>
          </w:tcPr>
          <w:p w14:paraId="2DF368D9" w14:textId="77777777" w:rsidR="008E2E6E" w:rsidRPr="008E2E6E" w:rsidRDefault="008E2E6E" w:rsidP="008E2E6E">
            <w:pPr>
              <w:spacing w:line="240" w:lineRule="auto"/>
              <w:rPr>
                <w:rFonts w:ascii="Aptos Narrow" w:eastAsia="Times New Roman" w:hAnsi="Aptos Narrow" w:cs="Times New Roman"/>
                <w:color w:val="000000"/>
                <w:sz w:val="18"/>
                <w:szCs w:val="18"/>
                <w:lang w:val="de-DE" w:eastAsia="de-DE"/>
              </w:rPr>
            </w:pPr>
            <w:r w:rsidRPr="008E2E6E">
              <w:rPr>
                <w:rFonts w:ascii="Aptos Narrow" w:eastAsia="Times New Roman" w:hAnsi="Aptos Narrow" w:cs="Times New Roman"/>
                <w:color w:val="000000"/>
                <w:sz w:val="18"/>
                <w:szCs w:val="18"/>
                <w:lang w:val="de-DE" w:eastAsia="de-DE"/>
              </w:rPr>
              <w:t xml:space="preserve">Sharing </w:t>
            </w:r>
            <w:proofErr w:type="spellStart"/>
            <w:r w:rsidRPr="008E2E6E">
              <w:rPr>
                <w:rFonts w:ascii="Aptos Narrow" w:eastAsia="Times New Roman" w:hAnsi="Aptos Narrow" w:cs="Times New Roman"/>
                <w:color w:val="000000"/>
                <w:sz w:val="18"/>
                <w:szCs w:val="18"/>
                <w:lang w:val="de-DE" w:eastAsia="de-DE"/>
              </w:rPr>
              <w:t>data</w:t>
            </w:r>
            <w:proofErr w:type="spellEnd"/>
            <w:r w:rsidRPr="008E2E6E">
              <w:rPr>
                <w:rFonts w:ascii="Aptos Narrow" w:eastAsia="Times New Roman" w:hAnsi="Aptos Narrow" w:cs="Times New Roman"/>
                <w:color w:val="000000"/>
                <w:sz w:val="18"/>
                <w:szCs w:val="18"/>
                <w:lang w:val="de-DE" w:eastAsia="de-DE"/>
              </w:rPr>
              <w:t xml:space="preserve"> </w:t>
            </w:r>
            <w:proofErr w:type="spellStart"/>
            <w:r w:rsidRPr="008E2E6E">
              <w:rPr>
                <w:rFonts w:ascii="Aptos Narrow" w:eastAsia="Times New Roman" w:hAnsi="Aptos Narrow" w:cs="Times New Roman"/>
                <w:color w:val="000000"/>
                <w:sz w:val="18"/>
                <w:szCs w:val="18"/>
                <w:lang w:val="de-DE" w:eastAsia="de-DE"/>
              </w:rPr>
              <w:t>protection</w:t>
            </w:r>
            <w:proofErr w:type="spellEnd"/>
            <w:r w:rsidRPr="008E2E6E">
              <w:rPr>
                <w:rFonts w:ascii="Aptos Narrow" w:eastAsia="Times New Roman" w:hAnsi="Aptos Narrow" w:cs="Times New Roman"/>
                <w:color w:val="000000"/>
                <w:sz w:val="18"/>
                <w:szCs w:val="18"/>
                <w:lang w:val="de-DE" w:eastAsia="de-DE"/>
              </w:rPr>
              <w:t xml:space="preserve"> * OT</w:t>
            </w:r>
          </w:p>
        </w:tc>
        <w:tc>
          <w:tcPr>
            <w:tcW w:w="452" w:type="pct"/>
            <w:tcBorders>
              <w:top w:val="nil"/>
              <w:left w:val="nil"/>
              <w:bottom w:val="nil"/>
              <w:right w:val="nil"/>
            </w:tcBorders>
            <w:shd w:val="clear" w:color="auto" w:fill="auto"/>
            <w:noWrap/>
            <w:vAlign w:val="bottom"/>
            <w:hideMark/>
          </w:tcPr>
          <w:p w14:paraId="6E0A1DD4" w14:textId="77777777" w:rsidR="008E2E6E" w:rsidRPr="008E2E6E" w:rsidRDefault="008E2E6E" w:rsidP="008E2E6E">
            <w:pPr>
              <w:spacing w:line="240" w:lineRule="auto"/>
              <w:rPr>
                <w:rFonts w:ascii="Aptos Narrow" w:eastAsia="Times New Roman" w:hAnsi="Aptos Narrow" w:cs="Times New Roman"/>
                <w:color w:val="000000"/>
                <w:sz w:val="18"/>
                <w:szCs w:val="18"/>
                <w:lang w:val="de-DE" w:eastAsia="de-DE"/>
              </w:rPr>
            </w:pPr>
          </w:p>
        </w:tc>
        <w:tc>
          <w:tcPr>
            <w:tcW w:w="448" w:type="pct"/>
            <w:tcBorders>
              <w:top w:val="nil"/>
              <w:left w:val="nil"/>
              <w:bottom w:val="nil"/>
              <w:right w:val="nil"/>
            </w:tcBorders>
            <w:shd w:val="clear" w:color="auto" w:fill="auto"/>
            <w:noWrap/>
            <w:vAlign w:val="bottom"/>
            <w:hideMark/>
          </w:tcPr>
          <w:p w14:paraId="1527356B" w14:textId="77777777" w:rsidR="008E2E6E" w:rsidRPr="008E2E6E" w:rsidRDefault="008E2E6E" w:rsidP="008E2E6E">
            <w:pPr>
              <w:spacing w:line="240" w:lineRule="auto"/>
              <w:jc w:val="center"/>
              <w:rPr>
                <w:rFonts w:ascii="Times New Roman" w:eastAsia="Times New Roman" w:hAnsi="Times New Roman" w:cs="Times New Roman"/>
                <w:sz w:val="18"/>
                <w:szCs w:val="18"/>
                <w:lang w:val="de-DE" w:eastAsia="de-DE"/>
              </w:rPr>
            </w:pPr>
          </w:p>
        </w:tc>
        <w:tc>
          <w:tcPr>
            <w:tcW w:w="449" w:type="pct"/>
            <w:tcBorders>
              <w:top w:val="nil"/>
              <w:left w:val="nil"/>
              <w:bottom w:val="nil"/>
              <w:right w:val="nil"/>
            </w:tcBorders>
            <w:shd w:val="clear" w:color="auto" w:fill="auto"/>
            <w:noWrap/>
            <w:vAlign w:val="bottom"/>
            <w:hideMark/>
          </w:tcPr>
          <w:p w14:paraId="1C3916D3" w14:textId="77777777" w:rsidR="008E2E6E" w:rsidRPr="008E2E6E" w:rsidRDefault="008E2E6E" w:rsidP="008E2E6E">
            <w:pPr>
              <w:spacing w:line="240" w:lineRule="auto"/>
              <w:jc w:val="center"/>
              <w:rPr>
                <w:rFonts w:ascii="Times New Roman" w:eastAsia="Times New Roman" w:hAnsi="Times New Roman" w:cs="Times New Roman"/>
                <w:sz w:val="18"/>
                <w:szCs w:val="18"/>
                <w:lang w:val="de-DE" w:eastAsia="de-DE"/>
              </w:rPr>
            </w:pPr>
          </w:p>
        </w:tc>
        <w:tc>
          <w:tcPr>
            <w:tcW w:w="449" w:type="pct"/>
            <w:tcBorders>
              <w:top w:val="nil"/>
              <w:left w:val="nil"/>
              <w:bottom w:val="nil"/>
              <w:right w:val="nil"/>
            </w:tcBorders>
            <w:shd w:val="clear" w:color="auto" w:fill="auto"/>
            <w:noWrap/>
            <w:vAlign w:val="bottom"/>
            <w:hideMark/>
          </w:tcPr>
          <w:p w14:paraId="552D6508" w14:textId="77777777" w:rsidR="008E2E6E" w:rsidRPr="008E2E6E" w:rsidRDefault="008E2E6E" w:rsidP="008E2E6E">
            <w:pPr>
              <w:spacing w:line="240" w:lineRule="auto"/>
              <w:jc w:val="center"/>
              <w:rPr>
                <w:rFonts w:ascii="Times New Roman" w:eastAsia="Times New Roman" w:hAnsi="Times New Roman" w:cs="Times New Roman"/>
                <w:sz w:val="18"/>
                <w:szCs w:val="18"/>
                <w:lang w:val="de-DE" w:eastAsia="de-DE"/>
              </w:rPr>
            </w:pPr>
          </w:p>
        </w:tc>
        <w:tc>
          <w:tcPr>
            <w:tcW w:w="452" w:type="pct"/>
            <w:tcBorders>
              <w:top w:val="nil"/>
              <w:left w:val="nil"/>
              <w:bottom w:val="nil"/>
              <w:right w:val="nil"/>
            </w:tcBorders>
            <w:shd w:val="clear" w:color="auto" w:fill="auto"/>
            <w:noWrap/>
            <w:vAlign w:val="bottom"/>
            <w:hideMark/>
          </w:tcPr>
          <w:p w14:paraId="4989CF94" w14:textId="77777777" w:rsidR="008E2E6E" w:rsidRPr="008E2E6E" w:rsidRDefault="008E2E6E" w:rsidP="008E2E6E">
            <w:pPr>
              <w:spacing w:line="240" w:lineRule="auto"/>
              <w:rPr>
                <w:rFonts w:ascii="Aptos Narrow" w:eastAsia="Times New Roman" w:hAnsi="Aptos Narrow" w:cs="Times New Roman"/>
                <w:color w:val="000000"/>
                <w:sz w:val="18"/>
                <w:szCs w:val="18"/>
                <w:lang w:val="de-DE" w:eastAsia="de-DE"/>
              </w:rPr>
            </w:pPr>
            <w:r w:rsidRPr="008E2E6E">
              <w:rPr>
                <w:rFonts w:ascii="Aptos Narrow" w:eastAsia="Times New Roman" w:hAnsi="Aptos Narrow" w:cs="Times New Roman"/>
                <w:color w:val="000000"/>
                <w:sz w:val="18"/>
                <w:szCs w:val="18"/>
                <w:lang w:val="de-DE" w:eastAsia="de-DE"/>
              </w:rPr>
              <w:t>-0.127**</w:t>
            </w:r>
          </w:p>
        </w:tc>
        <w:tc>
          <w:tcPr>
            <w:tcW w:w="452" w:type="pct"/>
            <w:tcBorders>
              <w:top w:val="nil"/>
              <w:left w:val="nil"/>
              <w:bottom w:val="nil"/>
              <w:right w:val="nil"/>
            </w:tcBorders>
            <w:shd w:val="clear" w:color="auto" w:fill="auto"/>
            <w:noWrap/>
            <w:vAlign w:val="bottom"/>
            <w:hideMark/>
          </w:tcPr>
          <w:p w14:paraId="46ED3B47" w14:textId="77777777" w:rsidR="008E2E6E" w:rsidRPr="008E2E6E" w:rsidRDefault="008E2E6E" w:rsidP="008E2E6E">
            <w:pPr>
              <w:spacing w:line="240" w:lineRule="auto"/>
              <w:rPr>
                <w:rFonts w:ascii="Aptos Narrow" w:eastAsia="Times New Roman" w:hAnsi="Aptos Narrow" w:cs="Times New Roman"/>
                <w:color w:val="000000"/>
                <w:sz w:val="18"/>
                <w:szCs w:val="18"/>
                <w:lang w:val="de-DE" w:eastAsia="de-DE"/>
              </w:rPr>
            </w:pPr>
            <w:r w:rsidRPr="008E2E6E">
              <w:rPr>
                <w:rFonts w:ascii="Aptos Narrow" w:eastAsia="Times New Roman" w:hAnsi="Aptos Narrow" w:cs="Times New Roman"/>
                <w:color w:val="000000"/>
                <w:sz w:val="18"/>
                <w:szCs w:val="18"/>
                <w:lang w:val="de-DE" w:eastAsia="de-DE"/>
              </w:rPr>
              <w:t>-0.130**</w:t>
            </w:r>
          </w:p>
        </w:tc>
        <w:tc>
          <w:tcPr>
            <w:tcW w:w="452" w:type="pct"/>
            <w:tcBorders>
              <w:top w:val="nil"/>
              <w:left w:val="nil"/>
              <w:bottom w:val="nil"/>
              <w:right w:val="nil"/>
            </w:tcBorders>
            <w:shd w:val="clear" w:color="auto" w:fill="auto"/>
            <w:noWrap/>
            <w:vAlign w:val="bottom"/>
            <w:hideMark/>
          </w:tcPr>
          <w:p w14:paraId="1607FCD2" w14:textId="77777777" w:rsidR="008E2E6E" w:rsidRPr="008E2E6E" w:rsidRDefault="008E2E6E" w:rsidP="008E2E6E">
            <w:pPr>
              <w:spacing w:line="240" w:lineRule="auto"/>
              <w:rPr>
                <w:rFonts w:ascii="Aptos Narrow" w:eastAsia="Times New Roman" w:hAnsi="Aptos Narrow" w:cs="Times New Roman"/>
                <w:color w:val="000000"/>
                <w:sz w:val="18"/>
                <w:szCs w:val="18"/>
                <w:lang w:val="de-DE" w:eastAsia="de-DE"/>
              </w:rPr>
            </w:pPr>
            <w:r w:rsidRPr="008E2E6E">
              <w:rPr>
                <w:rFonts w:ascii="Aptos Narrow" w:eastAsia="Times New Roman" w:hAnsi="Aptos Narrow" w:cs="Times New Roman"/>
                <w:color w:val="000000"/>
                <w:sz w:val="18"/>
                <w:szCs w:val="18"/>
                <w:lang w:val="de-DE" w:eastAsia="de-DE"/>
              </w:rPr>
              <w:t>-0.132**</w:t>
            </w:r>
          </w:p>
        </w:tc>
        <w:tc>
          <w:tcPr>
            <w:tcW w:w="452" w:type="pct"/>
            <w:tcBorders>
              <w:top w:val="nil"/>
              <w:left w:val="nil"/>
              <w:bottom w:val="nil"/>
              <w:right w:val="nil"/>
            </w:tcBorders>
            <w:shd w:val="clear" w:color="auto" w:fill="auto"/>
            <w:noWrap/>
            <w:vAlign w:val="bottom"/>
            <w:hideMark/>
          </w:tcPr>
          <w:p w14:paraId="4B7AB897" w14:textId="77777777" w:rsidR="008E2E6E" w:rsidRPr="008E2E6E" w:rsidRDefault="008E2E6E" w:rsidP="008E2E6E">
            <w:pPr>
              <w:spacing w:line="240" w:lineRule="auto"/>
              <w:rPr>
                <w:rFonts w:ascii="Aptos Narrow" w:eastAsia="Times New Roman" w:hAnsi="Aptos Narrow" w:cs="Times New Roman"/>
                <w:color w:val="000000"/>
                <w:sz w:val="18"/>
                <w:szCs w:val="18"/>
                <w:lang w:val="de-DE" w:eastAsia="de-DE"/>
              </w:rPr>
            </w:pPr>
            <w:r w:rsidRPr="008E2E6E">
              <w:rPr>
                <w:rFonts w:ascii="Aptos Narrow" w:eastAsia="Times New Roman" w:hAnsi="Aptos Narrow" w:cs="Times New Roman"/>
                <w:color w:val="000000"/>
                <w:sz w:val="18"/>
                <w:szCs w:val="18"/>
                <w:lang w:val="de-DE" w:eastAsia="de-DE"/>
              </w:rPr>
              <w:t>-0.132**</w:t>
            </w:r>
          </w:p>
        </w:tc>
      </w:tr>
      <w:tr w:rsidR="008E2E6E" w:rsidRPr="008E2E6E" w14:paraId="2A556D7B" w14:textId="77777777" w:rsidTr="008E2E6E">
        <w:trPr>
          <w:trHeight w:val="288"/>
        </w:trPr>
        <w:tc>
          <w:tcPr>
            <w:tcW w:w="1396" w:type="pct"/>
            <w:tcBorders>
              <w:top w:val="nil"/>
              <w:left w:val="nil"/>
              <w:bottom w:val="nil"/>
              <w:right w:val="nil"/>
            </w:tcBorders>
            <w:shd w:val="clear" w:color="auto" w:fill="auto"/>
            <w:noWrap/>
            <w:vAlign w:val="bottom"/>
            <w:hideMark/>
          </w:tcPr>
          <w:p w14:paraId="5F1D168F" w14:textId="77777777" w:rsidR="008E2E6E" w:rsidRPr="008E2E6E" w:rsidRDefault="008E2E6E" w:rsidP="008E2E6E">
            <w:pPr>
              <w:spacing w:line="240" w:lineRule="auto"/>
              <w:rPr>
                <w:rFonts w:ascii="Aptos Narrow" w:eastAsia="Times New Roman" w:hAnsi="Aptos Narrow" w:cs="Times New Roman"/>
                <w:color w:val="000000"/>
                <w:sz w:val="18"/>
                <w:szCs w:val="18"/>
                <w:lang w:val="de-DE" w:eastAsia="de-DE"/>
              </w:rPr>
            </w:pPr>
          </w:p>
        </w:tc>
        <w:tc>
          <w:tcPr>
            <w:tcW w:w="452" w:type="pct"/>
            <w:tcBorders>
              <w:top w:val="nil"/>
              <w:left w:val="nil"/>
              <w:bottom w:val="nil"/>
              <w:right w:val="nil"/>
            </w:tcBorders>
            <w:shd w:val="clear" w:color="auto" w:fill="auto"/>
            <w:noWrap/>
            <w:vAlign w:val="bottom"/>
            <w:hideMark/>
          </w:tcPr>
          <w:p w14:paraId="79F764A8" w14:textId="77777777" w:rsidR="008E2E6E" w:rsidRPr="008E2E6E" w:rsidRDefault="008E2E6E" w:rsidP="008E2E6E">
            <w:pPr>
              <w:spacing w:line="240" w:lineRule="auto"/>
              <w:rPr>
                <w:rFonts w:ascii="Times New Roman" w:eastAsia="Times New Roman" w:hAnsi="Times New Roman" w:cs="Times New Roman"/>
                <w:sz w:val="18"/>
                <w:szCs w:val="18"/>
                <w:lang w:val="de-DE" w:eastAsia="de-DE"/>
              </w:rPr>
            </w:pPr>
          </w:p>
        </w:tc>
        <w:tc>
          <w:tcPr>
            <w:tcW w:w="448" w:type="pct"/>
            <w:tcBorders>
              <w:top w:val="nil"/>
              <w:left w:val="nil"/>
              <w:bottom w:val="nil"/>
              <w:right w:val="nil"/>
            </w:tcBorders>
            <w:shd w:val="clear" w:color="auto" w:fill="auto"/>
            <w:noWrap/>
            <w:vAlign w:val="bottom"/>
            <w:hideMark/>
          </w:tcPr>
          <w:p w14:paraId="22DD72C6" w14:textId="77777777" w:rsidR="008E2E6E" w:rsidRPr="008E2E6E" w:rsidRDefault="008E2E6E" w:rsidP="008E2E6E">
            <w:pPr>
              <w:spacing w:line="240" w:lineRule="auto"/>
              <w:jc w:val="center"/>
              <w:rPr>
                <w:rFonts w:ascii="Times New Roman" w:eastAsia="Times New Roman" w:hAnsi="Times New Roman" w:cs="Times New Roman"/>
                <w:sz w:val="18"/>
                <w:szCs w:val="18"/>
                <w:lang w:val="de-DE" w:eastAsia="de-DE"/>
              </w:rPr>
            </w:pPr>
          </w:p>
        </w:tc>
        <w:tc>
          <w:tcPr>
            <w:tcW w:w="449" w:type="pct"/>
            <w:tcBorders>
              <w:top w:val="nil"/>
              <w:left w:val="nil"/>
              <w:bottom w:val="nil"/>
              <w:right w:val="nil"/>
            </w:tcBorders>
            <w:shd w:val="clear" w:color="auto" w:fill="auto"/>
            <w:noWrap/>
            <w:vAlign w:val="bottom"/>
            <w:hideMark/>
          </w:tcPr>
          <w:p w14:paraId="2488E595" w14:textId="77777777" w:rsidR="008E2E6E" w:rsidRPr="008E2E6E" w:rsidRDefault="008E2E6E" w:rsidP="008E2E6E">
            <w:pPr>
              <w:spacing w:line="240" w:lineRule="auto"/>
              <w:jc w:val="center"/>
              <w:rPr>
                <w:rFonts w:ascii="Times New Roman" w:eastAsia="Times New Roman" w:hAnsi="Times New Roman" w:cs="Times New Roman"/>
                <w:sz w:val="18"/>
                <w:szCs w:val="18"/>
                <w:lang w:val="de-DE" w:eastAsia="de-DE"/>
              </w:rPr>
            </w:pPr>
          </w:p>
        </w:tc>
        <w:tc>
          <w:tcPr>
            <w:tcW w:w="449" w:type="pct"/>
            <w:tcBorders>
              <w:top w:val="nil"/>
              <w:left w:val="nil"/>
              <w:bottom w:val="nil"/>
              <w:right w:val="nil"/>
            </w:tcBorders>
            <w:shd w:val="clear" w:color="auto" w:fill="auto"/>
            <w:noWrap/>
            <w:vAlign w:val="bottom"/>
            <w:hideMark/>
          </w:tcPr>
          <w:p w14:paraId="32DC3BD4" w14:textId="77777777" w:rsidR="008E2E6E" w:rsidRPr="008E2E6E" w:rsidRDefault="008E2E6E" w:rsidP="008E2E6E">
            <w:pPr>
              <w:spacing w:line="240" w:lineRule="auto"/>
              <w:jc w:val="center"/>
              <w:rPr>
                <w:rFonts w:ascii="Times New Roman" w:eastAsia="Times New Roman" w:hAnsi="Times New Roman" w:cs="Times New Roman"/>
                <w:sz w:val="18"/>
                <w:szCs w:val="18"/>
                <w:lang w:val="de-DE" w:eastAsia="de-DE"/>
              </w:rPr>
            </w:pPr>
          </w:p>
        </w:tc>
        <w:tc>
          <w:tcPr>
            <w:tcW w:w="452" w:type="pct"/>
            <w:tcBorders>
              <w:top w:val="nil"/>
              <w:left w:val="nil"/>
              <w:bottom w:val="nil"/>
              <w:right w:val="nil"/>
            </w:tcBorders>
            <w:shd w:val="clear" w:color="auto" w:fill="auto"/>
            <w:noWrap/>
            <w:vAlign w:val="bottom"/>
            <w:hideMark/>
          </w:tcPr>
          <w:p w14:paraId="45EFFE6B" w14:textId="77777777" w:rsidR="008E2E6E" w:rsidRPr="008E2E6E" w:rsidRDefault="008E2E6E" w:rsidP="008E2E6E">
            <w:pPr>
              <w:spacing w:line="240" w:lineRule="auto"/>
              <w:rPr>
                <w:rFonts w:ascii="Aptos Narrow" w:eastAsia="Times New Roman" w:hAnsi="Aptos Narrow" w:cs="Times New Roman"/>
                <w:color w:val="000000"/>
                <w:sz w:val="18"/>
                <w:szCs w:val="18"/>
                <w:lang w:val="de-DE" w:eastAsia="de-DE"/>
              </w:rPr>
            </w:pPr>
            <w:r w:rsidRPr="008E2E6E">
              <w:rPr>
                <w:rFonts w:ascii="Aptos Narrow" w:eastAsia="Times New Roman" w:hAnsi="Aptos Narrow" w:cs="Times New Roman"/>
                <w:color w:val="000000"/>
                <w:sz w:val="18"/>
                <w:szCs w:val="18"/>
                <w:lang w:val="de-DE" w:eastAsia="de-DE"/>
              </w:rPr>
              <w:t>(0.042)</w:t>
            </w:r>
          </w:p>
        </w:tc>
        <w:tc>
          <w:tcPr>
            <w:tcW w:w="452" w:type="pct"/>
            <w:tcBorders>
              <w:top w:val="nil"/>
              <w:left w:val="nil"/>
              <w:bottom w:val="nil"/>
              <w:right w:val="nil"/>
            </w:tcBorders>
            <w:shd w:val="clear" w:color="auto" w:fill="auto"/>
            <w:noWrap/>
            <w:vAlign w:val="bottom"/>
            <w:hideMark/>
          </w:tcPr>
          <w:p w14:paraId="230036E0" w14:textId="77777777" w:rsidR="008E2E6E" w:rsidRPr="008E2E6E" w:rsidRDefault="008E2E6E" w:rsidP="008E2E6E">
            <w:pPr>
              <w:spacing w:line="240" w:lineRule="auto"/>
              <w:rPr>
                <w:rFonts w:ascii="Aptos Narrow" w:eastAsia="Times New Roman" w:hAnsi="Aptos Narrow" w:cs="Times New Roman"/>
                <w:color w:val="000000"/>
                <w:sz w:val="18"/>
                <w:szCs w:val="18"/>
                <w:lang w:val="de-DE" w:eastAsia="de-DE"/>
              </w:rPr>
            </w:pPr>
            <w:r w:rsidRPr="008E2E6E">
              <w:rPr>
                <w:rFonts w:ascii="Aptos Narrow" w:eastAsia="Times New Roman" w:hAnsi="Aptos Narrow" w:cs="Times New Roman"/>
                <w:color w:val="000000"/>
                <w:sz w:val="18"/>
                <w:szCs w:val="18"/>
                <w:lang w:val="de-DE" w:eastAsia="de-DE"/>
              </w:rPr>
              <w:t>(0.034)</w:t>
            </w:r>
          </w:p>
        </w:tc>
        <w:tc>
          <w:tcPr>
            <w:tcW w:w="452" w:type="pct"/>
            <w:tcBorders>
              <w:top w:val="nil"/>
              <w:left w:val="nil"/>
              <w:bottom w:val="nil"/>
              <w:right w:val="nil"/>
            </w:tcBorders>
            <w:shd w:val="clear" w:color="auto" w:fill="auto"/>
            <w:noWrap/>
            <w:vAlign w:val="bottom"/>
            <w:hideMark/>
          </w:tcPr>
          <w:p w14:paraId="5A45E758" w14:textId="77777777" w:rsidR="008E2E6E" w:rsidRPr="008E2E6E" w:rsidRDefault="008E2E6E" w:rsidP="008E2E6E">
            <w:pPr>
              <w:spacing w:line="240" w:lineRule="auto"/>
              <w:rPr>
                <w:rFonts w:ascii="Aptos Narrow" w:eastAsia="Times New Roman" w:hAnsi="Aptos Narrow" w:cs="Times New Roman"/>
                <w:color w:val="000000"/>
                <w:sz w:val="18"/>
                <w:szCs w:val="18"/>
                <w:lang w:val="de-DE" w:eastAsia="de-DE"/>
              </w:rPr>
            </w:pPr>
            <w:r w:rsidRPr="008E2E6E">
              <w:rPr>
                <w:rFonts w:ascii="Aptos Narrow" w:eastAsia="Times New Roman" w:hAnsi="Aptos Narrow" w:cs="Times New Roman"/>
                <w:color w:val="000000"/>
                <w:sz w:val="18"/>
                <w:szCs w:val="18"/>
                <w:lang w:val="de-DE" w:eastAsia="de-DE"/>
              </w:rPr>
              <w:t>(0.030)</w:t>
            </w:r>
          </w:p>
        </w:tc>
        <w:tc>
          <w:tcPr>
            <w:tcW w:w="452" w:type="pct"/>
            <w:tcBorders>
              <w:top w:val="nil"/>
              <w:left w:val="nil"/>
              <w:bottom w:val="nil"/>
              <w:right w:val="nil"/>
            </w:tcBorders>
            <w:shd w:val="clear" w:color="auto" w:fill="auto"/>
            <w:noWrap/>
            <w:vAlign w:val="bottom"/>
            <w:hideMark/>
          </w:tcPr>
          <w:p w14:paraId="46C90F1C" w14:textId="77777777" w:rsidR="008E2E6E" w:rsidRPr="008E2E6E" w:rsidRDefault="008E2E6E" w:rsidP="008E2E6E">
            <w:pPr>
              <w:spacing w:line="240" w:lineRule="auto"/>
              <w:rPr>
                <w:rFonts w:ascii="Aptos Narrow" w:eastAsia="Times New Roman" w:hAnsi="Aptos Narrow" w:cs="Times New Roman"/>
                <w:color w:val="000000"/>
                <w:sz w:val="18"/>
                <w:szCs w:val="18"/>
                <w:lang w:val="de-DE" w:eastAsia="de-DE"/>
              </w:rPr>
            </w:pPr>
            <w:r w:rsidRPr="008E2E6E">
              <w:rPr>
                <w:rFonts w:ascii="Aptos Narrow" w:eastAsia="Times New Roman" w:hAnsi="Aptos Narrow" w:cs="Times New Roman"/>
                <w:color w:val="000000"/>
                <w:sz w:val="18"/>
                <w:szCs w:val="18"/>
                <w:lang w:val="de-DE" w:eastAsia="de-DE"/>
              </w:rPr>
              <w:t>(0.029)</w:t>
            </w:r>
          </w:p>
        </w:tc>
      </w:tr>
      <w:tr w:rsidR="008E2E6E" w:rsidRPr="008E2E6E" w14:paraId="1B1CE0A2" w14:textId="77777777" w:rsidTr="008E2E6E">
        <w:trPr>
          <w:trHeight w:val="288"/>
        </w:trPr>
        <w:tc>
          <w:tcPr>
            <w:tcW w:w="1396" w:type="pct"/>
            <w:tcBorders>
              <w:top w:val="nil"/>
              <w:left w:val="nil"/>
              <w:bottom w:val="nil"/>
              <w:right w:val="nil"/>
            </w:tcBorders>
            <w:shd w:val="clear" w:color="auto" w:fill="auto"/>
            <w:noWrap/>
            <w:vAlign w:val="bottom"/>
            <w:hideMark/>
          </w:tcPr>
          <w:p w14:paraId="2A55C607" w14:textId="77777777" w:rsidR="008E2E6E" w:rsidRPr="008E2E6E" w:rsidRDefault="008E2E6E" w:rsidP="008E2E6E">
            <w:pPr>
              <w:spacing w:line="240" w:lineRule="auto"/>
              <w:rPr>
                <w:rFonts w:ascii="Aptos Narrow" w:eastAsia="Times New Roman" w:hAnsi="Aptos Narrow" w:cs="Times New Roman"/>
                <w:color w:val="000000"/>
                <w:sz w:val="18"/>
                <w:szCs w:val="18"/>
                <w:lang w:val="de-DE" w:eastAsia="de-DE"/>
              </w:rPr>
            </w:pPr>
          </w:p>
        </w:tc>
        <w:tc>
          <w:tcPr>
            <w:tcW w:w="452" w:type="pct"/>
            <w:tcBorders>
              <w:top w:val="nil"/>
              <w:left w:val="nil"/>
              <w:bottom w:val="nil"/>
              <w:right w:val="nil"/>
            </w:tcBorders>
            <w:shd w:val="clear" w:color="auto" w:fill="auto"/>
            <w:noWrap/>
            <w:vAlign w:val="bottom"/>
            <w:hideMark/>
          </w:tcPr>
          <w:p w14:paraId="379AB2D1" w14:textId="77777777" w:rsidR="008E2E6E" w:rsidRPr="008E2E6E" w:rsidRDefault="008E2E6E" w:rsidP="008E2E6E">
            <w:pPr>
              <w:spacing w:line="240" w:lineRule="auto"/>
              <w:rPr>
                <w:rFonts w:ascii="Times New Roman" w:eastAsia="Times New Roman" w:hAnsi="Times New Roman" w:cs="Times New Roman"/>
                <w:sz w:val="18"/>
                <w:szCs w:val="18"/>
                <w:lang w:val="de-DE" w:eastAsia="de-DE"/>
              </w:rPr>
            </w:pPr>
          </w:p>
        </w:tc>
        <w:tc>
          <w:tcPr>
            <w:tcW w:w="448" w:type="pct"/>
            <w:tcBorders>
              <w:top w:val="nil"/>
              <w:left w:val="nil"/>
              <w:bottom w:val="nil"/>
              <w:right w:val="nil"/>
            </w:tcBorders>
            <w:shd w:val="clear" w:color="auto" w:fill="auto"/>
            <w:noWrap/>
            <w:vAlign w:val="bottom"/>
            <w:hideMark/>
          </w:tcPr>
          <w:p w14:paraId="44CABF36" w14:textId="77777777" w:rsidR="008E2E6E" w:rsidRPr="008E2E6E" w:rsidRDefault="008E2E6E" w:rsidP="008E2E6E">
            <w:pPr>
              <w:spacing w:line="240" w:lineRule="auto"/>
              <w:rPr>
                <w:rFonts w:ascii="Times New Roman" w:eastAsia="Times New Roman" w:hAnsi="Times New Roman" w:cs="Times New Roman"/>
                <w:sz w:val="18"/>
                <w:szCs w:val="18"/>
                <w:lang w:val="de-DE" w:eastAsia="de-DE"/>
              </w:rPr>
            </w:pPr>
          </w:p>
        </w:tc>
        <w:tc>
          <w:tcPr>
            <w:tcW w:w="449" w:type="pct"/>
            <w:tcBorders>
              <w:top w:val="nil"/>
              <w:left w:val="nil"/>
              <w:bottom w:val="nil"/>
              <w:right w:val="nil"/>
            </w:tcBorders>
            <w:shd w:val="clear" w:color="auto" w:fill="auto"/>
            <w:noWrap/>
            <w:vAlign w:val="bottom"/>
            <w:hideMark/>
          </w:tcPr>
          <w:p w14:paraId="311658CE" w14:textId="77777777" w:rsidR="008E2E6E" w:rsidRPr="008E2E6E" w:rsidRDefault="008E2E6E" w:rsidP="008E2E6E">
            <w:pPr>
              <w:spacing w:line="240" w:lineRule="auto"/>
              <w:rPr>
                <w:rFonts w:ascii="Times New Roman" w:eastAsia="Times New Roman" w:hAnsi="Times New Roman" w:cs="Times New Roman"/>
                <w:sz w:val="18"/>
                <w:szCs w:val="18"/>
                <w:lang w:val="de-DE" w:eastAsia="de-DE"/>
              </w:rPr>
            </w:pPr>
          </w:p>
        </w:tc>
        <w:tc>
          <w:tcPr>
            <w:tcW w:w="449" w:type="pct"/>
            <w:tcBorders>
              <w:top w:val="nil"/>
              <w:left w:val="nil"/>
              <w:bottom w:val="nil"/>
              <w:right w:val="nil"/>
            </w:tcBorders>
            <w:shd w:val="clear" w:color="auto" w:fill="auto"/>
            <w:noWrap/>
            <w:vAlign w:val="bottom"/>
            <w:hideMark/>
          </w:tcPr>
          <w:p w14:paraId="415996AD" w14:textId="77777777" w:rsidR="008E2E6E" w:rsidRPr="008E2E6E" w:rsidRDefault="008E2E6E" w:rsidP="008E2E6E">
            <w:pPr>
              <w:spacing w:line="240" w:lineRule="auto"/>
              <w:rPr>
                <w:rFonts w:ascii="Times New Roman" w:eastAsia="Times New Roman" w:hAnsi="Times New Roman" w:cs="Times New Roman"/>
                <w:sz w:val="18"/>
                <w:szCs w:val="18"/>
                <w:lang w:val="de-DE" w:eastAsia="de-DE"/>
              </w:rPr>
            </w:pPr>
          </w:p>
        </w:tc>
        <w:tc>
          <w:tcPr>
            <w:tcW w:w="452" w:type="pct"/>
            <w:tcBorders>
              <w:top w:val="nil"/>
              <w:left w:val="nil"/>
              <w:bottom w:val="nil"/>
              <w:right w:val="nil"/>
            </w:tcBorders>
            <w:shd w:val="clear" w:color="auto" w:fill="auto"/>
            <w:noWrap/>
            <w:vAlign w:val="bottom"/>
            <w:hideMark/>
          </w:tcPr>
          <w:p w14:paraId="24F63B66" w14:textId="77777777" w:rsidR="008E2E6E" w:rsidRPr="008E2E6E" w:rsidRDefault="008E2E6E" w:rsidP="008E2E6E">
            <w:pPr>
              <w:spacing w:line="240" w:lineRule="auto"/>
              <w:rPr>
                <w:rFonts w:ascii="Times New Roman" w:eastAsia="Times New Roman" w:hAnsi="Times New Roman" w:cs="Times New Roman"/>
                <w:sz w:val="18"/>
                <w:szCs w:val="18"/>
                <w:lang w:val="de-DE" w:eastAsia="de-DE"/>
              </w:rPr>
            </w:pPr>
          </w:p>
        </w:tc>
        <w:tc>
          <w:tcPr>
            <w:tcW w:w="452" w:type="pct"/>
            <w:tcBorders>
              <w:top w:val="nil"/>
              <w:left w:val="nil"/>
              <w:bottom w:val="nil"/>
              <w:right w:val="nil"/>
            </w:tcBorders>
            <w:shd w:val="clear" w:color="auto" w:fill="auto"/>
            <w:noWrap/>
            <w:vAlign w:val="bottom"/>
            <w:hideMark/>
          </w:tcPr>
          <w:p w14:paraId="155175A6" w14:textId="77777777" w:rsidR="008E2E6E" w:rsidRPr="008E2E6E" w:rsidRDefault="008E2E6E" w:rsidP="008E2E6E">
            <w:pPr>
              <w:spacing w:line="240" w:lineRule="auto"/>
              <w:rPr>
                <w:rFonts w:ascii="Times New Roman" w:eastAsia="Times New Roman" w:hAnsi="Times New Roman" w:cs="Times New Roman"/>
                <w:sz w:val="18"/>
                <w:szCs w:val="18"/>
                <w:lang w:val="de-DE" w:eastAsia="de-DE"/>
              </w:rPr>
            </w:pPr>
          </w:p>
        </w:tc>
        <w:tc>
          <w:tcPr>
            <w:tcW w:w="452" w:type="pct"/>
            <w:tcBorders>
              <w:top w:val="nil"/>
              <w:left w:val="nil"/>
              <w:bottom w:val="nil"/>
              <w:right w:val="nil"/>
            </w:tcBorders>
            <w:shd w:val="clear" w:color="auto" w:fill="auto"/>
            <w:noWrap/>
            <w:vAlign w:val="bottom"/>
            <w:hideMark/>
          </w:tcPr>
          <w:p w14:paraId="711B209E" w14:textId="77777777" w:rsidR="008E2E6E" w:rsidRPr="008E2E6E" w:rsidRDefault="008E2E6E" w:rsidP="008E2E6E">
            <w:pPr>
              <w:spacing w:line="240" w:lineRule="auto"/>
              <w:rPr>
                <w:rFonts w:ascii="Times New Roman" w:eastAsia="Times New Roman" w:hAnsi="Times New Roman" w:cs="Times New Roman"/>
                <w:sz w:val="18"/>
                <w:szCs w:val="18"/>
                <w:lang w:val="de-DE" w:eastAsia="de-DE"/>
              </w:rPr>
            </w:pPr>
          </w:p>
        </w:tc>
        <w:tc>
          <w:tcPr>
            <w:tcW w:w="452" w:type="pct"/>
            <w:tcBorders>
              <w:top w:val="nil"/>
              <w:left w:val="nil"/>
              <w:bottom w:val="nil"/>
              <w:right w:val="nil"/>
            </w:tcBorders>
            <w:shd w:val="clear" w:color="auto" w:fill="auto"/>
            <w:noWrap/>
            <w:vAlign w:val="bottom"/>
            <w:hideMark/>
          </w:tcPr>
          <w:p w14:paraId="38BF39E5" w14:textId="77777777" w:rsidR="008E2E6E" w:rsidRPr="008E2E6E" w:rsidRDefault="008E2E6E" w:rsidP="008E2E6E">
            <w:pPr>
              <w:spacing w:line="240" w:lineRule="auto"/>
              <w:rPr>
                <w:rFonts w:ascii="Times New Roman" w:eastAsia="Times New Roman" w:hAnsi="Times New Roman" w:cs="Times New Roman"/>
                <w:sz w:val="18"/>
                <w:szCs w:val="18"/>
                <w:lang w:val="de-DE" w:eastAsia="de-DE"/>
              </w:rPr>
            </w:pPr>
          </w:p>
        </w:tc>
      </w:tr>
      <w:tr w:rsidR="008E2E6E" w:rsidRPr="008E2E6E" w14:paraId="0DBE5D62" w14:textId="77777777" w:rsidTr="008E2E6E">
        <w:trPr>
          <w:trHeight w:val="288"/>
        </w:trPr>
        <w:tc>
          <w:tcPr>
            <w:tcW w:w="1396" w:type="pct"/>
            <w:tcBorders>
              <w:top w:val="nil"/>
              <w:left w:val="nil"/>
              <w:bottom w:val="nil"/>
              <w:right w:val="nil"/>
            </w:tcBorders>
            <w:shd w:val="clear" w:color="auto" w:fill="auto"/>
            <w:noWrap/>
            <w:vAlign w:val="bottom"/>
            <w:hideMark/>
          </w:tcPr>
          <w:p w14:paraId="3DE2638B" w14:textId="77777777" w:rsidR="008E2E6E" w:rsidRPr="008E2E6E" w:rsidRDefault="008E2E6E" w:rsidP="008E2E6E">
            <w:pPr>
              <w:spacing w:line="240" w:lineRule="auto"/>
              <w:rPr>
                <w:rFonts w:ascii="Aptos Narrow" w:eastAsia="Times New Roman" w:hAnsi="Aptos Narrow" w:cs="Times New Roman"/>
                <w:color w:val="000000"/>
                <w:sz w:val="18"/>
                <w:szCs w:val="18"/>
                <w:lang w:val="de-DE" w:eastAsia="de-DE"/>
              </w:rPr>
            </w:pPr>
            <w:r w:rsidRPr="008E2E6E">
              <w:rPr>
                <w:rFonts w:ascii="Aptos Narrow" w:eastAsia="Times New Roman" w:hAnsi="Aptos Narrow" w:cs="Times New Roman"/>
                <w:color w:val="000000"/>
                <w:sz w:val="18"/>
                <w:szCs w:val="18"/>
                <w:lang w:val="de-DE" w:eastAsia="de-DE"/>
              </w:rPr>
              <w:t xml:space="preserve">FE </w:t>
            </w:r>
            <w:proofErr w:type="spellStart"/>
            <w:r w:rsidRPr="008E2E6E">
              <w:rPr>
                <w:rFonts w:ascii="Aptos Narrow" w:eastAsia="Times New Roman" w:hAnsi="Aptos Narrow" w:cs="Times New Roman"/>
                <w:color w:val="000000"/>
                <w:sz w:val="18"/>
                <w:szCs w:val="18"/>
                <w:lang w:val="de-DE" w:eastAsia="de-DE"/>
              </w:rPr>
              <w:t>ods</w:t>
            </w:r>
            <w:proofErr w:type="spellEnd"/>
          </w:p>
        </w:tc>
        <w:tc>
          <w:tcPr>
            <w:tcW w:w="3604" w:type="pct"/>
            <w:gridSpan w:val="8"/>
            <w:tcBorders>
              <w:top w:val="nil"/>
              <w:left w:val="nil"/>
              <w:bottom w:val="nil"/>
              <w:right w:val="nil"/>
            </w:tcBorders>
            <w:shd w:val="clear" w:color="auto" w:fill="auto"/>
            <w:noWrap/>
            <w:vAlign w:val="bottom"/>
            <w:hideMark/>
          </w:tcPr>
          <w:p w14:paraId="3111AA48" w14:textId="77777777" w:rsidR="008E2E6E" w:rsidRPr="008E2E6E" w:rsidRDefault="008E2E6E" w:rsidP="008E2E6E">
            <w:pPr>
              <w:spacing w:line="240" w:lineRule="auto"/>
              <w:jc w:val="center"/>
              <w:rPr>
                <w:rFonts w:ascii="Aptos Narrow" w:eastAsia="Times New Roman" w:hAnsi="Aptos Narrow" w:cs="Times New Roman"/>
                <w:color w:val="000000"/>
                <w:sz w:val="18"/>
                <w:szCs w:val="18"/>
                <w:lang w:val="de-DE" w:eastAsia="de-DE"/>
              </w:rPr>
            </w:pPr>
            <w:r w:rsidRPr="008E2E6E">
              <w:rPr>
                <w:rFonts w:ascii="Aptos Narrow" w:eastAsia="Times New Roman" w:hAnsi="Aptos Narrow" w:cs="Times New Roman"/>
                <w:color w:val="000000"/>
                <w:sz w:val="18"/>
                <w:szCs w:val="18"/>
                <w:lang w:val="de-DE" w:eastAsia="de-DE"/>
              </w:rPr>
              <w:t>Yes</w:t>
            </w:r>
          </w:p>
        </w:tc>
      </w:tr>
      <w:tr w:rsidR="008E2E6E" w:rsidRPr="008E2E6E" w14:paraId="64796A43" w14:textId="77777777" w:rsidTr="008E2E6E">
        <w:trPr>
          <w:trHeight w:val="288"/>
        </w:trPr>
        <w:tc>
          <w:tcPr>
            <w:tcW w:w="1396" w:type="pct"/>
            <w:tcBorders>
              <w:top w:val="nil"/>
              <w:left w:val="nil"/>
              <w:bottom w:val="nil"/>
              <w:right w:val="nil"/>
            </w:tcBorders>
            <w:shd w:val="clear" w:color="auto" w:fill="auto"/>
            <w:noWrap/>
            <w:vAlign w:val="bottom"/>
            <w:hideMark/>
          </w:tcPr>
          <w:p w14:paraId="5B11282E" w14:textId="77777777" w:rsidR="008E2E6E" w:rsidRPr="008E2E6E" w:rsidRDefault="008E2E6E" w:rsidP="008E2E6E">
            <w:pPr>
              <w:spacing w:line="240" w:lineRule="auto"/>
              <w:rPr>
                <w:rFonts w:ascii="Aptos Narrow" w:eastAsia="Times New Roman" w:hAnsi="Aptos Narrow" w:cs="Times New Roman"/>
                <w:color w:val="000000"/>
                <w:sz w:val="18"/>
                <w:szCs w:val="18"/>
                <w:lang w:val="de-DE" w:eastAsia="de-DE"/>
              </w:rPr>
            </w:pPr>
            <w:r w:rsidRPr="008E2E6E">
              <w:rPr>
                <w:rFonts w:ascii="Aptos Narrow" w:eastAsia="Times New Roman" w:hAnsi="Aptos Narrow" w:cs="Times New Roman"/>
                <w:color w:val="000000"/>
                <w:sz w:val="18"/>
                <w:szCs w:val="18"/>
                <w:lang w:val="de-DE" w:eastAsia="de-DE"/>
              </w:rPr>
              <w:t xml:space="preserve">FE </w:t>
            </w:r>
            <w:proofErr w:type="spellStart"/>
            <w:r w:rsidRPr="008E2E6E">
              <w:rPr>
                <w:rFonts w:ascii="Aptos Narrow" w:eastAsia="Times New Roman" w:hAnsi="Aptos Narrow" w:cs="Times New Roman"/>
                <w:color w:val="000000"/>
                <w:sz w:val="18"/>
                <w:szCs w:val="18"/>
                <w:lang w:val="de-DE" w:eastAsia="de-DE"/>
              </w:rPr>
              <w:t>odt</w:t>
            </w:r>
            <w:proofErr w:type="spellEnd"/>
          </w:p>
        </w:tc>
        <w:tc>
          <w:tcPr>
            <w:tcW w:w="3604" w:type="pct"/>
            <w:gridSpan w:val="8"/>
            <w:tcBorders>
              <w:top w:val="nil"/>
              <w:left w:val="nil"/>
              <w:bottom w:val="nil"/>
              <w:right w:val="nil"/>
            </w:tcBorders>
            <w:shd w:val="clear" w:color="auto" w:fill="auto"/>
            <w:noWrap/>
            <w:vAlign w:val="bottom"/>
            <w:hideMark/>
          </w:tcPr>
          <w:p w14:paraId="3C3F53AA" w14:textId="77777777" w:rsidR="008E2E6E" w:rsidRPr="008E2E6E" w:rsidRDefault="008E2E6E" w:rsidP="008E2E6E">
            <w:pPr>
              <w:spacing w:line="240" w:lineRule="auto"/>
              <w:jc w:val="center"/>
              <w:rPr>
                <w:rFonts w:ascii="Aptos Narrow" w:eastAsia="Times New Roman" w:hAnsi="Aptos Narrow" w:cs="Times New Roman"/>
                <w:color w:val="000000"/>
                <w:sz w:val="18"/>
                <w:szCs w:val="18"/>
                <w:lang w:val="de-DE" w:eastAsia="de-DE"/>
              </w:rPr>
            </w:pPr>
            <w:r w:rsidRPr="008E2E6E">
              <w:rPr>
                <w:rFonts w:ascii="Aptos Narrow" w:eastAsia="Times New Roman" w:hAnsi="Aptos Narrow" w:cs="Times New Roman"/>
                <w:color w:val="000000"/>
                <w:sz w:val="18"/>
                <w:szCs w:val="18"/>
                <w:lang w:val="de-DE" w:eastAsia="de-DE"/>
              </w:rPr>
              <w:t>Yes</w:t>
            </w:r>
          </w:p>
        </w:tc>
      </w:tr>
      <w:tr w:rsidR="008E2E6E" w:rsidRPr="008E2E6E" w14:paraId="1D72DC63" w14:textId="77777777" w:rsidTr="008E2E6E">
        <w:trPr>
          <w:trHeight w:val="288"/>
        </w:trPr>
        <w:tc>
          <w:tcPr>
            <w:tcW w:w="1396" w:type="pct"/>
            <w:tcBorders>
              <w:top w:val="nil"/>
              <w:left w:val="nil"/>
              <w:bottom w:val="nil"/>
              <w:right w:val="nil"/>
            </w:tcBorders>
            <w:shd w:val="clear" w:color="auto" w:fill="auto"/>
            <w:noWrap/>
            <w:vAlign w:val="bottom"/>
            <w:hideMark/>
          </w:tcPr>
          <w:p w14:paraId="20EE6D73" w14:textId="77777777" w:rsidR="008E2E6E" w:rsidRPr="008E2E6E" w:rsidRDefault="008E2E6E" w:rsidP="008E2E6E">
            <w:pPr>
              <w:spacing w:line="240" w:lineRule="auto"/>
              <w:rPr>
                <w:rFonts w:ascii="Aptos Narrow" w:eastAsia="Times New Roman" w:hAnsi="Aptos Narrow" w:cs="Times New Roman"/>
                <w:color w:val="000000"/>
                <w:sz w:val="18"/>
                <w:szCs w:val="18"/>
                <w:lang w:val="de-DE" w:eastAsia="de-DE"/>
              </w:rPr>
            </w:pPr>
            <w:r w:rsidRPr="008E2E6E">
              <w:rPr>
                <w:rFonts w:ascii="Aptos Narrow" w:eastAsia="Times New Roman" w:hAnsi="Aptos Narrow" w:cs="Times New Roman"/>
                <w:color w:val="000000"/>
                <w:sz w:val="18"/>
                <w:szCs w:val="18"/>
                <w:lang w:val="de-DE" w:eastAsia="de-DE"/>
              </w:rPr>
              <w:t xml:space="preserve">FE </w:t>
            </w:r>
            <w:proofErr w:type="spellStart"/>
            <w:r w:rsidRPr="008E2E6E">
              <w:rPr>
                <w:rFonts w:ascii="Aptos Narrow" w:eastAsia="Times New Roman" w:hAnsi="Aptos Narrow" w:cs="Times New Roman"/>
                <w:color w:val="000000"/>
                <w:sz w:val="18"/>
                <w:szCs w:val="18"/>
                <w:lang w:val="de-DE" w:eastAsia="de-DE"/>
              </w:rPr>
              <w:t>ost</w:t>
            </w:r>
            <w:proofErr w:type="spellEnd"/>
          </w:p>
        </w:tc>
        <w:tc>
          <w:tcPr>
            <w:tcW w:w="3604" w:type="pct"/>
            <w:gridSpan w:val="8"/>
            <w:tcBorders>
              <w:top w:val="nil"/>
              <w:left w:val="nil"/>
              <w:bottom w:val="nil"/>
              <w:right w:val="nil"/>
            </w:tcBorders>
            <w:shd w:val="clear" w:color="auto" w:fill="auto"/>
            <w:noWrap/>
            <w:vAlign w:val="bottom"/>
            <w:hideMark/>
          </w:tcPr>
          <w:p w14:paraId="75E997D6" w14:textId="77777777" w:rsidR="008E2E6E" w:rsidRPr="008E2E6E" w:rsidRDefault="008E2E6E" w:rsidP="008E2E6E">
            <w:pPr>
              <w:spacing w:line="240" w:lineRule="auto"/>
              <w:jc w:val="center"/>
              <w:rPr>
                <w:rFonts w:ascii="Aptos Narrow" w:eastAsia="Times New Roman" w:hAnsi="Aptos Narrow" w:cs="Times New Roman"/>
                <w:color w:val="000000"/>
                <w:sz w:val="18"/>
                <w:szCs w:val="18"/>
                <w:lang w:val="de-DE" w:eastAsia="de-DE"/>
              </w:rPr>
            </w:pPr>
            <w:r w:rsidRPr="008E2E6E">
              <w:rPr>
                <w:rFonts w:ascii="Aptos Narrow" w:eastAsia="Times New Roman" w:hAnsi="Aptos Narrow" w:cs="Times New Roman"/>
                <w:color w:val="000000"/>
                <w:sz w:val="18"/>
                <w:szCs w:val="18"/>
                <w:lang w:val="de-DE" w:eastAsia="de-DE"/>
              </w:rPr>
              <w:t>Yes</w:t>
            </w:r>
          </w:p>
        </w:tc>
      </w:tr>
      <w:tr w:rsidR="008E2E6E" w:rsidRPr="008E2E6E" w14:paraId="59AA834C" w14:textId="77777777" w:rsidTr="008E2E6E">
        <w:trPr>
          <w:trHeight w:val="288"/>
        </w:trPr>
        <w:tc>
          <w:tcPr>
            <w:tcW w:w="1396" w:type="pct"/>
            <w:tcBorders>
              <w:top w:val="nil"/>
              <w:left w:val="nil"/>
              <w:bottom w:val="nil"/>
              <w:right w:val="nil"/>
            </w:tcBorders>
            <w:shd w:val="clear" w:color="auto" w:fill="auto"/>
            <w:noWrap/>
            <w:vAlign w:val="bottom"/>
            <w:hideMark/>
          </w:tcPr>
          <w:p w14:paraId="5A7D8E51" w14:textId="77777777" w:rsidR="008E2E6E" w:rsidRPr="008E2E6E" w:rsidRDefault="008E2E6E" w:rsidP="008E2E6E">
            <w:pPr>
              <w:spacing w:line="240" w:lineRule="auto"/>
              <w:rPr>
                <w:rFonts w:ascii="Aptos Narrow" w:eastAsia="Times New Roman" w:hAnsi="Aptos Narrow" w:cs="Times New Roman"/>
                <w:color w:val="000000"/>
                <w:sz w:val="18"/>
                <w:szCs w:val="18"/>
                <w:lang w:val="de-DE" w:eastAsia="de-DE"/>
              </w:rPr>
            </w:pPr>
            <w:r w:rsidRPr="008E2E6E">
              <w:rPr>
                <w:rFonts w:ascii="Aptos Narrow" w:eastAsia="Times New Roman" w:hAnsi="Aptos Narrow" w:cs="Times New Roman"/>
                <w:color w:val="000000"/>
                <w:sz w:val="18"/>
                <w:szCs w:val="18"/>
                <w:lang w:val="de-DE" w:eastAsia="de-DE"/>
              </w:rPr>
              <w:t xml:space="preserve">FE </w:t>
            </w:r>
            <w:proofErr w:type="spellStart"/>
            <w:r w:rsidRPr="008E2E6E">
              <w:rPr>
                <w:rFonts w:ascii="Aptos Narrow" w:eastAsia="Times New Roman" w:hAnsi="Aptos Narrow" w:cs="Times New Roman"/>
                <w:color w:val="000000"/>
                <w:sz w:val="18"/>
                <w:szCs w:val="18"/>
                <w:lang w:val="de-DE" w:eastAsia="de-DE"/>
              </w:rPr>
              <w:t>dst</w:t>
            </w:r>
            <w:proofErr w:type="spellEnd"/>
          </w:p>
        </w:tc>
        <w:tc>
          <w:tcPr>
            <w:tcW w:w="3604" w:type="pct"/>
            <w:gridSpan w:val="8"/>
            <w:tcBorders>
              <w:top w:val="nil"/>
              <w:left w:val="nil"/>
              <w:bottom w:val="nil"/>
              <w:right w:val="nil"/>
            </w:tcBorders>
            <w:shd w:val="clear" w:color="auto" w:fill="auto"/>
            <w:noWrap/>
            <w:vAlign w:val="bottom"/>
            <w:hideMark/>
          </w:tcPr>
          <w:p w14:paraId="1DC996CA" w14:textId="77777777" w:rsidR="008E2E6E" w:rsidRPr="008E2E6E" w:rsidRDefault="008E2E6E" w:rsidP="008E2E6E">
            <w:pPr>
              <w:spacing w:line="240" w:lineRule="auto"/>
              <w:jc w:val="center"/>
              <w:rPr>
                <w:rFonts w:ascii="Aptos Narrow" w:eastAsia="Times New Roman" w:hAnsi="Aptos Narrow" w:cs="Times New Roman"/>
                <w:color w:val="000000"/>
                <w:sz w:val="18"/>
                <w:szCs w:val="18"/>
                <w:lang w:val="de-DE" w:eastAsia="de-DE"/>
              </w:rPr>
            </w:pPr>
            <w:r w:rsidRPr="008E2E6E">
              <w:rPr>
                <w:rFonts w:ascii="Aptos Narrow" w:eastAsia="Times New Roman" w:hAnsi="Aptos Narrow" w:cs="Times New Roman"/>
                <w:color w:val="000000"/>
                <w:sz w:val="18"/>
                <w:szCs w:val="18"/>
                <w:lang w:val="de-DE" w:eastAsia="de-DE"/>
              </w:rPr>
              <w:t>Yes</w:t>
            </w:r>
          </w:p>
        </w:tc>
      </w:tr>
      <w:tr w:rsidR="008E2E6E" w:rsidRPr="008E2E6E" w14:paraId="7F5C4303" w14:textId="77777777" w:rsidTr="008E2E6E">
        <w:trPr>
          <w:trHeight w:val="288"/>
        </w:trPr>
        <w:tc>
          <w:tcPr>
            <w:tcW w:w="1396" w:type="pct"/>
            <w:tcBorders>
              <w:top w:val="nil"/>
              <w:left w:val="nil"/>
              <w:bottom w:val="nil"/>
              <w:right w:val="nil"/>
            </w:tcBorders>
            <w:shd w:val="clear" w:color="auto" w:fill="auto"/>
            <w:noWrap/>
            <w:vAlign w:val="bottom"/>
            <w:hideMark/>
          </w:tcPr>
          <w:p w14:paraId="7D7BD21F" w14:textId="77777777" w:rsidR="008E2E6E" w:rsidRPr="008E2E6E" w:rsidRDefault="008E2E6E" w:rsidP="008E2E6E">
            <w:pPr>
              <w:spacing w:line="240" w:lineRule="auto"/>
              <w:jc w:val="center"/>
              <w:rPr>
                <w:rFonts w:ascii="Aptos Narrow" w:eastAsia="Times New Roman" w:hAnsi="Aptos Narrow" w:cs="Times New Roman"/>
                <w:color w:val="000000"/>
                <w:sz w:val="18"/>
                <w:szCs w:val="18"/>
                <w:lang w:val="de-DE" w:eastAsia="de-DE"/>
              </w:rPr>
            </w:pPr>
          </w:p>
        </w:tc>
        <w:tc>
          <w:tcPr>
            <w:tcW w:w="452" w:type="pct"/>
            <w:tcBorders>
              <w:top w:val="nil"/>
              <w:left w:val="nil"/>
              <w:bottom w:val="nil"/>
              <w:right w:val="nil"/>
            </w:tcBorders>
            <w:shd w:val="clear" w:color="auto" w:fill="auto"/>
            <w:noWrap/>
            <w:vAlign w:val="bottom"/>
            <w:hideMark/>
          </w:tcPr>
          <w:p w14:paraId="1238F576" w14:textId="77777777" w:rsidR="008E2E6E" w:rsidRPr="008E2E6E" w:rsidRDefault="008E2E6E" w:rsidP="008E2E6E">
            <w:pPr>
              <w:spacing w:line="240" w:lineRule="auto"/>
              <w:rPr>
                <w:rFonts w:ascii="Times New Roman" w:eastAsia="Times New Roman" w:hAnsi="Times New Roman" w:cs="Times New Roman"/>
                <w:sz w:val="18"/>
                <w:szCs w:val="18"/>
                <w:lang w:val="de-DE" w:eastAsia="de-DE"/>
              </w:rPr>
            </w:pPr>
          </w:p>
        </w:tc>
        <w:tc>
          <w:tcPr>
            <w:tcW w:w="448" w:type="pct"/>
            <w:tcBorders>
              <w:top w:val="nil"/>
              <w:left w:val="nil"/>
              <w:bottom w:val="nil"/>
              <w:right w:val="nil"/>
            </w:tcBorders>
            <w:shd w:val="clear" w:color="auto" w:fill="auto"/>
            <w:noWrap/>
            <w:vAlign w:val="bottom"/>
            <w:hideMark/>
          </w:tcPr>
          <w:p w14:paraId="2E2D6FA2" w14:textId="77777777" w:rsidR="008E2E6E" w:rsidRPr="008E2E6E" w:rsidRDefault="008E2E6E" w:rsidP="008E2E6E">
            <w:pPr>
              <w:spacing w:line="240" w:lineRule="auto"/>
              <w:rPr>
                <w:rFonts w:ascii="Times New Roman" w:eastAsia="Times New Roman" w:hAnsi="Times New Roman" w:cs="Times New Roman"/>
                <w:sz w:val="18"/>
                <w:szCs w:val="18"/>
                <w:lang w:val="de-DE" w:eastAsia="de-DE"/>
              </w:rPr>
            </w:pPr>
          </w:p>
        </w:tc>
        <w:tc>
          <w:tcPr>
            <w:tcW w:w="449" w:type="pct"/>
            <w:tcBorders>
              <w:top w:val="nil"/>
              <w:left w:val="nil"/>
              <w:bottom w:val="nil"/>
              <w:right w:val="nil"/>
            </w:tcBorders>
            <w:shd w:val="clear" w:color="auto" w:fill="auto"/>
            <w:noWrap/>
            <w:vAlign w:val="bottom"/>
            <w:hideMark/>
          </w:tcPr>
          <w:p w14:paraId="2020636F" w14:textId="77777777" w:rsidR="008E2E6E" w:rsidRPr="008E2E6E" w:rsidRDefault="008E2E6E" w:rsidP="008E2E6E">
            <w:pPr>
              <w:spacing w:line="240" w:lineRule="auto"/>
              <w:rPr>
                <w:rFonts w:ascii="Times New Roman" w:eastAsia="Times New Roman" w:hAnsi="Times New Roman" w:cs="Times New Roman"/>
                <w:sz w:val="18"/>
                <w:szCs w:val="18"/>
                <w:lang w:val="de-DE" w:eastAsia="de-DE"/>
              </w:rPr>
            </w:pPr>
          </w:p>
        </w:tc>
        <w:tc>
          <w:tcPr>
            <w:tcW w:w="449" w:type="pct"/>
            <w:tcBorders>
              <w:top w:val="nil"/>
              <w:left w:val="nil"/>
              <w:bottom w:val="nil"/>
              <w:right w:val="nil"/>
            </w:tcBorders>
            <w:shd w:val="clear" w:color="auto" w:fill="auto"/>
            <w:noWrap/>
            <w:vAlign w:val="bottom"/>
            <w:hideMark/>
          </w:tcPr>
          <w:p w14:paraId="15935B0A" w14:textId="77777777" w:rsidR="008E2E6E" w:rsidRPr="008E2E6E" w:rsidRDefault="008E2E6E" w:rsidP="008E2E6E">
            <w:pPr>
              <w:spacing w:line="240" w:lineRule="auto"/>
              <w:rPr>
                <w:rFonts w:ascii="Times New Roman" w:eastAsia="Times New Roman" w:hAnsi="Times New Roman" w:cs="Times New Roman"/>
                <w:sz w:val="18"/>
                <w:szCs w:val="18"/>
                <w:lang w:val="de-DE" w:eastAsia="de-DE"/>
              </w:rPr>
            </w:pPr>
          </w:p>
        </w:tc>
        <w:tc>
          <w:tcPr>
            <w:tcW w:w="452" w:type="pct"/>
            <w:tcBorders>
              <w:top w:val="nil"/>
              <w:left w:val="nil"/>
              <w:bottom w:val="nil"/>
              <w:right w:val="nil"/>
            </w:tcBorders>
            <w:shd w:val="clear" w:color="auto" w:fill="auto"/>
            <w:noWrap/>
            <w:vAlign w:val="bottom"/>
            <w:hideMark/>
          </w:tcPr>
          <w:p w14:paraId="51184D92" w14:textId="77777777" w:rsidR="008E2E6E" w:rsidRPr="008E2E6E" w:rsidRDefault="008E2E6E" w:rsidP="008E2E6E">
            <w:pPr>
              <w:spacing w:line="240" w:lineRule="auto"/>
              <w:rPr>
                <w:rFonts w:ascii="Times New Roman" w:eastAsia="Times New Roman" w:hAnsi="Times New Roman" w:cs="Times New Roman"/>
                <w:sz w:val="18"/>
                <w:szCs w:val="18"/>
                <w:lang w:val="de-DE" w:eastAsia="de-DE"/>
              </w:rPr>
            </w:pPr>
          </w:p>
        </w:tc>
        <w:tc>
          <w:tcPr>
            <w:tcW w:w="452" w:type="pct"/>
            <w:tcBorders>
              <w:top w:val="nil"/>
              <w:left w:val="nil"/>
              <w:bottom w:val="nil"/>
              <w:right w:val="nil"/>
            </w:tcBorders>
            <w:shd w:val="clear" w:color="auto" w:fill="auto"/>
            <w:noWrap/>
            <w:vAlign w:val="bottom"/>
            <w:hideMark/>
          </w:tcPr>
          <w:p w14:paraId="2C64CA0F" w14:textId="77777777" w:rsidR="008E2E6E" w:rsidRPr="008E2E6E" w:rsidRDefault="008E2E6E" w:rsidP="008E2E6E">
            <w:pPr>
              <w:spacing w:line="240" w:lineRule="auto"/>
              <w:rPr>
                <w:rFonts w:ascii="Times New Roman" w:eastAsia="Times New Roman" w:hAnsi="Times New Roman" w:cs="Times New Roman"/>
                <w:sz w:val="18"/>
                <w:szCs w:val="18"/>
                <w:lang w:val="de-DE" w:eastAsia="de-DE"/>
              </w:rPr>
            </w:pPr>
          </w:p>
        </w:tc>
        <w:tc>
          <w:tcPr>
            <w:tcW w:w="452" w:type="pct"/>
            <w:tcBorders>
              <w:top w:val="nil"/>
              <w:left w:val="nil"/>
              <w:bottom w:val="nil"/>
              <w:right w:val="nil"/>
            </w:tcBorders>
            <w:shd w:val="clear" w:color="auto" w:fill="auto"/>
            <w:noWrap/>
            <w:vAlign w:val="bottom"/>
            <w:hideMark/>
          </w:tcPr>
          <w:p w14:paraId="31A86A22" w14:textId="77777777" w:rsidR="008E2E6E" w:rsidRPr="008E2E6E" w:rsidRDefault="008E2E6E" w:rsidP="008E2E6E">
            <w:pPr>
              <w:spacing w:line="240" w:lineRule="auto"/>
              <w:rPr>
                <w:rFonts w:ascii="Times New Roman" w:eastAsia="Times New Roman" w:hAnsi="Times New Roman" w:cs="Times New Roman"/>
                <w:sz w:val="18"/>
                <w:szCs w:val="18"/>
                <w:lang w:val="de-DE" w:eastAsia="de-DE"/>
              </w:rPr>
            </w:pPr>
          </w:p>
        </w:tc>
        <w:tc>
          <w:tcPr>
            <w:tcW w:w="452" w:type="pct"/>
            <w:tcBorders>
              <w:top w:val="nil"/>
              <w:left w:val="nil"/>
              <w:bottom w:val="nil"/>
              <w:right w:val="nil"/>
            </w:tcBorders>
            <w:shd w:val="clear" w:color="auto" w:fill="auto"/>
            <w:noWrap/>
            <w:vAlign w:val="bottom"/>
            <w:hideMark/>
          </w:tcPr>
          <w:p w14:paraId="24FC552C" w14:textId="77777777" w:rsidR="008E2E6E" w:rsidRPr="008E2E6E" w:rsidRDefault="008E2E6E" w:rsidP="008E2E6E">
            <w:pPr>
              <w:spacing w:line="240" w:lineRule="auto"/>
              <w:rPr>
                <w:rFonts w:ascii="Times New Roman" w:eastAsia="Times New Roman" w:hAnsi="Times New Roman" w:cs="Times New Roman"/>
                <w:sz w:val="18"/>
                <w:szCs w:val="18"/>
                <w:lang w:val="de-DE" w:eastAsia="de-DE"/>
              </w:rPr>
            </w:pPr>
          </w:p>
        </w:tc>
      </w:tr>
      <w:tr w:rsidR="008E2E6E" w:rsidRPr="008E2E6E" w14:paraId="077215E3" w14:textId="77777777" w:rsidTr="008E2E6E">
        <w:trPr>
          <w:trHeight w:val="288"/>
        </w:trPr>
        <w:tc>
          <w:tcPr>
            <w:tcW w:w="1396" w:type="pct"/>
            <w:tcBorders>
              <w:top w:val="single" w:sz="4" w:space="0" w:color="auto"/>
              <w:left w:val="nil"/>
              <w:bottom w:val="single" w:sz="4" w:space="0" w:color="auto"/>
              <w:right w:val="nil"/>
            </w:tcBorders>
            <w:shd w:val="clear" w:color="auto" w:fill="auto"/>
            <w:noWrap/>
            <w:vAlign w:val="bottom"/>
            <w:hideMark/>
          </w:tcPr>
          <w:p w14:paraId="1183B59D" w14:textId="77777777" w:rsidR="008E2E6E" w:rsidRPr="008E2E6E" w:rsidRDefault="008E2E6E" w:rsidP="008E2E6E">
            <w:pPr>
              <w:spacing w:line="240" w:lineRule="auto"/>
              <w:rPr>
                <w:rFonts w:ascii="Aptos Narrow" w:eastAsia="Times New Roman" w:hAnsi="Aptos Narrow" w:cs="Times New Roman"/>
                <w:color w:val="000000"/>
                <w:sz w:val="18"/>
                <w:szCs w:val="18"/>
                <w:lang w:val="de-DE" w:eastAsia="de-DE"/>
              </w:rPr>
            </w:pPr>
            <w:r w:rsidRPr="008E2E6E">
              <w:rPr>
                <w:rFonts w:ascii="Aptos Narrow" w:eastAsia="Times New Roman" w:hAnsi="Aptos Narrow" w:cs="Times New Roman"/>
                <w:color w:val="000000"/>
                <w:sz w:val="18"/>
                <w:szCs w:val="18"/>
                <w:lang w:val="de-DE" w:eastAsia="de-DE"/>
              </w:rPr>
              <w:t>Obs</w:t>
            </w:r>
          </w:p>
        </w:tc>
        <w:tc>
          <w:tcPr>
            <w:tcW w:w="452" w:type="pct"/>
            <w:tcBorders>
              <w:top w:val="single" w:sz="4" w:space="0" w:color="auto"/>
              <w:left w:val="nil"/>
              <w:bottom w:val="single" w:sz="4" w:space="0" w:color="auto"/>
              <w:right w:val="nil"/>
            </w:tcBorders>
            <w:shd w:val="clear" w:color="auto" w:fill="auto"/>
            <w:noWrap/>
            <w:vAlign w:val="bottom"/>
            <w:hideMark/>
          </w:tcPr>
          <w:p w14:paraId="04DB14B1" w14:textId="77777777" w:rsidR="008E2E6E" w:rsidRPr="008E2E6E" w:rsidRDefault="008E2E6E" w:rsidP="008E2E6E">
            <w:pPr>
              <w:spacing w:line="240" w:lineRule="auto"/>
              <w:jc w:val="center"/>
              <w:rPr>
                <w:rFonts w:ascii="Aptos Narrow" w:eastAsia="Times New Roman" w:hAnsi="Aptos Narrow" w:cs="Times New Roman"/>
                <w:color w:val="000000"/>
                <w:sz w:val="18"/>
                <w:szCs w:val="18"/>
                <w:lang w:val="de-DE" w:eastAsia="de-DE"/>
              </w:rPr>
            </w:pPr>
            <w:r w:rsidRPr="008E2E6E">
              <w:rPr>
                <w:rFonts w:ascii="Aptos Narrow" w:eastAsia="Times New Roman" w:hAnsi="Aptos Narrow" w:cs="Times New Roman"/>
                <w:color w:val="000000"/>
                <w:sz w:val="18"/>
                <w:szCs w:val="18"/>
                <w:lang w:val="de-DE" w:eastAsia="de-DE"/>
              </w:rPr>
              <w:t>405416</w:t>
            </w:r>
          </w:p>
        </w:tc>
        <w:tc>
          <w:tcPr>
            <w:tcW w:w="448" w:type="pct"/>
            <w:tcBorders>
              <w:top w:val="single" w:sz="4" w:space="0" w:color="auto"/>
              <w:left w:val="nil"/>
              <w:bottom w:val="single" w:sz="4" w:space="0" w:color="auto"/>
              <w:right w:val="nil"/>
            </w:tcBorders>
            <w:shd w:val="clear" w:color="auto" w:fill="auto"/>
            <w:noWrap/>
            <w:vAlign w:val="bottom"/>
            <w:hideMark/>
          </w:tcPr>
          <w:p w14:paraId="63B576CE" w14:textId="77777777" w:rsidR="008E2E6E" w:rsidRPr="008E2E6E" w:rsidRDefault="008E2E6E" w:rsidP="008E2E6E">
            <w:pPr>
              <w:spacing w:line="240" w:lineRule="auto"/>
              <w:jc w:val="center"/>
              <w:rPr>
                <w:rFonts w:ascii="Aptos Narrow" w:eastAsia="Times New Roman" w:hAnsi="Aptos Narrow" w:cs="Times New Roman"/>
                <w:color w:val="000000"/>
                <w:sz w:val="18"/>
                <w:szCs w:val="18"/>
                <w:lang w:val="de-DE" w:eastAsia="de-DE"/>
              </w:rPr>
            </w:pPr>
            <w:r w:rsidRPr="008E2E6E">
              <w:rPr>
                <w:rFonts w:ascii="Aptos Narrow" w:eastAsia="Times New Roman" w:hAnsi="Aptos Narrow" w:cs="Times New Roman"/>
                <w:color w:val="000000"/>
                <w:sz w:val="18"/>
                <w:szCs w:val="18"/>
                <w:lang w:val="de-DE" w:eastAsia="de-DE"/>
              </w:rPr>
              <w:t>405416</w:t>
            </w:r>
          </w:p>
        </w:tc>
        <w:tc>
          <w:tcPr>
            <w:tcW w:w="449" w:type="pct"/>
            <w:tcBorders>
              <w:top w:val="single" w:sz="4" w:space="0" w:color="auto"/>
              <w:left w:val="nil"/>
              <w:bottom w:val="single" w:sz="4" w:space="0" w:color="auto"/>
              <w:right w:val="nil"/>
            </w:tcBorders>
            <w:shd w:val="clear" w:color="auto" w:fill="auto"/>
            <w:noWrap/>
            <w:vAlign w:val="bottom"/>
            <w:hideMark/>
          </w:tcPr>
          <w:p w14:paraId="439BB8FE" w14:textId="77777777" w:rsidR="008E2E6E" w:rsidRPr="008E2E6E" w:rsidRDefault="008E2E6E" w:rsidP="008E2E6E">
            <w:pPr>
              <w:spacing w:line="240" w:lineRule="auto"/>
              <w:jc w:val="center"/>
              <w:rPr>
                <w:rFonts w:ascii="Aptos Narrow" w:eastAsia="Times New Roman" w:hAnsi="Aptos Narrow" w:cs="Times New Roman"/>
                <w:color w:val="000000"/>
                <w:sz w:val="18"/>
                <w:szCs w:val="18"/>
                <w:lang w:val="de-DE" w:eastAsia="de-DE"/>
              </w:rPr>
            </w:pPr>
            <w:r w:rsidRPr="008E2E6E">
              <w:rPr>
                <w:rFonts w:ascii="Aptos Narrow" w:eastAsia="Times New Roman" w:hAnsi="Aptos Narrow" w:cs="Times New Roman"/>
                <w:color w:val="000000"/>
                <w:sz w:val="18"/>
                <w:szCs w:val="18"/>
                <w:lang w:val="de-DE" w:eastAsia="de-DE"/>
              </w:rPr>
              <w:t>405416</w:t>
            </w:r>
          </w:p>
        </w:tc>
        <w:tc>
          <w:tcPr>
            <w:tcW w:w="449" w:type="pct"/>
            <w:tcBorders>
              <w:top w:val="single" w:sz="4" w:space="0" w:color="auto"/>
              <w:left w:val="nil"/>
              <w:bottom w:val="single" w:sz="4" w:space="0" w:color="auto"/>
              <w:right w:val="nil"/>
            </w:tcBorders>
            <w:shd w:val="clear" w:color="auto" w:fill="auto"/>
            <w:noWrap/>
            <w:vAlign w:val="bottom"/>
            <w:hideMark/>
          </w:tcPr>
          <w:p w14:paraId="4814C14A" w14:textId="77777777" w:rsidR="008E2E6E" w:rsidRPr="008E2E6E" w:rsidRDefault="008E2E6E" w:rsidP="008E2E6E">
            <w:pPr>
              <w:spacing w:line="240" w:lineRule="auto"/>
              <w:jc w:val="center"/>
              <w:rPr>
                <w:rFonts w:ascii="Aptos Narrow" w:eastAsia="Times New Roman" w:hAnsi="Aptos Narrow" w:cs="Times New Roman"/>
                <w:color w:val="000000"/>
                <w:sz w:val="18"/>
                <w:szCs w:val="18"/>
                <w:lang w:val="de-DE" w:eastAsia="de-DE"/>
              </w:rPr>
            </w:pPr>
            <w:r w:rsidRPr="008E2E6E">
              <w:rPr>
                <w:rFonts w:ascii="Aptos Narrow" w:eastAsia="Times New Roman" w:hAnsi="Aptos Narrow" w:cs="Times New Roman"/>
                <w:color w:val="000000"/>
                <w:sz w:val="18"/>
                <w:szCs w:val="18"/>
                <w:lang w:val="de-DE" w:eastAsia="de-DE"/>
              </w:rPr>
              <w:t>405416</w:t>
            </w:r>
          </w:p>
        </w:tc>
        <w:tc>
          <w:tcPr>
            <w:tcW w:w="452" w:type="pct"/>
            <w:tcBorders>
              <w:top w:val="single" w:sz="4" w:space="0" w:color="auto"/>
              <w:left w:val="nil"/>
              <w:bottom w:val="single" w:sz="4" w:space="0" w:color="auto"/>
              <w:right w:val="nil"/>
            </w:tcBorders>
            <w:shd w:val="clear" w:color="auto" w:fill="auto"/>
            <w:noWrap/>
            <w:vAlign w:val="bottom"/>
            <w:hideMark/>
          </w:tcPr>
          <w:p w14:paraId="5F4805A1" w14:textId="77777777" w:rsidR="008E2E6E" w:rsidRPr="008E2E6E" w:rsidRDefault="008E2E6E" w:rsidP="008E2E6E">
            <w:pPr>
              <w:spacing w:line="240" w:lineRule="auto"/>
              <w:jc w:val="center"/>
              <w:rPr>
                <w:rFonts w:ascii="Aptos Narrow" w:eastAsia="Times New Roman" w:hAnsi="Aptos Narrow" w:cs="Times New Roman"/>
                <w:color w:val="000000"/>
                <w:sz w:val="18"/>
                <w:szCs w:val="18"/>
                <w:lang w:val="de-DE" w:eastAsia="de-DE"/>
              </w:rPr>
            </w:pPr>
            <w:r w:rsidRPr="008E2E6E">
              <w:rPr>
                <w:rFonts w:ascii="Aptos Narrow" w:eastAsia="Times New Roman" w:hAnsi="Aptos Narrow" w:cs="Times New Roman"/>
                <w:color w:val="000000"/>
                <w:sz w:val="18"/>
                <w:szCs w:val="18"/>
                <w:lang w:val="de-DE" w:eastAsia="de-DE"/>
              </w:rPr>
              <w:t>405416</w:t>
            </w:r>
          </w:p>
        </w:tc>
        <w:tc>
          <w:tcPr>
            <w:tcW w:w="452" w:type="pct"/>
            <w:tcBorders>
              <w:top w:val="single" w:sz="4" w:space="0" w:color="auto"/>
              <w:left w:val="nil"/>
              <w:bottom w:val="single" w:sz="4" w:space="0" w:color="auto"/>
              <w:right w:val="nil"/>
            </w:tcBorders>
            <w:shd w:val="clear" w:color="auto" w:fill="auto"/>
            <w:noWrap/>
            <w:vAlign w:val="bottom"/>
            <w:hideMark/>
          </w:tcPr>
          <w:p w14:paraId="690CD1D8" w14:textId="77777777" w:rsidR="008E2E6E" w:rsidRPr="008E2E6E" w:rsidRDefault="008E2E6E" w:rsidP="008E2E6E">
            <w:pPr>
              <w:spacing w:line="240" w:lineRule="auto"/>
              <w:jc w:val="center"/>
              <w:rPr>
                <w:rFonts w:ascii="Aptos Narrow" w:eastAsia="Times New Roman" w:hAnsi="Aptos Narrow" w:cs="Times New Roman"/>
                <w:color w:val="000000"/>
                <w:sz w:val="18"/>
                <w:szCs w:val="18"/>
                <w:lang w:val="de-DE" w:eastAsia="de-DE"/>
              </w:rPr>
            </w:pPr>
            <w:r w:rsidRPr="008E2E6E">
              <w:rPr>
                <w:rFonts w:ascii="Aptos Narrow" w:eastAsia="Times New Roman" w:hAnsi="Aptos Narrow" w:cs="Times New Roman"/>
                <w:color w:val="000000"/>
                <w:sz w:val="18"/>
                <w:szCs w:val="18"/>
                <w:lang w:val="de-DE" w:eastAsia="de-DE"/>
              </w:rPr>
              <w:t>405416</w:t>
            </w:r>
          </w:p>
        </w:tc>
        <w:tc>
          <w:tcPr>
            <w:tcW w:w="452" w:type="pct"/>
            <w:tcBorders>
              <w:top w:val="single" w:sz="4" w:space="0" w:color="auto"/>
              <w:left w:val="nil"/>
              <w:bottom w:val="single" w:sz="4" w:space="0" w:color="auto"/>
              <w:right w:val="nil"/>
            </w:tcBorders>
            <w:shd w:val="clear" w:color="auto" w:fill="auto"/>
            <w:noWrap/>
            <w:vAlign w:val="bottom"/>
            <w:hideMark/>
          </w:tcPr>
          <w:p w14:paraId="2BDB3BF0" w14:textId="77777777" w:rsidR="008E2E6E" w:rsidRPr="008E2E6E" w:rsidRDefault="008E2E6E" w:rsidP="008E2E6E">
            <w:pPr>
              <w:spacing w:line="240" w:lineRule="auto"/>
              <w:jc w:val="center"/>
              <w:rPr>
                <w:rFonts w:ascii="Aptos Narrow" w:eastAsia="Times New Roman" w:hAnsi="Aptos Narrow" w:cs="Times New Roman"/>
                <w:color w:val="000000"/>
                <w:sz w:val="18"/>
                <w:szCs w:val="18"/>
                <w:lang w:val="de-DE" w:eastAsia="de-DE"/>
              </w:rPr>
            </w:pPr>
            <w:r w:rsidRPr="008E2E6E">
              <w:rPr>
                <w:rFonts w:ascii="Aptos Narrow" w:eastAsia="Times New Roman" w:hAnsi="Aptos Narrow" w:cs="Times New Roman"/>
                <w:color w:val="000000"/>
                <w:sz w:val="18"/>
                <w:szCs w:val="18"/>
                <w:lang w:val="de-DE" w:eastAsia="de-DE"/>
              </w:rPr>
              <w:t>405416</w:t>
            </w:r>
          </w:p>
        </w:tc>
        <w:tc>
          <w:tcPr>
            <w:tcW w:w="452" w:type="pct"/>
            <w:tcBorders>
              <w:top w:val="single" w:sz="4" w:space="0" w:color="auto"/>
              <w:left w:val="nil"/>
              <w:bottom w:val="single" w:sz="4" w:space="0" w:color="auto"/>
              <w:right w:val="nil"/>
            </w:tcBorders>
            <w:shd w:val="clear" w:color="auto" w:fill="auto"/>
            <w:noWrap/>
            <w:vAlign w:val="bottom"/>
            <w:hideMark/>
          </w:tcPr>
          <w:p w14:paraId="14973251" w14:textId="77777777" w:rsidR="008E2E6E" w:rsidRPr="008E2E6E" w:rsidRDefault="008E2E6E" w:rsidP="008E2E6E">
            <w:pPr>
              <w:spacing w:line="240" w:lineRule="auto"/>
              <w:jc w:val="center"/>
              <w:rPr>
                <w:rFonts w:ascii="Aptos Narrow" w:eastAsia="Times New Roman" w:hAnsi="Aptos Narrow" w:cs="Times New Roman"/>
                <w:color w:val="000000"/>
                <w:sz w:val="18"/>
                <w:szCs w:val="18"/>
                <w:lang w:val="de-DE" w:eastAsia="de-DE"/>
              </w:rPr>
            </w:pPr>
            <w:r w:rsidRPr="008E2E6E">
              <w:rPr>
                <w:rFonts w:ascii="Aptos Narrow" w:eastAsia="Times New Roman" w:hAnsi="Aptos Narrow" w:cs="Times New Roman"/>
                <w:color w:val="000000"/>
                <w:sz w:val="18"/>
                <w:szCs w:val="18"/>
                <w:lang w:val="de-DE" w:eastAsia="de-DE"/>
              </w:rPr>
              <w:t>405416</w:t>
            </w:r>
          </w:p>
        </w:tc>
      </w:tr>
    </w:tbl>
    <w:p w14:paraId="00000052" w14:textId="61B4B2EB" w:rsidR="00E51BAE" w:rsidRDefault="00236A55">
      <w:pPr>
        <w:spacing w:after="200"/>
        <w:jc w:val="both"/>
        <w:rPr>
          <w:sz w:val="18"/>
          <w:szCs w:val="18"/>
        </w:rPr>
      </w:pPr>
      <w:r>
        <w:rPr>
          <w:sz w:val="18"/>
          <w:szCs w:val="18"/>
        </w:rPr>
        <w:t xml:space="preserve">Note: p-values in parentheses * p&lt;0.10 ** p&lt;0.05 *** p&lt;0.01. Robust standard errors clustered by country-pair-year. LMC = lower-middle-income countries, L = </w:t>
      </w:r>
      <w:r w:rsidR="00CA6D48">
        <w:rPr>
          <w:sz w:val="18"/>
          <w:szCs w:val="18"/>
        </w:rPr>
        <w:t>low-income countries, and</w:t>
      </w:r>
      <w:r>
        <w:rPr>
          <w:sz w:val="18"/>
          <w:szCs w:val="18"/>
        </w:rPr>
        <w:t xml:space="preserve"> OT = other income group countries, which covers country-pairs from a different income group. </w:t>
      </w:r>
      <w:r w:rsidR="006F234F">
        <w:rPr>
          <w:sz w:val="18"/>
          <w:szCs w:val="18"/>
        </w:rPr>
        <w:t xml:space="preserve">Middle-income countries are used as a benchmark to perform the regressions for each income group. </w:t>
      </w:r>
    </w:p>
    <w:p w14:paraId="31144766" w14:textId="1DAAF27B" w:rsidR="00E52A3E" w:rsidRDefault="00730D05">
      <w:pPr>
        <w:spacing w:after="200"/>
        <w:jc w:val="both"/>
        <w:rPr>
          <w:sz w:val="24"/>
          <w:szCs w:val="24"/>
        </w:rPr>
      </w:pPr>
      <w:r w:rsidRPr="00730D05">
        <w:rPr>
          <w:sz w:val="24"/>
          <w:szCs w:val="24"/>
        </w:rPr>
        <w:t xml:space="preserve">The results indicate that low-income countries primarily drive the negative effect observed in </w:t>
      </w:r>
      <w:r w:rsidR="00CA6D48">
        <w:rPr>
          <w:sz w:val="24"/>
          <w:szCs w:val="24"/>
        </w:rPr>
        <w:t>C</w:t>
      </w:r>
      <w:r w:rsidRPr="00730D05">
        <w:rPr>
          <w:sz w:val="24"/>
          <w:szCs w:val="24"/>
        </w:rPr>
        <w:t>olumns 1-4. Their results are negative compared to the omitted group, which is the upper-middle-income countries. This negative and significant result is consistent across all four definitions of digital services. For the lower-middle-income group, the results remain insignificant. These findings align with our expectations: low-income countries face a relatively higher cost burden for firms to comply with new regulations, whereas this burden is less pronounced for more developed countries</w:t>
      </w:r>
      <w:r w:rsidR="00236A55">
        <w:rPr>
          <w:sz w:val="24"/>
          <w:szCs w:val="24"/>
        </w:rPr>
        <w:t xml:space="preserve">. </w:t>
      </w:r>
    </w:p>
    <w:p w14:paraId="0643BF82" w14:textId="40315EE8" w:rsidR="008A7730" w:rsidRDefault="00C552E7">
      <w:pPr>
        <w:spacing w:after="200"/>
        <w:jc w:val="both"/>
        <w:rPr>
          <w:sz w:val="24"/>
          <w:szCs w:val="24"/>
        </w:rPr>
      </w:pPr>
      <w:r w:rsidRPr="00C552E7">
        <w:rPr>
          <w:sz w:val="24"/>
          <w:szCs w:val="24"/>
        </w:rPr>
        <w:t>Furthermore, Table 2 also shows that countries not in the same income group exhibit a negative and significant result. This outcome suggests that when trading partners have different income levels, they also experience lower digital services trade compared to our benchmark</w:t>
      </w:r>
      <w:r w:rsidR="00CA6D48">
        <w:rPr>
          <w:sz w:val="24"/>
          <w:szCs w:val="24"/>
        </w:rPr>
        <w:t xml:space="preserve"> of upper-middle-income countries</w:t>
      </w:r>
      <w:r w:rsidRPr="00C552E7">
        <w:rPr>
          <w:sz w:val="24"/>
          <w:szCs w:val="24"/>
        </w:rPr>
        <w:t xml:space="preserve">. In other words, the negative average trade effect of sharing a data protection regime found in </w:t>
      </w:r>
      <w:r w:rsidR="00CA6D48">
        <w:rPr>
          <w:sz w:val="24"/>
          <w:szCs w:val="24"/>
        </w:rPr>
        <w:t>C</w:t>
      </w:r>
      <w:r w:rsidRPr="00C552E7">
        <w:rPr>
          <w:sz w:val="24"/>
          <w:szCs w:val="24"/>
        </w:rPr>
        <w:t>olumns 1-4 is not only driven by partner countries both being classified as low-income but also by those with substantially different income levels</w:t>
      </w:r>
      <w:r w:rsidR="00236A55">
        <w:rPr>
          <w:sz w:val="24"/>
          <w:szCs w:val="24"/>
        </w:rPr>
        <w:t xml:space="preserve">. </w:t>
      </w:r>
    </w:p>
    <w:p w14:paraId="00000055" w14:textId="4867BF17" w:rsidR="00E51BAE" w:rsidRDefault="005F60F5">
      <w:pPr>
        <w:spacing w:after="200"/>
        <w:jc w:val="both"/>
        <w:rPr>
          <w:sz w:val="24"/>
          <w:szCs w:val="24"/>
        </w:rPr>
      </w:pPr>
      <w:r w:rsidRPr="005F60F5">
        <w:rPr>
          <w:sz w:val="24"/>
          <w:szCs w:val="24"/>
        </w:rPr>
        <w:t>Our next step is to split the cross-border data model into three distinct models to study their trade effects separately. Following Equation (2), we measure whether sharing the open, conditional, or control model for cross-border data flow between partner countries is positively or negatively associated with digital services trade.</w:t>
      </w:r>
      <w:r w:rsidR="004F5ED5">
        <w:rPr>
          <w:sz w:val="24"/>
          <w:szCs w:val="24"/>
        </w:rPr>
        <w:t xml:space="preserve"> </w:t>
      </w:r>
      <w:r w:rsidR="006B3D8C" w:rsidRPr="006B3D8C">
        <w:rPr>
          <w:sz w:val="24"/>
          <w:szCs w:val="24"/>
        </w:rPr>
        <w:t xml:space="preserve">The </w:t>
      </w:r>
      <w:r w:rsidR="00C27C49">
        <w:rPr>
          <w:sz w:val="24"/>
          <w:szCs w:val="24"/>
        </w:rPr>
        <w:t xml:space="preserve">regression outcomes are </w:t>
      </w:r>
      <w:r w:rsidR="006B3D8C" w:rsidRPr="006B3D8C">
        <w:rPr>
          <w:sz w:val="24"/>
          <w:szCs w:val="24"/>
        </w:rPr>
        <w:t xml:space="preserve">reported in Table 3. The results show that the open model is positive and significant across all four definitions of digital services trade. The conditional model, on the other hand, shows a negative and significant </w:t>
      </w:r>
      <w:r w:rsidR="00DF42B7">
        <w:rPr>
          <w:sz w:val="24"/>
          <w:szCs w:val="24"/>
        </w:rPr>
        <w:t>result</w:t>
      </w:r>
      <w:r w:rsidR="006B3D8C" w:rsidRPr="006B3D8C">
        <w:rPr>
          <w:sz w:val="24"/>
          <w:szCs w:val="24"/>
        </w:rPr>
        <w:t xml:space="preserve"> for all four definitions, indicating a negative association with digital services in Africa. Both results are consistent with previous studies assessing the impact of the three data models globally.</w:t>
      </w:r>
      <w:r w:rsidR="00455D77">
        <w:rPr>
          <w:rStyle w:val="FootnoteReference"/>
          <w:sz w:val="24"/>
          <w:szCs w:val="24"/>
        </w:rPr>
        <w:footnoteReference w:id="58"/>
      </w:r>
      <w:r w:rsidR="00236A55">
        <w:rPr>
          <w:sz w:val="24"/>
          <w:szCs w:val="24"/>
        </w:rPr>
        <w:t xml:space="preserve"> </w:t>
      </w:r>
    </w:p>
    <w:p w14:paraId="00000056" w14:textId="77777777" w:rsidR="00E51BAE" w:rsidRDefault="00236A55">
      <w:pPr>
        <w:pStyle w:val="Heading4"/>
        <w:spacing w:after="200"/>
        <w:jc w:val="center"/>
      </w:pPr>
      <w:bookmarkStart w:id="20" w:name="_heading=h.ve3x54gvip0b" w:colFirst="0" w:colLast="0"/>
      <w:bookmarkEnd w:id="20"/>
      <w:r>
        <w:t>Table 3: Regression results following equation (2)</w:t>
      </w:r>
    </w:p>
    <w:tbl>
      <w:tblPr>
        <w:tblW w:w="5000" w:type="pct"/>
        <w:tblCellMar>
          <w:left w:w="70" w:type="dxa"/>
          <w:right w:w="70" w:type="dxa"/>
        </w:tblCellMar>
        <w:tblLook w:val="04A0" w:firstRow="1" w:lastRow="0" w:firstColumn="1" w:lastColumn="0" w:noHBand="0" w:noVBand="1"/>
      </w:tblPr>
      <w:tblGrid>
        <w:gridCol w:w="2547"/>
        <w:gridCol w:w="876"/>
        <w:gridCol w:w="876"/>
        <w:gridCol w:w="876"/>
        <w:gridCol w:w="876"/>
        <w:gridCol w:w="821"/>
        <w:gridCol w:w="876"/>
        <w:gridCol w:w="876"/>
        <w:gridCol w:w="876"/>
      </w:tblGrid>
      <w:tr w:rsidR="00D23195" w:rsidRPr="00D23195" w14:paraId="1A979823" w14:textId="77777777" w:rsidTr="00D23195">
        <w:trPr>
          <w:trHeight w:val="288"/>
        </w:trPr>
        <w:tc>
          <w:tcPr>
            <w:tcW w:w="1385" w:type="pct"/>
            <w:tcBorders>
              <w:top w:val="single" w:sz="4" w:space="0" w:color="auto"/>
              <w:left w:val="nil"/>
              <w:bottom w:val="nil"/>
              <w:right w:val="nil"/>
            </w:tcBorders>
            <w:shd w:val="clear" w:color="auto" w:fill="auto"/>
            <w:noWrap/>
            <w:vAlign w:val="bottom"/>
            <w:hideMark/>
          </w:tcPr>
          <w:p w14:paraId="2F1FF2A0" w14:textId="77777777" w:rsidR="00D23195" w:rsidRPr="00D23195" w:rsidRDefault="00D23195" w:rsidP="00D23195">
            <w:pPr>
              <w:spacing w:line="240" w:lineRule="auto"/>
              <w:rPr>
                <w:rFonts w:ascii="Aptos Narrow" w:eastAsia="Times New Roman" w:hAnsi="Aptos Narrow" w:cs="Times New Roman"/>
                <w:color w:val="000000"/>
                <w:sz w:val="18"/>
                <w:szCs w:val="18"/>
                <w:lang w:val="de-DE" w:eastAsia="de-DE"/>
              </w:rPr>
            </w:pPr>
            <w:r w:rsidRPr="00D23195">
              <w:rPr>
                <w:rFonts w:ascii="Aptos Narrow" w:eastAsia="Times New Roman" w:hAnsi="Aptos Narrow" w:cs="Times New Roman"/>
                <w:color w:val="000000"/>
                <w:sz w:val="18"/>
                <w:szCs w:val="18"/>
                <w:lang w:val="de-DE" w:eastAsia="de-DE"/>
              </w:rPr>
              <w:t> </w:t>
            </w:r>
          </w:p>
        </w:tc>
        <w:tc>
          <w:tcPr>
            <w:tcW w:w="452" w:type="pct"/>
            <w:tcBorders>
              <w:top w:val="single" w:sz="4" w:space="0" w:color="auto"/>
              <w:left w:val="nil"/>
              <w:bottom w:val="nil"/>
              <w:right w:val="nil"/>
            </w:tcBorders>
            <w:shd w:val="clear" w:color="auto" w:fill="auto"/>
            <w:noWrap/>
            <w:vAlign w:val="bottom"/>
            <w:hideMark/>
          </w:tcPr>
          <w:p w14:paraId="77ABC2C2" w14:textId="77777777" w:rsidR="00D23195" w:rsidRPr="00D23195" w:rsidRDefault="00D23195" w:rsidP="00D23195">
            <w:pPr>
              <w:spacing w:line="240" w:lineRule="auto"/>
              <w:jc w:val="center"/>
              <w:rPr>
                <w:rFonts w:ascii="Aptos Narrow" w:eastAsia="Times New Roman" w:hAnsi="Aptos Narrow" w:cs="Times New Roman"/>
                <w:color w:val="000000"/>
                <w:sz w:val="18"/>
                <w:szCs w:val="18"/>
                <w:lang w:val="de-DE" w:eastAsia="de-DE"/>
              </w:rPr>
            </w:pPr>
            <w:r w:rsidRPr="00D23195">
              <w:rPr>
                <w:rFonts w:ascii="Aptos Narrow" w:eastAsia="Times New Roman" w:hAnsi="Aptos Narrow" w:cs="Times New Roman"/>
                <w:color w:val="000000"/>
                <w:sz w:val="18"/>
                <w:szCs w:val="18"/>
                <w:lang w:val="de-DE" w:eastAsia="de-DE"/>
              </w:rPr>
              <w:t>(1)</w:t>
            </w:r>
          </w:p>
        </w:tc>
        <w:tc>
          <w:tcPr>
            <w:tcW w:w="452" w:type="pct"/>
            <w:tcBorders>
              <w:top w:val="single" w:sz="4" w:space="0" w:color="auto"/>
              <w:left w:val="nil"/>
              <w:bottom w:val="nil"/>
              <w:right w:val="nil"/>
            </w:tcBorders>
            <w:shd w:val="clear" w:color="auto" w:fill="auto"/>
            <w:noWrap/>
            <w:vAlign w:val="bottom"/>
            <w:hideMark/>
          </w:tcPr>
          <w:p w14:paraId="135B7621" w14:textId="77777777" w:rsidR="00D23195" w:rsidRPr="00D23195" w:rsidRDefault="00D23195" w:rsidP="00D23195">
            <w:pPr>
              <w:spacing w:line="240" w:lineRule="auto"/>
              <w:jc w:val="center"/>
              <w:rPr>
                <w:rFonts w:ascii="Aptos Narrow" w:eastAsia="Times New Roman" w:hAnsi="Aptos Narrow" w:cs="Times New Roman"/>
                <w:color w:val="000000"/>
                <w:sz w:val="18"/>
                <w:szCs w:val="18"/>
                <w:lang w:val="de-DE" w:eastAsia="de-DE"/>
              </w:rPr>
            </w:pPr>
            <w:r w:rsidRPr="00D23195">
              <w:rPr>
                <w:rFonts w:ascii="Aptos Narrow" w:eastAsia="Times New Roman" w:hAnsi="Aptos Narrow" w:cs="Times New Roman"/>
                <w:color w:val="000000"/>
                <w:sz w:val="18"/>
                <w:szCs w:val="18"/>
                <w:lang w:val="de-DE" w:eastAsia="de-DE"/>
              </w:rPr>
              <w:t>(2)</w:t>
            </w:r>
          </w:p>
        </w:tc>
        <w:tc>
          <w:tcPr>
            <w:tcW w:w="452" w:type="pct"/>
            <w:tcBorders>
              <w:top w:val="single" w:sz="4" w:space="0" w:color="auto"/>
              <w:left w:val="nil"/>
              <w:bottom w:val="nil"/>
              <w:right w:val="nil"/>
            </w:tcBorders>
            <w:shd w:val="clear" w:color="auto" w:fill="auto"/>
            <w:noWrap/>
            <w:vAlign w:val="bottom"/>
            <w:hideMark/>
          </w:tcPr>
          <w:p w14:paraId="36CF87F6" w14:textId="77777777" w:rsidR="00D23195" w:rsidRPr="00D23195" w:rsidRDefault="00D23195" w:rsidP="00D23195">
            <w:pPr>
              <w:spacing w:line="240" w:lineRule="auto"/>
              <w:jc w:val="center"/>
              <w:rPr>
                <w:rFonts w:ascii="Aptos Narrow" w:eastAsia="Times New Roman" w:hAnsi="Aptos Narrow" w:cs="Times New Roman"/>
                <w:color w:val="000000"/>
                <w:sz w:val="18"/>
                <w:szCs w:val="18"/>
                <w:lang w:val="de-DE" w:eastAsia="de-DE"/>
              </w:rPr>
            </w:pPr>
            <w:r w:rsidRPr="00D23195">
              <w:rPr>
                <w:rFonts w:ascii="Aptos Narrow" w:eastAsia="Times New Roman" w:hAnsi="Aptos Narrow" w:cs="Times New Roman"/>
                <w:color w:val="000000"/>
                <w:sz w:val="18"/>
                <w:szCs w:val="18"/>
                <w:lang w:val="de-DE" w:eastAsia="de-DE"/>
              </w:rPr>
              <w:t>(3)</w:t>
            </w:r>
          </w:p>
        </w:tc>
        <w:tc>
          <w:tcPr>
            <w:tcW w:w="452" w:type="pct"/>
            <w:tcBorders>
              <w:top w:val="single" w:sz="4" w:space="0" w:color="auto"/>
              <w:left w:val="nil"/>
              <w:bottom w:val="nil"/>
              <w:right w:val="nil"/>
            </w:tcBorders>
            <w:shd w:val="clear" w:color="auto" w:fill="auto"/>
            <w:noWrap/>
            <w:vAlign w:val="bottom"/>
            <w:hideMark/>
          </w:tcPr>
          <w:p w14:paraId="529FB624" w14:textId="77777777" w:rsidR="00D23195" w:rsidRPr="00D23195" w:rsidRDefault="00D23195" w:rsidP="00D23195">
            <w:pPr>
              <w:spacing w:line="240" w:lineRule="auto"/>
              <w:jc w:val="center"/>
              <w:rPr>
                <w:rFonts w:ascii="Aptos Narrow" w:eastAsia="Times New Roman" w:hAnsi="Aptos Narrow" w:cs="Times New Roman"/>
                <w:color w:val="000000"/>
                <w:sz w:val="18"/>
                <w:szCs w:val="18"/>
                <w:lang w:val="de-DE" w:eastAsia="de-DE"/>
              </w:rPr>
            </w:pPr>
            <w:r w:rsidRPr="00D23195">
              <w:rPr>
                <w:rFonts w:ascii="Aptos Narrow" w:eastAsia="Times New Roman" w:hAnsi="Aptos Narrow" w:cs="Times New Roman"/>
                <w:color w:val="000000"/>
                <w:sz w:val="18"/>
                <w:szCs w:val="18"/>
                <w:lang w:val="de-DE" w:eastAsia="de-DE"/>
              </w:rPr>
              <w:t>(4)</w:t>
            </w:r>
          </w:p>
        </w:tc>
        <w:tc>
          <w:tcPr>
            <w:tcW w:w="452" w:type="pct"/>
            <w:tcBorders>
              <w:top w:val="single" w:sz="4" w:space="0" w:color="auto"/>
              <w:left w:val="nil"/>
              <w:bottom w:val="nil"/>
              <w:right w:val="nil"/>
            </w:tcBorders>
            <w:shd w:val="clear" w:color="auto" w:fill="auto"/>
            <w:noWrap/>
            <w:vAlign w:val="bottom"/>
            <w:hideMark/>
          </w:tcPr>
          <w:p w14:paraId="541B71BF" w14:textId="77777777" w:rsidR="00D23195" w:rsidRPr="00D23195" w:rsidRDefault="00D23195" w:rsidP="00D23195">
            <w:pPr>
              <w:spacing w:line="240" w:lineRule="auto"/>
              <w:jc w:val="center"/>
              <w:rPr>
                <w:rFonts w:ascii="Aptos Narrow" w:eastAsia="Times New Roman" w:hAnsi="Aptos Narrow" w:cs="Times New Roman"/>
                <w:color w:val="000000"/>
                <w:sz w:val="18"/>
                <w:szCs w:val="18"/>
                <w:lang w:val="de-DE" w:eastAsia="de-DE"/>
              </w:rPr>
            </w:pPr>
            <w:r w:rsidRPr="00D23195">
              <w:rPr>
                <w:rFonts w:ascii="Aptos Narrow" w:eastAsia="Times New Roman" w:hAnsi="Aptos Narrow" w:cs="Times New Roman"/>
                <w:color w:val="000000"/>
                <w:sz w:val="18"/>
                <w:szCs w:val="18"/>
                <w:lang w:val="de-DE" w:eastAsia="de-DE"/>
              </w:rPr>
              <w:t>(5)</w:t>
            </w:r>
          </w:p>
        </w:tc>
        <w:tc>
          <w:tcPr>
            <w:tcW w:w="452" w:type="pct"/>
            <w:tcBorders>
              <w:top w:val="single" w:sz="4" w:space="0" w:color="auto"/>
              <w:left w:val="nil"/>
              <w:bottom w:val="nil"/>
              <w:right w:val="nil"/>
            </w:tcBorders>
            <w:shd w:val="clear" w:color="auto" w:fill="auto"/>
            <w:noWrap/>
            <w:vAlign w:val="bottom"/>
            <w:hideMark/>
          </w:tcPr>
          <w:p w14:paraId="3BE79117" w14:textId="77777777" w:rsidR="00D23195" w:rsidRPr="00D23195" w:rsidRDefault="00D23195" w:rsidP="00D23195">
            <w:pPr>
              <w:spacing w:line="240" w:lineRule="auto"/>
              <w:jc w:val="center"/>
              <w:rPr>
                <w:rFonts w:ascii="Aptos Narrow" w:eastAsia="Times New Roman" w:hAnsi="Aptos Narrow" w:cs="Times New Roman"/>
                <w:color w:val="000000"/>
                <w:sz w:val="18"/>
                <w:szCs w:val="18"/>
                <w:lang w:val="de-DE" w:eastAsia="de-DE"/>
              </w:rPr>
            </w:pPr>
            <w:r w:rsidRPr="00D23195">
              <w:rPr>
                <w:rFonts w:ascii="Aptos Narrow" w:eastAsia="Times New Roman" w:hAnsi="Aptos Narrow" w:cs="Times New Roman"/>
                <w:color w:val="000000"/>
                <w:sz w:val="18"/>
                <w:szCs w:val="18"/>
                <w:lang w:val="de-DE" w:eastAsia="de-DE"/>
              </w:rPr>
              <w:t>(6)</w:t>
            </w:r>
          </w:p>
        </w:tc>
        <w:tc>
          <w:tcPr>
            <w:tcW w:w="452" w:type="pct"/>
            <w:tcBorders>
              <w:top w:val="single" w:sz="4" w:space="0" w:color="auto"/>
              <w:left w:val="nil"/>
              <w:bottom w:val="nil"/>
              <w:right w:val="nil"/>
            </w:tcBorders>
            <w:shd w:val="clear" w:color="auto" w:fill="auto"/>
            <w:noWrap/>
            <w:vAlign w:val="bottom"/>
            <w:hideMark/>
          </w:tcPr>
          <w:p w14:paraId="3DB5FDFE" w14:textId="77777777" w:rsidR="00D23195" w:rsidRPr="00D23195" w:rsidRDefault="00D23195" w:rsidP="00D23195">
            <w:pPr>
              <w:spacing w:line="240" w:lineRule="auto"/>
              <w:jc w:val="center"/>
              <w:rPr>
                <w:rFonts w:ascii="Aptos Narrow" w:eastAsia="Times New Roman" w:hAnsi="Aptos Narrow" w:cs="Times New Roman"/>
                <w:color w:val="000000"/>
                <w:sz w:val="18"/>
                <w:szCs w:val="18"/>
                <w:lang w:val="de-DE" w:eastAsia="de-DE"/>
              </w:rPr>
            </w:pPr>
            <w:r w:rsidRPr="00D23195">
              <w:rPr>
                <w:rFonts w:ascii="Aptos Narrow" w:eastAsia="Times New Roman" w:hAnsi="Aptos Narrow" w:cs="Times New Roman"/>
                <w:color w:val="000000"/>
                <w:sz w:val="18"/>
                <w:szCs w:val="18"/>
                <w:lang w:val="de-DE" w:eastAsia="de-DE"/>
              </w:rPr>
              <w:t>(7)</w:t>
            </w:r>
          </w:p>
        </w:tc>
        <w:tc>
          <w:tcPr>
            <w:tcW w:w="452" w:type="pct"/>
            <w:tcBorders>
              <w:top w:val="single" w:sz="4" w:space="0" w:color="auto"/>
              <w:left w:val="nil"/>
              <w:bottom w:val="nil"/>
              <w:right w:val="nil"/>
            </w:tcBorders>
            <w:shd w:val="clear" w:color="auto" w:fill="auto"/>
            <w:noWrap/>
            <w:vAlign w:val="bottom"/>
            <w:hideMark/>
          </w:tcPr>
          <w:p w14:paraId="09DDBC90" w14:textId="77777777" w:rsidR="00D23195" w:rsidRPr="00D23195" w:rsidRDefault="00D23195" w:rsidP="00D23195">
            <w:pPr>
              <w:spacing w:line="240" w:lineRule="auto"/>
              <w:jc w:val="center"/>
              <w:rPr>
                <w:rFonts w:ascii="Aptos Narrow" w:eastAsia="Times New Roman" w:hAnsi="Aptos Narrow" w:cs="Times New Roman"/>
                <w:color w:val="000000"/>
                <w:sz w:val="18"/>
                <w:szCs w:val="18"/>
                <w:lang w:val="de-DE" w:eastAsia="de-DE"/>
              </w:rPr>
            </w:pPr>
            <w:r w:rsidRPr="00D23195">
              <w:rPr>
                <w:rFonts w:ascii="Aptos Narrow" w:eastAsia="Times New Roman" w:hAnsi="Aptos Narrow" w:cs="Times New Roman"/>
                <w:color w:val="000000"/>
                <w:sz w:val="18"/>
                <w:szCs w:val="18"/>
                <w:lang w:val="de-DE" w:eastAsia="de-DE"/>
              </w:rPr>
              <w:t>(8)</w:t>
            </w:r>
          </w:p>
        </w:tc>
      </w:tr>
      <w:tr w:rsidR="00D23195" w:rsidRPr="00D23195" w14:paraId="30F62140" w14:textId="77777777" w:rsidTr="00D23195">
        <w:trPr>
          <w:trHeight w:val="288"/>
        </w:trPr>
        <w:tc>
          <w:tcPr>
            <w:tcW w:w="1385" w:type="pct"/>
            <w:tcBorders>
              <w:top w:val="nil"/>
              <w:left w:val="nil"/>
              <w:bottom w:val="nil"/>
              <w:right w:val="nil"/>
            </w:tcBorders>
            <w:shd w:val="clear" w:color="auto" w:fill="auto"/>
            <w:noWrap/>
            <w:vAlign w:val="bottom"/>
            <w:hideMark/>
          </w:tcPr>
          <w:p w14:paraId="44B4368E" w14:textId="77777777" w:rsidR="00D23195" w:rsidRPr="00D23195" w:rsidRDefault="00D23195" w:rsidP="00D23195">
            <w:pPr>
              <w:spacing w:line="240" w:lineRule="auto"/>
              <w:jc w:val="center"/>
              <w:rPr>
                <w:rFonts w:ascii="Aptos Narrow" w:eastAsia="Times New Roman" w:hAnsi="Aptos Narrow" w:cs="Times New Roman"/>
                <w:color w:val="000000"/>
                <w:sz w:val="18"/>
                <w:szCs w:val="18"/>
                <w:lang w:val="de-DE" w:eastAsia="de-DE"/>
              </w:rPr>
            </w:pPr>
          </w:p>
        </w:tc>
        <w:tc>
          <w:tcPr>
            <w:tcW w:w="452" w:type="pct"/>
            <w:tcBorders>
              <w:top w:val="nil"/>
              <w:left w:val="nil"/>
              <w:bottom w:val="nil"/>
              <w:right w:val="nil"/>
            </w:tcBorders>
            <w:shd w:val="clear" w:color="auto" w:fill="auto"/>
            <w:noWrap/>
            <w:vAlign w:val="bottom"/>
            <w:hideMark/>
          </w:tcPr>
          <w:p w14:paraId="509DB622" w14:textId="77777777" w:rsidR="00D23195" w:rsidRPr="00D23195" w:rsidRDefault="00D23195" w:rsidP="00D23195">
            <w:pPr>
              <w:spacing w:line="240" w:lineRule="auto"/>
              <w:jc w:val="center"/>
              <w:rPr>
                <w:rFonts w:ascii="Aptos Narrow" w:eastAsia="Times New Roman" w:hAnsi="Aptos Narrow" w:cs="Times New Roman"/>
                <w:color w:val="000000"/>
                <w:sz w:val="18"/>
                <w:szCs w:val="18"/>
                <w:lang w:val="de-DE" w:eastAsia="de-DE"/>
              </w:rPr>
            </w:pPr>
            <w:r w:rsidRPr="00D23195">
              <w:rPr>
                <w:rFonts w:ascii="Aptos Narrow" w:eastAsia="Times New Roman" w:hAnsi="Aptos Narrow" w:cs="Times New Roman"/>
                <w:color w:val="000000"/>
                <w:sz w:val="18"/>
                <w:szCs w:val="18"/>
                <w:lang w:val="de-DE" w:eastAsia="de-DE"/>
              </w:rPr>
              <w:t>EXP</w:t>
            </w:r>
          </w:p>
        </w:tc>
        <w:tc>
          <w:tcPr>
            <w:tcW w:w="452" w:type="pct"/>
            <w:tcBorders>
              <w:top w:val="nil"/>
              <w:left w:val="nil"/>
              <w:bottom w:val="nil"/>
              <w:right w:val="nil"/>
            </w:tcBorders>
            <w:shd w:val="clear" w:color="auto" w:fill="auto"/>
            <w:noWrap/>
            <w:vAlign w:val="bottom"/>
            <w:hideMark/>
          </w:tcPr>
          <w:p w14:paraId="4D611A4E" w14:textId="77777777" w:rsidR="00D23195" w:rsidRPr="00D23195" w:rsidRDefault="00D23195" w:rsidP="00D23195">
            <w:pPr>
              <w:spacing w:line="240" w:lineRule="auto"/>
              <w:jc w:val="center"/>
              <w:rPr>
                <w:rFonts w:ascii="Aptos Narrow" w:eastAsia="Times New Roman" w:hAnsi="Aptos Narrow" w:cs="Times New Roman"/>
                <w:color w:val="000000"/>
                <w:sz w:val="18"/>
                <w:szCs w:val="18"/>
                <w:lang w:val="de-DE" w:eastAsia="de-DE"/>
              </w:rPr>
            </w:pPr>
            <w:r w:rsidRPr="00D23195">
              <w:rPr>
                <w:rFonts w:ascii="Aptos Narrow" w:eastAsia="Times New Roman" w:hAnsi="Aptos Narrow" w:cs="Times New Roman"/>
                <w:color w:val="000000"/>
                <w:sz w:val="18"/>
                <w:szCs w:val="18"/>
                <w:lang w:val="de-DE" w:eastAsia="de-DE"/>
              </w:rPr>
              <w:t>EXP</w:t>
            </w:r>
          </w:p>
        </w:tc>
        <w:tc>
          <w:tcPr>
            <w:tcW w:w="452" w:type="pct"/>
            <w:tcBorders>
              <w:top w:val="nil"/>
              <w:left w:val="nil"/>
              <w:bottom w:val="nil"/>
              <w:right w:val="nil"/>
            </w:tcBorders>
            <w:shd w:val="clear" w:color="auto" w:fill="auto"/>
            <w:noWrap/>
            <w:vAlign w:val="bottom"/>
            <w:hideMark/>
          </w:tcPr>
          <w:p w14:paraId="213B0804" w14:textId="77777777" w:rsidR="00D23195" w:rsidRPr="00D23195" w:rsidRDefault="00D23195" w:rsidP="00D23195">
            <w:pPr>
              <w:spacing w:line="240" w:lineRule="auto"/>
              <w:jc w:val="center"/>
              <w:rPr>
                <w:rFonts w:ascii="Aptos Narrow" w:eastAsia="Times New Roman" w:hAnsi="Aptos Narrow" w:cs="Times New Roman"/>
                <w:color w:val="000000"/>
                <w:sz w:val="18"/>
                <w:szCs w:val="18"/>
                <w:lang w:val="de-DE" w:eastAsia="de-DE"/>
              </w:rPr>
            </w:pPr>
            <w:r w:rsidRPr="00D23195">
              <w:rPr>
                <w:rFonts w:ascii="Aptos Narrow" w:eastAsia="Times New Roman" w:hAnsi="Aptos Narrow" w:cs="Times New Roman"/>
                <w:color w:val="000000"/>
                <w:sz w:val="18"/>
                <w:szCs w:val="18"/>
                <w:lang w:val="de-DE" w:eastAsia="de-DE"/>
              </w:rPr>
              <w:t>EXP</w:t>
            </w:r>
          </w:p>
        </w:tc>
        <w:tc>
          <w:tcPr>
            <w:tcW w:w="452" w:type="pct"/>
            <w:tcBorders>
              <w:top w:val="nil"/>
              <w:left w:val="nil"/>
              <w:bottom w:val="nil"/>
              <w:right w:val="nil"/>
            </w:tcBorders>
            <w:shd w:val="clear" w:color="auto" w:fill="auto"/>
            <w:noWrap/>
            <w:vAlign w:val="bottom"/>
            <w:hideMark/>
          </w:tcPr>
          <w:p w14:paraId="70AF4795" w14:textId="77777777" w:rsidR="00D23195" w:rsidRPr="00D23195" w:rsidRDefault="00D23195" w:rsidP="00D23195">
            <w:pPr>
              <w:spacing w:line="240" w:lineRule="auto"/>
              <w:jc w:val="center"/>
              <w:rPr>
                <w:rFonts w:ascii="Aptos Narrow" w:eastAsia="Times New Roman" w:hAnsi="Aptos Narrow" w:cs="Times New Roman"/>
                <w:color w:val="000000"/>
                <w:sz w:val="18"/>
                <w:szCs w:val="18"/>
                <w:lang w:val="de-DE" w:eastAsia="de-DE"/>
              </w:rPr>
            </w:pPr>
            <w:r w:rsidRPr="00D23195">
              <w:rPr>
                <w:rFonts w:ascii="Aptos Narrow" w:eastAsia="Times New Roman" w:hAnsi="Aptos Narrow" w:cs="Times New Roman"/>
                <w:color w:val="000000"/>
                <w:sz w:val="18"/>
                <w:szCs w:val="18"/>
                <w:lang w:val="de-DE" w:eastAsia="de-DE"/>
              </w:rPr>
              <w:t>EXP</w:t>
            </w:r>
          </w:p>
        </w:tc>
        <w:tc>
          <w:tcPr>
            <w:tcW w:w="452" w:type="pct"/>
            <w:tcBorders>
              <w:top w:val="nil"/>
              <w:left w:val="nil"/>
              <w:bottom w:val="nil"/>
              <w:right w:val="nil"/>
            </w:tcBorders>
            <w:shd w:val="clear" w:color="auto" w:fill="auto"/>
            <w:noWrap/>
            <w:vAlign w:val="bottom"/>
            <w:hideMark/>
          </w:tcPr>
          <w:p w14:paraId="0F5A1FEF" w14:textId="77777777" w:rsidR="00D23195" w:rsidRPr="00D23195" w:rsidRDefault="00D23195" w:rsidP="00D23195">
            <w:pPr>
              <w:spacing w:line="240" w:lineRule="auto"/>
              <w:jc w:val="center"/>
              <w:rPr>
                <w:rFonts w:ascii="Aptos Narrow" w:eastAsia="Times New Roman" w:hAnsi="Aptos Narrow" w:cs="Times New Roman"/>
                <w:color w:val="000000"/>
                <w:sz w:val="18"/>
                <w:szCs w:val="18"/>
                <w:lang w:val="de-DE" w:eastAsia="de-DE"/>
              </w:rPr>
            </w:pPr>
            <w:r w:rsidRPr="00D23195">
              <w:rPr>
                <w:rFonts w:ascii="Aptos Narrow" w:eastAsia="Times New Roman" w:hAnsi="Aptos Narrow" w:cs="Times New Roman"/>
                <w:color w:val="000000"/>
                <w:sz w:val="18"/>
                <w:szCs w:val="18"/>
                <w:lang w:val="de-DE" w:eastAsia="de-DE"/>
              </w:rPr>
              <w:t>EXP</w:t>
            </w:r>
          </w:p>
        </w:tc>
        <w:tc>
          <w:tcPr>
            <w:tcW w:w="452" w:type="pct"/>
            <w:tcBorders>
              <w:top w:val="nil"/>
              <w:left w:val="nil"/>
              <w:bottom w:val="nil"/>
              <w:right w:val="nil"/>
            </w:tcBorders>
            <w:shd w:val="clear" w:color="auto" w:fill="auto"/>
            <w:noWrap/>
            <w:vAlign w:val="bottom"/>
            <w:hideMark/>
          </w:tcPr>
          <w:p w14:paraId="0F87D098" w14:textId="77777777" w:rsidR="00D23195" w:rsidRPr="00D23195" w:rsidRDefault="00D23195" w:rsidP="00D23195">
            <w:pPr>
              <w:spacing w:line="240" w:lineRule="auto"/>
              <w:jc w:val="center"/>
              <w:rPr>
                <w:rFonts w:ascii="Aptos Narrow" w:eastAsia="Times New Roman" w:hAnsi="Aptos Narrow" w:cs="Times New Roman"/>
                <w:color w:val="000000"/>
                <w:sz w:val="18"/>
                <w:szCs w:val="18"/>
                <w:lang w:val="de-DE" w:eastAsia="de-DE"/>
              </w:rPr>
            </w:pPr>
            <w:r w:rsidRPr="00D23195">
              <w:rPr>
                <w:rFonts w:ascii="Aptos Narrow" w:eastAsia="Times New Roman" w:hAnsi="Aptos Narrow" w:cs="Times New Roman"/>
                <w:color w:val="000000"/>
                <w:sz w:val="18"/>
                <w:szCs w:val="18"/>
                <w:lang w:val="de-DE" w:eastAsia="de-DE"/>
              </w:rPr>
              <w:t>EXP</w:t>
            </w:r>
          </w:p>
        </w:tc>
        <w:tc>
          <w:tcPr>
            <w:tcW w:w="452" w:type="pct"/>
            <w:tcBorders>
              <w:top w:val="nil"/>
              <w:left w:val="nil"/>
              <w:bottom w:val="nil"/>
              <w:right w:val="nil"/>
            </w:tcBorders>
            <w:shd w:val="clear" w:color="auto" w:fill="auto"/>
            <w:noWrap/>
            <w:vAlign w:val="bottom"/>
            <w:hideMark/>
          </w:tcPr>
          <w:p w14:paraId="685A169B" w14:textId="77777777" w:rsidR="00D23195" w:rsidRPr="00D23195" w:rsidRDefault="00D23195" w:rsidP="00D23195">
            <w:pPr>
              <w:spacing w:line="240" w:lineRule="auto"/>
              <w:jc w:val="center"/>
              <w:rPr>
                <w:rFonts w:ascii="Aptos Narrow" w:eastAsia="Times New Roman" w:hAnsi="Aptos Narrow" w:cs="Times New Roman"/>
                <w:color w:val="000000"/>
                <w:sz w:val="18"/>
                <w:szCs w:val="18"/>
                <w:lang w:val="de-DE" w:eastAsia="de-DE"/>
              </w:rPr>
            </w:pPr>
            <w:r w:rsidRPr="00D23195">
              <w:rPr>
                <w:rFonts w:ascii="Aptos Narrow" w:eastAsia="Times New Roman" w:hAnsi="Aptos Narrow" w:cs="Times New Roman"/>
                <w:color w:val="000000"/>
                <w:sz w:val="18"/>
                <w:szCs w:val="18"/>
                <w:lang w:val="de-DE" w:eastAsia="de-DE"/>
              </w:rPr>
              <w:t>EXP</w:t>
            </w:r>
          </w:p>
        </w:tc>
        <w:tc>
          <w:tcPr>
            <w:tcW w:w="452" w:type="pct"/>
            <w:tcBorders>
              <w:top w:val="nil"/>
              <w:left w:val="nil"/>
              <w:bottom w:val="nil"/>
              <w:right w:val="nil"/>
            </w:tcBorders>
            <w:shd w:val="clear" w:color="auto" w:fill="auto"/>
            <w:noWrap/>
            <w:vAlign w:val="bottom"/>
            <w:hideMark/>
          </w:tcPr>
          <w:p w14:paraId="63222BC5" w14:textId="77777777" w:rsidR="00D23195" w:rsidRPr="00D23195" w:rsidRDefault="00D23195" w:rsidP="00D23195">
            <w:pPr>
              <w:spacing w:line="240" w:lineRule="auto"/>
              <w:jc w:val="center"/>
              <w:rPr>
                <w:rFonts w:ascii="Aptos Narrow" w:eastAsia="Times New Roman" w:hAnsi="Aptos Narrow" w:cs="Times New Roman"/>
                <w:color w:val="000000"/>
                <w:sz w:val="18"/>
                <w:szCs w:val="18"/>
                <w:lang w:val="de-DE" w:eastAsia="de-DE"/>
              </w:rPr>
            </w:pPr>
            <w:r w:rsidRPr="00D23195">
              <w:rPr>
                <w:rFonts w:ascii="Aptos Narrow" w:eastAsia="Times New Roman" w:hAnsi="Aptos Narrow" w:cs="Times New Roman"/>
                <w:color w:val="000000"/>
                <w:sz w:val="18"/>
                <w:szCs w:val="18"/>
                <w:lang w:val="de-DE" w:eastAsia="de-DE"/>
              </w:rPr>
              <w:t>EXP</w:t>
            </w:r>
          </w:p>
        </w:tc>
      </w:tr>
      <w:tr w:rsidR="00D23195" w:rsidRPr="00D23195" w14:paraId="106FCB17" w14:textId="77777777" w:rsidTr="00D23195">
        <w:trPr>
          <w:trHeight w:val="288"/>
        </w:trPr>
        <w:tc>
          <w:tcPr>
            <w:tcW w:w="1385" w:type="pct"/>
            <w:tcBorders>
              <w:top w:val="nil"/>
              <w:left w:val="nil"/>
              <w:bottom w:val="single" w:sz="4" w:space="0" w:color="auto"/>
              <w:right w:val="nil"/>
            </w:tcBorders>
            <w:shd w:val="clear" w:color="auto" w:fill="auto"/>
            <w:noWrap/>
            <w:vAlign w:val="bottom"/>
            <w:hideMark/>
          </w:tcPr>
          <w:p w14:paraId="6D665150" w14:textId="77777777" w:rsidR="00D23195" w:rsidRPr="00D23195" w:rsidRDefault="00D23195" w:rsidP="00D23195">
            <w:pPr>
              <w:spacing w:line="240" w:lineRule="auto"/>
              <w:rPr>
                <w:rFonts w:ascii="Aptos Narrow" w:eastAsia="Times New Roman" w:hAnsi="Aptos Narrow" w:cs="Times New Roman"/>
                <w:color w:val="000000"/>
                <w:sz w:val="18"/>
                <w:szCs w:val="18"/>
                <w:lang w:val="de-DE" w:eastAsia="de-DE"/>
              </w:rPr>
            </w:pPr>
            <w:r w:rsidRPr="00D23195">
              <w:rPr>
                <w:rFonts w:ascii="Aptos Narrow" w:eastAsia="Times New Roman" w:hAnsi="Aptos Narrow" w:cs="Times New Roman"/>
                <w:color w:val="000000"/>
                <w:sz w:val="18"/>
                <w:szCs w:val="18"/>
                <w:lang w:val="de-DE" w:eastAsia="de-DE"/>
              </w:rPr>
              <w:lastRenderedPageBreak/>
              <w:t> </w:t>
            </w:r>
          </w:p>
        </w:tc>
        <w:tc>
          <w:tcPr>
            <w:tcW w:w="452" w:type="pct"/>
            <w:tcBorders>
              <w:top w:val="nil"/>
              <w:left w:val="nil"/>
              <w:bottom w:val="single" w:sz="4" w:space="0" w:color="auto"/>
              <w:right w:val="nil"/>
            </w:tcBorders>
            <w:shd w:val="clear" w:color="auto" w:fill="auto"/>
            <w:noWrap/>
            <w:vAlign w:val="bottom"/>
            <w:hideMark/>
          </w:tcPr>
          <w:p w14:paraId="094A6BB1" w14:textId="77777777" w:rsidR="00D23195" w:rsidRPr="00D23195" w:rsidRDefault="00D23195" w:rsidP="00D23195">
            <w:pPr>
              <w:spacing w:line="240" w:lineRule="auto"/>
              <w:jc w:val="center"/>
              <w:rPr>
                <w:rFonts w:ascii="Aptos Narrow" w:eastAsia="Times New Roman" w:hAnsi="Aptos Narrow" w:cs="Times New Roman"/>
                <w:color w:val="000000"/>
                <w:sz w:val="18"/>
                <w:szCs w:val="18"/>
                <w:lang w:val="de-DE" w:eastAsia="de-DE"/>
              </w:rPr>
            </w:pPr>
            <w:r w:rsidRPr="00D23195">
              <w:rPr>
                <w:rFonts w:ascii="Aptos Narrow" w:eastAsia="Times New Roman" w:hAnsi="Aptos Narrow" w:cs="Times New Roman"/>
                <w:color w:val="000000"/>
                <w:sz w:val="18"/>
                <w:szCs w:val="18"/>
                <w:lang w:val="de-DE" w:eastAsia="de-DE"/>
              </w:rPr>
              <w:t>Dig 1</w:t>
            </w:r>
          </w:p>
        </w:tc>
        <w:tc>
          <w:tcPr>
            <w:tcW w:w="452" w:type="pct"/>
            <w:tcBorders>
              <w:top w:val="nil"/>
              <w:left w:val="nil"/>
              <w:bottom w:val="single" w:sz="4" w:space="0" w:color="auto"/>
              <w:right w:val="nil"/>
            </w:tcBorders>
            <w:shd w:val="clear" w:color="auto" w:fill="auto"/>
            <w:noWrap/>
            <w:vAlign w:val="bottom"/>
            <w:hideMark/>
          </w:tcPr>
          <w:p w14:paraId="07122212" w14:textId="77777777" w:rsidR="00D23195" w:rsidRPr="00D23195" w:rsidRDefault="00D23195" w:rsidP="00D23195">
            <w:pPr>
              <w:spacing w:line="240" w:lineRule="auto"/>
              <w:jc w:val="center"/>
              <w:rPr>
                <w:rFonts w:ascii="Aptos Narrow" w:eastAsia="Times New Roman" w:hAnsi="Aptos Narrow" w:cs="Times New Roman"/>
                <w:color w:val="000000"/>
                <w:sz w:val="18"/>
                <w:szCs w:val="18"/>
                <w:lang w:val="de-DE" w:eastAsia="de-DE"/>
              </w:rPr>
            </w:pPr>
            <w:r w:rsidRPr="00D23195">
              <w:rPr>
                <w:rFonts w:ascii="Aptos Narrow" w:eastAsia="Times New Roman" w:hAnsi="Aptos Narrow" w:cs="Times New Roman"/>
                <w:color w:val="000000"/>
                <w:sz w:val="18"/>
                <w:szCs w:val="18"/>
                <w:lang w:val="de-DE" w:eastAsia="de-DE"/>
              </w:rPr>
              <w:t>Dig 2</w:t>
            </w:r>
          </w:p>
        </w:tc>
        <w:tc>
          <w:tcPr>
            <w:tcW w:w="452" w:type="pct"/>
            <w:tcBorders>
              <w:top w:val="nil"/>
              <w:left w:val="nil"/>
              <w:bottom w:val="single" w:sz="4" w:space="0" w:color="auto"/>
              <w:right w:val="nil"/>
            </w:tcBorders>
            <w:shd w:val="clear" w:color="auto" w:fill="auto"/>
            <w:noWrap/>
            <w:vAlign w:val="bottom"/>
            <w:hideMark/>
          </w:tcPr>
          <w:p w14:paraId="5DB1CBED" w14:textId="77777777" w:rsidR="00D23195" w:rsidRPr="00D23195" w:rsidRDefault="00D23195" w:rsidP="00D23195">
            <w:pPr>
              <w:spacing w:line="240" w:lineRule="auto"/>
              <w:jc w:val="center"/>
              <w:rPr>
                <w:rFonts w:ascii="Aptos Narrow" w:eastAsia="Times New Roman" w:hAnsi="Aptos Narrow" w:cs="Times New Roman"/>
                <w:color w:val="000000"/>
                <w:sz w:val="18"/>
                <w:szCs w:val="18"/>
                <w:lang w:val="de-DE" w:eastAsia="de-DE"/>
              </w:rPr>
            </w:pPr>
            <w:r w:rsidRPr="00D23195">
              <w:rPr>
                <w:rFonts w:ascii="Aptos Narrow" w:eastAsia="Times New Roman" w:hAnsi="Aptos Narrow" w:cs="Times New Roman"/>
                <w:color w:val="000000"/>
                <w:sz w:val="18"/>
                <w:szCs w:val="18"/>
                <w:lang w:val="de-DE" w:eastAsia="de-DE"/>
              </w:rPr>
              <w:t>Dig 3</w:t>
            </w:r>
          </w:p>
        </w:tc>
        <w:tc>
          <w:tcPr>
            <w:tcW w:w="452" w:type="pct"/>
            <w:tcBorders>
              <w:top w:val="nil"/>
              <w:left w:val="nil"/>
              <w:bottom w:val="single" w:sz="4" w:space="0" w:color="auto"/>
              <w:right w:val="nil"/>
            </w:tcBorders>
            <w:shd w:val="clear" w:color="auto" w:fill="auto"/>
            <w:noWrap/>
            <w:vAlign w:val="bottom"/>
            <w:hideMark/>
          </w:tcPr>
          <w:p w14:paraId="08E93691" w14:textId="77777777" w:rsidR="00D23195" w:rsidRPr="00D23195" w:rsidRDefault="00D23195" w:rsidP="00D23195">
            <w:pPr>
              <w:spacing w:line="240" w:lineRule="auto"/>
              <w:jc w:val="center"/>
              <w:rPr>
                <w:rFonts w:ascii="Aptos Narrow" w:eastAsia="Times New Roman" w:hAnsi="Aptos Narrow" w:cs="Times New Roman"/>
                <w:color w:val="000000"/>
                <w:sz w:val="18"/>
                <w:szCs w:val="18"/>
                <w:lang w:val="de-DE" w:eastAsia="de-DE"/>
              </w:rPr>
            </w:pPr>
            <w:r w:rsidRPr="00D23195">
              <w:rPr>
                <w:rFonts w:ascii="Aptos Narrow" w:eastAsia="Times New Roman" w:hAnsi="Aptos Narrow" w:cs="Times New Roman"/>
                <w:color w:val="000000"/>
                <w:sz w:val="18"/>
                <w:szCs w:val="18"/>
                <w:lang w:val="de-DE" w:eastAsia="de-DE"/>
              </w:rPr>
              <w:t>Dig 4</w:t>
            </w:r>
          </w:p>
        </w:tc>
        <w:tc>
          <w:tcPr>
            <w:tcW w:w="452" w:type="pct"/>
            <w:tcBorders>
              <w:top w:val="nil"/>
              <w:left w:val="nil"/>
              <w:bottom w:val="single" w:sz="4" w:space="0" w:color="auto"/>
              <w:right w:val="nil"/>
            </w:tcBorders>
            <w:shd w:val="clear" w:color="auto" w:fill="auto"/>
            <w:noWrap/>
            <w:vAlign w:val="bottom"/>
            <w:hideMark/>
          </w:tcPr>
          <w:p w14:paraId="75DF08A0" w14:textId="77777777" w:rsidR="00D23195" w:rsidRPr="00D23195" w:rsidRDefault="00D23195" w:rsidP="00D23195">
            <w:pPr>
              <w:spacing w:line="240" w:lineRule="auto"/>
              <w:jc w:val="center"/>
              <w:rPr>
                <w:rFonts w:ascii="Aptos Narrow" w:eastAsia="Times New Roman" w:hAnsi="Aptos Narrow" w:cs="Times New Roman"/>
                <w:color w:val="000000"/>
                <w:sz w:val="18"/>
                <w:szCs w:val="18"/>
                <w:lang w:val="de-DE" w:eastAsia="de-DE"/>
              </w:rPr>
            </w:pPr>
            <w:r w:rsidRPr="00D23195">
              <w:rPr>
                <w:rFonts w:ascii="Aptos Narrow" w:eastAsia="Times New Roman" w:hAnsi="Aptos Narrow" w:cs="Times New Roman"/>
                <w:color w:val="000000"/>
                <w:sz w:val="18"/>
                <w:szCs w:val="18"/>
                <w:lang w:val="de-DE" w:eastAsia="de-DE"/>
              </w:rPr>
              <w:t>Dig 5</w:t>
            </w:r>
          </w:p>
        </w:tc>
        <w:tc>
          <w:tcPr>
            <w:tcW w:w="452" w:type="pct"/>
            <w:tcBorders>
              <w:top w:val="nil"/>
              <w:left w:val="nil"/>
              <w:bottom w:val="single" w:sz="4" w:space="0" w:color="auto"/>
              <w:right w:val="nil"/>
            </w:tcBorders>
            <w:shd w:val="clear" w:color="auto" w:fill="auto"/>
            <w:noWrap/>
            <w:vAlign w:val="bottom"/>
            <w:hideMark/>
          </w:tcPr>
          <w:p w14:paraId="085AEBEC" w14:textId="77777777" w:rsidR="00D23195" w:rsidRPr="00D23195" w:rsidRDefault="00D23195" w:rsidP="00D23195">
            <w:pPr>
              <w:spacing w:line="240" w:lineRule="auto"/>
              <w:jc w:val="center"/>
              <w:rPr>
                <w:rFonts w:ascii="Aptos Narrow" w:eastAsia="Times New Roman" w:hAnsi="Aptos Narrow" w:cs="Times New Roman"/>
                <w:color w:val="000000"/>
                <w:sz w:val="18"/>
                <w:szCs w:val="18"/>
                <w:lang w:val="de-DE" w:eastAsia="de-DE"/>
              </w:rPr>
            </w:pPr>
            <w:r w:rsidRPr="00D23195">
              <w:rPr>
                <w:rFonts w:ascii="Aptos Narrow" w:eastAsia="Times New Roman" w:hAnsi="Aptos Narrow" w:cs="Times New Roman"/>
                <w:color w:val="000000"/>
                <w:sz w:val="18"/>
                <w:szCs w:val="18"/>
                <w:lang w:val="de-DE" w:eastAsia="de-DE"/>
              </w:rPr>
              <w:t>Dig 6</w:t>
            </w:r>
          </w:p>
        </w:tc>
        <w:tc>
          <w:tcPr>
            <w:tcW w:w="452" w:type="pct"/>
            <w:tcBorders>
              <w:top w:val="nil"/>
              <w:left w:val="nil"/>
              <w:bottom w:val="single" w:sz="4" w:space="0" w:color="auto"/>
              <w:right w:val="nil"/>
            </w:tcBorders>
            <w:shd w:val="clear" w:color="auto" w:fill="auto"/>
            <w:noWrap/>
            <w:vAlign w:val="bottom"/>
            <w:hideMark/>
          </w:tcPr>
          <w:p w14:paraId="231971B6" w14:textId="77777777" w:rsidR="00D23195" w:rsidRPr="00D23195" w:rsidRDefault="00D23195" w:rsidP="00D23195">
            <w:pPr>
              <w:spacing w:line="240" w:lineRule="auto"/>
              <w:jc w:val="center"/>
              <w:rPr>
                <w:rFonts w:ascii="Aptos Narrow" w:eastAsia="Times New Roman" w:hAnsi="Aptos Narrow" w:cs="Times New Roman"/>
                <w:color w:val="000000"/>
                <w:sz w:val="18"/>
                <w:szCs w:val="18"/>
                <w:lang w:val="de-DE" w:eastAsia="de-DE"/>
              </w:rPr>
            </w:pPr>
            <w:r w:rsidRPr="00D23195">
              <w:rPr>
                <w:rFonts w:ascii="Aptos Narrow" w:eastAsia="Times New Roman" w:hAnsi="Aptos Narrow" w:cs="Times New Roman"/>
                <w:color w:val="000000"/>
                <w:sz w:val="18"/>
                <w:szCs w:val="18"/>
                <w:lang w:val="de-DE" w:eastAsia="de-DE"/>
              </w:rPr>
              <w:t>Dig 7</w:t>
            </w:r>
          </w:p>
        </w:tc>
        <w:tc>
          <w:tcPr>
            <w:tcW w:w="452" w:type="pct"/>
            <w:tcBorders>
              <w:top w:val="nil"/>
              <w:left w:val="nil"/>
              <w:bottom w:val="single" w:sz="4" w:space="0" w:color="auto"/>
              <w:right w:val="nil"/>
            </w:tcBorders>
            <w:shd w:val="clear" w:color="auto" w:fill="auto"/>
            <w:noWrap/>
            <w:vAlign w:val="bottom"/>
            <w:hideMark/>
          </w:tcPr>
          <w:p w14:paraId="222C16B4" w14:textId="77777777" w:rsidR="00D23195" w:rsidRPr="00D23195" w:rsidRDefault="00D23195" w:rsidP="00D23195">
            <w:pPr>
              <w:spacing w:line="240" w:lineRule="auto"/>
              <w:jc w:val="center"/>
              <w:rPr>
                <w:rFonts w:ascii="Aptos Narrow" w:eastAsia="Times New Roman" w:hAnsi="Aptos Narrow" w:cs="Times New Roman"/>
                <w:color w:val="000000"/>
                <w:sz w:val="18"/>
                <w:szCs w:val="18"/>
                <w:lang w:val="de-DE" w:eastAsia="de-DE"/>
              </w:rPr>
            </w:pPr>
            <w:r w:rsidRPr="00D23195">
              <w:rPr>
                <w:rFonts w:ascii="Aptos Narrow" w:eastAsia="Times New Roman" w:hAnsi="Aptos Narrow" w:cs="Times New Roman"/>
                <w:color w:val="000000"/>
                <w:sz w:val="18"/>
                <w:szCs w:val="18"/>
                <w:lang w:val="de-DE" w:eastAsia="de-DE"/>
              </w:rPr>
              <w:t>Dig 8</w:t>
            </w:r>
          </w:p>
        </w:tc>
      </w:tr>
      <w:tr w:rsidR="00D23195" w:rsidRPr="00D23195" w14:paraId="743D6E50" w14:textId="77777777" w:rsidTr="00D23195">
        <w:trPr>
          <w:trHeight w:val="288"/>
        </w:trPr>
        <w:tc>
          <w:tcPr>
            <w:tcW w:w="1385" w:type="pct"/>
            <w:tcBorders>
              <w:top w:val="nil"/>
              <w:left w:val="nil"/>
              <w:bottom w:val="nil"/>
              <w:right w:val="nil"/>
            </w:tcBorders>
            <w:shd w:val="clear" w:color="auto" w:fill="auto"/>
            <w:noWrap/>
            <w:vAlign w:val="bottom"/>
            <w:hideMark/>
          </w:tcPr>
          <w:p w14:paraId="2BCEE0B6" w14:textId="77777777" w:rsidR="00D23195" w:rsidRPr="00D23195" w:rsidRDefault="00D23195" w:rsidP="00D23195">
            <w:pPr>
              <w:spacing w:line="240" w:lineRule="auto"/>
              <w:jc w:val="center"/>
              <w:rPr>
                <w:rFonts w:ascii="Aptos Narrow" w:eastAsia="Times New Roman" w:hAnsi="Aptos Narrow" w:cs="Times New Roman"/>
                <w:color w:val="000000"/>
                <w:sz w:val="18"/>
                <w:szCs w:val="18"/>
                <w:lang w:val="de-DE" w:eastAsia="de-DE"/>
              </w:rPr>
            </w:pPr>
          </w:p>
        </w:tc>
        <w:tc>
          <w:tcPr>
            <w:tcW w:w="452" w:type="pct"/>
            <w:tcBorders>
              <w:top w:val="nil"/>
              <w:left w:val="nil"/>
              <w:bottom w:val="nil"/>
              <w:right w:val="nil"/>
            </w:tcBorders>
            <w:shd w:val="clear" w:color="auto" w:fill="auto"/>
            <w:noWrap/>
            <w:vAlign w:val="bottom"/>
            <w:hideMark/>
          </w:tcPr>
          <w:p w14:paraId="3A8F782A" w14:textId="77777777" w:rsidR="00D23195" w:rsidRPr="00D23195" w:rsidRDefault="00D23195" w:rsidP="00D23195">
            <w:pPr>
              <w:spacing w:line="240" w:lineRule="auto"/>
              <w:rPr>
                <w:rFonts w:ascii="Times New Roman" w:eastAsia="Times New Roman" w:hAnsi="Times New Roman" w:cs="Times New Roman"/>
                <w:sz w:val="18"/>
                <w:szCs w:val="18"/>
                <w:lang w:val="de-DE" w:eastAsia="de-DE"/>
              </w:rPr>
            </w:pPr>
          </w:p>
        </w:tc>
        <w:tc>
          <w:tcPr>
            <w:tcW w:w="452" w:type="pct"/>
            <w:tcBorders>
              <w:top w:val="nil"/>
              <w:left w:val="nil"/>
              <w:bottom w:val="nil"/>
              <w:right w:val="nil"/>
            </w:tcBorders>
            <w:shd w:val="clear" w:color="auto" w:fill="auto"/>
            <w:noWrap/>
            <w:vAlign w:val="bottom"/>
            <w:hideMark/>
          </w:tcPr>
          <w:p w14:paraId="2D01B921" w14:textId="77777777" w:rsidR="00D23195" w:rsidRPr="00D23195" w:rsidRDefault="00D23195" w:rsidP="00D23195">
            <w:pPr>
              <w:spacing w:line="240" w:lineRule="auto"/>
              <w:rPr>
                <w:rFonts w:ascii="Times New Roman" w:eastAsia="Times New Roman" w:hAnsi="Times New Roman" w:cs="Times New Roman"/>
                <w:sz w:val="18"/>
                <w:szCs w:val="18"/>
                <w:lang w:val="de-DE" w:eastAsia="de-DE"/>
              </w:rPr>
            </w:pPr>
          </w:p>
        </w:tc>
        <w:tc>
          <w:tcPr>
            <w:tcW w:w="452" w:type="pct"/>
            <w:tcBorders>
              <w:top w:val="nil"/>
              <w:left w:val="nil"/>
              <w:bottom w:val="nil"/>
              <w:right w:val="nil"/>
            </w:tcBorders>
            <w:shd w:val="clear" w:color="auto" w:fill="auto"/>
            <w:noWrap/>
            <w:vAlign w:val="bottom"/>
            <w:hideMark/>
          </w:tcPr>
          <w:p w14:paraId="3627E09C" w14:textId="77777777" w:rsidR="00D23195" w:rsidRPr="00D23195" w:rsidRDefault="00D23195" w:rsidP="00D23195">
            <w:pPr>
              <w:spacing w:line="240" w:lineRule="auto"/>
              <w:rPr>
                <w:rFonts w:ascii="Times New Roman" w:eastAsia="Times New Roman" w:hAnsi="Times New Roman" w:cs="Times New Roman"/>
                <w:sz w:val="18"/>
                <w:szCs w:val="18"/>
                <w:lang w:val="de-DE" w:eastAsia="de-DE"/>
              </w:rPr>
            </w:pPr>
          </w:p>
        </w:tc>
        <w:tc>
          <w:tcPr>
            <w:tcW w:w="452" w:type="pct"/>
            <w:tcBorders>
              <w:top w:val="nil"/>
              <w:left w:val="nil"/>
              <w:bottom w:val="nil"/>
              <w:right w:val="nil"/>
            </w:tcBorders>
            <w:shd w:val="clear" w:color="auto" w:fill="auto"/>
            <w:noWrap/>
            <w:vAlign w:val="bottom"/>
            <w:hideMark/>
          </w:tcPr>
          <w:p w14:paraId="32E08E4C" w14:textId="77777777" w:rsidR="00D23195" w:rsidRPr="00D23195" w:rsidRDefault="00D23195" w:rsidP="00D23195">
            <w:pPr>
              <w:spacing w:line="240" w:lineRule="auto"/>
              <w:rPr>
                <w:rFonts w:ascii="Times New Roman" w:eastAsia="Times New Roman" w:hAnsi="Times New Roman" w:cs="Times New Roman"/>
                <w:sz w:val="18"/>
                <w:szCs w:val="18"/>
                <w:lang w:val="de-DE" w:eastAsia="de-DE"/>
              </w:rPr>
            </w:pPr>
          </w:p>
        </w:tc>
        <w:tc>
          <w:tcPr>
            <w:tcW w:w="452" w:type="pct"/>
            <w:tcBorders>
              <w:top w:val="nil"/>
              <w:left w:val="nil"/>
              <w:bottom w:val="nil"/>
              <w:right w:val="nil"/>
            </w:tcBorders>
            <w:shd w:val="clear" w:color="auto" w:fill="auto"/>
            <w:noWrap/>
            <w:vAlign w:val="bottom"/>
            <w:hideMark/>
          </w:tcPr>
          <w:p w14:paraId="6BBFDA57" w14:textId="77777777" w:rsidR="00D23195" w:rsidRPr="00D23195" w:rsidRDefault="00D23195" w:rsidP="00D23195">
            <w:pPr>
              <w:spacing w:line="240" w:lineRule="auto"/>
              <w:rPr>
                <w:rFonts w:ascii="Times New Roman" w:eastAsia="Times New Roman" w:hAnsi="Times New Roman" w:cs="Times New Roman"/>
                <w:sz w:val="18"/>
                <w:szCs w:val="18"/>
                <w:lang w:val="de-DE" w:eastAsia="de-DE"/>
              </w:rPr>
            </w:pPr>
          </w:p>
        </w:tc>
        <w:tc>
          <w:tcPr>
            <w:tcW w:w="452" w:type="pct"/>
            <w:tcBorders>
              <w:top w:val="nil"/>
              <w:left w:val="nil"/>
              <w:bottom w:val="nil"/>
              <w:right w:val="nil"/>
            </w:tcBorders>
            <w:shd w:val="clear" w:color="auto" w:fill="auto"/>
            <w:noWrap/>
            <w:vAlign w:val="bottom"/>
            <w:hideMark/>
          </w:tcPr>
          <w:p w14:paraId="3A28288D" w14:textId="77777777" w:rsidR="00D23195" w:rsidRPr="00D23195" w:rsidRDefault="00D23195" w:rsidP="00D23195">
            <w:pPr>
              <w:spacing w:line="240" w:lineRule="auto"/>
              <w:rPr>
                <w:rFonts w:ascii="Times New Roman" w:eastAsia="Times New Roman" w:hAnsi="Times New Roman" w:cs="Times New Roman"/>
                <w:sz w:val="18"/>
                <w:szCs w:val="18"/>
                <w:lang w:val="de-DE" w:eastAsia="de-DE"/>
              </w:rPr>
            </w:pPr>
          </w:p>
        </w:tc>
        <w:tc>
          <w:tcPr>
            <w:tcW w:w="452" w:type="pct"/>
            <w:tcBorders>
              <w:top w:val="nil"/>
              <w:left w:val="nil"/>
              <w:bottom w:val="nil"/>
              <w:right w:val="nil"/>
            </w:tcBorders>
            <w:shd w:val="clear" w:color="auto" w:fill="auto"/>
            <w:noWrap/>
            <w:vAlign w:val="bottom"/>
            <w:hideMark/>
          </w:tcPr>
          <w:p w14:paraId="31A88742" w14:textId="77777777" w:rsidR="00D23195" w:rsidRPr="00D23195" w:rsidRDefault="00D23195" w:rsidP="00D23195">
            <w:pPr>
              <w:spacing w:line="240" w:lineRule="auto"/>
              <w:rPr>
                <w:rFonts w:ascii="Times New Roman" w:eastAsia="Times New Roman" w:hAnsi="Times New Roman" w:cs="Times New Roman"/>
                <w:sz w:val="18"/>
                <w:szCs w:val="18"/>
                <w:lang w:val="de-DE" w:eastAsia="de-DE"/>
              </w:rPr>
            </w:pPr>
          </w:p>
        </w:tc>
        <w:tc>
          <w:tcPr>
            <w:tcW w:w="452" w:type="pct"/>
            <w:tcBorders>
              <w:top w:val="nil"/>
              <w:left w:val="nil"/>
              <w:bottom w:val="nil"/>
              <w:right w:val="nil"/>
            </w:tcBorders>
            <w:shd w:val="clear" w:color="auto" w:fill="auto"/>
            <w:noWrap/>
            <w:vAlign w:val="bottom"/>
            <w:hideMark/>
          </w:tcPr>
          <w:p w14:paraId="2959C73E" w14:textId="77777777" w:rsidR="00D23195" w:rsidRPr="00D23195" w:rsidRDefault="00D23195" w:rsidP="00D23195">
            <w:pPr>
              <w:spacing w:line="240" w:lineRule="auto"/>
              <w:rPr>
                <w:rFonts w:ascii="Times New Roman" w:eastAsia="Times New Roman" w:hAnsi="Times New Roman" w:cs="Times New Roman"/>
                <w:sz w:val="18"/>
                <w:szCs w:val="18"/>
                <w:lang w:val="de-DE" w:eastAsia="de-DE"/>
              </w:rPr>
            </w:pPr>
          </w:p>
        </w:tc>
      </w:tr>
      <w:tr w:rsidR="00D23195" w:rsidRPr="00D23195" w14:paraId="1B040DD2" w14:textId="77777777" w:rsidTr="00D23195">
        <w:trPr>
          <w:trHeight w:val="288"/>
        </w:trPr>
        <w:tc>
          <w:tcPr>
            <w:tcW w:w="1385" w:type="pct"/>
            <w:tcBorders>
              <w:top w:val="nil"/>
              <w:left w:val="nil"/>
              <w:bottom w:val="nil"/>
              <w:right w:val="nil"/>
            </w:tcBorders>
            <w:shd w:val="clear" w:color="auto" w:fill="auto"/>
            <w:noWrap/>
            <w:vAlign w:val="bottom"/>
            <w:hideMark/>
          </w:tcPr>
          <w:p w14:paraId="73BDD644" w14:textId="77777777" w:rsidR="00D23195" w:rsidRPr="00D23195" w:rsidRDefault="00D23195" w:rsidP="00D23195">
            <w:pPr>
              <w:spacing w:line="240" w:lineRule="auto"/>
              <w:rPr>
                <w:rFonts w:ascii="Aptos Narrow" w:eastAsia="Times New Roman" w:hAnsi="Aptos Narrow" w:cs="Times New Roman"/>
                <w:color w:val="000000"/>
                <w:sz w:val="18"/>
                <w:szCs w:val="18"/>
                <w:lang w:val="de-DE" w:eastAsia="de-DE"/>
              </w:rPr>
            </w:pPr>
            <w:r w:rsidRPr="00D23195">
              <w:rPr>
                <w:rFonts w:ascii="Aptos Narrow" w:eastAsia="Times New Roman" w:hAnsi="Aptos Narrow" w:cs="Times New Roman"/>
                <w:color w:val="000000"/>
                <w:sz w:val="18"/>
                <w:szCs w:val="18"/>
                <w:lang w:val="de-DE" w:eastAsia="de-DE"/>
              </w:rPr>
              <w:t xml:space="preserve">Sharing </w:t>
            </w:r>
            <w:proofErr w:type="spellStart"/>
            <w:r w:rsidRPr="00D23195">
              <w:rPr>
                <w:rFonts w:ascii="Aptos Narrow" w:eastAsia="Times New Roman" w:hAnsi="Aptos Narrow" w:cs="Times New Roman"/>
                <w:color w:val="000000"/>
                <w:sz w:val="18"/>
                <w:szCs w:val="18"/>
                <w:lang w:val="de-DE" w:eastAsia="de-DE"/>
              </w:rPr>
              <w:t>data</w:t>
            </w:r>
            <w:proofErr w:type="spellEnd"/>
            <w:r w:rsidRPr="00D23195">
              <w:rPr>
                <w:rFonts w:ascii="Aptos Narrow" w:eastAsia="Times New Roman" w:hAnsi="Aptos Narrow" w:cs="Times New Roman"/>
                <w:color w:val="000000"/>
                <w:sz w:val="18"/>
                <w:szCs w:val="18"/>
                <w:lang w:val="de-DE" w:eastAsia="de-DE"/>
              </w:rPr>
              <w:t xml:space="preserve"> </w:t>
            </w:r>
            <w:proofErr w:type="spellStart"/>
            <w:r w:rsidRPr="00D23195">
              <w:rPr>
                <w:rFonts w:ascii="Aptos Narrow" w:eastAsia="Times New Roman" w:hAnsi="Aptos Narrow" w:cs="Times New Roman"/>
                <w:color w:val="000000"/>
                <w:sz w:val="18"/>
                <w:szCs w:val="18"/>
                <w:lang w:val="de-DE" w:eastAsia="de-DE"/>
              </w:rPr>
              <w:t>model</w:t>
            </w:r>
            <w:proofErr w:type="spellEnd"/>
            <w:r w:rsidRPr="00D23195">
              <w:rPr>
                <w:rFonts w:ascii="Aptos Narrow" w:eastAsia="Times New Roman" w:hAnsi="Aptos Narrow" w:cs="Times New Roman"/>
                <w:color w:val="000000"/>
                <w:sz w:val="18"/>
                <w:szCs w:val="18"/>
                <w:lang w:val="de-DE" w:eastAsia="de-DE"/>
              </w:rPr>
              <w:t xml:space="preserve"> OP</w:t>
            </w:r>
          </w:p>
        </w:tc>
        <w:tc>
          <w:tcPr>
            <w:tcW w:w="452" w:type="pct"/>
            <w:tcBorders>
              <w:top w:val="nil"/>
              <w:left w:val="nil"/>
              <w:bottom w:val="nil"/>
              <w:right w:val="nil"/>
            </w:tcBorders>
            <w:shd w:val="clear" w:color="auto" w:fill="auto"/>
            <w:noWrap/>
            <w:vAlign w:val="bottom"/>
            <w:hideMark/>
          </w:tcPr>
          <w:p w14:paraId="54D1DB6C" w14:textId="77777777" w:rsidR="00D23195" w:rsidRPr="00D23195" w:rsidRDefault="00D23195" w:rsidP="00D23195">
            <w:pPr>
              <w:spacing w:line="240" w:lineRule="auto"/>
              <w:rPr>
                <w:rFonts w:ascii="Aptos Narrow" w:eastAsia="Times New Roman" w:hAnsi="Aptos Narrow" w:cs="Times New Roman"/>
                <w:color w:val="000000"/>
                <w:sz w:val="18"/>
                <w:szCs w:val="18"/>
                <w:lang w:val="de-DE" w:eastAsia="de-DE"/>
              </w:rPr>
            </w:pPr>
            <w:r w:rsidRPr="00D23195">
              <w:rPr>
                <w:rFonts w:ascii="Aptos Narrow" w:eastAsia="Times New Roman" w:hAnsi="Aptos Narrow" w:cs="Times New Roman"/>
                <w:color w:val="000000"/>
                <w:sz w:val="18"/>
                <w:szCs w:val="18"/>
                <w:lang w:val="de-DE" w:eastAsia="de-DE"/>
              </w:rPr>
              <w:t>0.105***</w:t>
            </w:r>
          </w:p>
        </w:tc>
        <w:tc>
          <w:tcPr>
            <w:tcW w:w="452" w:type="pct"/>
            <w:tcBorders>
              <w:top w:val="nil"/>
              <w:left w:val="nil"/>
              <w:bottom w:val="nil"/>
              <w:right w:val="nil"/>
            </w:tcBorders>
            <w:shd w:val="clear" w:color="auto" w:fill="auto"/>
            <w:noWrap/>
            <w:vAlign w:val="bottom"/>
            <w:hideMark/>
          </w:tcPr>
          <w:p w14:paraId="11DBADA8" w14:textId="77777777" w:rsidR="00D23195" w:rsidRPr="00D23195" w:rsidRDefault="00D23195" w:rsidP="00D23195">
            <w:pPr>
              <w:spacing w:line="240" w:lineRule="auto"/>
              <w:rPr>
                <w:rFonts w:ascii="Aptos Narrow" w:eastAsia="Times New Roman" w:hAnsi="Aptos Narrow" w:cs="Times New Roman"/>
                <w:color w:val="000000"/>
                <w:sz w:val="18"/>
                <w:szCs w:val="18"/>
                <w:lang w:val="de-DE" w:eastAsia="de-DE"/>
              </w:rPr>
            </w:pPr>
            <w:r w:rsidRPr="00D23195">
              <w:rPr>
                <w:rFonts w:ascii="Aptos Narrow" w:eastAsia="Times New Roman" w:hAnsi="Aptos Narrow" w:cs="Times New Roman"/>
                <w:color w:val="000000"/>
                <w:sz w:val="18"/>
                <w:szCs w:val="18"/>
                <w:lang w:val="de-DE" w:eastAsia="de-DE"/>
              </w:rPr>
              <w:t>0.101***</w:t>
            </w:r>
          </w:p>
        </w:tc>
        <w:tc>
          <w:tcPr>
            <w:tcW w:w="452" w:type="pct"/>
            <w:tcBorders>
              <w:top w:val="nil"/>
              <w:left w:val="nil"/>
              <w:bottom w:val="nil"/>
              <w:right w:val="nil"/>
            </w:tcBorders>
            <w:shd w:val="clear" w:color="auto" w:fill="auto"/>
            <w:noWrap/>
            <w:vAlign w:val="bottom"/>
            <w:hideMark/>
          </w:tcPr>
          <w:p w14:paraId="33A1BD54" w14:textId="77777777" w:rsidR="00D23195" w:rsidRPr="00D23195" w:rsidRDefault="00D23195" w:rsidP="00D23195">
            <w:pPr>
              <w:spacing w:line="240" w:lineRule="auto"/>
              <w:rPr>
                <w:rFonts w:ascii="Aptos Narrow" w:eastAsia="Times New Roman" w:hAnsi="Aptos Narrow" w:cs="Times New Roman"/>
                <w:color w:val="000000"/>
                <w:sz w:val="18"/>
                <w:szCs w:val="18"/>
                <w:lang w:val="de-DE" w:eastAsia="de-DE"/>
              </w:rPr>
            </w:pPr>
            <w:r w:rsidRPr="00D23195">
              <w:rPr>
                <w:rFonts w:ascii="Aptos Narrow" w:eastAsia="Times New Roman" w:hAnsi="Aptos Narrow" w:cs="Times New Roman"/>
                <w:color w:val="000000"/>
                <w:sz w:val="18"/>
                <w:szCs w:val="18"/>
                <w:lang w:val="de-DE" w:eastAsia="de-DE"/>
              </w:rPr>
              <w:t>0.103***</w:t>
            </w:r>
          </w:p>
        </w:tc>
        <w:tc>
          <w:tcPr>
            <w:tcW w:w="452" w:type="pct"/>
            <w:tcBorders>
              <w:top w:val="nil"/>
              <w:left w:val="nil"/>
              <w:bottom w:val="nil"/>
              <w:right w:val="nil"/>
            </w:tcBorders>
            <w:shd w:val="clear" w:color="auto" w:fill="auto"/>
            <w:noWrap/>
            <w:vAlign w:val="bottom"/>
            <w:hideMark/>
          </w:tcPr>
          <w:p w14:paraId="5EE91B4D" w14:textId="77777777" w:rsidR="00D23195" w:rsidRPr="00D23195" w:rsidRDefault="00D23195" w:rsidP="00D23195">
            <w:pPr>
              <w:spacing w:line="240" w:lineRule="auto"/>
              <w:rPr>
                <w:rFonts w:ascii="Aptos Narrow" w:eastAsia="Times New Roman" w:hAnsi="Aptos Narrow" w:cs="Times New Roman"/>
                <w:color w:val="000000"/>
                <w:sz w:val="18"/>
                <w:szCs w:val="18"/>
                <w:lang w:val="de-DE" w:eastAsia="de-DE"/>
              </w:rPr>
            </w:pPr>
            <w:r w:rsidRPr="00D23195">
              <w:rPr>
                <w:rFonts w:ascii="Aptos Narrow" w:eastAsia="Times New Roman" w:hAnsi="Aptos Narrow" w:cs="Times New Roman"/>
                <w:color w:val="000000"/>
                <w:sz w:val="18"/>
                <w:szCs w:val="18"/>
                <w:lang w:val="de-DE" w:eastAsia="de-DE"/>
              </w:rPr>
              <w:t>0.103***</w:t>
            </w:r>
          </w:p>
        </w:tc>
        <w:tc>
          <w:tcPr>
            <w:tcW w:w="452" w:type="pct"/>
            <w:tcBorders>
              <w:top w:val="nil"/>
              <w:left w:val="nil"/>
              <w:bottom w:val="nil"/>
              <w:right w:val="nil"/>
            </w:tcBorders>
            <w:shd w:val="clear" w:color="auto" w:fill="auto"/>
            <w:noWrap/>
            <w:vAlign w:val="bottom"/>
            <w:hideMark/>
          </w:tcPr>
          <w:p w14:paraId="2FC9465F" w14:textId="77777777" w:rsidR="00D23195" w:rsidRPr="00D23195" w:rsidRDefault="00D23195" w:rsidP="00D23195">
            <w:pPr>
              <w:spacing w:line="240" w:lineRule="auto"/>
              <w:rPr>
                <w:rFonts w:ascii="Aptos Narrow" w:eastAsia="Times New Roman" w:hAnsi="Aptos Narrow" w:cs="Times New Roman"/>
                <w:color w:val="000000"/>
                <w:sz w:val="18"/>
                <w:szCs w:val="18"/>
                <w:lang w:val="de-DE" w:eastAsia="de-DE"/>
              </w:rPr>
            </w:pPr>
            <w:r w:rsidRPr="00D23195">
              <w:rPr>
                <w:rFonts w:ascii="Aptos Narrow" w:eastAsia="Times New Roman" w:hAnsi="Aptos Narrow" w:cs="Times New Roman"/>
                <w:color w:val="000000"/>
                <w:sz w:val="18"/>
                <w:szCs w:val="18"/>
                <w:lang w:val="de-DE" w:eastAsia="de-DE"/>
              </w:rPr>
              <w:t>0.110***</w:t>
            </w:r>
          </w:p>
        </w:tc>
        <w:tc>
          <w:tcPr>
            <w:tcW w:w="452" w:type="pct"/>
            <w:tcBorders>
              <w:top w:val="nil"/>
              <w:left w:val="nil"/>
              <w:bottom w:val="nil"/>
              <w:right w:val="nil"/>
            </w:tcBorders>
            <w:shd w:val="clear" w:color="auto" w:fill="auto"/>
            <w:noWrap/>
            <w:vAlign w:val="bottom"/>
            <w:hideMark/>
          </w:tcPr>
          <w:p w14:paraId="579D657B" w14:textId="77777777" w:rsidR="00D23195" w:rsidRPr="00D23195" w:rsidRDefault="00D23195" w:rsidP="00D23195">
            <w:pPr>
              <w:spacing w:line="240" w:lineRule="auto"/>
              <w:rPr>
                <w:rFonts w:ascii="Aptos Narrow" w:eastAsia="Times New Roman" w:hAnsi="Aptos Narrow" w:cs="Times New Roman"/>
                <w:color w:val="000000"/>
                <w:sz w:val="18"/>
                <w:szCs w:val="18"/>
                <w:lang w:val="de-DE" w:eastAsia="de-DE"/>
              </w:rPr>
            </w:pPr>
            <w:r w:rsidRPr="00D23195">
              <w:rPr>
                <w:rFonts w:ascii="Aptos Narrow" w:eastAsia="Times New Roman" w:hAnsi="Aptos Narrow" w:cs="Times New Roman"/>
                <w:color w:val="000000"/>
                <w:sz w:val="18"/>
                <w:szCs w:val="18"/>
                <w:lang w:val="de-DE" w:eastAsia="de-DE"/>
              </w:rPr>
              <w:t>0.106***</w:t>
            </w:r>
          </w:p>
        </w:tc>
        <w:tc>
          <w:tcPr>
            <w:tcW w:w="452" w:type="pct"/>
            <w:tcBorders>
              <w:top w:val="nil"/>
              <w:left w:val="nil"/>
              <w:bottom w:val="nil"/>
              <w:right w:val="nil"/>
            </w:tcBorders>
            <w:shd w:val="clear" w:color="auto" w:fill="auto"/>
            <w:noWrap/>
            <w:vAlign w:val="bottom"/>
            <w:hideMark/>
          </w:tcPr>
          <w:p w14:paraId="4C4AF7A6" w14:textId="77777777" w:rsidR="00D23195" w:rsidRPr="00D23195" w:rsidRDefault="00D23195" w:rsidP="00D23195">
            <w:pPr>
              <w:spacing w:line="240" w:lineRule="auto"/>
              <w:rPr>
                <w:rFonts w:ascii="Aptos Narrow" w:eastAsia="Times New Roman" w:hAnsi="Aptos Narrow" w:cs="Times New Roman"/>
                <w:color w:val="000000"/>
                <w:sz w:val="18"/>
                <w:szCs w:val="18"/>
                <w:lang w:val="de-DE" w:eastAsia="de-DE"/>
              </w:rPr>
            </w:pPr>
            <w:r w:rsidRPr="00D23195">
              <w:rPr>
                <w:rFonts w:ascii="Aptos Narrow" w:eastAsia="Times New Roman" w:hAnsi="Aptos Narrow" w:cs="Times New Roman"/>
                <w:color w:val="000000"/>
                <w:sz w:val="18"/>
                <w:szCs w:val="18"/>
                <w:lang w:val="de-DE" w:eastAsia="de-DE"/>
              </w:rPr>
              <w:t>0.108***</w:t>
            </w:r>
          </w:p>
        </w:tc>
        <w:tc>
          <w:tcPr>
            <w:tcW w:w="452" w:type="pct"/>
            <w:tcBorders>
              <w:top w:val="nil"/>
              <w:left w:val="nil"/>
              <w:bottom w:val="nil"/>
              <w:right w:val="nil"/>
            </w:tcBorders>
            <w:shd w:val="clear" w:color="auto" w:fill="auto"/>
            <w:noWrap/>
            <w:vAlign w:val="bottom"/>
            <w:hideMark/>
          </w:tcPr>
          <w:p w14:paraId="730B7E95" w14:textId="77777777" w:rsidR="00D23195" w:rsidRPr="00D23195" w:rsidRDefault="00D23195" w:rsidP="00D23195">
            <w:pPr>
              <w:spacing w:line="240" w:lineRule="auto"/>
              <w:rPr>
                <w:rFonts w:ascii="Aptos Narrow" w:eastAsia="Times New Roman" w:hAnsi="Aptos Narrow" w:cs="Times New Roman"/>
                <w:color w:val="000000"/>
                <w:sz w:val="18"/>
                <w:szCs w:val="18"/>
                <w:lang w:val="de-DE" w:eastAsia="de-DE"/>
              </w:rPr>
            </w:pPr>
            <w:r w:rsidRPr="00D23195">
              <w:rPr>
                <w:rFonts w:ascii="Aptos Narrow" w:eastAsia="Times New Roman" w:hAnsi="Aptos Narrow" w:cs="Times New Roman"/>
                <w:color w:val="000000"/>
                <w:sz w:val="18"/>
                <w:szCs w:val="18"/>
                <w:lang w:val="de-DE" w:eastAsia="de-DE"/>
              </w:rPr>
              <w:t>0.107***</w:t>
            </w:r>
          </w:p>
        </w:tc>
      </w:tr>
      <w:tr w:rsidR="00D23195" w:rsidRPr="00D23195" w14:paraId="245E76D5" w14:textId="77777777" w:rsidTr="00D23195">
        <w:trPr>
          <w:trHeight w:val="288"/>
        </w:trPr>
        <w:tc>
          <w:tcPr>
            <w:tcW w:w="1385" w:type="pct"/>
            <w:tcBorders>
              <w:top w:val="nil"/>
              <w:left w:val="nil"/>
              <w:bottom w:val="nil"/>
              <w:right w:val="nil"/>
            </w:tcBorders>
            <w:shd w:val="clear" w:color="auto" w:fill="auto"/>
            <w:noWrap/>
            <w:vAlign w:val="bottom"/>
            <w:hideMark/>
          </w:tcPr>
          <w:p w14:paraId="0592F627" w14:textId="77777777" w:rsidR="00D23195" w:rsidRPr="00D23195" w:rsidRDefault="00D23195" w:rsidP="00D23195">
            <w:pPr>
              <w:spacing w:line="240" w:lineRule="auto"/>
              <w:rPr>
                <w:rFonts w:ascii="Aptos Narrow" w:eastAsia="Times New Roman" w:hAnsi="Aptos Narrow" w:cs="Times New Roman"/>
                <w:color w:val="000000"/>
                <w:sz w:val="18"/>
                <w:szCs w:val="18"/>
                <w:lang w:val="de-DE" w:eastAsia="de-DE"/>
              </w:rPr>
            </w:pPr>
          </w:p>
        </w:tc>
        <w:tc>
          <w:tcPr>
            <w:tcW w:w="452" w:type="pct"/>
            <w:tcBorders>
              <w:top w:val="nil"/>
              <w:left w:val="nil"/>
              <w:bottom w:val="nil"/>
              <w:right w:val="nil"/>
            </w:tcBorders>
            <w:shd w:val="clear" w:color="auto" w:fill="auto"/>
            <w:noWrap/>
            <w:vAlign w:val="bottom"/>
            <w:hideMark/>
          </w:tcPr>
          <w:p w14:paraId="71F9E6DE" w14:textId="77777777" w:rsidR="00D23195" w:rsidRPr="00D23195" w:rsidRDefault="00D23195" w:rsidP="00D23195">
            <w:pPr>
              <w:spacing w:line="240" w:lineRule="auto"/>
              <w:rPr>
                <w:rFonts w:ascii="Aptos Narrow" w:eastAsia="Times New Roman" w:hAnsi="Aptos Narrow" w:cs="Times New Roman"/>
                <w:color w:val="000000"/>
                <w:sz w:val="18"/>
                <w:szCs w:val="18"/>
                <w:lang w:val="de-DE" w:eastAsia="de-DE"/>
              </w:rPr>
            </w:pPr>
            <w:r w:rsidRPr="00D23195">
              <w:rPr>
                <w:rFonts w:ascii="Aptos Narrow" w:eastAsia="Times New Roman" w:hAnsi="Aptos Narrow" w:cs="Times New Roman"/>
                <w:color w:val="000000"/>
                <w:sz w:val="18"/>
                <w:szCs w:val="18"/>
                <w:lang w:val="de-DE" w:eastAsia="de-DE"/>
              </w:rPr>
              <w:t>(0.002)</w:t>
            </w:r>
          </w:p>
        </w:tc>
        <w:tc>
          <w:tcPr>
            <w:tcW w:w="452" w:type="pct"/>
            <w:tcBorders>
              <w:top w:val="nil"/>
              <w:left w:val="nil"/>
              <w:bottom w:val="nil"/>
              <w:right w:val="nil"/>
            </w:tcBorders>
            <w:shd w:val="clear" w:color="auto" w:fill="auto"/>
            <w:noWrap/>
            <w:vAlign w:val="bottom"/>
            <w:hideMark/>
          </w:tcPr>
          <w:p w14:paraId="1B1AD567" w14:textId="77777777" w:rsidR="00D23195" w:rsidRPr="00D23195" w:rsidRDefault="00D23195" w:rsidP="00D23195">
            <w:pPr>
              <w:spacing w:line="240" w:lineRule="auto"/>
              <w:rPr>
                <w:rFonts w:ascii="Aptos Narrow" w:eastAsia="Times New Roman" w:hAnsi="Aptos Narrow" w:cs="Times New Roman"/>
                <w:color w:val="000000"/>
                <w:sz w:val="18"/>
                <w:szCs w:val="18"/>
                <w:lang w:val="de-DE" w:eastAsia="de-DE"/>
              </w:rPr>
            </w:pPr>
            <w:r w:rsidRPr="00D23195">
              <w:rPr>
                <w:rFonts w:ascii="Aptos Narrow" w:eastAsia="Times New Roman" w:hAnsi="Aptos Narrow" w:cs="Times New Roman"/>
                <w:color w:val="000000"/>
                <w:sz w:val="18"/>
                <w:szCs w:val="18"/>
                <w:lang w:val="de-DE" w:eastAsia="de-DE"/>
              </w:rPr>
              <w:t>(0.002)</w:t>
            </w:r>
          </w:p>
        </w:tc>
        <w:tc>
          <w:tcPr>
            <w:tcW w:w="452" w:type="pct"/>
            <w:tcBorders>
              <w:top w:val="nil"/>
              <w:left w:val="nil"/>
              <w:bottom w:val="nil"/>
              <w:right w:val="nil"/>
            </w:tcBorders>
            <w:shd w:val="clear" w:color="auto" w:fill="auto"/>
            <w:noWrap/>
            <w:vAlign w:val="bottom"/>
            <w:hideMark/>
          </w:tcPr>
          <w:p w14:paraId="6F79828B" w14:textId="77777777" w:rsidR="00D23195" w:rsidRPr="00D23195" w:rsidRDefault="00D23195" w:rsidP="00D23195">
            <w:pPr>
              <w:spacing w:line="240" w:lineRule="auto"/>
              <w:rPr>
                <w:rFonts w:ascii="Aptos Narrow" w:eastAsia="Times New Roman" w:hAnsi="Aptos Narrow" w:cs="Times New Roman"/>
                <w:color w:val="000000"/>
                <w:sz w:val="18"/>
                <w:szCs w:val="18"/>
                <w:lang w:val="de-DE" w:eastAsia="de-DE"/>
              </w:rPr>
            </w:pPr>
            <w:r w:rsidRPr="00D23195">
              <w:rPr>
                <w:rFonts w:ascii="Aptos Narrow" w:eastAsia="Times New Roman" w:hAnsi="Aptos Narrow" w:cs="Times New Roman"/>
                <w:color w:val="000000"/>
                <w:sz w:val="18"/>
                <w:szCs w:val="18"/>
                <w:lang w:val="de-DE" w:eastAsia="de-DE"/>
              </w:rPr>
              <w:t>(0.001)</w:t>
            </w:r>
          </w:p>
        </w:tc>
        <w:tc>
          <w:tcPr>
            <w:tcW w:w="452" w:type="pct"/>
            <w:tcBorders>
              <w:top w:val="nil"/>
              <w:left w:val="nil"/>
              <w:bottom w:val="nil"/>
              <w:right w:val="nil"/>
            </w:tcBorders>
            <w:shd w:val="clear" w:color="auto" w:fill="auto"/>
            <w:noWrap/>
            <w:vAlign w:val="bottom"/>
            <w:hideMark/>
          </w:tcPr>
          <w:p w14:paraId="2391FC31" w14:textId="77777777" w:rsidR="00D23195" w:rsidRPr="00D23195" w:rsidRDefault="00D23195" w:rsidP="00D23195">
            <w:pPr>
              <w:spacing w:line="240" w:lineRule="auto"/>
              <w:rPr>
                <w:rFonts w:ascii="Aptos Narrow" w:eastAsia="Times New Roman" w:hAnsi="Aptos Narrow" w:cs="Times New Roman"/>
                <w:color w:val="000000"/>
                <w:sz w:val="18"/>
                <w:szCs w:val="18"/>
                <w:lang w:val="de-DE" w:eastAsia="de-DE"/>
              </w:rPr>
            </w:pPr>
            <w:r w:rsidRPr="00D23195">
              <w:rPr>
                <w:rFonts w:ascii="Aptos Narrow" w:eastAsia="Times New Roman" w:hAnsi="Aptos Narrow" w:cs="Times New Roman"/>
                <w:color w:val="000000"/>
                <w:sz w:val="18"/>
                <w:szCs w:val="18"/>
                <w:lang w:val="de-DE" w:eastAsia="de-DE"/>
              </w:rPr>
              <w:t>(0.001)</w:t>
            </w:r>
          </w:p>
        </w:tc>
        <w:tc>
          <w:tcPr>
            <w:tcW w:w="452" w:type="pct"/>
            <w:tcBorders>
              <w:top w:val="nil"/>
              <w:left w:val="nil"/>
              <w:bottom w:val="nil"/>
              <w:right w:val="nil"/>
            </w:tcBorders>
            <w:shd w:val="clear" w:color="auto" w:fill="auto"/>
            <w:noWrap/>
            <w:vAlign w:val="bottom"/>
            <w:hideMark/>
          </w:tcPr>
          <w:p w14:paraId="3284BAA5" w14:textId="77777777" w:rsidR="00D23195" w:rsidRPr="00D23195" w:rsidRDefault="00D23195" w:rsidP="00D23195">
            <w:pPr>
              <w:spacing w:line="240" w:lineRule="auto"/>
              <w:rPr>
                <w:rFonts w:ascii="Aptos Narrow" w:eastAsia="Times New Roman" w:hAnsi="Aptos Narrow" w:cs="Times New Roman"/>
                <w:color w:val="000000"/>
                <w:sz w:val="18"/>
                <w:szCs w:val="18"/>
                <w:lang w:val="de-DE" w:eastAsia="de-DE"/>
              </w:rPr>
            </w:pPr>
            <w:r w:rsidRPr="00D23195">
              <w:rPr>
                <w:rFonts w:ascii="Aptos Narrow" w:eastAsia="Times New Roman" w:hAnsi="Aptos Narrow" w:cs="Times New Roman"/>
                <w:color w:val="000000"/>
                <w:sz w:val="18"/>
                <w:szCs w:val="18"/>
                <w:lang w:val="de-DE" w:eastAsia="de-DE"/>
              </w:rPr>
              <w:t>(0.001)</w:t>
            </w:r>
          </w:p>
        </w:tc>
        <w:tc>
          <w:tcPr>
            <w:tcW w:w="452" w:type="pct"/>
            <w:tcBorders>
              <w:top w:val="nil"/>
              <w:left w:val="nil"/>
              <w:bottom w:val="nil"/>
              <w:right w:val="nil"/>
            </w:tcBorders>
            <w:shd w:val="clear" w:color="auto" w:fill="auto"/>
            <w:noWrap/>
            <w:vAlign w:val="bottom"/>
            <w:hideMark/>
          </w:tcPr>
          <w:p w14:paraId="28F9136D" w14:textId="77777777" w:rsidR="00D23195" w:rsidRPr="00D23195" w:rsidRDefault="00D23195" w:rsidP="00D23195">
            <w:pPr>
              <w:spacing w:line="240" w:lineRule="auto"/>
              <w:rPr>
                <w:rFonts w:ascii="Aptos Narrow" w:eastAsia="Times New Roman" w:hAnsi="Aptos Narrow" w:cs="Times New Roman"/>
                <w:color w:val="000000"/>
                <w:sz w:val="18"/>
                <w:szCs w:val="18"/>
                <w:lang w:val="de-DE" w:eastAsia="de-DE"/>
              </w:rPr>
            </w:pPr>
            <w:r w:rsidRPr="00D23195">
              <w:rPr>
                <w:rFonts w:ascii="Aptos Narrow" w:eastAsia="Times New Roman" w:hAnsi="Aptos Narrow" w:cs="Times New Roman"/>
                <w:color w:val="000000"/>
                <w:sz w:val="18"/>
                <w:szCs w:val="18"/>
                <w:lang w:val="de-DE" w:eastAsia="de-DE"/>
              </w:rPr>
              <w:t>(0.001)</w:t>
            </w:r>
          </w:p>
        </w:tc>
        <w:tc>
          <w:tcPr>
            <w:tcW w:w="452" w:type="pct"/>
            <w:tcBorders>
              <w:top w:val="nil"/>
              <w:left w:val="nil"/>
              <w:bottom w:val="nil"/>
              <w:right w:val="nil"/>
            </w:tcBorders>
            <w:shd w:val="clear" w:color="auto" w:fill="auto"/>
            <w:noWrap/>
            <w:vAlign w:val="bottom"/>
            <w:hideMark/>
          </w:tcPr>
          <w:p w14:paraId="766AFB03" w14:textId="77777777" w:rsidR="00D23195" w:rsidRPr="00D23195" w:rsidRDefault="00D23195" w:rsidP="00D23195">
            <w:pPr>
              <w:spacing w:line="240" w:lineRule="auto"/>
              <w:rPr>
                <w:rFonts w:ascii="Aptos Narrow" w:eastAsia="Times New Roman" w:hAnsi="Aptos Narrow" w:cs="Times New Roman"/>
                <w:color w:val="000000"/>
                <w:sz w:val="18"/>
                <w:szCs w:val="18"/>
                <w:lang w:val="de-DE" w:eastAsia="de-DE"/>
              </w:rPr>
            </w:pPr>
            <w:r w:rsidRPr="00D23195">
              <w:rPr>
                <w:rFonts w:ascii="Aptos Narrow" w:eastAsia="Times New Roman" w:hAnsi="Aptos Narrow" w:cs="Times New Roman"/>
                <w:color w:val="000000"/>
                <w:sz w:val="18"/>
                <w:szCs w:val="18"/>
                <w:lang w:val="de-DE" w:eastAsia="de-DE"/>
              </w:rPr>
              <w:t>(0.001)</w:t>
            </w:r>
          </w:p>
        </w:tc>
        <w:tc>
          <w:tcPr>
            <w:tcW w:w="452" w:type="pct"/>
            <w:tcBorders>
              <w:top w:val="nil"/>
              <w:left w:val="nil"/>
              <w:bottom w:val="nil"/>
              <w:right w:val="nil"/>
            </w:tcBorders>
            <w:shd w:val="clear" w:color="auto" w:fill="auto"/>
            <w:noWrap/>
            <w:vAlign w:val="bottom"/>
            <w:hideMark/>
          </w:tcPr>
          <w:p w14:paraId="012C87B2" w14:textId="77777777" w:rsidR="00D23195" w:rsidRPr="00D23195" w:rsidRDefault="00D23195" w:rsidP="00D23195">
            <w:pPr>
              <w:spacing w:line="240" w:lineRule="auto"/>
              <w:rPr>
                <w:rFonts w:ascii="Aptos Narrow" w:eastAsia="Times New Roman" w:hAnsi="Aptos Narrow" w:cs="Times New Roman"/>
                <w:color w:val="000000"/>
                <w:sz w:val="18"/>
                <w:szCs w:val="18"/>
                <w:lang w:val="de-DE" w:eastAsia="de-DE"/>
              </w:rPr>
            </w:pPr>
            <w:r w:rsidRPr="00D23195">
              <w:rPr>
                <w:rFonts w:ascii="Aptos Narrow" w:eastAsia="Times New Roman" w:hAnsi="Aptos Narrow" w:cs="Times New Roman"/>
                <w:color w:val="000000"/>
                <w:sz w:val="18"/>
                <w:szCs w:val="18"/>
                <w:lang w:val="de-DE" w:eastAsia="de-DE"/>
              </w:rPr>
              <w:t>(0.001)</w:t>
            </w:r>
          </w:p>
        </w:tc>
      </w:tr>
      <w:tr w:rsidR="00D23195" w:rsidRPr="00D23195" w14:paraId="24F925DC" w14:textId="77777777" w:rsidTr="00D23195">
        <w:trPr>
          <w:trHeight w:val="288"/>
        </w:trPr>
        <w:tc>
          <w:tcPr>
            <w:tcW w:w="1385" w:type="pct"/>
            <w:tcBorders>
              <w:top w:val="nil"/>
              <w:left w:val="nil"/>
              <w:bottom w:val="nil"/>
              <w:right w:val="nil"/>
            </w:tcBorders>
            <w:shd w:val="clear" w:color="auto" w:fill="auto"/>
            <w:noWrap/>
            <w:vAlign w:val="bottom"/>
            <w:hideMark/>
          </w:tcPr>
          <w:p w14:paraId="57018193" w14:textId="77777777" w:rsidR="00D23195" w:rsidRPr="00D23195" w:rsidRDefault="00D23195" w:rsidP="00D23195">
            <w:pPr>
              <w:spacing w:line="240" w:lineRule="auto"/>
              <w:rPr>
                <w:rFonts w:ascii="Aptos Narrow" w:eastAsia="Times New Roman" w:hAnsi="Aptos Narrow" w:cs="Times New Roman"/>
                <w:color w:val="000000"/>
                <w:sz w:val="18"/>
                <w:szCs w:val="18"/>
                <w:lang w:val="de-DE" w:eastAsia="de-DE"/>
              </w:rPr>
            </w:pPr>
            <w:r w:rsidRPr="00D23195">
              <w:rPr>
                <w:rFonts w:ascii="Aptos Narrow" w:eastAsia="Times New Roman" w:hAnsi="Aptos Narrow" w:cs="Times New Roman"/>
                <w:color w:val="000000"/>
                <w:sz w:val="18"/>
                <w:szCs w:val="18"/>
                <w:lang w:val="de-DE" w:eastAsia="de-DE"/>
              </w:rPr>
              <w:t xml:space="preserve">Sharing </w:t>
            </w:r>
            <w:proofErr w:type="spellStart"/>
            <w:r w:rsidRPr="00D23195">
              <w:rPr>
                <w:rFonts w:ascii="Aptos Narrow" w:eastAsia="Times New Roman" w:hAnsi="Aptos Narrow" w:cs="Times New Roman"/>
                <w:color w:val="000000"/>
                <w:sz w:val="18"/>
                <w:szCs w:val="18"/>
                <w:lang w:val="de-DE" w:eastAsia="de-DE"/>
              </w:rPr>
              <w:t>data</w:t>
            </w:r>
            <w:proofErr w:type="spellEnd"/>
            <w:r w:rsidRPr="00D23195">
              <w:rPr>
                <w:rFonts w:ascii="Aptos Narrow" w:eastAsia="Times New Roman" w:hAnsi="Aptos Narrow" w:cs="Times New Roman"/>
                <w:color w:val="000000"/>
                <w:sz w:val="18"/>
                <w:szCs w:val="18"/>
                <w:lang w:val="de-DE" w:eastAsia="de-DE"/>
              </w:rPr>
              <w:t xml:space="preserve"> </w:t>
            </w:r>
            <w:proofErr w:type="spellStart"/>
            <w:r w:rsidRPr="00D23195">
              <w:rPr>
                <w:rFonts w:ascii="Aptos Narrow" w:eastAsia="Times New Roman" w:hAnsi="Aptos Narrow" w:cs="Times New Roman"/>
                <w:color w:val="000000"/>
                <w:sz w:val="18"/>
                <w:szCs w:val="18"/>
                <w:lang w:val="de-DE" w:eastAsia="de-DE"/>
              </w:rPr>
              <w:t>model</w:t>
            </w:r>
            <w:proofErr w:type="spellEnd"/>
            <w:r w:rsidRPr="00D23195">
              <w:rPr>
                <w:rFonts w:ascii="Aptos Narrow" w:eastAsia="Times New Roman" w:hAnsi="Aptos Narrow" w:cs="Times New Roman"/>
                <w:color w:val="000000"/>
                <w:sz w:val="18"/>
                <w:szCs w:val="18"/>
                <w:lang w:val="de-DE" w:eastAsia="de-DE"/>
              </w:rPr>
              <w:t xml:space="preserve"> CO</w:t>
            </w:r>
          </w:p>
        </w:tc>
        <w:tc>
          <w:tcPr>
            <w:tcW w:w="452" w:type="pct"/>
            <w:tcBorders>
              <w:top w:val="nil"/>
              <w:left w:val="nil"/>
              <w:bottom w:val="nil"/>
              <w:right w:val="nil"/>
            </w:tcBorders>
            <w:shd w:val="clear" w:color="auto" w:fill="auto"/>
            <w:noWrap/>
            <w:vAlign w:val="bottom"/>
            <w:hideMark/>
          </w:tcPr>
          <w:p w14:paraId="6FD4D295" w14:textId="77777777" w:rsidR="00D23195" w:rsidRPr="00D23195" w:rsidRDefault="00D23195" w:rsidP="00D23195">
            <w:pPr>
              <w:spacing w:line="240" w:lineRule="auto"/>
              <w:rPr>
                <w:rFonts w:ascii="Aptos Narrow" w:eastAsia="Times New Roman" w:hAnsi="Aptos Narrow" w:cs="Times New Roman"/>
                <w:color w:val="000000"/>
                <w:sz w:val="18"/>
                <w:szCs w:val="18"/>
                <w:lang w:val="de-DE" w:eastAsia="de-DE"/>
              </w:rPr>
            </w:pPr>
            <w:r w:rsidRPr="00D23195">
              <w:rPr>
                <w:rFonts w:ascii="Aptos Narrow" w:eastAsia="Times New Roman" w:hAnsi="Aptos Narrow" w:cs="Times New Roman"/>
                <w:color w:val="000000"/>
                <w:sz w:val="18"/>
                <w:szCs w:val="18"/>
                <w:lang w:val="de-DE" w:eastAsia="de-DE"/>
              </w:rPr>
              <w:t>-0.062**</w:t>
            </w:r>
          </w:p>
        </w:tc>
        <w:tc>
          <w:tcPr>
            <w:tcW w:w="452" w:type="pct"/>
            <w:tcBorders>
              <w:top w:val="nil"/>
              <w:left w:val="nil"/>
              <w:bottom w:val="nil"/>
              <w:right w:val="nil"/>
            </w:tcBorders>
            <w:shd w:val="clear" w:color="auto" w:fill="auto"/>
            <w:noWrap/>
            <w:vAlign w:val="bottom"/>
            <w:hideMark/>
          </w:tcPr>
          <w:p w14:paraId="529F8F1F" w14:textId="77777777" w:rsidR="00D23195" w:rsidRPr="00D23195" w:rsidRDefault="00D23195" w:rsidP="00D23195">
            <w:pPr>
              <w:spacing w:line="240" w:lineRule="auto"/>
              <w:rPr>
                <w:rFonts w:ascii="Aptos Narrow" w:eastAsia="Times New Roman" w:hAnsi="Aptos Narrow" w:cs="Times New Roman"/>
                <w:color w:val="000000"/>
                <w:sz w:val="18"/>
                <w:szCs w:val="18"/>
                <w:lang w:val="de-DE" w:eastAsia="de-DE"/>
              </w:rPr>
            </w:pPr>
            <w:r w:rsidRPr="00D23195">
              <w:rPr>
                <w:rFonts w:ascii="Aptos Narrow" w:eastAsia="Times New Roman" w:hAnsi="Aptos Narrow" w:cs="Times New Roman"/>
                <w:color w:val="000000"/>
                <w:sz w:val="18"/>
                <w:szCs w:val="18"/>
                <w:lang w:val="de-DE" w:eastAsia="de-DE"/>
              </w:rPr>
              <w:t>-0.077***</w:t>
            </w:r>
          </w:p>
        </w:tc>
        <w:tc>
          <w:tcPr>
            <w:tcW w:w="452" w:type="pct"/>
            <w:tcBorders>
              <w:top w:val="nil"/>
              <w:left w:val="nil"/>
              <w:bottom w:val="nil"/>
              <w:right w:val="nil"/>
            </w:tcBorders>
            <w:shd w:val="clear" w:color="auto" w:fill="auto"/>
            <w:noWrap/>
            <w:vAlign w:val="bottom"/>
            <w:hideMark/>
          </w:tcPr>
          <w:p w14:paraId="4E426ECE" w14:textId="77777777" w:rsidR="00D23195" w:rsidRPr="00D23195" w:rsidRDefault="00D23195" w:rsidP="00D23195">
            <w:pPr>
              <w:spacing w:line="240" w:lineRule="auto"/>
              <w:rPr>
                <w:rFonts w:ascii="Aptos Narrow" w:eastAsia="Times New Roman" w:hAnsi="Aptos Narrow" w:cs="Times New Roman"/>
                <w:color w:val="000000"/>
                <w:sz w:val="18"/>
                <w:szCs w:val="18"/>
                <w:lang w:val="de-DE" w:eastAsia="de-DE"/>
              </w:rPr>
            </w:pPr>
            <w:r w:rsidRPr="00D23195">
              <w:rPr>
                <w:rFonts w:ascii="Aptos Narrow" w:eastAsia="Times New Roman" w:hAnsi="Aptos Narrow" w:cs="Times New Roman"/>
                <w:color w:val="000000"/>
                <w:sz w:val="18"/>
                <w:szCs w:val="18"/>
                <w:lang w:val="de-DE" w:eastAsia="de-DE"/>
              </w:rPr>
              <w:t>-0.080***</w:t>
            </w:r>
          </w:p>
        </w:tc>
        <w:tc>
          <w:tcPr>
            <w:tcW w:w="452" w:type="pct"/>
            <w:tcBorders>
              <w:top w:val="nil"/>
              <w:left w:val="nil"/>
              <w:bottom w:val="nil"/>
              <w:right w:val="nil"/>
            </w:tcBorders>
            <w:shd w:val="clear" w:color="auto" w:fill="auto"/>
            <w:noWrap/>
            <w:vAlign w:val="bottom"/>
            <w:hideMark/>
          </w:tcPr>
          <w:p w14:paraId="65A1A6CE" w14:textId="77777777" w:rsidR="00D23195" w:rsidRPr="00D23195" w:rsidRDefault="00D23195" w:rsidP="00D23195">
            <w:pPr>
              <w:spacing w:line="240" w:lineRule="auto"/>
              <w:rPr>
                <w:rFonts w:ascii="Aptos Narrow" w:eastAsia="Times New Roman" w:hAnsi="Aptos Narrow" w:cs="Times New Roman"/>
                <w:color w:val="000000"/>
                <w:sz w:val="18"/>
                <w:szCs w:val="18"/>
                <w:lang w:val="de-DE" w:eastAsia="de-DE"/>
              </w:rPr>
            </w:pPr>
            <w:r w:rsidRPr="00D23195">
              <w:rPr>
                <w:rFonts w:ascii="Aptos Narrow" w:eastAsia="Times New Roman" w:hAnsi="Aptos Narrow" w:cs="Times New Roman"/>
                <w:color w:val="000000"/>
                <w:sz w:val="18"/>
                <w:szCs w:val="18"/>
                <w:lang w:val="de-DE" w:eastAsia="de-DE"/>
              </w:rPr>
              <w:t>-0.079***</w:t>
            </w:r>
          </w:p>
        </w:tc>
        <w:tc>
          <w:tcPr>
            <w:tcW w:w="452" w:type="pct"/>
            <w:tcBorders>
              <w:top w:val="nil"/>
              <w:left w:val="nil"/>
              <w:bottom w:val="nil"/>
              <w:right w:val="nil"/>
            </w:tcBorders>
            <w:shd w:val="clear" w:color="auto" w:fill="auto"/>
            <w:noWrap/>
            <w:vAlign w:val="bottom"/>
            <w:hideMark/>
          </w:tcPr>
          <w:p w14:paraId="0589221A" w14:textId="77777777" w:rsidR="00D23195" w:rsidRPr="00D23195" w:rsidRDefault="00D23195" w:rsidP="00D23195">
            <w:pPr>
              <w:spacing w:line="240" w:lineRule="auto"/>
              <w:rPr>
                <w:rFonts w:ascii="Aptos Narrow" w:eastAsia="Times New Roman" w:hAnsi="Aptos Narrow" w:cs="Times New Roman"/>
                <w:color w:val="000000"/>
                <w:sz w:val="18"/>
                <w:szCs w:val="18"/>
                <w:lang w:val="de-DE" w:eastAsia="de-DE"/>
              </w:rPr>
            </w:pPr>
            <w:r w:rsidRPr="00D23195">
              <w:rPr>
                <w:rFonts w:ascii="Aptos Narrow" w:eastAsia="Times New Roman" w:hAnsi="Aptos Narrow" w:cs="Times New Roman"/>
                <w:color w:val="000000"/>
                <w:sz w:val="18"/>
                <w:szCs w:val="18"/>
                <w:lang w:val="de-DE" w:eastAsia="de-DE"/>
              </w:rPr>
              <w:t>-0.060**</w:t>
            </w:r>
          </w:p>
        </w:tc>
        <w:tc>
          <w:tcPr>
            <w:tcW w:w="452" w:type="pct"/>
            <w:tcBorders>
              <w:top w:val="nil"/>
              <w:left w:val="nil"/>
              <w:bottom w:val="nil"/>
              <w:right w:val="nil"/>
            </w:tcBorders>
            <w:shd w:val="clear" w:color="auto" w:fill="auto"/>
            <w:noWrap/>
            <w:vAlign w:val="bottom"/>
            <w:hideMark/>
          </w:tcPr>
          <w:p w14:paraId="78EDFD2F" w14:textId="77777777" w:rsidR="00D23195" w:rsidRPr="00D23195" w:rsidRDefault="00D23195" w:rsidP="00D23195">
            <w:pPr>
              <w:spacing w:line="240" w:lineRule="auto"/>
              <w:rPr>
                <w:rFonts w:ascii="Aptos Narrow" w:eastAsia="Times New Roman" w:hAnsi="Aptos Narrow" w:cs="Times New Roman"/>
                <w:color w:val="000000"/>
                <w:sz w:val="18"/>
                <w:szCs w:val="18"/>
                <w:lang w:val="de-DE" w:eastAsia="de-DE"/>
              </w:rPr>
            </w:pPr>
            <w:r w:rsidRPr="00D23195">
              <w:rPr>
                <w:rFonts w:ascii="Aptos Narrow" w:eastAsia="Times New Roman" w:hAnsi="Aptos Narrow" w:cs="Times New Roman"/>
                <w:color w:val="000000"/>
                <w:sz w:val="18"/>
                <w:szCs w:val="18"/>
                <w:lang w:val="de-DE" w:eastAsia="de-DE"/>
              </w:rPr>
              <w:t>-0.076***</w:t>
            </w:r>
          </w:p>
        </w:tc>
        <w:tc>
          <w:tcPr>
            <w:tcW w:w="452" w:type="pct"/>
            <w:tcBorders>
              <w:top w:val="nil"/>
              <w:left w:val="nil"/>
              <w:bottom w:val="nil"/>
              <w:right w:val="nil"/>
            </w:tcBorders>
            <w:shd w:val="clear" w:color="auto" w:fill="auto"/>
            <w:noWrap/>
            <w:vAlign w:val="bottom"/>
            <w:hideMark/>
          </w:tcPr>
          <w:p w14:paraId="5D16E7B0" w14:textId="77777777" w:rsidR="00D23195" w:rsidRPr="00D23195" w:rsidRDefault="00D23195" w:rsidP="00D23195">
            <w:pPr>
              <w:spacing w:line="240" w:lineRule="auto"/>
              <w:rPr>
                <w:rFonts w:ascii="Aptos Narrow" w:eastAsia="Times New Roman" w:hAnsi="Aptos Narrow" w:cs="Times New Roman"/>
                <w:color w:val="000000"/>
                <w:sz w:val="18"/>
                <w:szCs w:val="18"/>
                <w:lang w:val="de-DE" w:eastAsia="de-DE"/>
              </w:rPr>
            </w:pPr>
            <w:r w:rsidRPr="00D23195">
              <w:rPr>
                <w:rFonts w:ascii="Aptos Narrow" w:eastAsia="Times New Roman" w:hAnsi="Aptos Narrow" w:cs="Times New Roman"/>
                <w:color w:val="000000"/>
                <w:sz w:val="18"/>
                <w:szCs w:val="18"/>
                <w:lang w:val="de-DE" w:eastAsia="de-DE"/>
              </w:rPr>
              <w:t>-0.079***</w:t>
            </w:r>
          </w:p>
        </w:tc>
        <w:tc>
          <w:tcPr>
            <w:tcW w:w="452" w:type="pct"/>
            <w:tcBorders>
              <w:top w:val="nil"/>
              <w:left w:val="nil"/>
              <w:bottom w:val="nil"/>
              <w:right w:val="nil"/>
            </w:tcBorders>
            <w:shd w:val="clear" w:color="auto" w:fill="auto"/>
            <w:noWrap/>
            <w:vAlign w:val="bottom"/>
            <w:hideMark/>
          </w:tcPr>
          <w:p w14:paraId="52C32F44" w14:textId="77777777" w:rsidR="00D23195" w:rsidRPr="00D23195" w:rsidRDefault="00D23195" w:rsidP="00D23195">
            <w:pPr>
              <w:spacing w:line="240" w:lineRule="auto"/>
              <w:rPr>
                <w:rFonts w:ascii="Aptos Narrow" w:eastAsia="Times New Roman" w:hAnsi="Aptos Narrow" w:cs="Times New Roman"/>
                <w:color w:val="000000"/>
                <w:sz w:val="18"/>
                <w:szCs w:val="18"/>
                <w:lang w:val="de-DE" w:eastAsia="de-DE"/>
              </w:rPr>
            </w:pPr>
            <w:r w:rsidRPr="00D23195">
              <w:rPr>
                <w:rFonts w:ascii="Aptos Narrow" w:eastAsia="Times New Roman" w:hAnsi="Aptos Narrow" w:cs="Times New Roman"/>
                <w:color w:val="000000"/>
                <w:sz w:val="18"/>
                <w:szCs w:val="18"/>
                <w:lang w:val="de-DE" w:eastAsia="de-DE"/>
              </w:rPr>
              <w:t>-0.078***</w:t>
            </w:r>
          </w:p>
        </w:tc>
      </w:tr>
      <w:tr w:rsidR="00D23195" w:rsidRPr="00D23195" w14:paraId="75737757" w14:textId="77777777" w:rsidTr="00D23195">
        <w:trPr>
          <w:trHeight w:val="288"/>
        </w:trPr>
        <w:tc>
          <w:tcPr>
            <w:tcW w:w="1385" w:type="pct"/>
            <w:tcBorders>
              <w:top w:val="nil"/>
              <w:left w:val="nil"/>
              <w:bottom w:val="nil"/>
              <w:right w:val="nil"/>
            </w:tcBorders>
            <w:shd w:val="clear" w:color="auto" w:fill="auto"/>
            <w:noWrap/>
            <w:vAlign w:val="bottom"/>
            <w:hideMark/>
          </w:tcPr>
          <w:p w14:paraId="052E40D1" w14:textId="77777777" w:rsidR="00D23195" w:rsidRPr="00D23195" w:rsidRDefault="00D23195" w:rsidP="00D23195">
            <w:pPr>
              <w:spacing w:line="240" w:lineRule="auto"/>
              <w:rPr>
                <w:rFonts w:ascii="Aptos Narrow" w:eastAsia="Times New Roman" w:hAnsi="Aptos Narrow" w:cs="Times New Roman"/>
                <w:color w:val="000000"/>
                <w:sz w:val="18"/>
                <w:szCs w:val="18"/>
                <w:lang w:val="de-DE" w:eastAsia="de-DE"/>
              </w:rPr>
            </w:pPr>
          </w:p>
        </w:tc>
        <w:tc>
          <w:tcPr>
            <w:tcW w:w="452" w:type="pct"/>
            <w:tcBorders>
              <w:top w:val="nil"/>
              <w:left w:val="nil"/>
              <w:bottom w:val="nil"/>
              <w:right w:val="nil"/>
            </w:tcBorders>
            <w:shd w:val="clear" w:color="auto" w:fill="auto"/>
            <w:noWrap/>
            <w:vAlign w:val="bottom"/>
            <w:hideMark/>
          </w:tcPr>
          <w:p w14:paraId="5A7947DF" w14:textId="77777777" w:rsidR="00D23195" w:rsidRPr="00D23195" w:rsidRDefault="00D23195" w:rsidP="00D23195">
            <w:pPr>
              <w:spacing w:line="240" w:lineRule="auto"/>
              <w:rPr>
                <w:rFonts w:ascii="Aptos Narrow" w:eastAsia="Times New Roman" w:hAnsi="Aptos Narrow" w:cs="Times New Roman"/>
                <w:color w:val="000000"/>
                <w:sz w:val="18"/>
                <w:szCs w:val="18"/>
                <w:lang w:val="de-DE" w:eastAsia="de-DE"/>
              </w:rPr>
            </w:pPr>
            <w:r w:rsidRPr="00D23195">
              <w:rPr>
                <w:rFonts w:ascii="Aptos Narrow" w:eastAsia="Times New Roman" w:hAnsi="Aptos Narrow" w:cs="Times New Roman"/>
                <w:color w:val="000000"/>
                <w:sz w:val="18"/>
                <w:szCs w:val="18"/>
                <w:lang w:val="de-DE" w:eastAsia="de-DE"/>
              </w:rPr>
              <w:t>(0.012)</w:t>
            </w:r>
          </w:p>
        </w:tc>
        <w:tc>
          <w:tcPr>
            <w:tcW w:w="452" w:type="pct"/>
            <w:tcBorders>
              <w:top w:val="nil"/>
              <w:left w:val="nil"/>
              <w:bottom w:val="nil"/>
              <w:right w:val="nil"/>
            </w:tcBorders>
            <w:shd w:val="clear" w:color="auto" w:fill="auto"/>
            <w:noWrap/>
            <w:vAlign w:val="bottom"/>
            <w:hideMark/>
          </w:tcPr>
          <w:p w14:paraId="79C72DD2" w14:textId="77777777" w:rsidR="00D23195" w:rsidRPr="00D23195" w:rsidRDefault="00D23195" w:rsidP="00D23195">
            <w:pPr>
              <w:spacing w:line="240" w:lineRule="auto"/>
              <w:rPr>
                <w:rFonts w:ascii="Aptos Narrow" w:eastAsia="Times New Roman" w:hAnsi="Aptos Narrow" w:cs="Times New Roman"/>
                <w:color w:val="000000"/>
                <w:sz w:val="18"/>
                <w:szCs w:val="18"/>
                <w:lang w:val="de-DE" w:eastAsia="de-DE"/>
              </w:rPr>
            </w:pPr>
            <w:r w:rsidRPr="00D23195">
              <w:rPr>
                <w:rFonts w:ascii="Aptos Narrow" w:eastAsia="Times New Roman" w:hAnsi="Aptos Narrow" w:cs="Times New Roman"/>
                <w:color w:val="000000"/>
                <w:sz w:val="18"/>
                <w:szCs w:val="18"/>
                <w:lang w:val="de-DE" w:eastAsia="de-DE"/>
              </w:rPr>
              <w:t>(0.001)</w:t>
            </w:r>
          </w:p>
        </w:tc>
        <w:tc>
          <w:tcPr>
            <w:tcW w:w="452" w:type="pct"/>
            <w:tcBorders>
              <w:top w:val="nil"/>
              <w:left w:val="nil"/>
              <w:bottom w:val="nil"/>
              <w:right w:val="nil"/>
            </w:tcBorders>
            <w:shd w:val="clear" w:color="auto" w:fill="auto"/>
            <w:noWrap/>
            <w:vAlign w:val="bottom"/>
            <w:hideMark/>
          </w:tcPr>
          <w:p w14:paraId="6935BC22" w14:textId="77777777" w:rsidR="00D23195" w:rsidRPr="00D23195" w:rsidRDefault="00D23195" w:rsidP="00D23195">
            <w:pPr>
              <w:spacing w:line="240" w:lineRule="auto"/>
              <w:rPr>
                <w:rFonts w:ascii="Aptos Narrow" w:eastAsia="Times New Roman" w:hAnsi="Aptos Narrow" w:cs="Times New Roman"/>
                <w:color w:val="000000"/>
                <w:sz w:val="18"/>
                <w:szCs w:val="18"/>
                <w:lang w:val="de-DE" w:eastAsia="de-DE"/>
              </w:rPr>
            </w:pPr>
            <w:r w:rsidRPr="00D23195">
              <w:rPr>
                <w:rFonts w:ascii="Aptos Narrow" w:eastAsia="Times New Roman" w:hAnsi="Aptos Narrow" w:cs="Times New Roman"/>
                <w:color w:val="000000"/>
                <w:sz w:val="18"/>
                <w:szCs w:val="18"/>
                <w:lang w:val="de-DE" w:eastAsia="de-DE"/>
              </w:rPr>
              <w:t>(0.001)</w:t>
            </w:r>
          </w:p>
        </w:tc>
        <w:tc>
          <w:tcPr>
            <w:tcW w:w="452" w:type="pct"/>
            <w:tcBorders>
              <w:top w:val="nil"/>
              <w:left w:val="nil"/>
              <w:bottom w:val="nil"/>
              <w:right w:val="nil"/>
            </w:tcBorders>
            <w:shd w:val="clear" w:color="auto" w:fill="auto"/>
            <w:noWrap/>
            <w:vAlign w:val="bottom"/>
            <w:hideMark/>
          </w:tcPr>
          <w:p w14:paraId="4D7F6574" w14:textId="77777777" w:rsidR="00D23195" w:rsidRPr="00D23195" w:rsidRDefault="00D23195" w:rsidP="00D23195">
            <w:pPr>
              <w:spacing w:line="240" w:lineRule="auto"/>
              <w:rPr>
                <w:rFonts w:ascii="Aptos Narrow" w:eastAsia="Times New Roman" w:hAnsi="Aptos Narrow" w:cs="Times New Roman"/>
                <w:color w:val="000000"/>
                <w:sz w:val="18"/>
                <w:szCs w:val="18"/>
                <w:lang w:val="de-DE" w:eastAsia="de-DE"/>
              </w:rPr>
            </w:pPr>
            <w:r w:rsidRPr="00D23195">
              <w:rPr>
                <w:rFonts w:ascii="Aptos Narrow" w:eastAsia="Times New Roman" w:hAnsi="Aptos Narrow" w:cs="Times New Roman"/>
                <w:color w:val="000000"/>
                <w:sz w:val="18"/>
                <w:szCs w:val="18"/>
                <w:lang w:val="de-DE" w:eastAsia="de-DE"/>
              </w:rPr>
              <w:t>(0.001)</w:t>
            </w:r>
          </w:p>
        </w:tc>
        <w:tc>
          <w:tcPr>
            <w:tcW w:w="452" w:type="pct"/>
            <w:tcBorders>
              <w:top w:val="nil"/>
              <w:left w:val="nil"/>
              <w:bottom w:val="nil"/>
              <w:right w:val="nil"/>
            </w:tcBorders>
            <w:shd w:val="clear" w:color="auto" w:fill="auto"/>
            <w:noWrap/>
            <w:vAlign w:val="bottom"/>
            <w:hideMark/>
          </w:tcPr>
          <w:p w14:paraId="2B63EBB5" w14:textId="77777777" w:rsidR="00D23195" w:rsidRPr="00D23195" w:rsidRDefault="00D23195" w:rsidP="00D23195">
            <w:pPr>
              <w:spacing w:line="240" w:lineRule="auto"/>
              <w:rPr>
                <w:rFonts w:ascii="Aptos Narrow" w:eastAsia="Times New Roman" w:hAnsi="Aptos Narrow" w:cs="Times New Roman"/>
                <w:color w:val="000000"/>
                <w:sz w:val="18"/>
                <w:szCs w:val="18"/>
                <w:lang w:val="de-DE" w:eastAsia="de-DE"/>
              </w:rPr>
            </w:pPr>
            <w:r w:rsidRPr="00D23195">
              <w:rPr>
                <w:rFonts w:ascii="Aptos Narrow" w:eastAsia="Times New Roman" w:hAnsi="Aptos Narrow" w:cs="Times New Roman"/>
                <w:color w:val="000000"/>
                <w:sz w:val="18"/>
                <w:szCs w:val="18"/>
                <w:lang w:val="de-DE" w:eastAsia="de-DE"/>
              </w:rPr>
              <w:t>(0.016)</w:t>
            </w:r>
          </w:p>
        </w:tc>
        <w:tc>
          <w:tcPr>
            <w:tcW w:w="452" w:type="pct"/>
            <w:tcBorders>
              <w:top w:val="nil"/>
              <w:left w:val="nil"/>
              <w:bottom w:val="nil"/>
              <w:right w:val="nil"/>
            </w:tcBorders>
            <w:shd w:val="clear" w:color="auto" w:fill="auto"/>
            <w:noWrap/>
            <w:vAlign w:val="bottom"/>
            <w:hideMark/>
          </w:tcPr>
          <w:p w14:paraId="33564D0E" w14:textId="77777777" w:rsidR="00D23195" w:rsidRPr="00D23195" w:rsidRDefault="00D23195" w:rsidP="00D23195">
            <w:pPr>
              <w:spacing w:line="240" w:lineRule="auto"/>
              <w:rPr>
                <w:rFonts w:ascii="Aptos Narrow" w:eastAsia="Times New Roman" w:hAnsi="Aptos Narrow" w:cs="Times New Roman"/>
                <w:color w:val="000000"/>
                <w:sz w:val="18"/>
                <w:szCs w:val="18"/>
                <w:lang w:val="de-DE" w:eastAsia="de-DE"/>
              </w:rPr>
            </w:pPr>
            <w:r w:rsidRPr="00D23195">
              <w:rPr>
                <w:rFonts w:ascii="Aptos Narrow" w:eastAsia="Times New Roman" w:hAnsi="Aptos Narrow" w:cs="Times New Roman"/>
                <w:color w:val="000000"/>
                <w:sz w:val="18"/>
                <w:szCs w:val="18"/>
                <w:lang w:val="de-DE" w:eastAsia="de-DE"/>
              </w:rPr>
              <w:t>(0.001)</w:t>
            </w:r>
          </w:p>
        </w:tc>
        <w:tc>
          <w:tcPr>
            <w:tcW w:w="452" w:type="pct"/>
            <w:tcBorders>
              <w:top w:val="nil"/>
              <w:left w:val="nil"/>
              <w:bottom w:val="nil"/>
              <w:right w:val="nil"/>
            </w:tcBorders>
            <w:shd w:val="clear" w:color="auto" w:fill="auto"/>
            <w:noWrap/>
            <w:vAlign w:val="bottom"/>
            <w:hideMark/>
          </w:tcPr>
          <w:p w14:paraId="10D6E4CF" w14:textId="77777777" w:rsidR="00D23195" w:rsidRPr="00D23195" w:rsidRDefault="00D23195" w:rsidP="00D23195">
            <w:pPr>
              <w:spacing w:line="240" w:lineRule="auto"/>
              <w:rPr>
                <w:rFonts w:ascii="Aptos Narrow" w:eastAsia="Times New Roman" w:hAnsi="Aptos Narrow" w:cs="Times New Roman"/>
                <w:color w:val="000000"/>
                <w:sz w:val="18"/>
                <w:szCs w:val="18"/>
                <w:lang w:val="de-DE" w:eastAsia="de-DE"/>
              </w:rPr>
            </w:pPr>
            <w:r w:rsidRPr="00D23195">
              <w:rPr>
                <w:rFonts w:ascii="Aptos Narrow" w:eastAsia="Times New Roman" w:hAnsi="Aptos Narrow" w:cs="Times New Roman"/>
                <w:color w:val="000000"/>
                <w:sz w:val="18"/>
                <w:szCs w:val="18"/>
                <w:lang w:val="de-DE" w:eastAsia="de-DE"/>
              </w:rPr>
              <w:t>(0.001)</w:t>
            </w:r>
          </w:p>
        </w:tc>
        <w:tc>
          <w:tcPr>
            <w:tcW w:w="452" w:type="pct"/>
            <w:tcBorders>
              <w:top w:val="nil"/>
              <w:left w:val="nil"/>
              <w:bottom w:val="nil"/>
              <w:right w:val="nil"/>
            </w:tcBorders>
            <w:shd w:val="clear" w:color="auto" w:fill="auto"/>
            <w:noWrap/>
            <w:vAlign w:val="bottom"/>
            <w:hideMark/>
          </w:tcPr>
          <w:p w14:paraId="1F14A10F" w14:textId="77777777" w:rsidR="00D23195" w:rsidRPr="00D23195" w:rsidRDefault="00D23195" w:rsidP="00D23195">
            <w:pPr>
              <w:spacing w:line="240" w:lineRule="auto"/>
              <w:rPr>
                <w:rFonts w:ascii="Aptos Narrow" w:eastAsia="Times New Roman" w:hAnsi="Aptos Narrow" w:cs="Times New Roman"/>
                <w:color w:val="000000"/>
                <w:sz w:val="18"/>
                <w:szCs w:val="18"/>
                <w:lang w:val="de-DE" w:eastAsia="de-DE"/>
              </w:rPr>
            </w:pPr>
            <w:r w:rsidRPr="00D23195">
              <w:rPr>
                <w:rFonts w:ascii="Aptos Narrow" w:eastAsia="Times New Roman" w:hAnsi="Aptos Narrow" w:cs="Times New Roman"/>
                <w:color w:val="000000"/>
                <w:sz w:val="18"/>
                <w:szCs w:val="18"/>
                <w:lang w:val="de-DE" w:eastAsia="de-DE"/>
              </w:rPr>
              <w:t>(0.001)</w:t>
            </w:r>
          </w:p>
        </w:tc>
      </w:tr>
      <w:tr w:rsidR="00D23195" w:rsidRPr="00D23195" w14:paraId="0590BE5C" w14:textId="77777777" w:rsidTr="00D23195">
        <w:trPr>
          <w:trHeight w:val="288"/>
        </w:trPr>
        <w:tc>
          <w:tcPr>
            <w:tcW w:w="1385" w:type="pct"/>
            <w:tcBorders>
              <w:top w:val="nil"/>
              <w:left w:val="nil"/>
              <w:bottom w:val="nil"/>
              <w:right w:val="nil"/>
            </w:tcBorders>
            <w:shd w:val="clear" w:color="auto" w:fill="auto"/>
            <w:noWrap/>
            <w:vAlign w:val="bottom"/>
            <w:hideMark/>
          </w:tcPr>
          <w:p w14:paraId="69B63BF7" w14:textId="77777777" w:rsidR="00D23195" w:rsidRPr="00D23195" w:rsidRDefault="00D23195" w:rsidP="00D23195">
            <w:pPr>
              <w:spacing w:line="240" w:lineRule="auto"/>
              <w:rPr>
                <w:rFonts w:ascii="Aptos Narrow" w:eastAsia="Times New Roman" w:hAnsi="Aptos Narrow" w:cs="Times New Roman"/>
                <w:color w:val="000000"/>
                <w:sz w:val="18"/>
                <w:szCs w:val="18"/>
                <w:lang w:val="de-DE" w:eastAsia="de-DE"/>
              </w:rPr>
            </w:pPr>
            <w:r w:rsidRPr="00D23195">
              <w:rPr>
                <w:rFonts w:ascii="Aptos Narrow" w:eastAsia="Times New Roman" w:hAnsi="Aptos Narrow" w:cs="Times New Roman"/>
                <w:color w:val="000000"/>
                <w:sz w:val="18"/>
                <w:szCs w:val="18"/>
                <w:lang w:val="de-DE" w:eastAsia="de-DE"/>
              </w:rPr>
              <w:t xml:space="preserve">Sharing </w:t>
            </w:r>
            <w:proofErr w:type="spellStart"/>
            <w:r w:rsidRPr="00D23195">
              <w:rPr>
                <w:rFonts w:ascii="Aptos Narrow" w:eastAsia="Times New Roman" w:hAnsi="Aptos Narrow" w:cs="Times New Roman"/>
                <w:color w:val="000000"/>
                <w:sz w:val="18"/>
                <w:szCs w:val="18"/>
                <w:lang w:val="de-DE" w:eastAsia="de-DE"/>
              </w:rPr>
              <w:t>data</w:t>
            </w:r>
            <w:proofErr w:type="spellEnd"/>
            <w:r w:rsidRPr="00D23195">
              <w:rPr>
                <w:rFonts w:ascii="Aptos Narrow" w:eastAsia="Times New Roman" w:hAnsi="Aptos Narrow" w:cs="Times New Roman"/>
                <w:color w:val="000000"/>
                <w:sz w:val="18"/>
                <w:szCs w:val="18"/>
                <w:lang w:val="de-DE" w:eastAsia="de-DE"/>
              </w:rPr>
              <w:t xml:space="preserve"> </w:t>
            </w:r>
            <w:proofErr w:type="spellStart"/>
            <w:r w:rsidRPr="00D23195">
              <w:rPr>
                <w:rFonts w:ascii="Aptos Narrow" w:eastAsia="Times New Roman" w:hAnsi="Aptos Narrow" w:cs="Times New Roman"/>
                <w:color w:val="000000"/>
                <w:sz w:val="18"/>
                <w:szCs w:val="18"/>
                <w:lang w:val="de-DE" w:eastAsia="de-DE"/>
              </w:rPr>
              <w:t>model</w:t>
            </w:r>
            <w:proofErr w:type="spellEnd"/>
            <w:r w:rsidRPr="00D23195">
              <w:rPr>
                <w:rFonts w:ascii="Aptos Narrow" w:eastAsia="Times New Roman" w:hAnsi="Aptos Narrow" w:cs="Times New Roman"/>
                <w:color w:val="000000"/>
                <w:sz w:val="18"/>
                <w:szCs w:val="18"/>
                <w:lang w:val="de-DE" w:eastAsia="de-DE"/>
              </w:rPr>
              <w:t xml:space="preserve"> GC</w:t>
            </w:r>
          </w:p>
        </w:tc>
        <w:tc>
          <w:tcPr>
            <w:tcW w:w="452" w:type="pct"/>
            <w:tcBorders>
              <w:top w:val="nil"/>
              <w:left w:val="nil"/>
              <w:bottom w:val="nil"/>
              <w:right w:val="nil"/>
            </w:tcBorders>
            <w:shd w:val="clear" w:color="auto" w:fill="auto"/>
            <w:noWrap/>
            <w:vAlign w:val="bottom"/>
            <w:hideMark/>
          </w:tcPr>
          <w:p w14:paraId="0F275A36" w14:textId="77777777" w:rsidR="00D23195" w:rsidRPr="00D23195" w:rsidRDefault="00D23195" w:rsidP="00D23195">
            <w:pPr>
              <w:spacing w:line="240" w:lineRule="auto"/>
              <w:rPr>
                <w:rFonts w:ascii="Aptos Narrow" w:eastAsia="Times New Roman" w:hAnsi="Aptos Narrow" w:cs="Times New Roman"/>
                <w:color w:val="000000"/>
                <w:sz w:val="18"/>
                <w:szCs w:val="18"/>
                <w:lang w:val="de-DE" w:eastAsia="de-DE"/>
              </w:rPr>
            </w:pPr>
            <w:r w:rsidRPr="00D23195">
              <w:rPr>
                <w:rFonts w:ascii="Aptos Narrow" w:eastAsia="Times New Roman" w:hAnsi="Aptos Narrow" w:cs="Times New Roman"/>
                <w:color w:val="000000"/>
                <w:sz w:val="18"/>
                <w:szCs w:val="18"/>
                <w:lang w:val="de-DE" w:eastAsia="de-DE"/>
              </w:rPr>
              <w:t>0.013</w:t>
            </w:r>
          </w:p>
        </w:tc>
        <w:tc>
          <w:tcPr>
            <w:tcW w:w="452" w:type="pct"/>
            <w:tcBorders>
              <w:top w:val="nil"/>
              <w:left w:val="nil"/>
              <w:bottom w:val="nil"/>
              <w:right w:val="nil"/>
            </w:tcBorders>
            <w:shd w:val="clear" w:color="auto" w:fill="auto"/>
            <w:noWrap/>
            <w:vAlign w:val="bottom"/>
            <w:hideMark/>
          </w:tcPr>
          <w:p w14:paraId="73BC772C" w14:textId="77777777" w:rsidR="00D23195" w:rsidRPr="00D23195" w:rsidRDefault="00D23195" w:rsidP="00D23195">
            <w:pPr>
              <w:spacing w:line="240" w:lineRule="auto"/>
              <w:rPr>
                <w:rFonts w:ascii="Aptos Narrow" w:eastAsia="Times New Roman" w:hAnsi="Aptos Narrow" w:cs="Times New Roman"/>
                <w:color w:val="000000"/>
                <w:sz w:val="18"/>
                <w:szCs w:val="18"/>
                <w:lang w:val="de-DE" w:eastAsia="de-DE"/>
              </w:rPr>
            </w:pPr>
            <w:r w:rsidRPr="00D23195">
              <w:rPr>
                <w:rFonts w:ascii="Aptos Narrow" w:eastAsia="Times New Roman" w:hAnsi="Aptos Narrow" w:cs="Times New Roman"/>
                <w:color w:val="000000"/>
                <w:sz w:val="18"/>
                <w:szCs w:val="18"/>
                <w:lang w:val="de-DE" w:eastAsia="de-DE"/>
              </w:rPr>
              <w:t>-0.001</w:t>
            </w:r>
          </w:p>
        </w:tc>
        <w:tc>
          <w:tcPr>
            <w:tcW w:w="452" w:type="pct"/>
            <w:tcBorders>
              <w:top w:val="nil"/>
              <w:left w:val="nil"/>
              <w:bottom w:val="nil"/>
              <w:right w:val="nil"/>
            </w:tcBorders>
            <w:shd w:val="clear" w:color="auto" w:fill="auto"/>
            <w:noWrap/>
            <w:vAlign w:val="bottom"/>
            <w:hideMark/>
          </w:tcPr>
          <w:p w14:paraId="2034BD9C" w14:textId="77777777" w:rsidR="00D23195" w:rsidRPr="00D23195" w:rsidRDefault="00D23195" w:rsidP="00D23195">
            <w:pPr>
              <w:spacing w:line="240" w:lineRule="auto"/>
              <w:rPr>
                <w:rFonts w:ascii="Aptos Narrow" w:eastAsia="Times New Roman" w:hAnsi="Aptos Narrow" w:cs="Times New Roman"/>
                <w:color w:val="000000"/>
                <w:sz w:val="18"/>
                <w:szCs w:val="18"/>
                <w:lang w:val="de-DE" w:eastAsia="de-DE"/>
              </w:rPr>
            </w:pPr>
            <w:r w:rsidRPr="00D23195">
              <w:rPr>
                <w:rFonts w:ascii="Aptos Narrow" w:eastAsia="Times New Roman" w:hAnsi="Aptos Narrow" w:cs="Times New Roman"/>
                <w:color w:val="000000"/>
                <w:sz w:val="18"/>
                <w:szCs w:val="18"/>
                <w:lang w:val="de-DE" w:eastAsia="de-DE"/>
              </w:rPr>
              <w:t>0.002</w:t>
            </w:r>
          </w:p>
        </w:tc>
        <w:tc>
          <w:tcPr>
            <w:tcW w:w="452" w:type="pct"/>
            <w:tcBorders>
              <w:top w:val="nil"/>
              <w:left w:val="nil"/>
              <w:bottom w:val="nil"/>
              <w:right w:val="nil"/>
            </w:tcBorders>
            <w:shd w:val="clear" w:color="auto" w:fill="auto"/>
            <w:noWrap/>
            <w:vAlign w:val="bottom"/>
            <w:hideMark/>
          </w:tcPr>
          <w:p w14:paraId="225ACF6F" w14:textId="77777777" w:rsidR="00D23195" w:rsidRPr="00D23195" w:rsidRDefault="00D23195" w:rsidP="00D23195">
            <w:pPr>
              <w:spacing w:line="240" w:lineRule="auto"/>
              <w:rPr>
                <w:rFonts w:ascii="Aptos Narrow" w:eastAsia="Times New Roman" w:hAnsi="Aptos Narrow" w:cs="Times New Roman"/>
                <w:color w:val="000000"/>
                <w:sz w:val="18"/>
                <w:szCs w:val="18"/>
                <w:lang w:val="de-DE" w:eastAsia="de-DE"/>
              </w:rPr>
            </w:pPr>
            <w:r w:rsidRPr="00D23195">
              <w:rPr>
                <w:rFonts w:ascii="Aptos Narrow" w:eastAsia="Times New Roman" w:hAnsi="Aptos Narrow" w:cs="Times New Roman"/>
                <w:color w:val="000000"/>
                <w:sz w:val="18"/>
                <w:szCs w:val="18"/>
                <w:lang w:val="de-DE" w:eastAsia="de-DE"/>
              </w:rPr>
              <w:t>0.002</w:t>
            </w:r>
          </w:p>
        </w:tc>
        <w:tc>
          <w:tcPr>
            <w:tcW w:w="452" w:type="pct"/>
            <w:tcBorders>
              <w:top w:val="nil"/>
              <w:left w:val="nil"/>
              <w:bottom w:val="nil"/>
              <w:right w:val="nil"/>
            </w:tcBorders>
            <w:shd w:val="clear" w:color="auto" w:fill="auto"/>
            <w:noWrap/>
            <w:vAlign w:val="bottom"/>
            <w:hideMark/>
          </w:tcPr>
          <w:p w14:paraId="10D48CED" w14:textId="77777777" w:rsidR="00D23195" w:rsidRPr="00D23195" w:rsidRDefault="00D23195" w:rsidP="00D23195">
            <w:pPr>
              <w:spacing w:line="240" w:lineRule="auto"/>
              <w:rPr>
                <w:rFonts w:ascii="Aptos Narrow" w:eastAsia="Times New Roman" w:hAnsi="Aptos Narrow" w:cs="Times New Roman"/>
                <w:color w:val="000000"/>
                <w:sz w:val="18"/>
                <w:szCs w:val="18"/>
                <w:lang w:val="de-DE" w:eastAsia="de-DE"/>
              </w:rPr>
            </w:pPr>
            <w:r w:rsidRPr="00D23195">
              <w:rPr>
                <w:rFonts w:ascii="Aptos Narrow" w:eastAsia="Times New Roman" w:hAnsi="Aptos Narrow" w:cs="Times New Roman"/>
                <w:color w:val="000000"/>
                <w:sz w:val="18"/>
                <w:szCs w:val="18"/>
                <w:lang w:val="de-DE" w:eastAsia="de-DE"/>
              </w:rPr>
              <w:t>0.014</w:t>
            </w:r>
          </w:p>
        </w:tc>
        <w:tc>
          <w:tcPr>
            <w:tcW w:w="452" w:type="pct"/>
            <w:tcBorders>
              <w:top w:val="nil"/>
              <w:left w:val="nil"/>
              <w:bottom w:val="nil"/>
              <w:right w:val="nil"/>
            </w:tcBorders>
            <w:shd w:val="clear" w:color="auto" w:fill="auto"/>
            <w:noWrap/>
            <w:vAlign w:val="bottom"/>
            <w:hideMark/>
          </w:tcPr>
          <w:p w14:paraId="452F0B08" w14:textId="77777777" w:rsidR="00D23195" w:rsidRPr="00D23195" w:rsidRDefault="00D23195" w:rsidP="00D23195">
            <w:pPr>
              <w:spacing w:line="240" w:lineRule="auto"/>
              <w:rPr>
                <w:rFonts w:ascii="Aptos Narrow" w:eastAsia="Times New Roman" w:hAnsi="Aptos Narrow" w:cs="Times New Roman"/>
                <w:color w:val="000000"/>
                <w:sz w:val="18"/>
                <w:szCs w:val="18"/>
                <w:lang w:val="de-DE" w:eastAsia="de-DE"/>
              </w:rPr>
            </w:pPr>
            <w:r w:rsidRPr="00D23195">
              <w:rPr>
                <w:rFonts w:ascii="Aptos Narrow" w:eastAsia="Times New Roman" w:hAnsi="Aptos Narrow" w:cs="Times New Roman"/>
                <w:color w:val="000000"/>
                <w:sz w:val="18"/>
                <w:szCs w:val="18"/>
                <w:lang w:val="de-DE" w:eastAsia="de-DE"/>
              </w:rPr>
              <w:t>-0.000</w:t>
            </w:r>
          </w:p>
        </w:tc>
        <w:tc>
          <w:tcPr>
            <w:tcW w:w="452" w:type="pct"/>
            <w:tcBorders>
              <w:top w:val="nil"/>
              <w:left w:val="nil"/>
              <w:bottom w:val="nil"/>
              <w:right w:val="nil"/>
            </w:tcBorders>
            <w:shd w:val="clear" w:color="auto" w:fill="auto"/>
            <w:noWrap/>
            <w:vAlign w:val="bottom"/>
            <w:hideMark/>
          </w:tcPr>
          <w:p w14:paraId="38C70ED1" w14:textId="77777777" w:rsidR="00D23195" w:rsidRPr="00D23195" w:rsidRDefault="00D23195" w:rsidP="00D23195">
            <w:pPr>
              <w:spacing w:line="240" w:lineRule="auto"/>
              <w:rPr>
                <w:rFonts w:ascii="Aptos Narrow" w:eastAsia="Times New Roman" w:hAnsi="Aptos Narrow" w:cs="Times New Roman"/>
                <w:color w:val="000000"/>
                <w:sz w:val="18"/>
                <w:szCs w:val="18"/>
                <w:lang w:val="de-DE" w:eastAsia="de-DE"/>
              </w:rPr>
            </w:pPr>
            <w:r w:rsidRPr="00D23195">
              <w:rPr>
                <w:rFonts w:ascii="Aptos Narrow" w:eastAsia="Times New Roman" w:hAnsi="Aptos Narrow" w:cs="Times New Roman"/>
                <w:color w:val="000000"/>
                <w:sz w:val="18"/>
                <w:szCs w:val="18"/>
                <w:lang w:val="de-DE" w:eastAsia="de-DE"/>
              </w:rPr>
              <w:t>0.002</w:t>
            </w:r>
          </w:p>
        </w:tc>
        <w:tc>
          <w:tcPr>
            <w:tcW w:w="452" w:type="pct"/>
            <w:tcBorders>
              <w:top w:val="nil"/>
              <w:left w:val="nil"/>
              <w:bottom w:val="nil"/>
              <w:right w:val="nil"/>
            </w:tcBorders>
            <w:shd w:val="clear" w:color="auto" w:fill="auto"/>
            <w:noWrap/>
            <w:vAlign w:val="bottom"/>
            <w:hideMark/>
          </w:tcPr>
          <w:p w14:paraId="47904AC2" w14:textId="77777777" w:rsidR="00D23195" w:rsidRPr="00D23195" w:rsidRDefault="00D23195" w:rsidP="00D23195">
            <w:pPr>
              <w:spacing w:line="240" w:lineRule="auto"/>
              <w:rPr>
                <w:rFonts w:ascii="Aptos Narrow" w:eastAsia="Times New Roman" w:hAnsi="Aptos Narrow" w:cs="Times New Roman"/>
                <w:color w:val="000000"/>
                <w:sz w:val="18"/>
                <w:szCs w:val="18"/>
                <w:lang w:val="de-DE" w:eastAsia="de-DE"/>
              </w:rPr>
            </w:pPr>
            <w:r w:rsidRPr="00D23195">
              <w:rPr>
                <w:rFonts w:ascii="Aptos Narrow" w:eastAsia="Times New Roman" w:hAnsi="Aptos Narrow" w:cs="Times New Roman"/>
                <w:color w:val="000000"/>
                <w:sz w:val="18"/>
                <w:szCs w:val="18"/>
                <w:lang w:val="de-DE" w:eastAsia="de-DE"/>
              </w:rPr>
              <w:t>0.002</w:t>
            </w:r>
          </w:p>
        </w:tc>
      </w:tr>
      <w:tr w:rsidR="00D23195" w:rsidRPr="00D23195" w14:paraId="6C2AE652" w14:textId="77777777" w:rsidTr="00D23195">
        <w:trPr>
          <w:trHeight w:val="288"/>
        </w:trPr>
        <w:tc>
          <w:tcPr>
            <w:tcW w:w="1385" w:type="pct"/>
            <w:tcBorders>
              <w:top w:val="nil"/>
              <w:left w:val="nil"/>
              <w:bottom w:val="nil"/>
              <w:right w:val="nil"/>
            </w:tcBorders>
            <w:shd w:val="clear" w:color="auto" w:fill="auto"/>
            <w:noWrap/>
            <w:vAlign w:val="bottom"/>
            <w:hideMark/>
          </w:tcPr>
          <w:p w14:paraId="1CE386A6" w14:textId="77777777" w:rsidR="00D23195" w:rsidRPr="00D23195" w:rsidRDefault="00D23195" w:rsidP="00D23195">
            <w:pPr>
              <w:spacing w:line="240" w:lineRule="auto"/>
              <w:rPr>
                <w:rFonts w:ascii="Aptos Narrow" w:eastAsia="Times New Roman" w:hAnsi="Aptos Narrow" w:cs="Times New Roman"/>
                <w:color w:val="000000"/>
                <w:sz w:val="18"/>
                <w:szCs w:val="18"/>
                <w:lang w:val="de-DE" w:eastAsia="de-DE"/>
              </w:rPr>
            </w:pPr>
          </w:p>
        </w:tc>
        <w:tc>
          <w:tcPr>
            <w:tcW w:w="452" w:type="pct"/>
            <w:tcBorders>
              <w:top w:val="nil"/>
              <w:left w:val="nil"/>
              <w:bottom w:val="nil"/>
              <w:right w:val="nil"/>
            </w:tcBorders>
            <w:shd w:val="clear" w:color="auto" w:fill="auto"/>
            <w:noWrap/>
            <w:vAlign w:val="bottom"/>
            <w:hideMark/>
          </w:tcPr>
          <w:p w14:paraId="5FB13CC2" w14:textId="77777777" w:rsidR="00D23195" w:rsidRPr="00D23195" w:rsidRDefault="00D23195" w:rsidP="00D23195">
            <w:pPr>
              <w:spacing w:line="240" w:lineRule="auto"/>
              <w:rPr>
                <w:rFonts w:ascii="Aptos Narrow" w:eastAsia="Times New Roman" w:hAnsi="Aptos Narrow" w:cs="Times New Roman"/>
                <w:color w:val="000000"/>
                <w:sz w:val="18"/>
                <w:szCs w:val="18"/>
                <w:lang w:val="de-DE" w:eastAsia="de-DE"/>
              </w:rPr>
            </w:pPr>
            <w:r w:rsidRPr="00D23195">
              <w:rPr>
                <w:rFonts w:ascii="Aptos Narrow" w:eastAsia="Times New Roman" w:hAnsi="Aptos Narrow" w:cs="Times New Roman"/>
                <w:color w:val="000000"/>
                <w:sz w:val="18"/>
                <w:szCs w:val="18"/>
                <w:lang w:val="de-DE" w:eastAsia="de-DE"/>
              </w:rPr>
              <w:t>(0.644)</w:t>
            </w:r>
          </w:p>
        </w:tc>
        <w:tc>
          <w:tcPr>
            <w:tcW w:w="452" w:type="pct"/>
            <w:tcBorders>
              <w:top w:val="nil"/>
              <w:left w:val="nil"/>
              <w:bottom w:val="nil"/>
              <w:right w:val="nil"/>
            </w:tcBorders>
            <w:shd w:val="clear" w:color="auto" w:fill="auto"/>
            <w:noWrap/>
            <w:vAlign w:val="bottom"/>
            <w:hideMark/>
          </w:tcPr>
          <w:p w14:paraId="2D74CFFF" w14:textId="77777777" w:rsidR="00D23195" w:rsidRPr="00D23195" w:rsidRDefault="00D23195" w:rsidP="00D23195">
            <w:pPr>
              <w:spacing w:line="240" w:lineRule="auto"/>
              <w:rPr>
                <w:rFonts w:ascii="Aptos Narrow" w:eastAsia="Times New Roman" w:hAnsi="Aptos Narrow" w:cs="Times New Roman"/>
                <w:color w:val="000000"/>
                <w:sz w:val="18"/>
                <w:szCs w:val="18"/>
                <w:lang w:val="de-DE" w:eastAsia="de-DE"/>
              </w:rPr>
            </w:pPr>
            <w:r w:rsidRPr="00D23195">
              <w:rPr>
                <w:rFonts w:ascii="Aptos Narrow" w:eastAsia="Times New Roman" w:hAnsi="Aptos Narrow" w:cs="Times New Roman"/>
                <w:color w:val="000000"/>
                <w:sz w:val="18"/>
                <w:szCs w:val="18"/>
                <w:lang w:val="de-DE" w:eastAsia="de-DE"/>
              </w:rPr>
              <w:t>(0.985)</w:t>
            </w:r>
          </w:p>
        </w:tc>
        <w:tc>
          <w:tcPr>
            <w:tcW w:w="452" w:type="pct"/>
            <w:tcBorders>
              <w:top w:val="nil"/>
              <w:left w:val="nil"/>
              <w:bottom w:val="nil"/>
              <w:right w:val="nil"/>
            </w:tcBorders>
            <w:shd w:val="clear" w:color="auto" w:fill="auto"/>
            <w:noWrap/>
            <w:vAlign w:val="bottom"/>
            <w:hideMark/>
          </w:tcPr>
          <w:p w14:paraId="755C243A" w14:textId="77777777" w:rsidR="00D23195" w:rsidRPr="00D23195" w:rsidRDefault="00D23195" w:rsidP="00D23195">
            <w:pPr>
              <w:spacing w:line="240" w:lineRule="auto"/>
              <w:rPr>
                <w:rFonts w:ascii="Aptos Narrow" w:eastAsia="Times New Roman" w:hAnsi="Aptos Narrow" w:cs="Times New Roman"/>
                <w:color w:val="000000"/>
                <w:sz w:val="18"/>
                <w:szCs w:val="18"/>
                <w:lang w:val="de-DE" w:eastAsia="de-DE"/>
              </w:rPr>
            </w:pPr>
            <w:r w:rsidRPr="00D23195">
              <w:rPr>
                <w:rFonts w:ascii="Aptos Narrow" w:eastAsia="Times New Roman" w:hAnsi="Aptos Narrow" w:cs="Times New Roman"/>
                <w:color w:val="000000"/>
                <w:sz w:val="18"/>
                <w:szCs w:val="18"/>
                <w:lang w:val="de-DE" w:eastAsia="de-DE"/>
              </w:rPr>
              <w:t>(0.947)</w:t>
            </w:r>
          </w:p>
        </w:tc>
        <w:tc>
          <w:tcPr>
            <w:tcW w:w="452" w:type="pct"/>
            <w:tcBorders>
              <w:top w:val="nil"/>
              <w:left w:val="nil"/>
              <w:bottom w:val="nil"/>
              <w:right w:val="nil"/>
            </w:tcBorders>
            <w:shd w:val="clear" w:color="auto" w:fill="auto"/>
            <w:noWrap/>
            <w:vAlign w:val="bottom"/>
            <w:hideMark/>
          </w:tcPr>
          <w:p w14:paraId="6AE6C6EB" w14:textId="77777777" w:rsidR="00D23195" w:rsidRPr="00D23195" w:rsidRDefault="00D23195" w:rsidP="00D23195">
            <w:pPr>
              <w:spacing w:line="240" w:lineRule="auto"/>
              <w:rPr>
                <w:rFonts w:ascii="Aptos Narrow" w:eastAsia="Times New Roman" w:hAnsi="Aptos Narrow" w:cs="Times New Roman"/>
                <w:color w:val="000000"/>
                <w:sz w:val="18"/>
                <w:szCs w:val="18"/>
                <w:lang w:val="de-DE" w:eastAsia="de-DE"/>
              </w:rPr>
            </w:pPr>
            <w:r w:rsidRPr="00D23195">
              <w:rPr>
                <w:rFonts w:ascii="Aptos Narrow" w:eastAsia="Times New Roman" w:hAnsi="Aptos Narrow" w:cs="Times New Roman"/>
                <w:color w:val="000000"/>
                <w:sz w:val="18"/>
                <w:szCs w:val="18"/>
                <w:lang w:val="de-DE" w:eastAsia="de-DE"/>
              </w:rPr>
              <w:t>(0.949)</w:t>
            </w:r>
          </w:p>
        </w:tc>
        <w:tc>
          <w:tcPr>
            <w:tcW w:w="452" w:type="pct"/>
            <w:tcBorders>
              <w:top w:val="nil"/>
              <w:left w:val="nil"/>
              <w:bottom w:val="nil"/>
              <w:right w:val="nil"/>
            </w:tcBorders>
            <w:shd w:val="clear" w:color="auto" w:fill="auto"/>
            <w:noWrap/>
            <w:vAlign w:val="bottom"/>
            <w:hideMark/>
          </w:tcPr>
          <w:p w14:paraId="326A1D55" w14:textId="77777777" w:rsidR="00D23195" w:rsidRPr="00D23195" w:rsidRDefault="00D23195" w:rsidP="00D23195">
            <w:pPr>
              <w:spacing w:line="240" w:lineRule="auto"/>
              <w:rPr>
                <w:rFonts w:ascii="Aptos Narrow" w:eastAsia="Times New Roman" w:hAnsi="Aptos Narrow" w:cs="Times New Roman"/>
                <w:color w:val="000000"/>
                <w:sz w:val="18"/>
                <w:szCs w:val="18"/>
                <w:lang w:val="de-DE" w:eastAsia="de-DE"/>
              </w:rPr>
            </w:pPr>
            <w:r w:rsidRPr="00D23195">
              <w:rPr>
                <w:rFonts w:ascii="Aptos Narrow" w:eastAsia="Times New Roman" w:hAnsi="Aptos Narrow" w:cs="Times New Roman"/>
                <w:color w:val="000000"/>
                <w:sz w:val="18"/>
                <w:szCs w:val="18"/>
                <w:lang w:val="de-DE" w:eastAsia="de-DE"/>
              </w:rPr>
              <w:t>(0.634)</w:t>
            </w:r>
          </w:p>
        </w:tc>
        <w:tc>
          <w:tcPr>
            <w:tcW w:w="452" w:type="pct"/>
            <w:tcBorders>
              <w:top w:val="nil"/>
              <w:left w:val="nil"/>
              <w:bottom w:val="nil"/>
              <w:right w:val="nil"/>
            </w:tcBorders>
            <w:shd w:val="clear" w:color="auto" w:fill="auto"/>
            <w:noWrap/>
            <w:vAlign w:val="bottom"/>
            <w:hideMark/>
          </w:tcPr>
          <w:p w14:paraId="2BF41860" w14:textId="77777777" w:rsidR="00D23195" w:rsidRPr="00D23195" w:rsidRDefault="00D23195" w:rsidP="00D23195">
            <w:pPr>
              <w:spacing w:line="240" w:lineRule="auto"/>
              <w:rPr>
                <w:rFonts w:ascii="Aptos Narrow" w:eastAsia="Times New Roman" w:hAnsi="Aptos Narrow" w:cs="Times New Roman"/>
                <w:color w:val="000000"/>
                <w:sz w:val="18"/>
                <w:szCs w:val="18"/>
                <w:lang w:val="de-DE" w:eastAsia="de-DE"/>
              </w:rPr>
            </w:pPr>
            <w:r w:rsidRPr="00D23195">
              <w:rPr>
                <w:rFonts w:ascii="Aptos Narrow" w:eastAsia="Times New Roman" w:hAnsi="Aptos Narrow" w:cs="Times New Roman"/>
                <w:color w:val="000000"/>
                <w:sz w:val="18"/>
                <w:szCs w:val="18"/>
                <w:lang w:val="de-DE" w:eastAsia="de-DE"/>
              </w:rPr>
              <w:t>(0.990)</w:t>
            </w:r>
          </w:p>
        </w:tc>
        <w:tc>
          <w:tcPr>
            <w:tcW w:w="452" w:type="pct"/>
            <w:tcBorders>
              <w:top w:val="nil"/>
              <w:left w:val="nil"/>
              <w:bottom w:val="nil"/>
              <w:right w:val="nil"/>
            </w:tcBorders>
            <w:shd w:val="clear" w:color="auto" w:fill="auto"/>
            <w:noWrap/>
            <w:vAlign w:val="bottom"/>
            <w:hideMark/>
          </w:tcPr>
          <w:p w14:paraId="4E57F430" w14:textId="77777777" w:rsidR="00D23195" w:rsidRPr="00D23195" w:rsidRDefault="00D23195" w:rsidP="00D23195">
            <w:pPr>
              <w:spacing w:line="240" w:lineRule="auto"/>
              <w:rPr>
                <w:rFonts w:ascii="Aptos Narrow" w:eastAsia="Times New Roman" w:hAnsi="Aptos Narrow" w:cs="Times New Roman"/>
                <w:color w:val="000000"/>
                <w:sz w:val="18"/>
                <w:szCs w:val="18"/>
                <w:lang w:val="de-DE" w:eastAsia="de-DE"/>
              </w:rPr>
            </w:pPr>
            <w:r w:rsidRPr="00D23195">
              <w:rPr>
                <w:rFonts w:ascii="Aptos Narrow" w:eastAsia="Times New Roman" w:hAnsi="Aptos Narrow" w:cs="Times New Roman"/>
                <w:color w:val="000000"/>
                <w:sz w:val="18"/>
                <w:szCs w:val="18"/>
                <w:lang w:val="de-DE" w:eastAsia="de-DE"/>
              </w:rPr>
              <w:t>(0.934)</w:t>
            </w:r>
          </w:p>
        </w:tc>
        <w:tc>
          <w:tcPr>
            <w:tcW w:w="452" w:type="pct"/>
            <w:tcBorders>
              <w:top w:val="nil"/>
              <w:left w:val="nil"/>
              <w:bottom w:val="nil"/>
              <w:right w:val="nil"/>
            </w:tcBorders>
            <w:shd w:val="clear" w:color="auto" w:fill="auto"/>
            <w:noWrap/>
            <w:vAlign w:val="bottom"/>
            <w:hideMark/>
          </w:tcPr>
          <w:p w14:paraId="1F3FC30F" w14:textId="77777777" w:rsidR="00D23195" w:rsidRPr="00D23195" w:rsidRDefault="00D23195" w:rsidP="00D23195">
            <w:pPr>
              <w:spacing w:line="240" w:lineRule="auto"/>
              <w:rPr>
                <w:rFonts w:ascii="Aptos Narrow" w:eastAsia="Times New Roman" w:hAnsi="Aptos Narrow" w:cs="Times New Roman"/>
                <w:color w:val="000000"/>
                <w:sz w:val="18"/>
                <w:szCs w:val="18"/>
                <w:lang w:val="de-DE" w:eastAsia="de-DE"/>
              </w:rPr>
            </w:pPr>
            <w:r w:rsidRPr="00D23195">
              <w:rPr>
                <w:rFonts w:ascii="Aptos Narrow" w:eastAsia="Times New Roman" w:hAnsi="Aptos Narrow" w:cs="Times New Roman"/>
                <w:color w:val="000000"/>
                <w:sz w:val="18"/>
                <w:szCs w:val="18"/>
                <w:lang w:val="de-DE" w:eastAsia="de-DE"/>
              </w:rPr>
              <w:t>(0.934)</w:t>
            </w:r>
          </w:p>
        </w:tc>
      </w:tr>
      <w:tr w:rsidR="00D23195" w:rsidRPr="00D23195" w14:paraId="4C683778" w14:textId="77777777" w:rsidTr="00D23195">
        <w:trPr>
          <w:trHeight w:val="288"/>
        </w:trPr>
        <w:tc>
          <w:tcPr>
            <w:tcW w:w="1385" w:type="pct"/>
            <w:tcBorders>
              <w:top w:val="nil"/>
              <w:left w:val="nil"/>
              <w:bottom w:val="nil"/>
              <w:right w:val="nil"/>
            </w:tcBorders>
            <w:shd w:val="clear" w:color="auto" w:fill="auto"/>
            <w:noWrap/>
            <w:vAlign w:val="bottom"/>
            <w:hideMark/>
          </w:tcPr>
          <w:p w14:paraId="44D2C9C1" w14:textId="77777777" w:rsidR="00D23195" w:rsidRPr="00D23195" w:rsidRDefault="00D23195" w:rsidP="00D23195">
            <w:pPr>
              <w:spacing w:line="240" w:lineRule="auto"/>
              <w:rPr>
                <w:rFonts w:ascii="Aptos Narrow" w:eastAsia="Times New Roman" w:hAnsi="Aptos Narrow" w:cs="Times New Roman"/>
                <w:color w:val="000000"/>
                <w:sz w:val="18"/>
                <w:szCs w:val="18"/>
                <w:lang w:val="de-DE" w:eastAsia="de-DE"/>
              </w:rPr>
            </w:pPr>
            <w:r w:rsidRPr="00D23195">
              <w:rPr>
                <w:rFonts w:ascii="Aptos Narrow" w:eastAsia="Times New Roman" w:hAnsi="Aptos Narrow" w:cs="Times New Roman"/>
                <w:color w:val="000000"/>
                <w:sz w:val="18"/>
                <w:szCs w:val="18"/>
                <w:lang w:val="de-DE" w:eastAsia="de-DE"/>
              </w:rPr>
              <w:t xml:space="preserve">Sharing </w:t>
            </w:r>
            <w:proofErr w:type="spellStart"/>
            <w:r w:rsidRPr="00D23195">
              <w:rPr>
                <w:rFonts w:ascii="Aptos Narrow" w:eastAsia="Times New Roman" w:hAnsi="Aptos Narrow" w:cs="Times New Roman"/>
                <w:color w:val="000000"/>
                <w:sz w:val="18"/>
                <w:szCs w:val="18"/>
                <w:lang w:val="de-DE" w:eastAsia="de-DE"/>
              </w:rPr>
              <w:t>data</w:t>
            </w:r>
            <w:proofErr w:type="spellEnd"/>
            <w:r w:rsidRPr="00D23195">
              <w:rPr>
                <w:rFonts w:ascii="Aptos Narrow" w:eastAsia="Times New Roman" w:hAnsi="Aptos Narrow" w:cs="Times New Roman"/>
                <w:color w:val="000000"/>
                <w:sz w:val="18"/>
                <w:szCs w:val="18"/>
                <w:lang w:val="de-DE" w:eastAsia="de-DE"/>
              </w:rPr>
              <w:t xml:space="preserve"> </w:t>
            </w:r>
            <w:proofErr w:type="spellStart"/>
            <w:r w:rsidRPr="00D23195">
              <w:rPr>
                <w:rFonts w:ascii="Aptos Narrow" w:eastAsia="Times New Roman" w:hAnsi="Aptos Narrow" w:cs="Times New Roman"/>
                <w:color w:val="000000"/>
                <w:sz w:val="18"/>
                <w:szCs w:val="18"/>
                <w:lang w:val="de-DE" w:eastAsia="de-DE"/>
              </w:rPr>
              <w:t>protection</w:t>
            </w:r>
            <w:proofErr w:type="spellEnd"/>
          </w:p>
        </w:tc>
        <w:tc>
          <w:tcPr>
            <w:tcW w:w="452" w:type="pct"/>
            <w:tcBorders>
              <w:top w:val="nil"/>
              <w:left w:val="nil"/>
              <w:bottom w:val="nil"/>
              <w:right w:val="nil"/>
            </w:tcBorders>
            <w:shd w:val="clear" w:color="auto" w:fill="auto"/>
            <w:noWrap/>
            <w:vAlign w:val="bottom"/>
            <w:hideMark/>
          </w:tcPr>
          <w:p w14:paraId="6592D597" w14:textId="77777777" w:rsidR="00D23195" w:rsidRPr="00D23195" w:rsidRDefault="00D23195" w:rsidP="00D23195">
            <w:pPr>
              <w:spacing w:line="240" w:lineRule="auto"/>
              <w:rPr>
                <w:rFonts w:ascii="Aptos Narrow" w:eastAsia="Times New Roman" w:hAnsi="Aptos Narrow" w:cs="Times New Roman"/>
                <w:color w:val="000000"/>
                <w:sz w:val="18"/>
                <w:szCs w:val="18"/>
                <w:lang w:val="de-DE" w:eastAsia="de-DE"/>
              </w:rPr>
            </w:pPr>
            <w:r w:rsidRPr="00D23195">
              <w:rPr>
                <w:rFonts w:ascii="Aptos Narrow" w:eastAsia="Times New Roman" w:hAnsi="Aptos Narrow" w:cs="Times New Roman"/>
                <w:color w:val="000000"/>
                <w:sz w:val="18"/>
                <w:szCs w:val="18"/>
                <w:lang w:val="de-DE" w:eastAsia="de-DE"/>
              </w:rPr>
              <w:t>-0.101***</w:t>
            </w:r>
          </w:p>
        </w:tc>
        <w:tc>
          <w:tcPr>
            <w:tcW w:w="452" w:type="pct"/>
            <w:tcBorders>
              <w:top w:val="nil"/>
              <w:left w:val="nil"/>
              <w:bottom w:val="nil"/>
              <w:right w:val="nil"/>
            </w:tcBorders>
            <w:shd w:val="clear" w:color="auto" w:fill="auto"/>
            <w:noWrap/>
            <w:vAlign w:val="bottom"/>
            <w:hideMark/>
          </w:tcPr>
          <w:p w14:paraId="4D18F1F3" w14:textId="77777777" w:rsidR="00D23195" w:rsidRPr="00D23195" w:rsidRDefault="00D23195" w:rsidP="00D23195">
            <w:pPr>
              <w:spacing w:line="240" w:lineRule="auto"/>
              <w:rPr>
                <w:rFonts w:ascii="Aptos Narrow" w:eastAsia="Times New Roman" w:hAnsi="Aptos Narrow" w:cs="Times New Roman"/>
                <w:color w:val="000000"/>
                <w:sz w:val="18"/>
                <w:szCs w:val="18"/>
                <w:lang w:val="de-DE" w:eastAsia="de-DE"/>
              </w:rPr>
            </w:pPr>
            <w:r w:rsidRPr="00D23195">
              <w:rPr>
                <w:rFonts w:ascii="Aptos Narrow" w:eastAsia="Times New Roman" w:hAnsi="Aptos Narrow" w:cs="Times New Roman"/>
                <w:color w:val="000000"/>
                <w:sz w:val="18"/>
                <w:szCs w:val="18"/>
                <w:lang w:val="de-DE" w:eastAsia="de-DE"/>
              </w:rPr>
              <w:t>-0.084***</w:t>
            </w:r>
          </w:p>
        </w:tc>
        <w:tc>
          <w:tcPr>
            <w:tcW w:w="452" w:type="pct"/>
            <w:tcBorders>
              <w:top w:val="nil"/>
              <w:left w:val="nil"/>
              <w:bottom w:val="nil"/>
              <w:right w:val="nil"/>
            </w:tcBorders>
            <w:shd w:val="clear" w:color="auto" w:fill="auto"/>
            <w:noWrap/>
            <w:vAlign w:val="bottom"/>
            <w:hideMark/>
          </w:tcPr>
          <w:p w14:paraId="5106C6ED" w14:textId="77777777" w:rsidR="00D23195" w:rsidRPr="00D23195" w:rsidRDefault="00D23195" w:rsidP="00D23195">
            <w:pPr>
              <w:spacing w:line="240" w:lineRule="auto"/>
              <w:rPr>
                <w:rFonts w:ascii="Aptos Narrow" w:eastAsia="Times New Roman" w:hAnsi="Aptos Narrow" w:cs="Times New Roman"/>
                <w:color w:val="000000"/>
                <w:sz w:val="18"/>
                <w:szCs w:val="18"/>
                <w:lang w:val="de-DE" w:eastAsia="de-DE"/>
              </w:rPr>
            </w:pPr>
            <w:r w:rsidRPr="00D23195">
              <w:rPr>
                <w:rFonts w:ascii="Aptos Narrow" w:eastAsia="Times New Roman" w:hAnsi="Aptos Narrow" w:cs="Times New Roman"/>
                <w:color w:val="000000"/>
                <w:sz w:val="18"/>
                <w:szCs w:val="18"/>
                <w:lang w:val="de-DE" w:eastAsia="de-DE"/>
              </w:rPr>
              <w:t>-0.084***</w:t>
            </w:r>
          </w:p>
        </w:tc>
        <w:tc>
          <w:tcPr>
            <w:tcW w:w="452" w:type="pct"/>
            <w:tcBorders>
              <w:top w:val="nil"/>
              <w:left w:val="nil"/>
              <w:bottom w:val="nil"/>
              <w:right w:val="nil"/>
            </w:tcBorders>
            <w:shd w:val="clear" w:color="auto" w:fill="auto"/>
            <w:noWrap/>
            <w:vAlign w:val="bottom"/>
            <w:hideMark/>
          </w:tcPr>
          <w:p w14:paraId="0C0A4F29" w14:textId="77777777" w:rsidR="00D23195" w:rsidRPr="00D23195" w:rsidRDefault="00D23195" w:rsidP="00D23195">
            <w:pPr>
              <w:spacing w:line="240" w:lineRule="auto"/>
              <w:rPr>
                <w:rFonts w:ascii="Aptos Narrow" w:eastAsia="Times New Roman" w:hAnsi="Aptos Narrow" w:cs="Times New Roman"/>
                <w:color w:val="000000"/>
                <w:sz w:val="18"/>
                <w:szCs w:val="18"/>
                <w:lang w:val="de-DE" w:eastAsia="de-DE"/>
              </w:rPr>
            </w:pPr>
            <w:r w:rsidRPr="00D23195">
              <w:rPr>
                <w:rFonts w:ascii="Aptos Narrow" w:eastAsia="Times New Roman" w:hAnsi="Aptos Narrow" w:cs="Times New Roman"/>
                <w:color w:val="000000"/>
                <w:sz w:val="18"/>
                <w:szCs w:val="18"/>
                <w:lang w:val="de-DE" w:eastAsia="de-DE"/>
              </w:rPr>
              <w:t>-0.085***</w:t>
            </w:r>
          </w:p>
        </w:tc>
        <w:tc>
          <w:tcPr>
            <w:tcW w:w="452" w:type="pct"/>
            <w:tcBorders>
              <w:top w:val="nil"/>
              <w:left w:val="nil"/>
              <w:bottom w:val="nil"/>
              <w:right w:val="nil"/>
            </w:tcBorders>
            <w:shd w:val="clear" w:color="auto" w:fill="auto"/>
            <w:noWrap/>
            <w:vAlign w:val="bottom"/>
            <w:hideMark/>
          </w:tcPr>
          <w:p w14:paraId="028BA24D" w14:textId="77777777" w:rsidR="00D23195" w:rsidRPr="00D23195" w:rsidRDefault="00D23195" w:rsidP="00D23195">
            <w:pPr>
              <w:spacing w:line="240" w:lineRule="auto"/>
              <w:rPr>
                <w:rFonts w:ascii="Aptos Narrow" w:eastAsia="Times New Roman" w:hAnsi="Aptos Narrow" w:cs="Times New Roman"/>
                <w:color w:val="000000"/>
                <w:sz w:val="18"/>
                <w:szCs w:val="18"/>
                <w:lang w:val="de-DE" w:eastAsia="de-DE"/>
              </w:rPr>
            </w:pPr>
            <w:r w:rsidRPr="00D23195">
              <w:rPr>
                <w:rFonts w:ascii="Aptos Narrow" w:eastAsia="Times New Roman" w:hAnsi="Aptos Narrow" w:cs="Times New Roman"/>
                <w:color w:val="000000"/>
                <w:sz w:val="18"/>
                <w:szCs w:val="18"/>
                <w:lang w:val="de-DE" w:eastAsia="de-DE"/>
              </w:rPr>
              <w:t>0.001</w:t>
            </w:r>
          </w:p>
        </w:tc>
        <w:tc>
          <w:tcPr>
            <w:tcW w:w="452" w:type="pct"/>
            <w:tcBorders>
              <w:top w:val="nil"/>
              <w:left w:val="nil"/>
              <w:bottom w:val="nil"/>
              <w:right w:val="nil"/>
            </w:tcBorders>
            <w:shd w:val="clear" w:color="auto" w:fill="auto"/>
            <w:noWrap/>
            <w:vAlign w:val="bottom"/>
            <w:hideMark/>
          </w:tcPr>
          <w:p w14:paraId="41DE259C" w14:textId="77777777" w:rsidR="00D23195" w:rsidRPr="00D23195" w:rsidRDefault="00D23195" w:rsidP="00D23195">
            <w:pPr>
              <w:spacing w:line="240" w:lineRule="auto"/>
              <w:rPr>
                <w:rFonts w:ascii="Aptos Narrow" w:eastAsia="Times New Roman" w:hAnsi="Aptos Narrow" w:cs="Times New Roman"/>
                <w:color w:val="000000"/>
                <w:sz w:val="18"/>
                <w:szCs w:val="18"/>
                <w:lang w:val="de-DE" w:eastAsia="de-DE"/>
              </w:rPr>
            </w:pPr>
            <w:r w:rsidRPr="00D23195">
              <w:rPr>
                <w:rFonts w:ascii="Aptos Narrow" w:eastAsia="Times New Roman" w:hAnsi="Aptos Narrow" w:cs="Times New Roman"/>
                <w:color w:val="000000"/>
                <w:sz w:val="18"/>
                <w:szCs w:val="18"/>
                <w:lang w:val="de-DE" w:eastAsia="de-DE"/>
              </w:rPr>
              <w:t>0.020</w:t>
            </w:r>
          </w:p>
        </w:tc>
        <w:tc>
          <w:tcPr>
            <w:tcW w:w="452" w:type="pct"/>
            <w:tcBorders>
              <w:top w:val="nil"/>
              <w:left w:val="nil"/>
              <w:bottom w:val="nil"/>
              <w:right w:val="nil"/>
            </w:tcBorders>
            <w:shd w:val="clear" w:color="auto" w:fill="auto"/>
            <w:noWrap/>
            <w:vAlign w:val="bottom"/>
            <w:hideMark/>
          </w:tcPr>
          <w:p w14:paraId="0255B003" w14:textId="77777777" w:rsidR="00D23195" w:rsidRPr="00D23195" w:rsidRDefault="00D23195" w:rsidP="00D23195">
            <w:pPr>
              <w:spacing w:line="240" w:lineRule="auto"/>
              <w:rPr>
                <w:rFonts w:ascii="Aptos Narrow" w:eastAsia="Times New Roman" w:hAnsi="Aptos Narrow" w:cs="Times New Roman"/>
                <w:color w:val="000000"/>
                <w:sz w:val="18"/>
                <w:szCs w:val="18"/>
                <w:lang w:val="de-DE" w:eastAsia="de-DE"/>
              </w:rPr>
            </w:pPr>
            <w:r w:rsidRPr="00D23195">
              <w:rPr>
                <w:rFonts w:ascii="Aptos Narrow" w:eastAsia="Times New Roman" w:hAnsi="Aptos Narrow" w:cs="Times New Roman"/>
                <w:color w:val="000000"/>
                <w:sz w:val="18"/>
                <w:szCs w:val="18"/>
                <w:lang w:val="de-DE" w:eastAsia="de-DE"/>
              </w:rPr>
              <w:t>0.020</w:t>
            </w:r>
          </w:p>
        </w:tc>
        <w:tc>
          <w:tcPr>
            <w:tcW w:w="452" w:type="pct"/>
            <w:tcBorders>
              <w:top w:val="nil"/>
              <w:left w:val="nil"/>
              <w:bottom w:val="nil"/>
              <w:right w:val="nil"/>
            </w:tcBorders>
            <w:shd w:val="clear" w:color="auto" w:fill="auto"/>
            <w:noWrap/>
            <w:vAlign w:val="bottom"/>
            <w:hideMark/>
          </w:tcPr>
          <w:p w14:paraId="2C4E2182" w14:textId="77777777" w:rsidR="00D23195" w:rsidRPr="00D23195" w:rsidRDefault="00D23195" w:rsidP="00D23195">
            <w:pPr>
              <w:spacing w:line="240" w:lineRule="auto"/>
              <w:rPr>
                <w:rFonts w:ascii="Aptos Narrow" w:eastAsia="Times New Roman" w:hAnsi="Aptos Narrow" w:cs="Times New Roman"/>
                <w:color w:val="000000"/>
                <w:sz w:val="18"/>
                <w:szCs w:val="18"/>
                <w:lang w:val="de-DE" w:eastAsia="de-DE"/>
              </w:rPr>
            </w:pPr>
            <w:r w:rsidRPr="00D23195">
              <w:rPr>
                <w:rFonts w:ascii="Aptos Narrow" w:eastAsia="Times New Roman" w:hAnsi="Aptos Narrow" w:cs="Times New Roman"/>
                <w:color w:val="000000"/>
                <w:sz w:val="18"/>
                <w:szCs w:val="18"/>
                <w:lang w:val="de-DE" w:eastAsia="de-DE"/>
              </w:rPr>
              <w:t>0.020</w:t>
            </w:r>
          </w:p>
        </w:tc>
      </w:tr>
      <w:tr w:rsidR="00D23195" w:rsidRPr="00D23195" w14:paraId="0733397E" w14:textId="77777777" w:rsidTr="00D23195">
        <w:trPr>
          <w:trHeight w:val="288"/>
        </w:trPr>
        <w:tc>
          <w:tcPr>
            <w:tcW w:w="1385" w:type="pct"/>
            <w:tcBorders>
              <w:top w:val="nil"/>
              <w:left w:val="nil"/>
              <w:bottom w:val="nil"/>
              <w:right w:val="nil"/>
            </w:tcBorders>
            <w:shd w:val="clear" w:color="auto" w:fill="auto"/>
            <w:noWrap/>
            <w:vAlign w:val="bottom"/>
            <w:hideMark/>
          </w:tcPr>
          <w:p w14:paraId="5524CCC3" w14:textId="77777777" w:rsidR="00D23195" w:rsidRPr="00D23195" w:rsidRDefault="00D23195" w:rsidP="00D23195">
            <w:pPr>
              <w:spacing w:line="240" w:lineRule="auto"/>
              <w:rPr>
                <w:rFonts w:ascii="Aptos Narrow" w:eastAsia="Times New Roman" w:hAnsi="Aptos Narrow" w:cs="Times New Roman"/>
                <w:color w:val="000000"/>
                <w:sz w:val="18"/>
                <w:szCs w:val="18"/>
                <w:lang w:val="de-DE" w:eastAsia="de-DE"/>
              </w:rPr>
            </w:pPr>
          </w:p>
        </w:tc>
        <w:tc>
          <w:tcPr>
            <w:tcW w:w="452" w:type="pct"/>
            <w:tcBorders>
              <w:top w:val="nil"/>
              <w:left w:val="nil"/>
              <w:bottom w:val="nil"/>
              <w:right w:val="nil"/>
            </w:tcBorders>
            <w:shd w:val="clear" w:color="auto" w:fill="auto"/>
            <w:noWrap/>
            <w:vAlign w:val="bottom"/>
            <w:hideMark/>
          </w:tcPr>
          <w:p w14:paraId="7FD02A54" w14:textId="77777777" w:rsidR="00D23195" w:rsidRPr="00D23195" w:rsidRDefault="00D23195" w:rsidP="00D23195">
            <w:pPr>
              <w:spacing w:line="240" w:lineRule="auto"/>
              <w:rPr>
                <w:rFonts w:ascii="Aptos Narrow" w:eastAsia="Times New Roman" w:hAnsi="Aptos Narrow" w:cs="Times New Roman"/>
                <w:color w:val="000000"/>
                <w:sz w:val="18"/>
                <w:szCs w:val="18"/>
                <w:lang w:val="de-DE" w:eastAsia="de-DE"/>
              </w:rPr>
            </w:pPr>
            <w:r w:rsidRPr="00D23195">
              <w:rPr>
                <w:rFonts w:ascii="Aptos Narrow" w:eastAsia="Times New Roman" w:hAnsi="Aptos Narrow" w:cs="Times New Roman"/>
                <w:color w:val="000000"/>
                <w:sz w:val="18"/>
                <w:szCs w:val="18"/>
                <w:lang w:val="de-DE" w:eastAsia="de-DE"/>
              </w:rPr>
              <w:t>(0.004)</w:t>
            </w:r>
          </w:p>
        </w:tc>
        <w:tc>
          <w:tcPr>
            <w:tcW w:w="452" w:type="pct"/>
            <w:tcBorders>
              <w:top w:val="nil"/>
              <w:left w:val="nil"/>
              <w:bottom w:val="nil"/>
              <w:right w:val="nil"/>
            </w:tcBorders>
            <w:shd w:val="clear" w:color="auto" w:fill="auto"/>
            <w:noWrap/>
            <w:vAlign w:val="bottom"/>
            <w:hideMark/>
          </w:tcPr>
          <w:p w14:paraId="6FF4E262" w14:textId="77777777" w:rsidR="00D23195" w:rsidRPr="00D23195" w:rsidRDefault="00D23195" w:rsidP="00D23195">
            <w:pPr>
              <w:spacing w:line="240" w:lineRule="auto"/>
              <w:rPr>
                <w:rFonts w:ascii="Aptos Narrow" w:eastAsia="Times New Roman" w:hAnsi="Aptos Narrow" w:cs="Times New Roman"/>
                <w:color w:val="000000"/>
                <w:sz w:val="18"/>
                <w:szCs w:val="18"/>
                <w:lang w:val="de-DE" w:eastAsia="de-DE"/>
              </w:rPr>
            </w:pPr>
            <w:r w:rsidRPr="00D23195">
              <w:rPr>
                <w:rFonts w:ascii="Aptos Narrow" w:eastAsia="Times New Roman" w:hAnsi="Aptos Narrow" w:cs="Times New Roman"/>
                <w:color w:val="000000"/>
                <w:sz w:val="18"/>
                <w:szCs w:val="18"/>
                <w:lang w:val="de-DE" w:eastAsia="de-DE"/>
              </w:rPr>
              <w:t>(0.008)</w:t>
            </w:r>
          </w:p>
        </w:tc>
        <w:tc>
          <w:tcPr>
            <w:tcW w:w="452" w:type="pct"/>
            <w:tcBorders>
              <w:top w:val="nil"/>
              <w:left w:val="nil"/>
              <w:bottom w:val="nil"/>
              <w:right w:val="nil"/>
            </w:tcBorders>
            <w:shd w:val="clear" w:color="auto" w:fill="auto"/>
            <w:noWrap/>
            <w:vAlign w:val="bottom"/>
            <w:hideMark/>
          </w:tcPr>
          <w:p w14:paraId="209DABD6" w14:textId="77777777" w:rsidR="00D23195" w:rsidRPr="00D23195" w:rsidRDefault="00D23195" w:rsidP="00D23195">
            <w:pPr>
              <w:spacing w:line="240" w:lineRule="auto"/>
              <w:rPr>
                <w:rFonts w:ascii="Aptos Narrow" w:eastAsia="Times New Roman" w:hAnsi="Aptos Narrow" w:cs="Times New Roman"/>
                <w:color w:val="000000"/>
                <w:sz w:val="18"/>
                <w:szCs w:val="18"/>
                <w:lang w:val="de-DE" w:eastAsia="de-DE"/>
              </w:rPr>
            </w:pPr>
            <w:r w:rsidRPr="00D23195">
              <w:rPr>
                <w:rFonts w:ascii="Aptos Narrow" w:eastAsia="Times New Roman" w:hAnsi="Aptos Narrow" w:cs="Times New Roman"/>
                <w:color w:val="000000"/>
                <w:sz w:val="18"/>
                <w:szCs w:val="18"/>
                <w:lang w:val="de-DE" w:eastAsia="de-DE"/>
              </w:rPr>
              <w:t>(0.007)</w:t>
            </w:r>
          </w:p>
        </w:tc>
        <w:tc>
          <w:tcPr>
            <w:tcW w:w="452" w:type="pct"/>
            <w:tcBorders>
              <w:top w:val="nil"/>
              <w:left w:val="nil"/>
              <w:bottom w:val="nil"/>
              <w:right w:val="nil"/>
            </w:tcBorders>
            <w:shd w:val="clear" w:color="auto" w:fill="auto"/>
            <w:noWrap/>
            <w:vAlign w:val="bottom"/>
            <w:hideMark/>
          </w:tcPr>
          <w:p w14:paraId="5BD5E950" w14:textId="77777777" w:rsidR="00D23195" w:rsidRPr="00D23195" w:rsidRDefault="00D23195" w:rsidP="00D23195">
            <w:pPr>
              <w:spacing w:line="240" w:lineRule="auto"/>
              <w:rPr>
                <w:rFonts w:ascii="Aptos Narrow" w:eastAsia="Times New Roman" w:hAnsi="Aptos Narrow" w:cs="Times New Roman"/>
                <w:color w:val="000000"/>
                <w:sz w:val="18"/>
                <w:szCs w:val="18"/>
                <w:lang w:val="de-DE" w:eastAsia="de-DE"/>
              </w:rPr>
            </w:pPr>
            <w:r w:rsidRPr="00D23195">
              <w:rPr>
                <w:rFonts w:ascii="Aptos Narrow" w:eastAsia="Times New Roman" w:hAnsi="Aptos Narrow" w:cs="Times New Roman"/>
                <w:color w:val="000000"/>
                <w:sz w:val="18"/>
                <w:szCs w:val="18"/>
                <w:lang w:val="de-DE" w:eastAsia="de-DE"/>
              </w:rPr>
              <w:t>(0.007)</w:t>
            </w:r>
          </w:p>
        </w:tc>
        <w:tc>
          <w:tcPr>
            <w:tcW w:w="452" w:type="pct"/>
            <w:tcBorders>
              <w:top w:val="nil"/>
              <w:left w:val="nil"/>
              <w:bottom w:val="nil"/>
              <w:right w:val="nil"/>
            </w:tcBorders>
            <w:shd w:val="clear" w:color="auto" w:fill="auto"/>
            <w:noWrap/>
            <w:vAlign w:val="bottom"/>
            <w:hideMark/>
          </w:tcPr>
          <w:p w14:paraId="38648139" w14:textId="77777777" w:rsidR="00D23195" w:rsidRPr="00D23195" w:rsidRDefault="00D23195" w:rsidP="00D23195">
            <w:pPr>
              <w:spacing w:line="240" w:lineRule="auto"/>
              <w:rPr>
                <w:rFonts w:ascii="Aptos Narrow" w:eastAsia="Times New Roman" w:hAnsi="Aptos Narrow" w:cs="Times New Roman"/>
                <w:color w:val="000000"/>
                <w:sz w:val="18"/>
                <w:szCs w:val="18"/>
                <w:lang w:val="de-DE" w:eastAsia="de-DE"/>
              </w:rPr>
            </w:pPr>
            <w:r w:rsidRPr="00D23195">
              <w:rPr>
                <w:rFonts w:ascii="Aptos Narrow" w:eastAsia="Times New Roman" w:hAnsi="Aptos Narrow" w:cs="Times New Roman"/>
                <w:color w:val="000000"/>
                <w:sz w:val="18"/>
                <w:szCs w:val="18"/>
                <w:lang w:val="de-DE" w:eastAsia="de-DE"/>
              </w:rPr>
              <w:t>(0.990)</w:t>
            </w:r>
          </w:p>
        </w:tc>
        <w:tc>
          <w:tcPr>
            <w:tcW w:w="452" w:type="pct"/>
            <w:tcBorders>
              <w:top w:val="nil"/>
              <w:left w:val="nil"/>
              <w:bottom w:val="nil"/>
              <w:right w:val="nil"/>
            </w:tcBorders>
            <w:shd w:val="clear" w:color="auto" w:fill="auto"/>
            <w:noWrap/>
            <w:vAlign w:val="bottom"/>
            <w:hideMark/>
          </w:tcPr>
          <w:p w14:paraId="02BE3569" w14:textId="77777777" w:rsidR="00D23195" w:rsidRPr="00D23195" w:rsidRDefault="00D23195" w:rsidP="00D23195">
            <w:pPr>
              <w:spacing w:line="240" w:lineRule="auto"/>
              <w:rPr>
                <w:rFonts w:ascii="Aptos Narrow" w:eastAsia="Times New Roman" w:hAnsi="Aptos Narrow" w:cs="Times New Roman"/>
                <w:color w:val="000000"/>
                <w:sz w:val="18"/>
                <w:szCs w:val="18"/>
                <w:lang w:val="de-DE" w:eastAsia="de-DE"/>
              </w:rPr>
            </w:pPr>
            <w:r w:rsidRPr="00D23195">
              <w:rPr>
                <w:rFonts w:ascii="Aptos Narrow" w:eastAsia="Times New Roman" w:hAnsi="Aptos Narrow" w:cs="Times New Roman"/>
                <w:color w:val="000000"/>
                <w:sz w:val="18"/>
                <w:szCs w:val="18"/>
                <w:lang w:val="de-DE" w:eastAsia="de-DE"/>
              </w:rPr>
              <w:t>(0.761)</w:t>
            </w:r>
          </w:p>
        </w:tc>
        <w:tc>
          <w:tcPr>
            <w:tcW w:w="452" w:type="pct"/>
            <w:tcBorders>
              <w:top w:val="nil"/>
              <w:left w:val="nil"/>
              <w:bottom w:val="nil"/>
              <w:right w:val="nil"/>
            </w:tcBorders>
            <w:shd w:val="clear" w:color="auto" w:fill="auto"/>
            <w:noWrap/>
            <w:vAlign w:val="bottom"/>
            <w:hideMark/>
          </w:tcPr>
          <w:p w14:paraId="5613BE7B" w14:textId="77777777" w:rsidR="00D23195" w:rsidRPr="00D23195" w:rsidRDefault="00D23195" w:rsidP="00D23195">
            <w:pPr>
              <w:spacing w:line="240" w:lineRule="auto"/>
              <w:rPr>
                <w:rFonts w:ascii="Aptos Narrow" w:eastAsia="Times New Roman" w:hAnsi="Aptos Narrow" w:cs="Times New Roman"/>
                <w:color w:val="000000"/>
                <w:sz w:val="18"/>
                <w:szCs w:val="18"/>
                <w:lang w:val="de-DE" w:eastAsia="de-DE"/>
              </w:rPr>
            </w:pPr>
            <w:r w:rsidRPr="00D23195">
              <w:rPr>
                <w:rFonts w:ascii="Aptos Narrow" w:eastAsia="Times New Roman" w:hAnsi="Aptos Narrow" w:cs="Times New Roman"/>
                <w:color w:val="000000"/>
                <w:sz w:val="18"/>
                <w:szCs w:val="18"/>
                <w:lang w:val="de-DE" w:eastAsia="de-DE"/>
              </w:rPr>
              <w:t>(0.759)</w:t>
            </w:r>
          </w:p>
        </w:tc>
        <w:tc>
          <w:tcPr>
            <w:tcW w:w="452" w:type="pct"/>
            <w:tcBorders>
              <w:top w:val="nil"/>
              <w:left w:val="nil"/>
              <w:bottom w:val="nil"/>
              <w:right w:val="nil"/>
            </w:tcBorders>
            <w:shd w:val="clear" w:color="auto" w:fill="auto"/>
            <w:noWrap/>
            <w:vAlign w:val="bottom"/>
            <w:hideMark/>
          </w:tcPr>
          <w:p w14:paraId="4E7F5D83" w14:textId="77777777" w:rsidR="00D23195" w:rsidRPr="00D23195" w:rsidRDefault="00D23195" w:rsidP="00D23195">
            <w:pPr>
              <w:spacing w:line="240" w:lineRule="auto"/>
              <w:rPr>
                <w:rFonts w:ascii="Aptos Narrow" w:eastAsia="Times New Roman" w:hAnsi="Aptos Narrow" w:cs="Times New Roman"/>
                <w:color w:val="000000"/>
                <w:sz w:val="18"/>
                <w:szCs w:val="18"/>
                <w:lang w:val="de-DE" w:eastAsia="de-DE"/>
              </w:rPr>
            </w:pPr>
            <w:r w:rsidRPr="00D23195">
              <w:rPr>
                <w:rFonts w:ascii="Aptos Narrow" w:eastAsia="Times New Roman" w:hAnsi="Aptos Narrow" w:cs="Times New Roman"/>
                <w:color w:val="000000"/>
                <w:sz w:val="18"/>
                <w:szCs w:val="18"/>
                <w:lang w:val="de-DE" w:eastAsia="de-DE"/>
              </w:rPr>
              <w:t>(0.751)</w:t>
            </w:r>
          </w:p>
        </w:tc>
      </w:tr>
      <w:tr w:rsidR="00D23195" w:rsidRPr="00D23195" w14:paraId="62A6030E" w14:textId="77777777" w:rsidTr="00D23195">
        <w:trPr>
          <w:trHeight w:val="288"/>
        </w:trPr>
        <w:tc>
          <w:tcPr>
            <w:tcW w:w="1385" w:type="pct"/>
            <w:tcBorders>
              <w:top w:val="nil"/>
              <w:left w:val="nil"/>
              <w:bottom w:val="nil"/>
              <w:right w:val="nil"/>
            </w:tcBorders>
            <w:shd w:val="clear" w:color="auto" w:fill="auto"/>
            <w:noWrap/>
            <w:vAlign w:val="bottom"/>
            <w:hideMark/>
          </w:tcPr>
          <w:p w14:paraId="53315483" w14:textId="77777777" w:rsidR="00D23195" w:rsidRPr="00D23195" w:rsidRDefault="00D23195" w:rsidP="00D23195">
            <w:pPr>
              <w:spacing w:line="240" w:lineRule="auto"/>
              <w:rPr>
                <w:rFonts w:ascii="Aptos Narrow" w:eastAsia="Times New Roman" w:hAnsi="Aptos Narrow" w:cs="Times New Roman"/>
                <w:color w:val="000000"/>
                <w:sz w:val="18"/>
                <w:szCs w:val="18"/>
                <w:lang w:val="de-DE" w:eastAsia="de-DE"/>
              </w:rPr>
            </w:pPr>
            <w:r w:rsidRPr="00D23195">
              <w:rPr>
                <w:rFonts w:ascii="Aptos Narrow" w:eastAsia="Times New Roman" w:hAnsi="Aptos Narrow" w:cs="Times New Roman"/>
                <w:color w:val="000000"/>
                <w:sz w:val="18"/>
                <w:szCs w:val="18"/>
                <w:lang w:val="de-DE" w:eastAsia="de-DE"/>
              </w:rPr>
              <w:t xml:space="preserve">Sharing </w:t>
            </w:r>
            <w:proofErr w:type="spellStart"/>
            <w:r w:rsidRPr="00D23195">
              <w:rPr>
                <w:rFonts w:ascii="Aptos Narrow" w:eastAsia="Times New Roman" w:hAnsi="Aptos Narrow" w:cs="Times New Roman"/>
                <w:color w:val="000000"/>
                <w:sz w:val="18"/>
                <w:szCs w:val="18"/>
                <w:lang w:val="de-DE" w:eastAsia="de-DE"/>
              </w:rPr>
              <w:t>data</w:t>
            </w:r>
            <w:proofErr w:type="spellEnd"/>
            <w:r w:rsidRPr="00D23195">
              <w:rPr>
                <w:rFonts w:ascii="Aptos Narrow" w:eastAsia="Times New Roman" w:hAnsi="Aptos Narrow" w:cs="Times New Roman"/>
                <w:color w:val="000000"/>
                <w:sz w:val="18"/>
                <w:szCs w:val="18"/>
                <w:lang w:val="de-DE" w:eastAsia="de-DE"/>
              </w:rPr>
              <w:t xml:space="preserve"> </w:t>
            </w:r>
            <w:proofErr w:type="spellStart"/>
            <w:r w:rsidRPr="00D23195">
              <w:rPr>
                <w:rFonts w:ascii="Aptos Narrow" w:eastAsia="Times New Roman" w:hAnsi="Aptos Narrow" w:cs="Times New Roman"/>
                <w:color w:val="000000"/>
                <w:sz w:val="18"/>
                <w:szCs w:val="18"/>
                <w:lang w:val="de-DE" w:eastAsia="de-DE"/>
              </w:rPr>
              <w:t>protection</w:t>
            </w:r>
            <w:proofErr w:type="spellEnd"/>
            <w:r w:rsidRPr="00D23195">
              <w:rPr>
                <w:rFonts w:ascii="Aptos Narrow" w:eastAsia="Times New Roman" w:hAnsi="Aptos Narrow" w:cs="Times New Roman"/>
                <w:color w:val="000000"/>
                <w:sz w:val="18"/>
                <w:szCs w:val="18"/>
                <w:lang w:val="de-DE" w:eastAsia="de-DE"/>
              </w:rPr>
              <w:t xml:space="preserve"> * LMC</w:t>
            </w:r>
          </w:p>
        </w:tc>
        <w:tc>
          <w:tcPr>
            <w:tcW w:w="452" w:type="pct"/>
            <w:tcBorders>
              <w:top w:val="nil"/>
              <w:left w:val="nil"/>
              <w:bottom w:val="nil"/>
              <w:right w:val="nil"/>
            </w:tcBorders>
            <w:shd w:val="clear" w:color="auto" w:fill="auto"/>
            <w:noWrap/>
            <w:vAlign w:val="bottom"/>
            <w:hideMark/>
          </w:tcPr>
          <w:p w14:paraId="26841935" w14:textId="77777777" w:rsidR="00D23195" w:rsidRPr="00D23195" w:rsidRDefault="00D23195" w:rsidP="00D23195">
            <w:pPr>
              <w:spacing w:line="240" w:lineRule="auto"/>
              <w:rPr>
                <w:rFonts w:ascii="Aptos Narrow" w:eastAsia="Times New Roman" w:hAnsi="Aptos Narrow" w:cs="Times New Roman"/>
                <w:color w:val="000000"/>
                <w:sz w:val="18"/>
                <w:szCs w:val="18"/>
                <w:lang w:val="de-DE" w:eastAsia="de-DE"/>
              </w:rPr>
            </w:pPr>
          </w:p>
        </w:tc>
        <w:tc>
          <w:tcPr>
            <w:tcW w:w="452" w:type="pct"/>
            <w:tcBorders>
              <w:top w:val="nil"/>
              <w:left w:val="nil"/>
              <w:bottom w:val="nil"/>
              <w:right w:val="nil"/>
            </w:tcBorders>
            <w:shd w:val="clear" w:color="auto" w:fill="auto"/>
            <w:noWrap/>
            <w:vAlign w:val="bottom"/>
            <w:hideMark/>
          </w:tcPr>
          <w:p w14:paraId="34C7C425" w14:textId="77777777" w:rsidR="00D23195" w:rsidRPr="00D23195" w:rsidRDefault="00D23195" w:rsidP="00D23195">
            <w:pPr>
              <w:spacing w:line="240" w:lineRule="auto"/>
              <w:jc w:val="center"/>
              <w:rPr>
                <w:rFonts w:ascii="Times New Roman" w:eastAsia="Times New Roman" w:hAnsi="Times New Roman" w:cs="Times New Roman"/>
                <w:sz w:val="18"/>
                <w:szCs w:val="18"/>
                <w:lang w:val="de-DE" w:eastAsia="de-DE"/>
              </w:rPr>
            </w:pPr>
          </w:p>
        </w:tc>
        <w:tc>
          <w:tcPr>
            <w:tcW w:w="452" w:type="pct"/>
            <w:tcBorders>
              <w:top w:val="nil"/>
              <w:left w:val="nil"/>
              <w:bottom w:val="nil"/>
              <w:right w:val="nil"/>
            </w:tcBorders>
            <w:shd w:val="clear" w:color="auto" w:fill="auto"/>
            <w:noWrap/>
            <w:vAlign w:val="bottom"/>
            <w:hideMark/>
          </w:tcPr>
          <w:p w14:paraId="6EBC9AA0" w14:textId="77777777" w:rsidR="00D23195" w:rsidRPr="00D23195" w:rsidRDefault="00D23195" w:rsidP="00D23195">
            <w:pPr>
              <w:spacing w:line="240" w:lineRule="auto"/>
              <w:jc w:val="center"/>
              <w:rPr>
                <w:rFonts w:ascii="Times New Roman" w:eastAsia="Times New Roman" w:hAnsi="Times New Roman" w:cs="Times New Roman"/>
                <w:sz w:val="18"/>
                <w:szCs w:val="18"/>
                <w:lang w:val="de-DE" w:eastAsia="de-DE"/>
              </w:rPr>
            </w:pPr>
          </w:p>
        </w:tc>
        <w:tc>
          <w:tcPr>
            <w:tcW w:w="452" w:type="pct"/>
            <w:tcBorders>
              <w:top w:val="nil"/>
              <w:left w:val="nil"/>
              <w:bottom w:val="nil"/>
              <w:right w:val="nil"/>
            </w:tcBorders>
            <w:shd w:val="clear" w:color="auto" w:fill="auto"/>
            <w:noWrap/>
            <w:vAlign w:val="bottom"/>
            <w:hideMark/>
          </w:tcPr>
          <w:p w14:paraId="5484EE80" w14:textId="77777777" w:rsidR="00D23195" w:rsidRPr="00D23195" w:rsidRDefault="00D23195" w:rsidP="00D23195">
            <w:pPr>
              <w:spacing w:line="240" w:lineRule="auto"/>
              <w:jc w:val="center"/>
              <w:rPr>
                <w:rFonts w:ascii="Times New Roman" w:eastAsia="Times New Roman" w:hAnsi="Times New Roman" w:cs="Times New Roman"/>
                <w:sz w:val="18"/>
                <w:szCs w:val="18"/>
                <w:lang w:val="de-DE" w:eastAsia="de-DE"/>
              </w:rPr>
            </w:pPr>
          </w:p>
        </w:tc>
        <w:tc>
          <w:tcPr>
            <w:tcW w:w="452" w:type="pct"/>
            <w:tcBorders>
              <w:top w:val="nil"/>
              <w:left w:val="nil"/>
              <w:bottom w:val="nil"/>
              <w:right w:val="nil"/>
            </w:tcBorders>
            <w:shd w:val="clear" w:color="auto" w:fill="auto"/>
            <w:noWrap/>
            <w:vAlign w:val="bottom"/>
            <w:hideMark/>
          </w:tcPr>
          <w:p w14:paraId="0ABE8071" w14:textId="77777777" w:rsidR="00D23195" w:rsidRPr="00D23195" w:rsidRDefault="00D23195" w:rsidP="00D23195">
            <w:pPr>
              <w:spacing w:line="240" w:lineRule="auto"/>
              <w:rPr>
                <w:rFonts w:ascii="Aptos Narrow" w:eastAsia="Times New Roman" w:hAnsi="Aptos Narrow" w:cs="Times New Roman"/>
                <w:color w:val="000000"/>
                <w:sz w:val="18"/>
                <w:szCs w:val="18"/>
                <w:lang w:val="de-DE" w:eastAsia="de-DE"/>
              </w:rPr>
            </w:pPr>
            <w:r w:rsidRPr="00D23195">
              <w:rPr>
                <w:rFonts w:ascii="Aptos Narrow" w:eastAsia="Times New Roman" w:hAnsi="Aptos Narrow" w:cs="Times New Roman"/>
                <w:color w:val="000000"/>
                <w:sz w:val="18"/>
                <w:szCs w:val="18"/>
                <w:lang w:val="de-DE" w:eastAsia="de-DE"/>
              </w:rPr>
              <w:t>-0.046</w:t>
            </w:r>
          </w:p>
        </w:tc>
        <w:tc>
          <w:tcPr>
            <w:tcW w:w="452" w:type="pct"/>
            <w:tcBorders>
              <w:top w:val="nil"/>
              <w:left w:val="nil"/>
              <w:bottom w:val="nil"/>
              <w:right w:val="nil"/>
            </w:tcBorders>
            <w:shd w:val="clear" w:color="auto" w:fill="auto"/>
            <w:noWrap/>
            <w:vAlign w:val="bottom"/>
            <w:hideMark/>
          </w:tcPr>
          <w:p w14:paraId="49521DA8" w14:textId="77777777" w:rsidR="00D23195" w:rsidRPr="00D23195" w:rsidRDefault="00D23195" w:rsidP="00D23195">
            <w:pPr>
              <w:spacing w:line="240" w:lineRule="auto"/>
              <w:rPr>
                <w:rFonts w:ascii="Aptos Narrow" w:eastAsia="Times New Roman" w:hAnsi="Aptos Narrow" w:cs="Times New Roman"/>
                <w:color w:val="000000"/>
                <w:sz w:val="18"/>
                <w:szCs w:val="18"/>
                <w:lang w:val="de-DE" w:eastAsia="de-DE"/>
              </w:rPr>
            </w:pPr>
            <w:r w:rsidRPr="00D23195">
              <w:rPr>
                <w:rFonts w:ascii="Aptos Narrow" w:eastAsia="Times New Roman" w:hAnsi="Aptos Narrow" w:cs="Times New Roman"/>
                <w:color w:val="000000"/>
                <w:sz w:val="18"/>
                <w:szCs w:val="18"/>
                <w:lang w:val="de-DE" w:eastAsia="de-DE"/>
              </w:rPr>
              <w:t>-0.052</w:t>
            </w:r>
          </w:p>
        </w:tc>
        <w:tc>
          <w:tcPr>
            <w:tcW w:w="452" w:type="pct"/>
            <w:tcBorders>
              <w:top w:val="nil"/>
              <w:left w:val="nil"/>
              <w:bottom w:val="nil"/>
              <w:right w:val="nil"/>
            </w:tcBorders>
            <w:shd w:val="clear" w:color="auto" w:fill="auto"/>
            <w:noWrap/>
            <w:vAlign w:val="bottom"/>
            <w:hideMark/>
          </w:tcPr>
          <w:p w14:paraId="6E488F1E" w14:textId="77777777" w:rsidR="00D23195" w:rsidRPr="00D23195" w:rsidRDefault="00D23195" w:rsidP="00D23195">
            <w:pPr>
              <w:spacing w:line="240" w:lineRule="auto"/>
              <w:rPr>
                <w:rFonts w:ascii="Aptos Narrow" w:eastAsia="Times New Roman" w:hAnsi="Aptos Narrow" w:cs="Times New Roman"/>
                <w:color w:val="000000"/>
                <w:sz w:val="18"/>
                <w:szCs w:val="18"/>
                <w:lang w:val="de-DE" w:eastAsia="de-DE"/>
              </w:rPr>
            </w:pPr>
            <w:r w:rsidRPr="00D23195">
              <w:rPr>
                <w:rFonts w:ascii="Aptos Narrow" w:eastAsia="Times New Roman" w:hAnsi="Aptos Narrow" w:cs="Times New Roman"/>
                <w:color w:val="000000"/>
                <w:sz w:val="18"/>
                <w:szCs w:val="18"/>
                <w:lang w:val="de-DE" w:eastAsia="de-DE"/>
              </w:rPr>
              <w:t>-0.052</w:t>
            </w:r>
          </w:p>
        </w:tc>
        <w:tc>
          <w:tcPr>
            <w:tcW w:w="452" w:type="pct"/>
            <w:tcBorders>
              <w:top w:val="nil"/>
              <w:left w:val="nil"/>
              <w:bottom w:val="nil"/>
              <w:right w:val="nil"/>
            </w:tcBorders>
            <w:shd w:val="clear" w:color="auto" w:fill="auto"/>
            <w:noWrap/>
            <w:vAlign w:val="bottom"/>
            <w:hideMark/>
          </w:tcPr>
          <w:p w14:paraId="70A770F9" w14:textId="77777777" w:rsidR="00D23195" w:rsidRPr="00D23195" w:rsidRDefault="00D23195" w:rsidP="00D23195">
            <w:pPr>
              <w:spacing w:line="240" w:lineRule="auto"/>
              <w:rPr>
                <w:rFonts w:ascii="Aptos Narrow" w:eastAsia="Times New Roman" w:hAnsi="Aptos Narrow" w:cs="Times New Roman"/>
                <w:color w:val="000000"/>
                <w:sz w:val="18"/>
                <w:szCs w:val="18"/>
                <w:lang w:val="de-DE" w:eastAsia="de-DE"/>
              </w:rPr>
            </w:pPr>
            <w:r w:rsidRPr="00D23195">
              <w:rPr>
                <w:rFonts w:ascii="Aptos Narrow" w:eastAsia="Times New Roman" w:hAnsi="Aptos Narrow" w:cs="Times New Roman"/>
                <w:color w:val="000000"/>
                <w:sz w:val="18"/>
                <w:szCs w:val="18"/>
                <w:lang w:val="de-DE" w:eastAsia="de-DE"/>
              </w:rPr>
              <w:t>-0.055</w:t>
            </w:r>
          </w:p>
        </w:tc>
      </w:tr>
      <w:tr w:rsidR="00D23195" w:rsidRPr="00D23195" w14:paraId="1E1087DA" w14:textId="77777777" w:rsidTr="00D23195">
        <w:trPr>
          <w:trHeight w:val="288"/>
        </w:trPr>
        <w:tc>
          <w:tcPr>
            <w:tcW w:w="1385" w:type="pct"/>
            <w:tcBorders>
              <w:top w:val="nil"/>
              <w:left w:val="nil"/>
              <w:bottom w:val="nil"/>
              <w:right w:val="nil"/>
            </w:tcBorders>
            <w:shd w:val="clear" w:color="auto" w:fill="auto"/>
            <w:noWrap/>
            <w:vAlign w:val="bottom"/>
            <w:hideMark/>
          </w:tcPr>
          <w:p w14:paraId="15D02101" w14:textId="77777777" w:rsidR="00D23195" w:rsidRPr="00D23195" w:rsidRDefault="00D23195" w:rsidP="00D23195">
            <w:pPr>
              <w:spacing w:line="240" w:lineRule="auto"/>
              <w:rPr>
                <w:rFonts w:ascii="Aptos Narrow" w:eastAsia="Times New Roman" w:hAnsi="Aptos Narrow" w:cs="Times New Roman"/>
                <w:color w:val="000000"/>
                <w:sz w:val="18"/>
                <w:szCs w:val="18"/>
                <w:lang w:val="de-DE" w:eastAsia="de-DE"/>
              </w:rPr>
            </w:pPr>
          </w:p>
        </w:tc>
        <w:tc>
          <w:tcPr>
            <w:tcW w:w="452" w:type="pct"/>
            <w:tcBorders>
              <w:top w:val="nil"/>
              <w:left w:val="nil"/>
              <w:bottom w:val="nil"/>
              <w:right w:val="nil"/>
            </w:tcBorders>
            <w:shd w:val="clear" w:color="auto" w:fill="auto"/>
            <w:noWrap/>
            <w:vAlign w:val="bottom"/>
            <w:hideMark/>
          </w:tcPr>
          <w:p w14:paraId="6C8EF2EF" w14:textId="77777777" w:rsidR="00D23195" w:rsidRPr="00D23195" w:rsidRDefault="00D23195" w:rsidP="00D23195">
            <w:pPr>
              <w:spacing w:line="240" w:lineRule="auto"/>
              <w:rPr>
                <w:rFonts w:ascii="Times New Roman" w:eastAsia="Times New Roman" w:hAnsi="Times New Roman" w:cs="Times New Roman"/>
                <w:sz w:val="18"/>
                <w:szCs w:val="18"/>
                <w:lang w:val="de-DE" w:eastAsia="de-DE"/>
              </w:rPr>
            </w:pPr>
          </w:p>
        </w:tc>
        <w:tc>
          <w:tcPr>
            <w:tcW w:w="452" w:type="pct"/>
            <w:tcBorders>
              <w:top w:val="nil"/>
              <w:left w:val="nil"/>
              <w:bottom w:val="nil"/>
              <w:right w:val="nil"/>
            </w:tcBorders>
            <w:shd w:val="clear" w:color="auto" w:fill="auto"/>
            <w:noWrap/>
            <w:vAlign w:val="bottom"/>
            <w:hideMark/>
          </w:tcPr>
          <w:p w14:paraId="430AB748" w14:textId="77777777" w:rsidR="00D23195" w:rsidRPr="00D23195" w:rsidRDefault="00D23195" w:rsidP="00D23195">
            <w:pPr>
              <w:spacing w:line="240" w:lineRule="auto"/>
              <w:jc w:val="center"/>
              <w:rPr>
                <w:rFonts w:ascii="Times New Roman" w:eastAsia="Times New Roman" w:hAnsi="Times New Roman" w:cs="Times New Roman"/>
                <w:sz w:val="18"/>
                <w:szCs w:val="18"/>
                <w:lang w:val="de-DE" w:eastAsia="de-DE"/>
              </w:rPr>
            </w:pPr>
          </w:p>
        </w:tc>
        <w:tc>
          <w:tcPr>
            <w:tcW w:w="452" w:type="pct"/>
            <w:tcBorders>
              <w:top w:val="nil"/>
              <w:left w:val="nil"/>
              <w:bottom w:val="nil"/>
              <w:right w:val="nil"/>
            </w:tcBorders>
            <w:shd w:val="clear" w:color="auto" w:fill="auto"/>
            <w:noWrap/>
            <w:vAlign w:val="bottom"/>
            <w:hideMark/>
          </w:tcPr>
          <w:p w14:paraId="0D2613C2" w14:textId="77777777" w:rsidR="00D23195" w:rsidRPr="00D23195" w:rsidRDefault="00D23195" w:rsidP="00D23195">
            <w:pPr>
              <w:spacing w:line="240" w:lineRule="auto"/>
              <w:jc w:val="center"/>
              <w:rPr>
                <w:rFonts w:ascii="Times New Roman" w:eastAsia="Times New Roman" w:hAnsi="Times New Roman" w:cs="Times New Roman"/>
                <w:sz w:val="18"/>
                <w:szCs w:val="18"/>
                <w:lang w:val="de-DE" w:eastAsia="de-DE"/>
              </w:rPr>
            </w:pPr>
          </w:p>
        </w:tc>
        <w:tc>
          <w:tcPr>
            <w:tcW w:w="452" w:type="pct"/>
            <w:tcBorders>
              <w:top w:val="nil"/>
              <w:left w:val="nil"/>
              <w:bottom w:val="nil"/>
              <w:right w:val="nil"/>
            </w:tcBorders>
            <w:shd w:val="clear" w:color="auto" w:fill="auto"/>
            <w:noWrap/>
            <w:vAlign w:val="bottom"/>
            <w:hideMark/>
          </w:tcPr>
          <w:p w14:paraId="08D0C1B6" w14:textId="77777777" w:rsidR="00D23195" w:rsidRPr="00D23195" w:rsidRDefault="00D23195" w:rsidP="00D23195">
            <w:pPr>
              <w:spacing w:line="240" w:lineRule="auto"/>
              <w:jc w:val="center"/>
              <w:rPr>
                <w:rFonts w:ascii="Times New Roman" w:eastAsia="Times New Roman" w:hAnsi="Times New Roman" w:cs="Times New Roman"/>
                <w:sz w:val="18"/>
                <w:szCs w:val="18"/>
                <w:lang w:val="de-DE" w:eastAsia="de-DE"/>
              </w:rPr>
            </w:pPr>
          </w:p>
        </w:tc>
        <w:tc>
          <w:tcPr>
            <w:tcW w:w="452" w:type="pct"/>
            <w:tcBorders>
              <w:top w:val="nil"/>
              <w:left w:val="nil"/>
              <w:bottom w:val="nil"/>
              <w:right w:val="nil"/>
            </w:tcBorders>
            <w:shd w:val="clear" w:color="auto" w:fill="auto"/>
            <w:noWrap/>
            <w:vAlign w:val="bottom"/>
            <w:hideMark/>
          </w:tcPr>
          <w:p w14:paraId="4BA41A7D" w14:textId="77777777" w:rsidR="00D23195" w:rsidRPr="00D23195" w:rsidRDefault="00D23195" w:rsidP="00D23195">
            <w:pPr>
              <w:spacing w:line="240" w:lineRule="auto"/>
              <w:rPr>
                <w:rFonts w:ascii="Aptos Narrow" w:eastAsia="Times New Roman" w:hAnsi="Aptos Narrow" w:cs="Times New Roman"/>
                <w:color w:val="000000"/>
                <w:sz w:val="18"/>
                <w:szCs w:val="18"/>
                <w:lang w:val="de-DE" w:eastAsia="de-DE"/>
              </w:rPr>
            </w:pPr>
            <w:r w:rsidRPr="00D23195">
              <w:rPr>
                <w:rFonts w:ascii="Aptos Narrow" w:eastAsia="Times New Roman" w:hAnsi="Aptos Narrow" w:cs="Times New Roman"/>
                <w:color w:val="000000"/>
                <w:sz w:val="18"/>
                <w:szCs w:val="18"/>
                <w:lang w:val="de-DE" w:eastAsia="de-DE"/>
              </w:rPr>
              <w:t>(0.489)</w:t>
            </w:r>
          </w:p>
        </w:tc>
        <w:tc>
          <w:tcPr>
            <w:tcW w:w="452" w:type="pct"/>
            <w:tcBorders>
              <w:top w:val="nil"/>
              <w:left w:val="nil"/>
              <w:bottom w:val="nil"/>
              <w:right w:val="nil"/>
            </w:tcBorders>
            <w:shd w:val="clear" w:color="auto" w:fill="auto"/>
            <w:noWrap/>
            <w:vAlign w:val="bottom"/>
            <w:hideMark/>
          </w:tcPr>
          <w:p w14:paraId="7199102A" w14:textId="77777777" w:rsidR="00D23195" w:rsidRPr="00D23195" w:rsidRDefault="00D23195" w:rsidP="00D23195">
            <w:pPr>
              <w:spacing w:line="240" w:lineRule="auto"/>
              <w:rPr>
                <w:rFonts w:ascii="Aptos Narrow" w:eastAsia="Times New Roman" w:hAnsi="Aptos Narrow" w:cs="Times New Roman"/>
                <w:color w:val="000000"/>
                <w:sz w:val="18"/>
                <w:szCs w:val="18"/>
                <w:lang w:val="de-DE" w:eastAsia="de-DE"/>
              </w:rPr>
            </w:pPr>
            <w:r w:rsidRPr="00D23195">
              <w:rPr>
                <w:rFonts w:ascii="Aptos Narrow" w:eastAsia="Times New Roman" w:hAnsi="Aptos Narrow" w:cs="Times New Roman"/>
                <w:color w:val="000000"/>
                <w:sz w:val="18"/>
                <w:szCs w:val="18"/>
                <w:lang w:val="de-DE" w:eastAsia="de-DE"/>
              </w:rPr>
              <w:t>(0.426)</w:t>
            </w:r>
          </w:p>
        </w:tc>
        <w:tc>
          <w:tcPr>
            <w:tcW w:w="452" w:type="pct"/>
            <w:tcBorders>
              <w:top w:val="nil"/>
              <w:left w:val="nil"/>
              <w:bottom w:val="nil"/>
              <w:right w:val="nil"/>
            </w:tcBorders>
            <w:shd w:val="clear" w:color="auto" w:fill="auto"/>
            <w:noWrap/>
            <w:vAlign w:val="bottom"/>
            <w:hideMark/>
          </w:tcPr>
          <w:p w14:paraId="180E0489" w14:textId="77777777" w:rsidR="00D23195" w:rsidRPr="00D23195" w:rsidRDefault="00D23195" w:rsidP="00D23195">
            <w:pPr>
              <w:spacing w:line="240" w:lineRule="auto"/>
              <w:rPr>
                <w:rFonts w:ascii="Aptos Narrow" w:eastAsia="Times New Roman" w:hAnsi="Aptos Narrow" w:cs="Times New Roman"/>
                <w:color w:val="000000"/>
                <w:sz w:val="18"/>
                <w:szCs w:val="18"/>
                <w:lang w:val="de-DE" w:eastAsia="de-DE"/>
              </w:rPr>
            </w:pPr>
            <w:r w:rsidRPr="00D23195">
              <w:rPr>
                <w:rFonts w:ascii="Aptos Narrow" w:eastAsia="Times New Roman" w:hAnsi="Aptos Narrow" w:cs="Times New Roman"/>
                <w:color w:val="000000"/>
                <w:sz w:val="18"/>
                <w:szCs w:val="18"/>
                <w:lang w:val="de-DE" w:eastAsia="de-DE"/>
              </w:rPr>
              <w:t>(0.418)</w:t>
            </w:r>
          </w:p>
        </w:tc>
        <w:tc>
          <w:tcPr>
            <w:tcW w:w="452" w:type="pct"/>
            <w:tcBorders>
              <w:top w:val="nil"/>
              <w:left w:val="nil"/>
              <w:bottom w:val="nil"/>
              <w:right w:val="nil"/>
            </w:tcBorders>
            <w:shd w:val="clear" w:color="auto" w:fill="auto"/>
            <w:noWrap/>
            <w:vAlign w:val="bottom"/>
            <w:hideMark/>
          </w:tcPr>
          <w:p w14:paraId="6CD0B72F" w14:textId="77777777" w:rsidR="00D23195" w:rsidRPr="00D23195" w:rsidRDefault="00D23195" w:rsidP="00D23195">
            <w:pPr>
              <w:spacing w:line="240" w:lineRule="auto"/>
              <w:rPr>
                <w:rFonts w:ascii="Aptos Narrow" w:eastAsia="Times New Roman" w:hAnsi="Aptos Narrow" w:cs="Times New Roman"/>
                <w:color w:val="000000"/>
                <w:sz w:val="18"/>
                <w:szCs w:val="18"/>
                <w:lang w:val="de-DE" w:eastAsia="de-DE"/>
              </w:rPr>
            </w:pPr>
            <w:r w:rsidRPr="00D23195">
              <w:rPr>
                <w:rFonts w:ascii="Aptos Narrow" w:eastAsia="Times New Roman" w:hAnsi="Aptos Narrow" w:cs="Times New Roman"/>
                <w:color w:val="000000"/>
                <w:sz w:val="18"/>
                <w:szCs w:val="18"/>
                <w:lang w:val="de-DE" w:eastAsia="de-DE"/>
              </w:rPr>
              <w:t>(0.390)</w:t>
            </w:r>
          </w:p>
        </w:tc>
      </w:tr>
      <w:tr w:rsidR="00D23195" w:rsidRPr="00D23195" w14:paraId="2190FB66" w14:textId="77777777" w:rsidTr="00D23195">
        <w:trPr>
          <w:trHeight w:val="288"/>
        </w:trPr>
        <w:tc>
          <w:tcPr>
            <w:tcW w:w="1385" w:type="pct"/>
            <w:tcBorders>
              <w:top w:val="nil"/>
              <w:left w:val="nil"/>
              <w:bottom w:val="nil"/>
              <w:right w:val="nil"/>
            </w:tcBorders>
            <w:shd w:val="clear" w:color="auto" w:fill="auto"/>
            <w:noWrap/>
            <w:vAlign w:val="bottom"/>
            <w:hideMark/>
          </w:tcPr>
          <w:p w14:paraId="7B3880BF" w14:textId="77777777" w:rsidR="00D23195" w:rsidRPr="00D23195" w:rsidRDefault="00D23195" w:rsidP="00D23195">
            <w:pPr>
              <w:spacing w:line="240" w:lineRule="auto"/>
              <w:rPr>
                <w:rFonts w:ascii="Aptos Narrow" w:eastAsia="Times New Roman" w:hAnsi="Aptos Narrow" w:cs="Times New Roman"/>
                <w:color w:val="000000"/>
                <w:sz w:val="18"/>
                <w:szCs w:val="18"/>
                <w:lang w:val="de-DE" w:eastAsia="de-DE"/>
              </w:rPr>
            </w:pPr>
            <w:r w:rsidRPr="00D23195">
              <w:rPr>
                <w:rFonts w:ascii="Aptos Narrow" w:eastAsia="Times New Roman" w:hAnsi="Aptos Narrow" w:cs="Times New Roman"/>
                <w:color w:val="000000"/>
                <w:sz w:val="18"/>
                <w:szCs w:val="18"/>
                <w:lang w:val="de-DE" w:eastAsia="de-DE"/>
              </w:rPr>
              <w:t xml:space="preserve">Sharing </w:t>
            </w:r>
            <w:proofErr w:type="spellStart"/>
            <w:r w:rsidRPr="00D23195">
              <w:rPr>
                <w:rFonts w:ascii="Aptos Narrow" w:eastAsia="Times New Roman" w:hAnsi="Aptos Narrow" w:cs="Times New Roman"/>
                <w:color w:val="000000"/>
                <w:sz w:val="18"/>
                <w:szCs w:val="18"/>
                <w:lang w:val="de-DE" w:eastAsia="de-DE"/>
              </w:rPr>
              <w:t>data</w:t>
            </w:r>
            <w:proofErr w:type="spellEnd"/>
            <w:r w:rsidRPr="00D23195">
              <w:rPr>
                <w:rFonts w:ascii="Aptos Narrow" w:eastAsia="Times New Roman" w:hAnsi="Aptos Narrow" w:cs="Times New Roman"/>
                <w:color w:val="000000"/>
                <w:sz w:val="18"/>
                <w:szCs w:val="18"/>
                <w:lang w:val="de-DE" w:eastAsia="de-DE"/>
              </w:rPr>
              <w:t xml:space="preserve"> </w:t>
            </w:r>
            <w:proofErr w:type="spellStart"/>
            <w:r w:rsidRPr="00D23195">
              <w:rPr>
                <w:rFonts w:ascii="Aptos Narrow" w:eastAsia="Times New Roman" w:hAnsi="Aptos Narrow" w:cs="Times New Roman"/>
                <w:color w:val="000000"/>
                <w:sz w:val="18"/>
                <w:szCs w:val="18"/>
                <w:lang w:val="de-DE" w:eastAsia="de-DE"/>
              </w:rPr>
              <w:t>protection</w:t>
            </w:r>
            <w:proofErr w:type="spellEnd"/>
            <w:r w:rsidRPr="00D23195">
              <w:rPr>
                <w:rFonts w:ascii="Aptos Narrow" w:eastAsia="Times New Roman" w:hAnsi="Aptos Narrow" w:cs="Times New Roman"/>
                <w:color w:val="000000"/>
                <w:sz w:val="18"/>
                <w:szCs w:val="18"/>
                <w:lang w:val="de-DE" w:eastAsia="de-DE"/>
              </w:rPr>
              <w:t xml:space="preserve"> * L</w:t>
            </w:r>
          </w:p>
        </w:tc>
        <w:tc>
          <w:tcPr>
            <w:tcW w:w="452" w:type="pct"/>
            <w:tcBorders>
              <w:top w:val="nil"/>
              <w:left w:val="nil"/>
              <w:bottom w:val="nil"/>
              <w:right w:val="nil"/>
            </w:tcBorders>
            <w:shd w:val="clear" w:color="auto" w:fill="auto"/>
            <w:noWrap/>
            <w:vAlign w:val="bottom"/>
            <w:hideMark/>
          </w:tcPr>
          <w:p w14:paraId="41B01553" w14:textId="77777777" w:rsidR="00D23195" w:rsidRPr="00D23195" w:rsidRDefault="00D23195" w:rsidP="00D23195">
            <w:pPr>
              <w:spacing w:line="240" w:lineRule="auto"/>
              <w:rPr>
                <w:rFonts w:ascii="Aptos Narrow" w:eastAsia="Times New Roman" w:hAnsi="Aptos Narrow" w:cs="Times New Roman"/>
                <w:color w:val="000000"/>
                <w:sz w:val="18"/>
                <w:szCs w:val="18"/>
                <w:lang w:val="de-DE" w:eastAsia="de-DE"/>
              </w:rPr>
            </w:pPr>
          </w:p>
        </w:tc>
        <w:tc>
          <w:tcPr>
            <w:tcW w:w="452" w:type="pct"/>
            <w:tcBorders>
              <w:top w:val="nil"/>
              <w:left w:val="nil"/>
              <w:bottom w:val="nil"/>
              <w:right w:val="nil"/>
            </w:tcBorders>
            <w:shd w:val="clear" w:color="auto" w:fill="auto"/>
            <w:noWrap/>
            <w:vAlign w:val="bottom"/>
            <w:hideMark/>
          </w:tcPr>
          <w:p w14:paraId="1B2EE766" w14:textId="77777777" w:rsidR="00D23195" w:rsidRPr="00D23195" w:rsidRDefault="00D23195" w:rsidP="00D23195">
            <w:pPr>
              <w:spacing w:line="240" w:lineRule="auto"/>
              <w:jc w:val="center"/>
              <w:rPr>
                <w:rFonts w:ascii="Times New Roman" w:eastAsia="Times New Roman" w:hAnsi="Times New Roman" w:cs="Times New Roman"/>
                <w:sz w:val="18"/>
                <w:szCs w:val="18"/>
                <w:lang w:val="de-DE" w:eastAsia="de-DE"/>
              </w:rPr>
            </w:pPr>
          </w:p>
        </w:tc>
        <w:tc>
          <w:tcPr>
            <w:tcW w:w="452" w:type="pct"/>
            <w:tcBorders>
              <w:top w:val="nil"/>
              <w:left w:val="nil"/>
              <w:bottom w:val="nil"/>
              <w:right w:val="nil"/>
            </w:tcBorders>
            <w:shd w:val="clear" w:color="auto" w:fill="auto"/>
            <w:noWrap/>
            <w:vAlign w:val="bottom"/>
            <w:hideMark/>
          </w:tcPr>
          <w:p w14:paraId="716FEA26" w14:textId="77777777" w:rsidR="00D23195" w:rsidRPr="00D23195" w:rsidRDefault="00D23195" w:rsidP="00D23195">
            <w:pPr>
              <w:spacing w:line="240" w:lineRule="auto"/>
              <w:jc w:val="center"/>
              <w:rPr>
                <w:rFonts w:ascii="Times New Roman" w:eastAsia="Times New Roman" w:hAnsi="Times New Roman" w:cs="Times New Roman"/>
                <w:sz w:val="18"/>
                <w:szCs w:val="18"/>
                <w:lang w:val="de-DE" w:eastAsia="de-DE"/>
              </w:rPr>
            </w:pPr>
          </w:p>
        </w:tc>
        <w:tc>
          <w:tcPr>
            <w:tcW w:w="452" w:type="pct"/>
            <w:tcBorders>
              <w:top w:val="nil"/>
              <w:left w:val="nil"/>
              <w:bottom w:val="nil"/>
              <w:right w:val="nil"/>
            </w:tcBorders>
            <w:shd w:val="clear" w:color="auto" w:fill="auto"/>
            <w:noWrap/>
            <w:vAlign w:val="bottom"/>
            <w:hideMark/>
          </w:tcPr>
          <w:p w14:paraId="6D76B98D" w14:textId="77777777" w:rsidR="00D23195" w:rsidRPr="00D23195" w:rsidRDefault="00D23195" w:rsidP="00D23195">
            <w:pPr>
              <w:spacing w:line="240" w:lineRule="auto"/>
              <w:jc w:val="center"/>
              <w:rPr>
                <w:rFonts w:ascii="Times New Roman" w:eastAsia="Times New Roman" w:hAnsi="Times New Roman" w:cs="Times New Roman"/>
                <w:sz w:val="18"/>
                <w:szCs w:val="18"/>
                <w:lang w:val="de-DE" w:eastAsia="de-DE"/>
              </w:rPr>
            </w:pPr>
          </w:p>
        </w:tc>
        <w:tc>
          <w:tcPr>
            <w:tcW w:w="452" w:type="pct"/>
            <w:tcBorders>
              <w:top w:val="nil"/>
              <w:left w:val="nil"/>
              <w:bottom w:val="nil"/>
              <w:right w:val="nil"/>
            </w:tcBorders>
            <w:shd w:val="clear" w:color="auto" w:fill="auto"/>
            <w:noWrap/>
            <w:vAlign w:val="bottom"/>
            <w:hideMark/>
          </w:tcPr>
          <w:p w14:paraId="7EB938E6" w14:textId="77777777" w:rsidR="00D23195" w:rsidRPr="00D23195" w:rsidRDefault="00D23195" w:rsidP="00D23195">
            <w:pPr>
              <w:spacing w:line="240" w:lineRule="auto"/>
              <w:rPr>
                <w:rFonts w:ascii="Aptos Narrow" w:eastAsia="Times New Roman" w:hAnsi="Aptos Narrow" w:cs="Times New Roman"/>
                <w:color w:val="000000"/>
                <w:sz w:val="18"/>
                <w:szCs w:val="18"/>
                <w:lang w:val="de-DE" w:eastAsia="de-DE"/>
              </w:rPr>
            </w:pPr>
            <w:r w:rsidRPr="00D23195">
              <w:rPr>
                <w:rFonts w:ascii="Aptos Narrow" w:eastAsia="Times New Roman" w:hAnsi="Aptos Narrow" w:cs="Times New Roman"/>
                <w:color w:val="000000"/>
                <w:sz w:val="18"/>
                <w:szCs w:val="18"/>
                <w:lang w:val="de-DE" w:eastAsia="de-DE"/>
              </w:rPr>
              <w:t>-0.113**</w:t>
            </w:r>
          </w:p>
        </w:tc>
        <w:tc>
          <w:tcPr>
            <w:tcW w:w="452" w:type="pct"/>
            <w:tcBorders>
              <w:top w:val="nil"/>
              <w:left w:val="nil"/>
              <w:bottom w:val="nil"/>
              <w:right w:val="nil"/>
            </w:tcBorders>
            <w:shd w:val="clear" w:color="auto" w:fill="auto"/>
            <w:noWrap/>
            <w:vAlign w:val="bottom"/>
            <w:hideMark/>
          </w:tcPr>
          <w:p w14:paraId="22C8D84D" w14:textId="77777777" w:rsidR="00D23195" w:rsidRPr="00D23195" w:rsidRDefault="00D23195" w:rsidP="00D23195">
            <w:pPr>
              <w:spacing w:line="240" w:lineRule="auto"/>
              <w:rPr>
                <w:rFonts w:ascii="Aptos Narrow" w:eastAsia="Times New Roman" w:hAnsi="Aptos Narrow" w:cs="Times New Roman"/>
                <w:color w:val="000000"/>
                <w:sz w:val="18"/>
                <w:szCs w:val="18"/>
                <w:lang w:val="de-DE" w:eastAsia="de-DE"/>
              </w:rPr>
            </w:pPr>
            <w:r w:rsidRPr="00D23195">
              <w:rPr>
                <w:rFonts w:ascii="Aptos Narrow" w:eastAsia="Times New Roman" w:hAnsi="Aptos Narrow" w:cs="Times New Roman"/>
                <w:color w:val="000000"/>
                <w:sz w:val="18"/>
                <w:szCs w:val="18"/>
                <w:lang w:val="de-DE" w:eastAsia="de-DE"/>
              </w:rPr>
              <w:t>-0.110*</w:t>
            </w:r>
          </w:p>
        </w:tc>
        <w:tc>
          <w:tcPr>
            <w:tcW w:w="452" w:type="pct"/>
            <w:tcBorders>
              <w:top w:val="nil"/>
              <w:left w:val="nil"/>
              <w:bottom w:val="nil"/>
              <w:right w:val="nil"/>
            </w:tcBorders>
            <w:shd w:val="clear" w:color="auto" w:fill="auto"/>
            <w:noWrap/>
            <w:vAlign w:val="bottom"/>
            <w:hideMark/>
          </w:tcPr>
          <w:p w14:paraId="0E1EC87C" w14:textId="77777777" w:rsidR="00D23195" w:rsidRPr="00D23195" w:rsidRDefault="00D23195" w:rsidP="00D23195">
            <w:pPr>
              <w:spacing w:line="240" w:lineRule="auto"/>
              <w:rPr>
                <w:rFonts w:ascii="Aptos Narrow" w:eastAsia="Times New Roman" w:hAnsi="Aptos Narrow" w:cs="Times New Roman"/>
                <w:color w:val="000000"/>
                <w:sz w:val="18"/>
                <w:szCs w:val="18"/>
                <w:lang w:val="de-DE" w:eastAsia="de-DE"/>
              </w:rPr>
            </w:pPr>
            <w:r w:rsidRPr="00D23195">
              <w:rPr>
                <w:rFonts w:ascii="Aptos Narrow" w:eastAsia="Times New Roman" w:hAnsi="Aptos Narrow" w:cs="Times New Roman"/>
                <w:color w:val="000000"/>
                <w:sz w:val="18"/>
                <w:szCs w:val="18"/>
                <w:lang w:val="de-DE" w:eastAsia="de-DE"/>
              </w:rPr>
              <w:t>-0.110*</w:t>
            </w:r>
          </w:p>
        </w:tc>
        <w:tc>
          <w:tcPr>
            <w:tcW w:w="452" w:type="pct"/>
            <w:tcBorders>
              <w:top w:val="nil"/>
              <w:left w:val="nil"/>
              <w:bottom w:val="nil"/>
              <w:right w:val="nil"/>
            </w:tcBorders>
            <w:shd w:val="clear" w:color="auto" w:fill="auto"/>
            <w:noWrap/>
            <w:vAlign w:val="bottom"/>
            <w:hideMark/>
          </w:tcPr>
          <w:p w14:paraId="4DFDED9A" w14:textId="77777777" w:rsidR="00D23195" w:rsidRPr="00D23195" w:rsidRDefault="00D23195" w:rsidP="00D23195">
            <w:pPr>
              <w:spacing w:line="240" w:lineRule="auto"/>
              <w:rPr>
                <w:rFonts w:ascii="Aptos Narrow" w:eastAsia="Times New Roman" w:hAnsi="Aptos Narrow" w:cs="Times New Roman"/>
                <w:color w:val="000000"/>
                <w:sz w:val="18"/>
                <w:szCs w:val="18"/>
                <w:lang w:val="de-DE" w:eastAsia="de-DE"/>
              </w:rPr>
            </w:pPr>
            <w:r w:rsidRPr="00D23195">
              <w:rPr>
                <w:rFonts w:ascii="Aptos Narrow" w:eastAsia="Times New Roman" w:hAnsi="Aptos Narrow" w:cs="Times New Roman"/>
                <w:color w:val="000000"/>
                <w:sz w:val="18"/>
                <w:szCs w:val="18"/>
                <w:lang w:val="de-DE" w:eastAsia="de-DE"/>
              </w:rPr>
              <w:t>-0.111**</w:t>
            </w:r>
          </w:p>
        </w:tc>
      </w:tr>
      <w:tr w:rsidR="00D23195" w:rsidRPr="00D23195" w14:paraId="3A6B0558" w14:textId="77777777" w:rsidTr="00D23195">
        <w:trPr>
          <w:trHeight w:val="288"/>
        </w:trPr>
        <w:tc>
          <w:tcPr>
            <w:tcW w:w="1385" w:type="pct"/>
            <w:tcBorders>
              <w:top w:val="nil"/>
              <w:left w:val="nil"/>
              <w:bottom w:val="nil"/>
              <w:right w:val="nil"/>
            </w:tcBorders>
            <w:shd w:val="clear" w:color="auto" w:fill="auto"/>
            <w:noWrap/>
            <w:vAlign w:val="bottom"/>
            <w:hideMark/>
          </w:tcPr>
          <w:p w14:paraId="52093259" w14:textId="77777777" w:rsidR="00D23195" w:rsidRPr="00D23195" w:rsidRDefault="00D23195" w:rsidP="00D23195">
            <w:pPr>
              <w:spacing w:line="240" w:lineRule="auto"/>
              <w:rPr>
                <w:rFonts w:ascii="Aptos Narrow" w:eastAsia="Times New Roman" w:hAnsi="Aptos Narrow" w:cs="Times New Roman"/>
                <w:color w:val="000000"/>
                <w:sz w:val="18"/>
                <w:szCs w:val="18"/>
                <w:lang w:val="de-DE" w:eastAsia="de-DE"/>
              </w:rPr>
            </w:pPr>
          </w:p>
        </w:tc>
        <w:tc>
          <w:tcPr>
            <w:tcW w:w="452" w:type="pct"/>
            <w:tcBorders>
              <w:top w:val="nil"/>
              <w:left w:val="nil"/>
              <w:bottom w:val="nil"/>
              <w:right w:val="nil"/>
            </w:tcBorders>
            <w:shd w:val="clear" w:color="auto" w:fill="auto"/>
            <w:noWrap/>
            <w:vAlign w:val="bottom"/>
            <w:hideMark/>
          </w:tcPr>
          <w:p w14:paraId="45DD664F" w14:textId="77777777" w:rsidR="00D23195" w:rsidRPr="00D23195" w:rsidRDefault="00D23195" w:rsidP="00D23195">
            <w:pPr>
              <w:spacing w:line="240" w:lineRule="auto"/>
              <w:rPr>
                <w:rFonts w:ascii="Times New Roman" w:eastAsia="Times New Roman" w:hAnsi="Times New Roman" w:cs="Times New Roman"/>
                <w:sz w:val="18"/>
                <w:szCs w:val="18"/>
                <w:lang w:val="de-DE" w:eastAsia="de-DE"/>
              </w:rPr>
            </w:pPr>
          </w:p>
        </w:tc>
        <w:tc>
          <w:tcPr>
            <w:tcW w:w="452" w:type="pct"/>
            <w:tcBorders>
              <w:top w:val="nil"/>
              <w:left w:val="nil"/>
              <w:bottom w:val="nil"/>
              <w:right w:val="nil"/>
            </w:tcBorders>
            <w:shd w:val="clear" w:color="auto" w:fill="auto"/>
            <w:noWrap/>
            <w:vAlign w:val="bottom"/>
            <w:hideMark/>
          </w:tcPr>
          <w:p w14:paraId="59AAC6B4" w14:textId="77777777" w:rsidR="00D23195" w:rsidRPr="00D23195" w:rsidRDefault="00D23195" w:rsidP="00D23195">
            <w:pPr>
              <w:spacing w:line="240" w:lineRule="auto"/>
              <w:jc w:val="center"/>
              <w:rPr>
                <w:rFonts w:ascii="Times New Roman" w:eastAsia="Times New Roman" w:hAnsi="Times New Roman" w:cs="Times New Roman"/>
                <w:sz w:val="18"/>
                <w:szCs w:val="18"/>
                <w:lang w:val="de-DE" w:eastAsia="de-DE"/>
              </w:rPr>
            </w:pPr>
          </w:p>
        </w:tc>
        <w:tc>
          <w:tcPr>
            <w:tcW w:w="452" w:type="pct"/>
            <w:tcBorders>
              <w:top w:val="nil"/>
              <w:left w:val="nil"/>
              <w:bottom w:val="nil"/>
              <w:right w:val="nil"/>
            </w:tcBorders>
            <w:shd w:val="clear" w:color="auto" w:fill="auto"/>
            <w:noWrap/>
            <w:vAlign w:val="bottom"/>
            <w:hideMark/>
          </w:tcPr>
          <w:p w14:paraId="0795D7B6" w14:textId="77777777" w:rsidR="00D23195" w:rsidRPr="00D23195" w:rsidRDefault="00D23195" w:rsidP="00D23195">
            <w:pPr>
              <w:spacing w:line="240" w:lineRule="auto"/>
              <w:jc w:val="center"/>
              <w:rPr>
                <w:rFonts w:ascii="Times New Roman" w:eastAsia="Times New Roman" w:hAnsi="Times New Roman" w:cs="Times New Roman"/>
                <w:sz w:val="18"/>
                <w:szCs w:val="18"/>
                <w:lang w:val="de-DE" w:eastAsia="de-DE"/>
              </w:rPr>
            </w:pPr>
          </w:p>
        </w:tc>
        <w:tc>
          <w:tcPr>
            <w:tcW w:w="452" w:type="pct"/>
            <w:tcBorders>
              <w:top w:val="nil"/>
              <w:left w:val="nil"/>
              <w:bottom w:val="nil"/>
              <w:right w:val="nil"/>
            </w:tcBorders>
            <w:shd w:val="clear" w:color="auto" w:fill="auto"/>
            <w:noWrap/>
            <w:vAlign w:val="bottom"/>
            <w:hideMark/>
          </w:tcPr>
          <w:p w14:paraId="1A811F4F" w14:textId="77777777" w:rsidR="00D23195" w:rsidRPr="00D23195" w:rsidRDefault="00D23195" w:rsidP="00D23195">
            <w:pPr>
              <w:spacing w:line="240" w:lineRule="auto"/>
              <w:jc w:val="center"/>
              <w:rPr>
                <w:rFonts w:ascii="Times New Roman" w:eastAsia="Times New Roman" w:hAnsi="Times New Roman" w:cs="Times New Roman"/>
                <w:sz w:val="18"/>
                <w:szCs w:val="18"/>
                <w:lang w:val="de-DE" w:eastAsia="de-DE"/>
              </w:rPr>
            </w:pPr>
          </w:p>
        </w:tc>
        <w:tc>
          <w:tcPr>
            <w:tcW w:w="452" w:type="pct"/>
            <w:tcBorders>
              <w:top w:val="nil"/>
              <w:left w:val="nil"/>
              <w:bottom w:val="nil"/>
              <w:right w:val="nil"/>
            </w:tcBorders>
            <w:shd w:val="clear" w:color="auto" w:fill="auto"/>
            <w:noWrap/>
            <w:vAlign w:val="bottom"/>
            <w:hideMark/>
          </w:tcPr>
          <w:p w14:paraId="669AEA65" w14:textId="77777777" w:rsidR="00D23195" w:rsidRPr="00D23195" w:rsidRDefault="00D23195" w:rsidP="00D23195">
            <w:pPr>
              <w:spacing w:line="240" w:lineRule="auto"/>
              <w:rPr>
                <w:rFonts w:ascii="Aptos Narrow" w:eastAsia="Times New Roman" w:hAnsi="Aptos Narrow" w:cs="Times New Roman"/>
                <w:color w:val="000000"/>
                <w:sz w:val="18"/>
                <w:szCs w:val="18"/>
                <w:lang w:val="de-DE" w:eastAsia="de-DE"/>
              </w:rPr>
            </w:pPr>
            <w:r w:rsidRPr="00D23195">
              <w:rPr>
                <w:rFonts w:ascii="Aptos Narrow" w:eastAsia="Times New Roman" w:hAnsi="Aptos Narrow" w:cs="Times New Roman"/>
                <w:color w:val="000000"/>
                <w:sz w:val="18"/>
                <w:szCs w:val="18"/>
                <w:lang w:val="de-DE" w:eastAsia="de-DE"/>
              </w:rPr>
              <w:t>(0.049)</w:t>
            </w:r>
          </w:p>
        </w:tc>
        <w:tc>
          <w:tcPr>
            <w:tcW w:w="452" w:type="pct"/>
            <w:tcBorders>
              <w:top w:val="nil"/>
              <w:left w:val="nil"/>
              <w:bottom w:val="nil"/>
              <w:right w:val="nil"/>
            </w:tcBorders>
            <w:shd w:val="clear" w:color="auto" w:fill="auto"/>
            <w:noWrap/>
            <w:vAlign w:val="bottom"/>
            <w:hideMark/>
          </w:tcPr>
          <w:p w14:paraId="601F1695" w14:textId="77777777" w:rsidR="00D23195" w:rsidRPr="00D23195" w:rsidRDefault="00D23195" w:rsidP="00D23195">
            <w:pPr>
              <w:spacing w:line="240" w:lineRule="auto"/>
              <w:rPr>
                <w:rFonts w:ascii="Aptos Narrow" w:eastAsia="Times New Roman" w:hAnsi="Aptos Narrow" w:cs="Times New Roman"/>
                <w:color w:val="000000"/>
                <w:sz w:val="18"/>
                <w:szCs w:val="18"/>
                <w:lang w:val="de-DE" w:eastAsia="de-DE"/>
              </w:rPr>
            </w:pPr>
            <w:r w:rsidRPr="00D23195">
              <w:rPr>
                <w:rFonts w:ascii="Aptos Narrow" w:eastAsia="Times New Roman" w:hAnsi="Aptos Narrow" w:cs="Times New Roman"/>
                <w:color w:val="000000"/>
                <w:sz w:val="18"/>
                <w:szCs w:val="18"/>
                <w:lang w:val="de-DE" w:eastAsia="de-DE"/>
              </w:rPr>
              <w:t>(0.051)</w:t>
            </w:r>
          </w:p>
        </w:tc>
        <w:tc>
          <w:tcPr>
            <w:tcW w:w="452" w:type="pct"/>
            <w:tcBorders>
              <w:top w:val="nil"/>
              <w:left w:val="nil"/>
              <w:bottom w:val="nil"/>
              <w:right w:val="nil"/>
            </w:tcBorders>
            <w:shd w:val="clear" w:color="auto" w:fill="auto"/>
            <w:noWrap/>
            <w:vAlign w:val="bottom"/>
            <w:hideMark/>
          </w:tcPr>
          <w:p w14:paraId="23B22F91" w14:textId="77777777" w:rsidR="00D23195" w:rsidRPr="00D23195" w:rsidRDefault="00D23195" w:rsidP="00D23195">
            <w:pPr>
              <w:spacing w:line="240" w:lineRule="auto"/>
              <w:rPr>
                <w:rFonts w:ascii="Aptos Narrow" w:eastAsia="Times New Roman" w:hAnsi="Aptos Narrow" w:cs="Times New Roman"/>
                <w:color w:val="000000"/>
                <w:sz w:val="18"/>
                <w:szCs w:val="18"/>
                <w:lang w:val="de-DE" w:eastAsia="de-DE"/>
              </w:rPr>
            </w:pPr>
            <w:r w:rsidRPr="00D23195">
              <w:rPr>
                <w:rFonts w:ascii="Aptos Narrow" w:eastAsia="Times New Roman" w:hAnsi="Aptos Narrow" w:cs="Times New Roman"/>
                <w:color w:val="000000"/>
                <w:sz w:val="18"/>
                <w:szCs w:val="18"/>
                <w:lang w:val="de-DE" w:eastAsia="de-DE"/>
              </w:rPr>
              <w:t>(0.051)</w:t>
            </w:r>
          </w:p>
        </w:tc>
        <w:tc>
          <w:tcPr>
            <w:tcW w:w="452" w:type="pct"/>
            <w:tcBorders>
              <w:top w:val="nil"/>
              <w:left w:val="nil"/>
              <w:bottom w:val="nil"/>
              <w:right w:val="nil"/>
            </w:tcBorders>
            <w:shd w:val="clear" w:color="auto" w:fill="auto"/>
            <w:noWrap/>
            <w:vAlign w:val="bottom"/>
            <w:hideMark/>
          </w:tcPr>
          <w:p w14:paraId="05D79490" w14:textId="77777777" w:rsidR="00D23195" w:rsidRPr="00D23195" w:rsidRDefault="00D23195" w:rsidP="00D23195">
            <w:pPr>
              <w:spacing w:line="240" w:lineRule="auto"/>
              <w:rPr>
                <w:rFonts w:ascii="Aptos Narrow" w:eastAsia="Times New Roman" w:hAnsi="Aptos Narrow" w:cs="Times New Roman"/>
                <w:color w:val="000000"/>
                <w:sz w:val="18"/>
                <w:szCs w:val="18"/>
                <w:lang w:val="de-DE" w:eastAsia="de-DE"/>
              </w:rPr>
            </w:pPr>
            <w:r w:rsidRPr="00D23195">
              <w:rPr>
                <w:rFonts w:ascii="Aptos Narrow" w:eastAsia="Times New Roman" w:hAnsi="Aptos Narrow" w:cs="Times New Roman"/>
                <w:color w:val="000000"/>
                <w:sz w:val="18"/>
                <w:szCs w:val="18"/>
                <w:lang w:val="de-DE" w:eastAsia="de-DE"/>
              </w:rPr>
              <w:t>(0.049)</w:t>
            </w:r>
          </w:p>
        </w:tc>
      </w:tr>
      <w:tr w:rsidR="00D23195" w:rsidRPr="00D23195" w14:paraId="0963FAFE" w14:textId="77777777" w:rsidTr="00D23195">
        <w:trPr>
          <w:trHeight w:val="288"/>
        </w:trPr>
        <w:tc>
          <w:tcPr>
            <w:tcW w:w="1385" w:type="pct"/>
            <w:tcBorders>
              <w:top w:val="nil"/>
              <w:left w:val="nil"/>
              <w:bottom w:val="nil"/>
              <w:right w:val="nil"/>
            </w:tcBorders>
            <w:shd w:val="clear" w:color="auto" w:fill="auto"/>
            <w:noWrap/>
            <w:vAlign w:val="bottom"/>
            <w:hideMark/>
          </w:tcPr>
          <w:p w14:paraId="36B8E12D" w14:textId="77777777" w:rsidR="00D23195" w:rsidRPr="00D23195" w:rsidRDefault="00D23195" w:rsidP="00D23195">
            <w:pPr>
              <w:spacing w:line="240" w:lineRule="auto"/>
              <w:rPr>
                <w:rFonts w:ascii="Aptos Narrow" w:eastAsia="Times New Roman" w:hAnsi="Aptos Narrow" w:cs="Times New Roman"/>
                <w:color w:val="000000"/>
                <w:sz w:val="18"/>
                <w:szCs w:val="18"/>
                <w:lang w:val="de-DE" w:eastAsia="de-DE"/>
              </w:rPr>
            </w:pPr>
            <w:r w:rsidRPr="00D23195">
              <w:rPr>
                <w:rFonts w:ascii="Aptos Narrow" w:eastAsia="Times New Roman" w:hAnsi="Aptos Narrow" w:cs="Times New Roman"/>
                <w:color w:val="000000"/>
                <w:sz w:val="18"/>
                <w:szCs w:val="18"/>
                <w:lang w:val="de-DE" w:eastAsia="de-DE"/>
              </w:rPr>
              <w:t xml:space="preserve">Sharing </w:t>
            </w:r>
            <w:proofErr w:type="spellStart"/>
            <w:r w:rsidRPr="00D23195">
              <w:rPr>
                <w:rFonts w:ascii="Aptos Narrow" w:eastAsia="Times New Roman" w:hAnsi="Aptos Narrow" w:cs="Times New Roman"/>
                <w:color w:val="000000"/>
                <w:sz w:val="18"/>
                <w:szCs w:val="18"/>
                <w:lang w:val="de-DE" w:eastAsia="de-DE"/>
              </w:rPr>
              <w:t>data</w:t>
            </w:r>
            <w:proofErr w:type="spellEnd"/>
            <w:r w:rsidRPr="00D23195">
              <w:rPr>
                <w:rFonts w:ascii="Aptos Narrow" w:eastAsia="Times New Roman" w:hAnsi="Aptos Narrow" w:cs="Times New Roman"/>
                <w:color w:val="000000"/>
                <w:sz w:val="18"/>
                <w:szCs w:val="18"/>
                <w:lang w:val="de-DE" w:eastAsia="de-DE"/>
              </w:rPr>
              <w:t xml:space="preserve"> </w:t>
            </w:r>
            <w:proofErr w:type="spellStart"/>
            <w:r w:rsidRPr="00D23195">
              <w:rPr>
                <w:rFonts w:ascii="Aptos Narrow" w:eastAsia="Times New Roman" w:hAnsi="Aptos Narrow" w:cs="Times New Roman"/>
                <w:color w:val="000000"/>
                <w:sz w:val="18"/>
                <w:szCs w:val="18"/>
                <w:lang w:val="de-DE" w:eastAsia="de-DE"/>
              </w:rPr>
              <w:t>protection</w:t>
            </w:r>
            <w:proofErr w:type="spellEnd"/>
            <w:r w:rsidRPr="00D23195">
              <w:rPr>
                <w:rFonts w:ascii="Aptos Narrow" w:eastAsia="Times New Roman" w:hAnsi="Aptos Narrow" w:cs="Times New Roman"/>
                <w:color w:val="000000"/>
                <w:sz w:val="18"/>
                <w:szCs w:val="18"/>
                <w:lang w:val="de-DE" w:eastAsia="de-DE"/>
              </w:rPr>
              <w:t xml:space="preserve"> * OT</w:t>
            </w:r>
          </w:p>
        </w:tc>
        <w:tc>
          <w:tcPr>
            <w:tcW w:w="452" w:type="pct"/>
            <w:tcBorders>
              <w:top w:val="nil"/>
              <w:left w:val="nil"/>
              <w:bottom w:val="nil"/>
              <w:right w:val="nil"/>
            </w:tcBorders>
            <w:shd w:val="clear" w:color="auto" w:fill="auto"/>
            <w:noWrap/>
            <w:vAlign w:val="bottom"/>
            <w:hideMark/>
          </w:tcPr>
          <w:p w14:paraId="6DA35DE0" w14:textId="77777777" w:rsidR="00D23195" w:rsidRPr="00D23195" w:rsidRDefault="00D23195" w:rsidP="00D23195">
            <w:pPr>
              <w:spacing w:line="240" w:lineRule="auto"/>
              <w:rPr>
                <w:rFonts w:ascii="Aptos Narrow" w:eastAsia="Times New Roman" w:hAnsi="Aptos Narrow" w:cs="Times New Roman"/>
                <w:color w:val="000000"/>
                <w:sz w:val="18"/>
                <w:szCs w:val="18"/>
                <w:lang w:val="de-DE" w:eastAsia="de-DE"/>
              </w:rPr>
            </w:pPr>
          </w:p>
        </w:tc>
        <w:tc>
          <w:tcPr>
            <w:tcW w:w="452" w:type="pct"/>
            <w:tcBorders>
              <w:top w:val="nil"/>
              <w:left w:val="nil"/>
              <w:bottom w:val="nil"/>
              <w:right w:val="nil"/>
            </w:tcBorders>
            <w:shd w:val="clear" w:color="auto" w:fill="auto"/>
            <w:noWrap/>
            <w:vAlign w:val="bottom"/>
            <w:hideMark/>
          </w:tcPr>
          <w:p w14:paraId="2F55551C" w14:textId="77777777" w:rsidR="00D23195" w:rsidRPr="00D23195" w:rsidRDefault="00D23195" w:rsidP="00D23195">
            <w:pPr>
              <w:spacing w:line="240" w:lineRule="auto"/>
              <w:jc w:val="center"/>
              <w:rPr>
                <w:rFonts w:ascii="Times New Roman" w:eastAsia="Times New Roman" w:hAnsi="Times New Roman" w:cs="Times New Roman"/>
                <w:sz w:val="18"/>
                <w:szCs w:val="18"/>
                <w:lang w:val="de-DE" w:eastAsia="de-DE"/>
              </w:rPr>
            </w:pPr>
          </w:p>
        </w:tc>
        <w:tc>
          <w:tcPr>
            <w:tcW w:w="452" w:type="pct"/>
            <w:tcBorders>
              <w:top w:val="nil"/>
              <w:left w:val="nil"/>
              <w:bottom w:val="nil"/>
              <w:right w:val="nil"/>
            </w:tcBorders>
            <w:shd w:val="clear" w:color="auto" w:fill="auto"/>
            <w:noWrap/>
            <w:vAlign w:val="bottom"/>
            <w:hideMark/>
          </w:tcPr>
          <w:p w14:paraId="77AEDB06" w14:textId="77777777" w:rsidR="00D23195" w:rsidRPr="00D23195" w:rsidRDefault="00D23195" w:rsidP="00D23195">
            <w:pPr>
              <w:spacing w:line="240" w:lineRule="auto"/>
              <w:jc w:val="center"/>
              <w:rPr>
                <w:rFonts w:ascii="Times New Roman" w:eastAsia="Times New Roman" w:hAnsi="Times New Roman" w:cs="Times New Roman"/>
                <w:sz w:val="18"/>
                <w:szCs w:val="18"/>
                <w:lang w:val="de-DE" w:eastAsia="de-DE"/>
              </w:rPr>
            </w:pPr>
          </w:p>
        </w:tc>
        <w:tc>
          <w:tcPr>
            <w:tcW w:w="452" w:type="pct"/>
            <w:tcBorders>
              <w:top w:val="nil"/>
              <w:left w:val="nil"/>
              <w:bottom w:val="nil"/>
              <w:right w:val="nil"/>
            </w:tcBorders>
            <w:shd w:val="clear" w:color="auto" w:fill="auto"/>
            <w:noWrap/>
            <w:vAlign w:val="bottom"/>
            <w:hideMark/>
          </w:tcPr>
          <w:p w14:paraId="0A157CCE" w14:textId="77777777" w:rsidR="00D23195" w:rsidRPr="00D23195" w:rsidRDefault="00D23195" w:rsidP="00D23195">
            <w:pPr>
              <w:spacing w:line="240" w:lineRule="auto"/>
              <w:jc w:val="center"/>
              <w:rPr>
                <w:rFonts w:ascii="Times New Roman" w:eastAsia="Times New Roman" w:hAnsi="Times New Roman" w:cs="Times New Roman"/>
                <w:sz w:val="18"/>
                <w:szCs w:val="18"/>
                <w:lang w:val="de-DE" w:eastAsia="de-DE"/>
              </w:rPr>
            </w:pPr>
          </w:p>
        </w:tc>
        <w:tc>
          <w:tcPr>
            <w:tcW w:w="452" w:type="pct"/>
            <w:tcBorders>
              <w:top w:val="nil"/>
              <w:left w:val="nil"/>
              <w:bottom w:val="nil"/>
              <w:right w:val="nil"/>
            </w:tcBorders>
            <w:shd w:val="clear" w:color="auto" w:fill="auto"/>
            <w:noWrap/>
            <w:vAlign w:val="bottom"/>
            <w:hideMark/>
          </w:tcPr>
          <w:p w14:paraId="7561959E" w14:textId="77777777" w:rsidR="00D23195" w:rsidRPr="00D23195" w:rsidRDefault="00D23195" w:rsidP="00D23195">
            <w:pPr>
              <w:spacing w:line="240" w:lineRule="auto"/>
              <w:rPr>
                <w:rFonts w:ascii="Aptos Narrow" w:eastAsia="Times New Roman" w:hAnsi="Aptos Narrow" w:cs="Times New Roman"/>
                <w:color w:val="000000"/>
                <w:sz w:val="18"/>
                <w:szCs w:val="18"/>
                <w:lang w:val="de-DE" w:eastAsia="de-DE"/>
              </w:rPr>
            </w:pPr>
            <w:r w:rsidRPr="00D23195">
              <w:rPr>
                <w:rFonts w:ascii="Aptos Narrow" w:eastAsia="Times New Roman" w:hAnsi="Aptos Narrow" w:cs="Times New Roman"/>
                <w:color w:val="000000"/>
                <w:sz w:val="18"/>
                <w:szCs w:val="18"/>
                <w:lang w:val="de-DE" w:eastAsia="de-DE"/>
              </w:rPr>
              <w:t>-0.136**</w:t>
            </w:r>
          </w:p>
        </w:tc>
        <w:tc>
          <w:tcPr>
            <w:tcW w:w="452" w:type="pct"/>
            <w:tcBorders>
              <w:top w:val="nil"/>
              <w:left w:val="nil"/>
              <w:bottom w:val="nil"/>
              <w:right w:val="nil"/>
            </w:tcBorders>
            <w:shd w:val="clear" w:color="auto" w:fill="auto"/>
            <w:noWrap/>
            <w:vAlign w:val="bottom"/>
            <w:hideMark/>
          </w:tcPr>
          <w:p w14:paraId="3BB5C3BD" w14:textId="77777777" w:rsidR="00D23195" w:rsidRPr="00D23195" w:rsidRDefault="00D23195" w:rsidP="00D23195">
            <w:pPr>
              <w:spacing w:line="240" w:lineRule="auto"/>
              <w:rPr>
                <w:rFonts w:ascii="Aptos Narrow" w:eastAsia="Times New Roman" w:hAnsi="Aptos Narrow" w:cs="Times New Roman"/>
                <w:color w:val="000000"/>
                <w:sz w:val="18"/>
                <w:szCs w:val="18"/>
                <w:lang w:val="de-DE" w:eastAsia="de-DE"/>
              </w:rPr>
            </w:pPr>
            <w:r w:rsidRPr="00D23195">
              <w:rPr>
                <w:rFonts w:ascii="Aptos Narrow" w:eastAsia="Times New Roman" w:hAnsi="Aptos Narrow" w:cs="Times New Roman"/>
                <w:color w:val="000000"/>
                <w:sz w:val="18"/>
                <w:szCs w:val="18"/>
                <w:lang w:val="de-DE" w:eastAsia="de-DE"/>
              </w:rPr>
              <w:t>-0.138**</w:t>
            </w:r>
          </w:p>
        </w:tc>
        <w:tc>
          <w:tcPr>
            <w:tcW w:w="452" w:type="pct"/>
            <w:tcBorders>
              <w:top w:val="nil"/>
              <w:left w:val="nil"/>
              <w:bottom w:val="nil"/>
              <w:right w:val="nil"/>
            </w:tcBorders>
            <w:shd w:val="clear" w:color="auto" w:fill="auto"/>
            <w:noWrap/>
            <w:vAlign w:val="bottom"/>
            <w:hideMark/>
          </w:tcPr>
          <w:p w14:paraId="4722EE85" w14:textId="77777777" w:rsidR="00D23195" w:rsidRPr="00D23195" w:rsidRDefault="00D23195" w:rsidP="00D23195">
            <w:pPr>
              <w:spacing w:line="240" w:lineRule="auto"/>
              <w:rPr>
                <w:rFonts w:ascii="Aptos Narrow" w:eastAsia="Times New Roman" w:hAnsi="Aptos Narrow" w:cs="Times New Roman"/>
                <w:color w:val="000000"/>
                <w:sz w:val="18"/>
                <w:szCs w:val="18"/>
                <w:lang w:val="de-DE" w:eastAsia="de-DE"/>
              </w:rPr>
            </w:pPr>
            <w:r w:rsidRPr="00D23195">
              <w:rPr>
                <w:rFonts w:ascii="Aptos Narrow" w:eastAsia="Times New Roman" w:hAnsi="Aptos Narrow" w:cs="Times New Roman"/>
                <w:color w:val="000000"/>
                <w:sz w:val="18"/>
                <w:szCs w:val="18"/>
                <w:lang w:val="de-DE" w:eastAsia="de-DE"/>
              </w:rPr>
              <w:t>-0.141**</w:t>
            </w:r>
          </w:p>
        </w:tc>
        <w:tc>
          <w:tcPr>
            <w:tcW w:w="452" w:type="pct"/>
            <w:tcBorders>
              <w:top w:val="nil"/>
              <w:left w:val="nil"/>
              <w:bottom w:val="nil"/>
              <w:right w:val="nil"/>
            </w:tcBorders>
            <w:shd w:val="clear" w:color="auto" w:fill="auto"/>
            <w:noWrap/>
            <w:vAlign w:val="bottom"/>
            <w:hideMark/>
          </w:tcPr>
          <w:p w14:paraId="22253B63" w14:textId="77777777" w:rsidR="00D23195" w:rsidRPr="00D23195" w:rsidRDefault="00D23195" w:rsidP="00D23195">
            <w:pPr>
              <w:spacing w:line="240" w:lineRule="auto"/>
              <w:rPr>
                <w:rFonts w:ascii="Aptos Narrow" w:eastAsia="Times New Roman" w:hAnsi="Aptos Narrow" w:cs="Times New Roman"/>
                <w:color w:val="000000"/>
                <w:sz w:val="18"/>
                <w:szCs w:val="18"/>
                <w:lang w:val="de-DE" w:eastAsia="de-DE"/>
              </w:rPr>
            </w:pPr>
            <w:r w:rsidRPr="00D23195">
              <w:rPr>
                <w:rFonts w:ascii="Aptos Narrow" w:eastAsia="Times New Roman" w:hAnsi="Aptos Narrow" w:cs="Times New Roman"/>
                <w:color w:val="000000"/>
                <w:sz w:val="18"/>
                <w:szCs w:val="18"/>
                <w:lang w:val="de-DE" w:eastAsia="de-DE"/>
              </w:rPr>
              <w:t>-0.141**</w:t>
            </w:r>
          </w:p>
        </w:tc>
      </w:tr>
      <w:tr w:rsidR="00D23195" w:rsidRPr="00D23195" w14:paraId="1A614665" w14:textId="77777777" w:rsidTr="00D23195">
        <w:trPr>
          <w:trHeight w:val="288"/>
        </w:trPr>
        <w:tc>
          <w:tcPr>
            <w:tcW w:w="1385" w:type="pct"/>
            <w:tcBorders>
              <w:top w:val="nil"/>
              <w:left w:val="nil"/>
              <w:bottom w:val="nil"/>
              <w:right w:val="nil"/>
            </w:tcBorders>
            <w:shd w:val="clear" w:color="auto" w:fill="auto"/>
            <w:noWrap/>
            <w:vAlign w:val="bottom"/>
            <w:hideMark/>
          </w:tcPr>
          <w:p w14:paraId="5BA09453" w14:textId="77777777" w:rsidR="00D23195" w:rsidRPr="00D23195" w:rsidRDefault="00D23195" w:rsidP="00D23195">
            <w:pPr>
              <w:spacing w:line="240" w:lineRule="auto"/>
              <w:rPr>
                <w:rFonts w:ascii="Aptos Narrow" w:eastAsia="Times New Roman" w:hAnsi="Aptos Narrow" w:cs="Times New Roman"/>
                <w:color w:val="000000"/>
                <w:sz w:val="18"/>
                <w:szCs w:val="18"/>
                <w:lang w:val="de-DE" w:eastAsia="de-DE"/>
              </w:rPr>
            </w:pPr>
          </w:p>
        </w:tc>
        <w:tc>
          <w:tcPr>
            <w:tcW w:w="452" w:type="pct"/>
            <w:tcBorders>
              <w:top w:val="nil"/>
              <w:left w:val="nil"/>
              <w:bottom w:val="nil"/>
              <w:right w:val="nil"/>
            </w:tcBorders>
            <w:shd w:val="clear" w:color="auto" w:fill="auto"/>
            <w:noWrap/>
            <w:vAlign w:val="bottom"/>
            <w:hideMark/>
          </w:tcPr>
          <w:p w14:paraId="3A671AE1" w14:textId="77777777" w:rsidR="00D23195" w:rsidRPr="00D23195" w:rsidRDefault="00D23195" w:rsidP="00D23195">
            <w:pPr>
              <w:spacing w:line="240" w:lineRule="auto"/>
              <w:rPr>
                <w:rFonts w:ascii="Times New Roman" w:eastAsia="Times New Roman" w:hAnsi="Times New Roman" w:cs="Times New Roman"/>
                <w:sz w:val="18"/>
                <w:szCs w:val="18"/>
                <w:lang w:val="de-DE" w:eastAsia="de-DE"/>
              </w:rPr>
            </w:pPr>
          </w:p>
        </w:tc>
        <w:tc>
          <w:tcPr>
            <w:tcW w:w="452" w:type="pct"/>
            <w:tcBorders>
              <w:top w:val="nil"/>
              <w:left w:val="nil"/>
              <w:bottom w:val="nil"/>
              <w:right w:val="nil"/>
            </w:tcBorders>
            <w:shd w:val="clear" w:color="auto" w:fill="auto"/>
            <w:noWrap/>
            <w:vAlign w:val="bottom"/>
            <w:hideMark/>
          </w:tcPr>
          <w:p w14:paraId="207F04B4" w14:textId="77777777" w:rsidR="00D23195" w:rsidRPr="00D23195" w:rsidRDefault="00D23195" w:rsidP="00D23195">
            <w:pPr>
              <w:spacing w:line="240" w:lineRule="auto"/>
              <w:jc w:val="center"/>
              <w:rPr>
                <w:rFonts w:ascii="Times New Roman" w:eastAsia="Times New Roman" w:hAnsi="Times New Roman" w:cs="Times New Roman"/>
                <w:sz w:val="18"/>
                <w:szCs w:val="18"/>
                <w:lang w:val="de-DE" w:eastAsia="de-DE"/>
              </w:rPr>
            </w:pPr>
          </w:p>
        </w:tc>
        <w:tc>
          <w:tcPr>
            <w:tcW w:w="452" w:type="pct"/>
            <w:tcBorders>
              <w:top w:val="nil"/>
              <w:left w:val="nil"/>
              <w:bottom w:val="nil"/>
              <w:right w:val="nil"/>
            </w:tcBorders>
            <w:shd w:val="clear" w:color="auto" w:fill="auto"/>
            <w:noWrap/>
            <w:vAlign w:val="bottom"/>
            <w:hideMark/>
          </w:tcPr>
          <w:p w14:paraId="43E4347F" w14:textId="77777777" w:rsidR="00D23195" w:rsidRPr="00D23195" w:rsidRDefault="00D23195" w:rsidP="00D23195">
            <w:pPr>
              <w:spacing w:line="240" w:lineRule="auto"/>
              <w:jc w:val="center"/>
              <w:rPr>
                <w:rFonts w:ascii="Times New Roman" w:eastAsia="Times New Roman" w:hAnsi="Times New Roman" w:cs="Times New Roman"/>
                <w:sz w:val="18"/>
                <w:szCs w:val="18"/>
                <w:lang w:val="de-DE" w:eastAsia="de-DE"/>
              </w:rPr>
            </w:pPr>
          </w:p>
        </w:tc>
        <w:tc>
          <w:tcPr>
            <w:tcW w:w="452" w:type="pct"/>
            <w:tcBorders>
              <w:top w:val="nil"/>
              <w:left w:val="nil"/>
              <w:bottom w:val="nil"/>
              <w:right w:val="nil"/>
            </w:tcBorders>
            <w:shd w:val="clear" w:color="auto" w:fill="auto"/>
            <w:noWrap/>
            <w:vAlign w:val="bottom"/>
            <w:hideMark/>
          </w:tcPr>
          <w:p w14:paraId="24BED470" w14:textId="77777777" w:rsidR="00D23195" w:rsidRPr="00D23195" w:rsidRDefault="00D23195" w:rsidP="00D23195">
            <w:pPr>
              <w:spacing w:line="240" w:lineRule="auto"/>
              <w:jc w:val="center"/>
              <w:rPr>
                <w:rFonts w:ascii="Times New Roman" w:eastAsia="Times New Roman" w:hAnsi="Times New Roman" w:cs="Times New Roman"/>
                <w:sz w:val="18"/>
                <w:szCs w:val="18"/>
                <w:lang w:val="de-DE" w:eastAsia="de-DE"/>
              </w:rPr>
            </w:pPr>
          </w:p>
        </w:tc>
        <w:tc>
          <w:tcPr>
            <w:tcW w:w="452" w:type="pct"/>
            <w:tcBorders>
              <w:top w:val="nil"/>
              <w:left w:val="nil"/>
              <w:bottom w:val="nil"/>
              <w:right w:val="nil"/>
            </w:tcBorders>
            <w:shd w:val="clear" w:color="auto" w:fill="auto"/>
            <w:noWrap/>
            <w:vAlign w:val="bottom"/>
            <w:hideMark/>
          </w:tcPr>
          <w:p w14:paraId="47E8A088" w14:textId="77777777" w:rsidR="00D23195" w:rsidRPr="00D23195" w:rsidRDefault="00D23195" w:rsidP="00D23195">
            <w:pPr>
              <w:spacing w:line="240" w:lineRule="auto"/>
              <w:rPr>
                <w:rFonts w:ascii="Aptos Narrow" w:eastAsia="Times New Roman" w:hAnsi="Aptos Narrow" w:cs="Times New Roman"/>
                <w:color w:val="000000"/>
                <w:sz w:val="18"/>
                <w:szCs w:val="18"/>
                <w:lang w:val="de-DE" w:eastAsia="de-DE"/>
              </w:rPr>
            </w:pPr>
            <w:r w:rsidRPr="00D23195">
              <w:rPr>
                <w:rFonts w:ascii="Aptos Narrow" w:eastAsia="Times New Roman" w:hAnsi="Aptos Narrow" w:cs="Times New Roman"/>
                <w:color w:val="000000"/>
                <w:sz w:val="18"/>
                <w:szCs w:val="18"/>
                <w:lang w:val="de-DE" w:eastAsia="de-DE"/>
              </w:rPr>
              <w:t>(0.031)</w:t>
            </w:r>
          </w:p>
        </w:tc>
        <w:tc>
          <w:tcPr>
            <w:tcW w:w="452" w:type="pct"/>
            <w:tcBorders>
              <w:top w:val="nil"/>
              <w:left w:val="nil"/>
              <w:bottom w:val="nil"/>
              <w:right w:val="nil"/>
            </w:tcBorders>
            <w:shd w:val="clear" w:color="auto" w:fill="auto"/>
            <w:noWrap/>
            <w:vAlign w:val="bottom"/>
            <w:hideMark/>
          </w:tcPr>
          <w:p w14:paraId="42636510" w14:textId="77777777" w:rsidR="00D23195" w:rsidRPr="00D23195" w:rsidRDefault="00D23195" w:rsidP="00D23195">
            <w:pPr>
              <w:spacing w:line="240" w:lineRule="auto"/>
              <w:rPr>
                <w:rFonts w:ascii="Aptos Narrow" w:eastAsia="Times New Roman" w:hAnsi="Aptos Narrow" w:cs="Times New Roman"/>
                <w:color w:val="000000"/>
                <w:sz w:val="18"/>
                <w:szCs w:val="18"/>
                <w:lang w:val="de-DE" w:eastAsia="de-DE"/>
              </w:rPr>
            </w:pPr>
            <w:r w:rsidRPr="00D23195">
              <w:rPr>
                <w:rFonts w:ascii="Aptos Narrow" w:eastAsia="Times New Roman" w:hAnsi="Aptos Narrow" w:cs="Times New Roman"/>
                <w:color w:val="000000"/>
                <w:sz w:val="18"/>
                <w:szCs w:val="18"/>
                <w:lang w:val="de-DE" w:eastAsia="de-DE"/>
              </w:rPr>
              <w:t>(0.025)</w:t>
            </w:r>
          </w:p>
        </w:tc>
        <w:tc>
          <w:tcPr>
            <w:tcW w:w="452" w:type="pct"/>
            <w:tcBorders>
              <w:top w:val="nil"/>
              <w:left w:val="nil"/>
              <w:bottom w:val="nil"/>
              <w:right w:val="nil"/>
            </w:tcBorders>
            <w:shd w:val="clear" w:color="auto" w:fill="auto"/>
            <w:noWrap/>
            <w:vAlign w:val="bottom"/>
            <w:hideMark/>
          </w:tcPr>
          <w:p w14:paraId="7A28E09D" w14:textId="77777777" w:rsidR="00D23195" w:rsidRPr="00D23195" w:rsidRDefault="00D23195" w:rsidP="00D23195">
            <w:pPr>
              <w:spacing w:line="240" w:lineRule="auto"/>
              <w:rPr>
                <w:rFonts w:ascii="Aptos Narrow" w:eastAsia="Times New Roman" w:hAnsi="Aptos Narrow" w:cs="Times New Roman"/>
                <w:color w:val="000000"/>
                <w:sz w:val="18"/>
                <w:szCs w:val="18"/>
                <w:lang w:val="de-DE" w:eastAsia="de-DE"/>
              </w:rPr>
            </w:pPr>
            <w:r w:rsidRPr="00D23195">
              <w:rPr>
                <w:rFonts w:ascii="Aptos Narrow" w:eastAsia="Times New Roman" w:hAnsi="Aptos Narrow" w:cs="Times New Roman"/>
                <w:color w:val="000000"/>
                <w:sz w:val="18"/>
                <w:szCs w:val="18"/>
                <w:lang w:val="de-DE" w:eastAsia="de-DE"/>
              </w:rPr>
              <w:t>(0.022)</w:t>
            </w:r>
          </w:p>
        </w:tc>
        <w:tc>
          <w:tcPr>
            <w:tcW w:w="452" w:type="pct"/>
            <w:tcBorders>
              <w:top w:val="nil"/>
              <w:left w:val="nil"/>
              <w:bottom w:val="nil"/>
              <w:right w:val="nil"/>
            </w:tcBorders>
            <w:shd w:val="clear" w:color="auto" w:fill="auto"/>
            <w:noWrap/>
            <w:vAlign w:val="bottom"/>
            <w:hideMark/>
          </w:tcPr>
          <w:p w14:paraId="0D3DE405" w14:textId="77777777" w:rsidR="00D23195" w:rsidRPr="00D23195" w:rsidRDefault="00D23195" w:rsidP="00D23195">
            <w:pPr>
              <w:spacing w:line="240" w:lineRule="auto"/>
              <w:rPr>
                <w:rFonts w:ascii="Aptos Narrow" w:eastAsia="Times New Roman" w:hAnsi="Aptos Narrow" w:cs="Times New Roman"/>
                <w:color w:val="000000"/>
                <w:sz w:val="18"/>
                <w:szCs w:val="18"/>
                <w:lang w:val="de-DE" w:eastAsia="de-DE"/>
              </w:rPr>
            </w:pPr>
            <w:r w:rsidRPr="00D23195">
              <w:rPr>
                <w:rFonts w:ascii="Aptos Narrow" w:eastAsia="Times New Roman" w:hAnsi="Aptos Narrow" w:cs="Times New Roman"/>
                <w:color w:val="000000"/>
                <w:sz w:val="18"/>
                <w:szCs w:val="18"/>
                <w:lang w:val="de-DE" w:eastAsia="de-DE"/>
              </w:rPr>
              <w:t>(0.021)</w:t>
            </w:r>
          </w:p>
        </w:tc>
      </w:tr>
      <w:tr w:rsidR="00D23195" w:rsidRPr="00D23195" w14:paraId="68BBD06E" w14:textId="77777777" w:rsidTr="00D23195">
        <w:trPr>
          <w:trHeight w:val="288"/>
        </w:trPr>
        <w:tc>
          <w:tcPr>
            <w:tcW w:w="1385" w:type="pct"/>
            <w:tcBorders>
              <w:top w:val="nil"/>
              <w:left w:val="nil"/>
              <w:bottom w:val="nil"/>
              <w:right w:val="nil"/>
            </w:tcBorders>
            <w:shd w:val="clear" w:color="auto" w:fill="auto"/>
            <w:noWrap/>
            <w:vAlign w:val="bottom"/>
            <w:hideMark/>
          </w:tcPr>
          <w:p w14:paraId="20D65B79" w14:textId="77777777" w:rsidR="00D23195" w:rsidRPr="00D23195" w:rsidRDefault="00D23195" w:rsidP="00D23195">
            <w:pPr>
              <w:spacing w:line="240" w:lineRule="auto"/>
              <w:rPr>
                <w:rFonts w:ascii="Aptos Narrow" w:eastAsia="Times New Roman" w:hAnsi="Aptos Narrow" w:cs="Times New Roman"/>
                <w:color w:val="000000"/>
                <w:sz w:val="18"/>
                <w:szCs w:val="18"/>
                <w:lang w:val="de-DE" w:eastAsia="de-DE"/>
              </w:rPr>
            </w:pPr>
          </w:p>
        </w:tc>
        <w:tc>
          <w:tcPr>
            <w:tcW w:w="452" w:type="pct"/>
            <w:tcBorders>
              <w:top w:val="nil"/>
              <w:left w:val="nil"/>
              <w:bottom w:val="nil"/>
              <w:right w:val="nil"/>
            </w:tcBorders>
            <w:shd w:val="clear" w:color="auto" w:fill="auto"/>
            <w:noWrap/>
            <w:vAlign w:val="bottom"/>
            <w:hideMark/>
          </w:tcPr>
          <w:p w14:paraId="5A7FEF12" w14:textId="77777777" w:rsidR="00D23195" w:rsidRPr="00D23195" w:rsidRDefault="00D23195" w:rsidP="00D23195">
            <w:pPr>
              <w:spacing w:line="240" w:lineRule="auto"/>
              <w:rPr>
                <w:rFonts w:ascii="Times New Roman" w:eastAsia="Times New Roman" w:hAnsi="Times New Roman" w:cs="Times New Roman"/>
                <w:sz w:val="18"/>
                <w:szCs w:val="18"/>
                <w:lang w:val="de-DE" w:eastAsia="de-DE"/>
              </w:rPr>
            </w:pPr>
          </w:p>
        </w:tc>
        <w:tc>
          <w:tcPr>
            <w:tcW w:w="452" w:type="pct"/>
            <w:tcBorders>
              <w:top w:val="nil"/>
              <w:left w:val="nil"/>
              <w:bottom w:val="nil"/>
              <w:right w:val="nil"/>
            </w:tcBorders>
            <w:shd w:val="clear" w:color="auto" w:fill="auto"/>
            <w:noWrap/>
            <w:vAlign w:val="bottom"/>
            <w:hideMark/>
          </w:tcPr>
          <w:p w14:paraId="790375A1" w14:textId="77777777" w:rsidR="00D23195" w:rsidRPr="00D23195" w:rsidRDefault="00D23195" w:rsidP="00D23195">
            <w:pPr>
              <w:spacing w:line="240" w:lineRule="auto"/>
              <w:rPr>
                <w:rFonts w:ascii="Times New Roman" w:eastAsia="Times New Roman" w:hAnsi="Times New Roman" w:cs="Times New Roman"/>
                <w:sz w:val="18"/>
                <w:szCs w:val="18"/>
                <w:lang w:val="de-DE" w:eastAsia="de-DE"/>
              </w:rPr>
            </w:pPr>
          </w:p>
        </w:tc>
        <w:tc>
          <w:tcPr>
            <w:tcW w:w="452" w:type="pct"/>
            <w:tcBorders>
              <w:top w:val="nil"/>
              <w:left w:val="nil"/>
              <w:bottom w:val="nil"/>
              <w:right w:val="nil"/>
            </w:tcBorders>
            <w:shd w:val="clear" w:color="auto" w:fill="auto"/>
            <w:noWrap/>
            <w:vAlign w:val="bottom"/>
            <w:hideMark/>
          </w:tcPr>
          <w:p w14:paraId="14C49781" w14:textId="77777777" w:rsidR="00D23195" w:rsidRPr="00D23195" w:rsidRDefault="00D23195" w:rsidP="00D23195">
            <w:pPr>
              <w:spacing w:line="240" w:lineRule="auto"/>
              <w:rPr>
                <w:rFonts w:ascii="Times New Roman" w:eastAsia="Times New Roman" w:hAnsi="Times New Roman" w:cs="Times New Roman"/>
                <w:sz w:val="18"/>
                <w:szCs w:val="18"/>
                <w:lang w:val="de-DE" w:eastAsia="de-DE"/>
              </w:rPr>
            </w:pPr>
          </w:p>
        </w:tc>
        <w:tc>
          <w:tcPr>
            <w:tcW w:w="452" w:type="pct"/>
            <w:tcBorders>
              <w:top w:val="nil"/>
              <w:left w:val="nil"/>
              <w:bottom w:val="nil"/>
              <w:right w:val="nil"/>
            </w:tcBorders>
            <w:shd w:val="clear" w:color="auto" w:fill="auto"/>
            <w:noWrap/>
            <w:vAlign w:val="bottom"/>
            <w:hideMark/>
          </w:tcPr>
          <w:p w14:paraId="54F4E6A3" w14:textId="77777777" w:rsidR="00D23195" w:rsidRPr="00D23195" w:rsidRDefault="00D23195" w:rsidP="00D23195">
            <w:pPr>
              <w:spacing w:line="240" w:lineRule="auto"/>
              <w:rPr>
                <w:rFonts w:ascii="Times New Roman" w:eastAsia="Times New Roman" w:hAnsi="Times New Roman" w:cs="Times New Roman"/>
                <w:sz w:val="18"/>
                <w:szCs w:val="18"/>
                <w:lang w:val="de-DE" w:eastAsia="de-DE"/>
              </w:rPr>
            </w:pPr>
          </w:p>
        </w:tc>
        <w:tc>
          <w:tcPr>
            <w:tcW w:w="452" w:type="pct"/>
            <w:tcBorders>
              <w:top w:val="nil"/>
              <w:left w:val="nil"/>
              <w:bottom w:val="nil"/>
              <w:right w:val="nil"/>
            </w:tcBorders>
            <w:shd w:val="clear" w:color="auto" w:fill="auto"/>
            <w:noWrap/>
            <w:vAlign w:val="bottom"/>
            <w:hideMark/>
          </w:tcPr>
          <w:p w14:paraId="5240CC96" w14:textId="77777777" w:rsidR="00D23195" w:rsidRPr="00D23195" w:rsidRDefault="00D23195" w:rsidP="00D23195">
            <w:pPr>
              <w:spacing w:line="240" w:lineRule="auto"/>
              <w:rPr>
                <w:rFonts w:ascii="Times New Roman" w:eastAsia="Times New Roman" w:hAnsi="Times New Roman" w:cs="Times New Roman"/>
                <w:sz w:val="18"/>
                <w:szCs w:val="18"/>
                <w:lang w:val="de-DE" w:eastAsia="de-DE"/>
              </w:rPr>
            </w:pPr>
          </w:p>
        </w:tc>
        <w:tc>
          <w:tcPr>
            <w:tcW w:w="452" w:type="pct"/>
            <w:tcBorders>
              <w:top w:val="nil"/>
              <w:left w:val="nil"/>
              <w:bottom w:val="nil"/>
              <w:right w:val="nil"/>
            </w:tcBorders>
            <w:shd w:val="clear" w:color="auto" w:fill="auto"/>
            <w:noWrap/>
            <w:vAlign w:val="bottom"/>
            <w:hideMark/>
          </w:tcPr>
          <w:p w14:paraId="1AF57A60" w14:textId="77777777" w:rsidR="00D23195" w:rsidRPr="00D23195" w:rsidRDefault="00D23195" w:rsidP="00D23195">
            <w:pPr>
              <w:spacing w:line="240" w:lineRule="auto"/>
              <w:rPr>
                <w:rFonts w:ascii="Times New Roman" w:eastAsia="Times New Roman" w:hAnsi="Times New Roman" w:cs="Times New Roman"/>
                <w:sz w:val="18"/>
                <w:szCs w:val="18"/>
                <w:lang w:val="de-DE" w:eastAsia="de-DE"/>
              </w:rPr>
            </w:pPr>
          </w:p>
        </w:tc>
        <w:tc>
          <w:tcPr>
            <w:tcW w:w="452" w:type="pct"/>
            <w:tcBorders>
              <w:top w:val="nil"/>
              <w:left w:val="nil"/>
              <w:bottom w:val="nil"/>
              <w:right w:val="nil"/>
            </w:tcBorders>
            <w:shd w:val="clear" w:color="auto" w:fill="auto"/>
            <w:noWrap/>
            <w:vAlign w:val="bottom"/>
            <w:hideMark/>
          </w:tcPr>
          <w:p w14:paraId="56646D38" w14:textId="77777777" w:rsidR="00D23195" w:rsidRPr="00D23195" w:rsidRDefault="00D23195" w:rsidP="00D23195">
            <w:pPr>
              <w:spacing w:line="240" w:lineRule="auto"/>
              <w:rPr>
                <w:rFonts w:ascii="Times New Roman" w:eastAsia="Times New Roman" w:hAnsi="Times New Roman" w:cs="Times New Roman"/>
                <w:sz w:val="18"/>
                <w:szCs w:val="18"/>
                <w:lang w:val="de-DE" w:eastAsia="de-DE"/>
              </w:rPr>
            </w:pPr>
          </w:p>
        </w:tc>
        <w:tc>
          <w:tcPr>
            <w:tcW w:w="452" w:type="pct"/>
            <w:tcBorders>
              <w:top w:val="nil"/>
              <w:left w:val="nil"/>
              <w:bottom w:val="nil"/>
              <w:right w:val="nil"/>
            </w:tcBorders>
            <w:shd w:val="clear" w:color="auto" w:fill="auto"/>
            <w:noWrap/>
            <w:vAlign w:val="bottom"/>
            <w:hideMark/>
          </w:tcPr>
          <w:p w14:paraId="65BEEDF6" w14:textId="77777777" w:rsidR="00D23195" w:rsidRPr="00D23195" w:rsidRDefault="00D23195" w:rsidP="00D23195">
            <w:pPr>
              <w:spacing w:line="240" w:lineRule="auto"/>
              <w:rPr>
                <w:rFonts w:ascii="Times New Roman" w:eastAsia="Times New Roman" w:hAnsi="Times New Roman" w:cs="Times New Roman"/>
                <w:sz w:val="18"/>
                <w:szCs w:val="18"/>
                <w:lang w:val="de-DE" w:eastAsia="de-DE"/>
              </w:rPr>
            </w:pPr>
          </w:p>
        </w:tc>
      </w:tr>
      <w:tr w:rsidR="00D23195" w:rsidRPr="00D23195" w14:paraId="3E15A53E" w14:textId="77777777" w:rsidTr="00D23195">
        <w:trPr>
          <w:trHeight w:val="288"/>
        </w:trPr>
        <w:tc>
          <w:tcPr>
            <w:tcW w:w="1385" w:type="pct"/>
            <w:tcBorders>
              <w:top w:val="nil"/>
              <w:left w:val="nil"/>
              <w:bottom w:val="nil"/>
              <w:right w:val="nil"/>
            </w:tcBorders>
            <w:shd w:val="clear" w:color="auto" w:fill="auto"/>
            <w:noWrap/>
            <w:vAlign w:val="bottom"/>
            <w:hideMark/>
          </w:tcPr>
          <w:p w14:paraId="0837F28B" w14:textId="77777777" w:rsidR="00D23195" w:rsidRPr="00D23195" w:rsidRDefault="00D23195" w:rsidP="00D23195">
            <w:pPr>
              <w:spacing w:line="240" w:lineRule="auto"/>
              <w:rPr>
                <w:rFonts w:ascii="Aptos Narrow" w:eastAsia="Times New Roman" w:hAnsi="Aptos Narrow" w:cs="Times New Roman"/>
                <w:color w:val="000000"/>
                <w:sz w:val="18"/>
                <w:szCs w:val="18"/>
                <w:lang w:val="de-DE" w:eastAsia="de-DE"/>
              </w:rPr>
            </w:pPr>
            <w:r w:rsidRPr="00D23195">
              <w:rPr>
                <w:rFonts w:ascii="Aptos Narrow" w:eastAsia="Times New Roman" w:hAnsi="Aptos Narrow" w:cs="Times New Roman"/>
                <w:color w:val="000000"/>
                <w:sz w:val="18"/>
                <w:szCs w:val="18"/>
                <w:lang w:val="de-DE" w:eastAsia="de-DE"/>
              </w:rPr>
              <w:t xml:space="preserve">FE </w:t>
            </w:r>
            <w:proofErr w:type="spellStart"/>
            <w:r w:rsidRPr="00D23195">
              <w:rPr>
                <w:rFonts w:ascii="Aptos Narrow" w:eastAsia="Times New Roman" w:hAnsi="Aptos Narrow" w:cs="Times New Roman"/>
                <w:color w:val="000000"/>
                <w:sz w:val="18"/>
                <w:szCs w:val="18"/>
                <w:lang w:val="de-DE" w:eastAsia="de-DE"/>
              </w:rPr>
              <w:t>ods</w:t>
            </w:r>
            <w:proofErr w:type="spellEnd"/>
          </w:p>
        </w:tc>
        <w:tc>
          <w:tcPr>
            <w:tcW w:w="3615" w:type="pct"/>
            <w:gridSpan w:val="8"/>
            <w:tcBorders>
              <w:top w:val="nil"/>
              <w:left w:val="nil"/>
              <w:bottom w:val="nil"/>
              <w:right w:val="nil"/>
            </w:tcBorders>
            <w:shd w:val="clear" w:color="auto" w:fill="auto"/>
            <w:noWrap/>
            <w:vAlign w:val="bottom"/>
            <w:hideMark/>
          </w:tcPr>
          <w:p w14:paraId="65606528" w14:textId="77777777" w:rsidR="00D23195" w:rsidRPr="00D23195" w:rsidRDefault="00D23195" w:rsidP="00D23195">
            <w:pPr>
              <w:spacing w:line="240" w:lineRule="auto"/>
              <w:jc w:val="center"/>
              <w:rPr>
                <w:rFonts w:ascii="Aptos Narrow" w:eastAsia="Times New Roman" w:hAnsi="Aptos Narrow" w:cs="Times New Roman"/>
                <w:color w:val="000000"/>
                <w:sz w:val="18"/>
                <w:szCs w:val="18"/>
                <w:lang w:val="de-DE" w:eastAsia="de-DE"/>
              </w:rPr>
            </w:pPr>
            <w:r w:rsidRPr="00D23195">
              <w:rPr>
                <w:rFonts w:ascii="Aptos Narrow" w:eastAsia="Times New Roman" w:hAnsi="Aptos Narrow" w:cs="Times New Roman"/>
                <w:color w:val="000000"/>
                <w:sz w:val="18"/>
                <w:szCs w:val="18"/>
                <w:lang w:val="de-DE" w:eastAsia="de-DE"/>
              </w:rPr>
              <w:t>Yes</w:t>
            </w:r>
          </w:p>
        </w:tc>
      </w:tr>
      <w:tr w:rsidR="00D23195" w:rsidRPr="00D23195" w14:paraId="581CADE2" w14:textId="77777777" w:rsidTr="00D23195">
        <w:trPr>
          <w:trHeight w:val="288"/>
        </w:trPr>
        <w:tc>
          <w:tcPr>
            <w:tcW w:w="1385" w:type="pct"/>
            <w:tcBorders>
              <w:top w:val="nil"/>
              <w:left w:val="nil"/>
              <w:bottom w:val="nil"/>
              <w:right w:val="nil"/>
            </w:tcBorders>
            <w:shd w:val="clear" w:color="auto" w:fill="auto"/>
            <w:noWrap/>
            <w:vAlign w:val="bottom"/>
            <w:hideMark/>
          </w:tcPr>
          <w:p w14:paraId="5F712313" w14:textId="77777777" w:rsidR="00D23195" w:rsidRPr="00D23195" w:rsidRDefault="00D23195" w:rsidP="00D23195">
            <w:pPr>
              <w:spacing w:line="240" w:lineRule="auto"/>
              <w:rPr>
                <w:rFonts w:ascii="Aptos Narrow" w:eastAsia="Times New Roman" w:hAnsi="Aptos Narrow" w:cs="Times New Roman"/>
                <w:color w:val="000000"/>
                <w:sz w:val="18"/>
                <w:szCs w:val="18"/>
                <w:lang w:val="de-DE" w:eastAsia="de-DE"/>
              </w:rPr>
            </w:pPr>
            <w:r w:rsidRPr="00D23195">
              <w:rPr>
                <w:rFonts w:ascii="Aptos Narrow" w:eastAsia="Times New Roman" w:hAnsi="Aptos Narrow" w:cs="Times New Roman"/>
                <w:color w:val="000000"/>
                <w:sz w:val="18"/>
                <w:szCs w:val="18"/>
                <w:lang w:val="de-DE" w:eastAsia="de-DE"/>
              </w:rPr>
              <w:t xml:space="preserve">FE </w:t>
            </w:r>
            <w:proofErr w:type="spellStart"/>
            <w:r w:rsidRPr="00D23195">
              <w:rPr>
                <w:rFonts w:ascii="Aptos Narrow" w:eastAsia="Times New Roman" w:hAnsi="Aptos Narrow" w:cs="Times New Roman"/>
                <w:color w:val="000000"/>
                <w:sz w:val="18"/>
                <w:szCs w:val="18"/>
                <w:lang w:val="de-DE" w:eastAsia="de-DE"/>
              </w:rPr>
              <w:t>odt</w:t>
            </w:r>
            <w:proofErr w:type="spellEnd"/>
          </w:p>
        </w:tc>
        <w:tc>
          <w:tcPr>
            <w:tcW w:w="3615" w:type="pct"/>
            <w:gridSpan w:val="8"/>
            <w:tcBorders>
              <w:top w:val="nil"/>
              <w:left w:val="nil"/>
              <w:bottom w:val="nil"/>
              <w:right w:val="nil"/>
            </w:tcBorders>
            <w:shd w:val="clear" w:color="auto" w:fill="auto"/>
            <w:noWrap/>
            <w:vAlign w:val="bottom"/>
            <w:hideMark/>
          </w:tcPr>
          <w:p w14:paraId="125B6ACB" w14:textId="77777777" w:rsidR="00D23195" w:rsidRPr="00D23195" w:rsidRDefault="00D23195" w:rsidP="00D23195">
            <w:pPr>
              <w:spacing w:line="240" w:lineRule="auto"/>
              <w:jc w:val="center"/>
              <w:rPr>
                <w:rFonts w:ascii="Aptos Narrow" w:eastAsia="Times New Roman" w:hAnsi="Aptos Narrow" w:cs="Times New Roman"/>
                <w:color w:val="000000"/>
                <w:sz w:val="18"/>
                <w:szCs w:val="18"/>
                <w:lang w:val="de-DE" w:eastAsia="de-DE"/>
              </w:rPr>
            </w:pPr>
            <w:r w:rsidRPr="00D23195">
              <w:rPr>
                <w:rFonts w:ascii="Aptos Narrow" w:eastAsia="Times New Roman" w:hAnsi="Aptos Narrow" w:cs="Times New Roman"/>
                <w:color w:val="000000"/>
                <w:sz w:val="18"/>
                <w:szCs w:val="18"/>
                <w:lang w:val="de-DE" w:eastAsia="de-DE"/>
              </w:rPr>
              <w:t>Yes</w:t>
            </w:r>
          </w:p>
        </w:tc>
      </w:tr>
      <w:tr w:rsidR="00D23195" w:rsidRPr="00D23195" w14:paraId="280CDBFC" w14:textId="77777777" w:rsidTr="00D23195">
        <w:trPr>
          <w:trHeight w:val="288"/>
        </w:trPr>
        <w:tc>
          <w:tcPr>
            <w:tcW w:w="1385" w:type="pct"/>
            <w:tcBorders>
              <w:top w:val="nil"/>
              <w:left w:val="nil"/>
              <w:bottom w:val="nil"/>
              <w:right w:val="nil"/>
            </w:tcBorders>
            <w:shd w:val="clear" w:color="auto" w:fill="auto"/>
            <w:noWrap/>
            <w:vAlign w:val="bottom"/>
            <w:hideMark/>
          </w:tcPr>
          <w:p w14:paraId="5F47A385" w14:textId="77777777" w:rsidR="00D23195" w:rsidRPr="00D23195" w:rsidRDefault="00D23195" w:rsidP="00D23195">
            <w:pPr>
              <w:spacing w:line="240" w:lineRule="auto"/>
              <w:rPr>
                <w:rFonts w:ascii="Aptos Narrow" w:eastAsia="Times New Roman" w:hAnsi="Aptos Narrow" w:cs="Times New Roman"/>
                <w:color w:val="000000"/>
                <w:sz w:val="18"/>
                <w:szCs w:val="18"/>
                <w:lang w:val="de-DE" w:eastAsia="de-DE"/>
              </w:rPr>
            </w:pPr>
            <w:r w:rsidRPr="00D23195">
              <w:rPr>
                <w:rFonts w:ascii="Aptos Narrow" w:eastAsia="Times New Roman" w:hAnsi="Aptos Narrow" w:cs="Times New Roman"/>
                <w:color w:val="000000"/>
                <w:sz w:val="18"/>
                <w:szCs w:val="18"/>
                <w:lang w:val="de-DE" w:eastAsia="de-DE"/>
              </w:rPr>
              <w:t xml:space="preserve">FE </w:t>
            </w:r>
            <w:proofErr w:type="spellStart"/>
            <w:r w:rsidRPr="00D23195">
              <w:rPr>
                <w:rFonts w:ascii="Aptos Narrow" w:eastAsia="Times New Roman" w:hAnsi="Aptos Narrow" w:cs="Times New Roman"/>
                <w:color w:val="000000"/>
                <w:sz w:val="18"/>
                <w:szCs w:val="18"/>
                <w:lang w:val="de-DE" w:eastAsia="de-DE"/>
              </w:rPr>
              <w:t>ost</w:t>
            </w:r>
            <w:proofErr w:type="spellEnd"/>
          </w:p>
        </w:tc>
        <w:tc>
          <w:tcPr>
            <w:tcW w:w="3615" w:type="pct"/>
            <w:gridSpan w:val="8"/>
            <w:tcBorders>
              <w:top w:val="nil"/>
              <w:left w:val="nil"/>
              <w:bottom w:val="nil"/>
              <w:right w:val="nil"/>
            </w:tcBorders>
            <w:shd w:val="clear" w:color="auto" w:fill="auto"/>
            <w:noWrap/>
            <w:vAlign w:val="bottom"/>
            <w:hideMark/>
          </w:tcPr>
          <w:p w14:paraId="5A591F26" w14:textId="77777777" w:rsidR="00D23195" w:rsidRPr="00D23195" w:rsidRDefault="00D23195" w:rsidP="00D23195">
            <w:pPr>
              <w:spacing w:line="240" w:lineRule="auto"/>
              <w:jc w:val="center"/>
              <w:rPr>
                <w:rFonts w:ascii="Aptos Narrow" w:eastAsia="Times New Roman" w:hAnsi="Aptos Narrow" w:cs="Times New Roman"/>
                <w:color w:val="000000"/>
                <w:sz w:val="18"/>
                <w:szCs w:val="18"/>
                <w:lang w:val="de-DE" w:eastAsia="de-DE"/>
              </w:rPr>
            </w:pPr>
            <w:r w:rsidRPr="00D23195">
              <w:rPr>
                <w:rFonts w:ascii="Aptos Narrow" w:eastAsia="Times New Roman" w:hAnsi="Aptos Narrow" w:cs="Times New Roman"/>
                <w:color w:val="000000"/>
                <w:sz w:val="18"/>
                <w:szCs w:val="18"/>
                <w:lang w:val="de-DE" w:eastAsia="de-DE"/>
              </w:rPr>
              <w:t>Yes</w:t>
            </w:r>
          </w:p>
        </w:tc>
      </w:tr>
      <w:tr w:rsidR="00D23195" w:rsidRPr="00D23195" w14:paraId="78ECF0E9" w14:textId="77777777" w:rsidTr="00D23195">
        <w:trPr>
          <w:trHeight w:val="288"/>
        </w:trPr>
        <w:tc>
          <w:tcPr>
            <w:tcW w:w="1385" w:type="pct"/>
            <w:tcBorders>
              <w:top w:val="nil"/>
              <w:left w:val="nil"/>
              <w:bottom w:val="nil"/>
              <w:right w:val="nil"/>
            </w:tcBorders>
            <w:shd w:val="clear" w:color="auto" w:fill="auto"/>
            <w:noWrap/>
            <w:vAlign w:val="bottom"/>
            <w:hideMark/>
          </w:tcPr>
          <w:p w14:paraId="10600A99" w14:textId="77777777" w:rsidR="00D23195" w:rsidRPr="00D23195" w:rsidRDefault="00D23195" w:rsidP="00D23195">
            <w:pPr>
              <w:spacing w:line="240" w:lineRule="auto"/>
              <w:rPr>
                <w:rFonts w:ascii="Aptos Narrow" w:eastAsia="Times New Roman" w:hAnsi="Aptos Narrow" w:cs="Times New Roman"/>
                <w:color w:val="000000"/>
                <w:sz w:val="18"/>
                <w:szCs w:val="18"/>
                <w:lang w:val="de-DE" w:eastAsia="de-DE"/>
              </w:rPr>
            </w:pPr>
            <w:r w:rsidRPr="00D23195">
              <w:rPr>
                <w:rFonts w:ascii="Aptos Narrow" w:eastAsia="Times New Roman" w:hAnsi="Aptos Narrow" w:cs="Times New Roman"/>
                <w:color w:val="000000"/>
                <w:sz w:val="18"/>
                <w:szCs w:val="18"/>
                <w:lang w:val="de-DE" w:eastAsia="de-DE"/>
              </w:rPr>
              <w:t xml:space="preserve">FE </w:t>
            </w:r>
            <w:proofErr w:type="spellStart"/>
            <w:r w:rsidRPr="00D23195">
              <w:rPr>
                <w:rFonts w:ascii="Aptos Narrow" w:eastAsia="Times New Roman" w:hAnsi="Aptos Narrow" w:cs="Times New Roman"/>
                <w:color w:val="000000"/>
                <w:sz w:val="18"/>
                <w:szCs w:val="18"/>
                <w:lang w:val="de-DE" w:eastAsia="de-DE"/>
              </w:rPr>
              <w:t>dst</w:t>
            </w:r>
            <w:proofErr w:type="spellEnd"/>
          </w:p>
        </w:tc>
        <w:tc>
          <w:tcPr>
            <w:tcW w:w="3615" w:type="pct"/>
            <w:gridSpan w:val="8"/>
            <w:tcBorders>
              <w:top w:val="nil"/>
              <w:left w:val="nil"/>
              <w:bottom w:val="nil"/>
              <w:right w:val="nil"/>
            </w:tcBorders>
            <w:shd w:val="clear" w:color="auto" w:fill="auto"/>
            <w:noWrap/>
            <w:vAlign w:val="bottom"/>
            <w:hideMark/>
          </w:tcPr>
          <w:p w14:paraId="4F833DF6" w14:textId="77777777" w:rsidR="00D23195" w:rsidRPr="00D23195" w:rsidRDefault="00D23195" w:rsidP="00D23195">
            <w:pPr>
              <w:spacing w:line="240" w:lineRule="auto"/>
              <w:jc w:val="center"/>
              <w:rPr>
                <w:rFonts w:ascii="Aptos Narrow" w:eastAsia="Times New Roman" w:hAnsi="Aptos Narrow" w:cs="Times New Roman"/>
                <w:color w:val="000000"/>
                <w:sz w:val="18"/>
                <w:szCs w:val="18"/>
                <w:lang w:val="de-DE" w:eastAsia="de-DE"/>
              </w:rPr>
            </w:pPr>
            <w:r w:rsidRPr="00D23195">
              <w:rPr>
                <w:rFonts w:ascii="Aptos Narrow" w:eastAsia="Times New Roman" w:hAnsi="Aptos Narrow" w:cs="Times New Roman"/>
                <w:color w:val="000000"/>
                <w:sz w:val="18"/>
                <w:szCs w:val="18"/>
                <w:lang w:val="de-DE" w:eastAsia="de-DE"/>
              </w:rPr>
              <w:t>Yes</w:t>
            </w:r>
          </w:p>
        </w:tc>
      </w:tr>
      <w:tr w:rsidR="00D23195" w:rsidRPr="00D23195" w14:paraId="1C6EAC7C" w14:textId="77777777" w:rsidTr="00D23195">
        <w:trPr>
          <w:trHeight w:val="288"/>
        </w:trPr>
        <w:tc>
          <w:tcPr>
            <w:tcW w:w="1385" w:type="pct"/>
            <w:tcBorders>
              <w:top w:val="nil"/>
              <w:left w:val="nil"/>
              <w:bottom w:val="nil"/>
              <w:right w:val="nil"/>
            </w:tcBorders>
            <w:shd w:val="clear" w:color="auto" w:fill="auto"/>
            <w:noWrap/>
            <w:vAlign w:val="bottom"/>
            <w:hideMark/>
          </w:tcPr>
          <w:p w14:paraId="34E32616" w14:textId="77777777" w:rsidR="00D23195" w:rsidRPr="00D23195" w:rsidRDefault="00D23195" w:rsidP="00D23195">
            <w:pPr>
              <w:spacing w:line="240" w:lineRule="auto"/>
              <w:jc w:val="center"/>
              <w:rPr>
                <w:rFonts w:ascii="Aptos Narrow" w:eastAsia="Times New Roman" w:hAnsi="Aptos Narrow" w:cs="Times New Roman"/>
                <w:color w:val="000000"/>
                <w:sz w:val="18"/>
                <w:szCs w:val="18"/>
                <w:lang w:val="de-DE" w:eastAsia="de-DE"/>
              </w:rPr>
            </w:pPr>
          </w:p>
        </w:tc>
        <w:tc>
          <w:tcPr>
            <w:tcW w:w="452" w:type="pct"/>
            <w:tcBorders>
              <w:top w:val="nil"/>
              <w:left w:val="nil"/>
              <w:bottom w:val="nil"/>
              <w:right w:val="nil"/>
            </w:tcBorders>
            <w:shd w:val="clear" w:color="auto" w:fill="auto"/>
            <w:noWrap/>
            <w:vAlign w:val="bottom"/>
            <w:hideMark/>
          </w:tcPr>
          <w:p w14:paraId="0938F52F" w14:textId="77777777" w:rsidR="00D23195" w:rsidRPr="00D23195" w:rsidRDefault="00D23195" w:rsidP="00D23195">
            <w:pPr>
              <w:spacing w:line="240" w:lineRule="auto"/>
              <w:rPr>
                <w:rFonts w:ascii="Times New Roman" w:eastAsia="Times New Roman" w:hAnsi="Times New Roman" w:cs="Times New Roman"/>
                <w:sz w:val="18"/>
                <w:szCs w:val="18"/>
                <w:lang w:val="de-DE" w:eastAsia="de-DE"/>
              </w:rPr>
            </w:pPr>
          </w:p>
        </w:tc>
        <w:tc>
          <w:tcPr>
            <w:tcW w:w="452" w:type="pct"/>
            <w:tcBorders>
              <w:top w:val="nil"/>
              <w:left w:val="nil"/>
              <w:bottom w:val="nil"/>
              <w:right w:val="nil"/>
            </w:tcBorders>
            <w:shd w:val="clear" w:color="auto" w:fill="auto"/>
            <w:noWrap/>
            <w:vAlign w:val="bottom"/>
            <w:hideMark/>
          </w:tcPr>
          <w:p w14:paraId="6922C1B8" w14:textId="77777777" w:rsidR="00D23195" w:rsidRPr="00D23195" w:rsidRDefault="00D23195" w:rsidP="00D23195">
            <w:pPr>
              <w:spacing w:line="240" w:lineRule="auto"/>
              <w:rPr>
                <w:rFonts w:ascii="Times New Roman" w:eastAsia="Times New Roman" w:hAnsi="Times New Roman" w:cs="Times New Roman"/>
                <w:sz w:val="18"/>
                <w:szCs w:val="18"/>
                <w:lang w:val="de-DE" w:eastAsia="de-DE"/>
              </w:rPr>
            </w:pPr>
          </w:p>
        </w:tc>
        <w:tc>
          <w:tcPr>
            <w:tcW w:w="452" w:type="pct"/>
            <w:tcBorders>
              <w:top w:val="nil"/>
              <w:left w:val="nil"/>
              <w:bottom w:val="nil"/>
              <w:right w:val="nil"/>
            </w:tcBorders>
            <w:shd w:val="clear" w:color="auto" w:fill="auto"/>
            <w:noWrap/>
            <w:vAlign w:val="bottom"/>
            <w:hideMark/>
          </w:tcPr>
          <w:p w14:paraId="756EB224" w14:textId="77777777" w:rsidR="00D23195" w:rsidRPr="00D23195" w:rsidRDefault="00D23195" w:rsidP="00D23195">
            <w:pPr>
              <w:spacing w:line="240" w:lineRule="auto"/>
              <w:rPr>
                <w:rFonts w:ascii="Times New Roman" w:eastAsia="Times New Roman" w:hAnsi="Times New Roman" w:cs="Times New Roman"/>
                <w:sz w:val="18"/>
                <w:szCs w:val="18"/>
                <w:lang w:val="de-DE" w:eastAsia="de-DE"/>
              </w:rPr>
            </w:pPr>
          </w:p>
        </w:tc>
        <w:tc>
          <w:tcPr>
            <w:tcW w:w="452" w:type="pct"/>
            <w:tcBorders>
              <w:top w:val="nil"/>
              <w:left w:val="nil"/>
              <w:bottom w:val="nil"/>
              <w:right w:val="nil"/>
            </w:tcBorders>
            <w:shd w:val="clear" w:color="auto" w:fill="auto"/>
            <w:noWrap/>
            <w:vAlign w:val="bottom"/>
            <w:hideMark/>
          </w:tcPr>
          <w:p w14:paraId="32B50A69" w14:textId="77777777" w:rsidR="00D23195" w:rsidRPr="00D23195" w:rsidRDefault="00D23195" w:rsidP="00D23195">
            <w:pPr>
              <w:spacing w:line="240" w:lineRule="auto"/>
              <w:rPr>
                <w:rFonts w:ascii="Times New Roman" w:eastAsia="Times New Roman" w:hAnsi="Times New Roman" w:cs="Times New Roman"/>
                <w:sz w:val="18"/>
                <w:szCs w:val="18"/>
                <w:lang w:val="de-DE" w:eastAsia="de-DE"/>
              </w:rPr>
            </w:pPr>
          </w:p>
        </w:tc>
        <w:tc>
          <w:tcPr>
            <w:tcW w:w="452" w:type="pct"/>
            <w:tcBorders>
              <w:top w:val="nil"/>
              <w:left w:val="nil"/>
              <w:bottom w:val="nil"/>
              <w:right w:val="nil"/>
            </w:tcBorders>
            <w:shd w:val="clear" w:color="auto" w:fill="auto"/>
            <w:noWrap/>
            <w:vAlign w:val="bottom"/>
            <w:hideMark/>
          </w:tcPr>
          <w:p w14:paraId="665D3762" w14:textId="77777777" w:rsidR="00D23195" w:rsidRPr="00D23195" w:rsidRDefault="00D23195" w:rsidP="00D23195">
            <w:pPr>
              <w:spacing w:line="240" w:lineRule="auto"/>
              <w:rPr>
                <w:rFonts w:ascii="Times New Roman" w:eastAsia="Times New Roman" w:hAnsi="Times New Roman" w:cs="Times New Roman"/>
                <w:sz w:val="18"/>
                <w:szCs w:val="18"/>
                <w:lang w:val="de-DE" w:eastAsia="de-DE"/>
              </w:rPr>
            </w:pPr>
          </w:p>
        </w:tc>
        <w:tc>
          <w:tcPr>
            <w:tcW w:w="452" w:type="pct"/>
            <w:tcBorders>
              <w:top w:val="nil"/>
              <w:left w:val="nil"/>
              <w:bottom w:val="nil"/>
              <w:right w:val="nil"/>
            </w:tcBorders>
            <w:shd w:val="clear" w:color="auto" w:fill="auto"/>
            <w:noWrap/>
            <w:vAlign w:val="bottom"/>
            <w:hideMark/>
          </w:tcPr>
          <w:p w14:paraId="21229141" w14:textId="77777777" w:rsidR="00D23195" w:rsidRPr="00D23195" w:rsidRDefault="00D23195" w:rsidP="00D23195">
            <w:pPr>
              <w:spacing w:line="240" w:lineRule="auto"/>
              <w:rPr>
                <w:rFonts w:ascii="Times New Roman" w:eastAsia="Times New Roman" w:hAnsi="Times New Roman" w:cs="Times New Roman"/>
                <w:sz w:val="18"/>
                <w:szCs w:val="18"/>
                <w:lang w:val="de-DE" w:eastAsia="de-DE"/>
              </w:rPr>
            </w:pPr>
          </w:p>
        </w:tc>
        <w:tc>
          <w:tcPr>
            <w:tcW w:w="452" w:type="pct"/>
            <w:tcBorders>
              <w:top w:val="nil"/>
              <w:left w:val="nil"/>
              <w:bottom w:val="nil"/>
              <w:right w:val="nil"/>
            </w:tcBorders>
            <w:shd w:val="clear" w:color="auto" w:fill="auto"/>
            <w:noWrap/>
            <w:vAlign w:val="bottom"/>
            <w:hideMark/>
          </w:tcPr>
          <w:p w14:paraId="462B3E9C" w14:textId="77777777" w:rsidR="00D23195" w:rsidRPr="00D23195" w:rsidRDefault="00D23195" w:rsidP="00D23195">
            <w:pPr>
              <w:spacing w:line="240" w:lineRule="auto"/>
              <w:rPr>
                <w:rFonts w:ascii="Times New Roman" w:eastAsia="Times New Roman" w:hAnsi="Times New Roman" w:cs="Times New Roman"/>
                <w:sz w:val="18"/>
                <w:szCs w:val="18"/>
                <w:lang w:val="de-DE" w:eastAsia="de-DE"/>
              </w:rPr>
            </w:pPr>
          </w:p>
        </w:tc>
        <w:tc>
          <w:tcPr>
            <w:tcW w:w="452" w:type="pct"/>
            <w:tcBorders>
              <w:top w:val="nil"/>
              <w:left w:val="nil"/>
              <w:bottom w:val="nil"/>
              <w:right w:val="nil"/>
            </w:tcBorders>
            <w:shd w:val="clear" w:color="auto" w:fill="auto"/>
            <w:noWrap/>
            <w:vAlign w:val="bottom"/>
            <w:hideMark/>
          </w:tcPr>
          <w:p w14:paraId="040DB1E7" w14:textId="77777777" w:rsidR="00D23195" w:rsidRPr="00D23195" w:rsidRDefault="00D23195" w:rsidP="00D23195">
            <w:pPr>
              <w:spacing w:line="240" w:lineRule="auto"/>
              <w:rPr>
                <w:rFonts w:ascii="Times New Roman" w:eastAsia="Times New Roman" w:hAnsi="Times New Roman" w:cs="Times New Roman"/>
                <w:sz w:val="18"/>
                <w:szCs w:val="18"/>
                <w:lang w:val="de-DE" w:eastAsia="de-DE"/>
              </w:rPr>
            </w:pPr>
          </w:p>
        </w:tc>
      </w:tr>
      <w:tr w:rsidR="00D23195" w:rsidRPr="00D23195" w14:paraId="0F097E6C" w14:textId="77777777" w:rsidTr="00D23195">
        <w:trPr>
          <w:trHeight w:val="288"/>
        </w:trPr>
        <w:tc>
          <w:tcPr>
            <w:tcW w:w="1385" w:type="pct"/>
            <w:tcBorders>
              <w:top w:val="single" w:sz="4" w:space="0" w:color="auto"/>
              <w:left w:val="nil"/>
              <w:bottom w:val="single" w:sz="4" w:space="0" w:color="auto"/>
              <w:right w:val="nil"/>
            </w:tcBorders>
            <w:shd w:val="clear" w:color="auto" w:fill="auto"/>
            <w:noWrap/>
            <w:vAlign w:val="bottom"/>
            <w:hideMark/>
          </w:tcPr>
          <w:p w14:paraId="5CDBC20C" w14:textId="77777777" w:rsidR="00D23195" w:rsidRPr="00D23195" w:rsidRDefault="00D23195" w:rsidP="00D23195">
            <w:pPr>
              <w:spacing w:line="240" w:lineRule="auto"/>
              <w:rPr>
                <w:rFonts w:ascii="Aptos Narrow" w:eastAsia="Times New Roman" w:hAnsi="Aptos Narrow" w:cs="Times New Roman"/>
                <w:color w:val="000000"/>
                <w:sz w:val="18"/>
                <w:szCs w:val="18"/>
                <w:lang w:val="de-DE" w:eastAsia="de-DE"/>
              </w:rPr>
            </w:pPr>
            <w:r w:rsidRPr="00D23195">
              <w:rPr>
                <w:rFonts w:ascii="Aptos Narrow" w:eastAsia="Times New Roman" w:hAnsi="Aptos Narrow" w:cs="Times New Roman"/>
                <w:color w:val="000000"/>
                <w:sz w:val="18"/>
                <w:szCs w:val="18"/>
                <w:lang w:val="de-DE" w:eastAsia="de-DE"/>
              </w:rPr>
              <w:t>Obs</w:t>
            </w:r>
          </w:p>
        </w:tc>
        <w:tc>
          <w:tcPr>
            <w:tcW w:w="452" w:type="pct"/>
            <w:tcBorders>
              <w:top w:val="single" w:sz="4" w:space="0" w:color="auto"/>
              <w:left w:val="nil"/>
              <w:bottom w:val="single" w:sz="4" w:space="0" w:color="auto"/>
              <w:right w:val="nil"/>
            </w:tcBorders>
            <w:shd w:val="clear" w:color="auto" w:fill="auto"/>
            <w:noWrap/>
            <w:vAlign w:val="bottom"/>
            <w:hideMark/>
          </w:tcPr>
          <w:p w14:paraId="75B03E9E" w14:textId="77777777" w:rsidR="00D23195" w:rsidRPr="00D23195" w:rsidRDefault="00D23195" w:rsidP="00D23195">
            <w:pPr>
              <w:spacing w:line="240" w:lineRule="auto"/>
              <w:jc w:val="center"/>
              <w:rPr>
                <w:rFonts w:ascii="Aptos Narrow" w:eastAsia="Times New Roman" w:hAnsi="Aptos Narrow" w:cs="Times New Roman"/>
                <w:color w:val="000000"/>
                <w:sz w:val="18"/>
                <w:szCs w:val="18"/>
                <w:lang w:val="de-DE" w:eastAsia="de-DE"/>
              </w:rPr>
            </w:pPr>
            <w:r w:rsidRPr="00D23195">
              <w:rPr>
                <w:rFonts w:ascii="Aptos Narrow" w:eastAsia="Times New Roman" w:hAnsi="Aptos Narrow" w:cs="Times New Roman"/>
                <w:color w:val="000000"/>
                <w:sz w:val="18"/>
                <w:szCs w:val="18"/>
                <w:lang w:val="de-DE" w:eastAsia="de-DE"/>
              </w:rPr>
              <w:t>405416</w:t>
            </w:r>
          </w:p>
        </w:tc>
        <w:tc>
          <w:tcPr>
            <w:tcW w:w="452" w:type="pct"/>
            <w:tcBorders>
              <w:top w:val="single" w:sz="4" w:space="0" w:color="auto"/>
              <w:left w:val="nil"/>
              <w:bottom w:val="single" w:sz="4" w:space="0" w:color="auto"/>
              <w:right w:val="nil"/>
            </w:tcBorders>
            <w:shd w:val="clear" w:color="auto" w:fill="auto"/>
            <w:noWrap/>
            <w:vAlign w:val="bottom"/>
            <w:hideMark/>
          </w:tcPr>
          <w:p w14:paraId="055F21B2" w14:textId="77777777" w:rsidR="00D23195" w:rsidRPr="00D23195" w:rsidRDefault="00D23195" w:rsidP="00D23195">
            <w:pPr>
              <w:spacing w:line="240" w:lineRule="auto"/>
              <w:jc w:val="center"/>
              <w:rPr>
                <w:rFonts w:ascii="Aptos Narrow" w:eastAsia="Times New Roman" w:hAnsi="Aptos Narrow" w:cs="Times New Roman"/>
                <w:color w:val="000000"/>
                <w:sz w:val="18"/>
                <w:szCs w:val="18"/>
                <w:lang w:val="de-DE" w:eastAsia="de-DE"/>
              </w:rPr>
            </w:pPr>
            <w:r w:rsidRPr="00D23195">
              <w:rPr>
                <w:rFonts w:ascii="Aptos Narrow" w:eastAsia="Times New Roman" w:hAnsi="Aptos Narrow" w:cs="Times New Roman"/>
                <w:color w:val="000000"/>
                <w:sz w:val="18"/>
                <w:szCs w:val="18"/>
                <w:lang w:val="de-DE" w:eastAsia="de-DE"/>
              </w:rPr>
              <w:t>405416</w:t>
            </w:r>
          </w:p>
        </w:tc>
        <w:tc>
          <w:tcPr>
            <w:tcW w:w="452" w:type="pct"/>
            <w:tcBorders>
              <w:top w:val="single" w:sz="4" w:space="0" w:color="auto"/>
              <w:left w:val="nil"/>
              <w:bottom w:val="single" w:sz="4" w:space="0" w:color="auto"/>
              <w:right w:val="nil"/>
            </w:tcBorders>
            <w:shd w:val="clear" w:color="auto" w:fill="auto"/>
            <w:noWrap/>
            <w:vAlign w:val="bottom"/>
            <w:hideMark/>
          </w:tcPr>
          <w:p w14:paraId="2D9C6B87" w14:textId="77777777" w:rsidR="00D23195" w:rsidRPr="00D23195" w:rsidRDefault="00D23195" w:rsidP="00D23195">
            <w:pPr>
              <w:spacing w:line="240" w:lineRule="auto"/>
              <w:jc w:val="center"/>
              <w:rPr>
                <w:rFonts w:ascii="Aptos Narrow" w:eastAsia="Times New Roman" w:hAnsi="Aptos Narrow" w:cs="Times New Roman"/>
                <w:color w:val="000000"/>
                <w:sz w:val="18"/>
                <w:szCs w:val="18"/>
                <w:lang w:val="de-DE" w:eastAsia="de-DE"/>
              </w:rPr>
            </w:pPr>
            <w:r w:rsidRPr="00D23195">
              <w:rPr>
                <w:rFonts w:ascii="Aptos Narrow" w:eastAsia="Times New Roman" w:hAnsi="Aptos Narrow" w:cs="Times New Roman"/>
                <w:color w:val="000000"/>
                <w:sz w:val="18"/>
                <w:szCs w:val="18"/>
                <w:lang w:val="de-DE" w:eastAsia="de-DE"/>
              </w:rPr>
              <w:t>405416</w:t>
            </w:r>
          </w:p>
        </w:tc>
        <w:tc>
          <w:tcPr>
            <w:tcW w:w="452" w:type="pct"/>
            <w:tcBorders>
              <w:top w:val="single" w:sz="4" w:space="0" w:color="auto"/>
              <w:left w:val="nil"/>
              <w:bottom w:val="single" w:sz="4" w:space="0" w:color="auto"/>
              <w:right w:val="nil"/>
            </w:tcBorders>
            <w:shd w:val="clear" w:color="auto" w:fill="auto"/>
            <w:noWrap/>
            <w:vAlign w:val="bottom"/>
            <w:hideMark/>
          </w:tcPr>
          <w:p w14:paraId="64D5E6EB" w14:textId="77777777" w:rsidR="00D23195" w:rsidRPr="00D23195" w:rsidRDefault="00D23195" w:rsidP="00D23195">
            <w:pPr>
              <w:spacing w:line="240" w:lineRule="auto"/>
              <w:jc w:val="center"/>
              <w:rPr>
                <w:rFonts w:ascii="Aptos Narrow" w:eastAsia="Times New Roman" w:hAnsi="Aptos Narrow" w:cs="Times New Roman"/>
                <w:color w:val="000000"/>
                <w:sz w:val="18"/>
                <w:szCs w:val="18"/>
                <w:lang w:val="de-DE" w:eastAsia="de-DE"/>
              </w:rPr>
            </w:pPr>
            <w:r w:rsidRPr="00D23195">
              <w:rPr>
                <w:rFonts w:ascii="Aptos Narrow" w:eastAsia="Times New Roman" w:hAnsi="Aptos Narrow" w:cs="Times New Roman"/>
                <w:color w:val="000000"/>
                <w:sz w:val="18"/>
                <w:szCs w:val="18"/>
                <w:lang w:val="de-DE" w:eastAsia="de-DE"/>
              </w:rPr>
              <w:t>405416</w:t>
            </w:r>
          </w:p>
        </w:tc>
        <w:tc>
          <w:tcPr>
            <w:tcW w:w="452" w:type="pct"/>
            <w:tcBorders>
              <w:top w:val="single" w:sz="4" w:space="0" w:color="auto"/>
              <w:left w:val="nil"/>
              <w:bottom w:val="single" w:sz="4" w:space="0" w:color="auto"/>
              <w:right w:val="nil"/>
            </w:tcBorders>
            <w:shd w:val="clear" w:color="auto" w:fill="auto"/>
            <w:noWrap/>
            <w:vAlign w:val="bottom"/>
            <w:hideMark/>
          </w:tcPr>
          <w:p w14:paraId="7D08AD25" w14:textId="77777777" w:rsidR="00D23195" w:rsidRPr="00D23195" w:rsidRDefault="00D23195" w:rsidP="00D23195">
            <w:pPr>
              <w:spacing w:line="240" w:lineRule="auto"/>
              <w:jc w:val="center"/>
              <w:rPr>
                <w:rFonts w:ascii="Aptos Narrow" w:eastAsia="Times New Roman" w:hAnsi="Aptos Narrow" w:cs="Times New Roman"/>
                <w:color w:val="000000"/>
                <w:sz w:val="18"/>
                <w:szCs w:val="18"/>
                <w:lang w:val="de-DE" w:eastAsia="de-DE"/>
              </w:rPr>
            </w:pPr>
            <w:r w:rsidRPr="00D23195">
              <w:rPr>
                <w:rFonts w:ascii="Aptos Narrow" w:eastAsia="Times New Roman" w:hAnsi="Aptos Narrow" w:cs="Times New Roman"/>
                <w:color w:val="000000"/>
                <w:sz w:val="18"/>
                <w:szCs w:val="18"/>
                <w:lang w:val="de-DE" w:eastAsia="de-DE"/>
              </w:rPr>
              <w:t>405416</w:t>
            </w:r>
          </w:p>
        </w:tc>
        <w:tc>
          <w:tcPr>
            <w:tcW w:w="452" w:type="pct"/>
            <w:tcBorders>
              <w:top w:val="single" w:sz="4" w:space="0" w:color="auto"/>
              <w:left w:val="nil"/>
              <w:bottom w:val="single" w:sz="4" w:space="0" w:color="auto"/>
              <w:right w:val="nil"/>
            </w:tcBorders>
            <w:shd w:val="clear" w:color="auto" w:fill="auto"/>
            <w:noWrap/>
            <w:vAlign w:val="bottom"/>
            <w:hideMark/>
          </w:tcPr>
          <w:p w14:paraId="50E7543C" w14:textId="77777777" w:rsidR="00D23195" w:rsidRPr="00D23195" w:rsidRDefault="00D23195" w:rsidP="00D23195">
            <w:pPr>
              <w:spacing w:line="240" w:lineRule="auto"/>
              <w:jc w:val="center"/>
              <w:rPr>
                <w:rFonts w:ascii="Aptos Narrow" w:eastAsia="Times New Roman" w:hAnsi="Aptos Narrow" w:cs="Times New Roman"/>
                <w:color w:val="000000"/>
                <w:sz w:val="18"/>
                <w:szCs w:val="18"/>
                <w:lang w:val="de-DE" w:eastAsia="de-DE"/>
              </w:rPr>
            </w:pPr>
            <w:r w:rsidRPr="00D23195">
              <w:rPr>
                <w:rFonts w:ascii="Aptos Narrow" w:eastAsia="Times New Roman" w:hAnsi="Aptos Narrow" w:cs="Times New Roman"/>
                <w:color w:val="000000"/>
                <w:sz w:val="18"/>
                <w:szCs w:val="18"/>
                <w:lang w:val="de-DE" w:eastAsia="de-DE"/>
              </w:rPr>
              <w:t>405416</w:t>
            </w:r>
          </w:p>
        </w:tc>
        <w:tc>
          <w:tcPr>
            <w:tcW w:w="452" w:type="pct"/>
            <w:tcBorders>
              <w:top w:val="single" w:sz="4" w:space="0" w:color="auto"/>
              <w:left w:val="nil"/>
              <w:bottom w:val="single" w:sz="4" w:space="0" w:color="auto"/>
              <w:right w:val="nil"/>
            </w:tcBorders>
            <w:shd w:val="clear" w:color="auto" w:fill="auto"/>
            <w:noWrap/>
            <w:vAlign w:val="bottom"/>
            <w:hideMark/>
          </w:tcPr>
          <w:p w14:paraId="55975BEF" w14:textId="77777777" w:rsidR="00D23195" w:rsidRPr="00D23195" w:rsidRDefault="00D23195" w:rsidP="00D23195">
            <w:pPr>
              <w:spacing w:line="240" w:lineRule="auto"/>
              <w:jc w:val="center"/>
              <w:rPr>
                <w:rFonts w:ascii="Aptos Narrow" w:eastAsia="Times New Roman" w:hAnsi="Aptos Narrow" w:cs="Times New Roman"/>
                <w:color w:val="000000"/>
                <w:sz w:val="18"/>
                <w:szCs w:val="18"/>
                <w:lang w:val="de-DE" w:eastAsia="de-DE"/>
              </w:rPr>
            </w:pPr>
            <w:r w:rsidRPr="00D23195">
              <w:rPr>
                <w:rFonts w:ascii="Aptos Narrow" w:eastAsia="Times New Roman" w:hAnsi="Aptos Narrow" w:cs="Times New Roman"/>
                <w:color w:val="000000"/>
                <w:sz w:val="18"/>
                <w:szCs w:val="18"/>
                <w:lang w:val="de-DE" w:eastAsia="de-DE"/>
              </w:rPr>
              <w:t>405416</w:t>
            </w:r>
          </w:p>
        </w:tc>
        <w:tc>
          <w:tcPr>
            <w:tcW w:w="452" w:type="pct"/>
            <w:tcBorders>
              <w:top w:val="single" w:sz="4" w:space="0" w:color="auto"/>
              <w:left w:val="nil"/>
              <w:bottom w:val="single" w:sz="4" w:space="0" w:color="auto"/>
              <w:right w:val="nil"/>
            </w:tcBorders>
            <w:shd w:val="clear" w:color="auto" w:fill="auto"/>
            <w:noWrap/>
            <w:vAlign w:val="bottom"/>
            <w:hideMark/>
          </w:tcPr>
          <w:p w14:paraId="2AAECD5F" w14:textId="77777777" w:rsidR="00D23195" w:rsidRPr="00D23195" w:rsidRDefault="00D23195" w:rsidP="00D23195">
            <w:pPr>
              <w:spacing w:line="240" w:lineRule="auto"/>
              <w:jc w:val="center"/>
              <w:rPr>
                <w:rFonts w:ascii="Aptos Narrow" w:eastAsia="Times New Roman" w:hAnsi="Aptos Narrow" w:cs="Times New Roman"/>
                <w:color w:val="000000"/>
                <w:sz w:val="18"/>
                <w:szCs w:val="18"/>
                <w:lang w:val="de-DE" w:eastAsia="de-DE"/>
              </w:rPr>
            </w:pPr>
            <w:r w:rsidRPr="00D23195">
              <w:rPr>
                <w:rFonts w:ascii="Aptos Narrow" w:eastAsia="Times New Roman" w:hAnsi="Aptos Narrow" w:cs="Times New Roman"/>
                <w:color w:val="000000"/>
                <w:sz w:val="18"/>
                <w:szCs w:val="18"/>
                <w:lang w:val="de-DE" w:eastAsia="de-DE"/>
              </w:rPr>
              <w:t>405416</w:t>
            </w:r>
          </w:p>
        </w:tc>
      </w:tr>
    </w:tbl>
    <w:p w14:paraId="00000058" w14:textId="03FC3E77" w:rsidR="00E51BAE" w:rsidRPr="00D23195" w:rsidRDefault="00236A55">
      <w:pPr>
        <w:spacing w:after="200"/>
        <w:jc w:val="both"/>
        <w:rPr>
          <w:sz w:val="18"/>
          <w:szCs w:val="18"/>
        </w:rPr>
      </w:pPr>
      <w:r>
        <w:rPr>
          <w:sz w:val="18"/>
          <w:szCs w:val="18"/>
        </w:rPr>
        <w:t xml:space="preserve">Note: p-values in parentheses * p&lt;0.10 ** p&lt;0.05 *** p&lt;0.01. </w:t>
      </w:r>
      <w:r w:rsidR="00D23195">
        <w:rPr>
          <w:sz w:val="18"/>
          <w:szCs w:val="18"/>
        </w:rPr>
        <w:t xml:space="preserve">Robust standard errors clustered by country-pair-year. LMC = lower-middle-income countries, L = Low-income countries, OT = other income group countries, which covers country-pairs from a different income group. Middle-income countries are used as a benchmark to perform the regressions for each income group. </w:t>
      </w:r>
      <w:r>
        <w:rPr>
          <w:sz w:val="18"/>
          <w:szCs w:val="18"/>
        </w:rPr>
        <w:t xml:space="preserve"> </w:t>
      </w:r>
    </w:p>
    <w:p w14:paraId="00000059" w14:textId="30977E1B" w:rsidR="00E51BAE" w:rsidRDefault="00102378">
      <w:pPr>
        <w:spacing w:after="200"/>
        <w:jc w:val="both"/>
        <w:rPr>
          <w:sz w:val="24"/>
          <w:szCs w:val="24"/>
        </w:rPr>
      </w:pPr>
      <w:r w:rsidRPr="00102378">
        <w:rPr>
          <w:sz w:val="24"/>
          <w:szCs w:val="24"/>
        </w:rPr>
        <w:t xml:space="preserve">The analysis of the control model does not yield any significant results, although the sign of the coefficient is positive, suggesting a potential positive association. This finding differs from previous studies that found a negative relationship </w:t>
      </w:r>
      <w:r>
        <w:rPr>
          <w:sz w:val="24"/>
          <w:szCs w:val="24"/>
        </w:rPr>
        <w:t>globally</w:t>
      </w:r>
      <w:r w:rsidRPr="00102378">
        <w:rPr>
          <w:sz w:val="24"/>
          <w:szCs w:val="24"/>
        </w:rPr>
        <w:t>.</w:t>
      </w:r>
      <w:r w:rsidR="00455D77">
        <w:rPr>
          <w:rStyle w:val="FootnoteReference"/>
          <w:sz w:val="24"/>
          <w:szCs w:val="24"/>
        </w:rPr>
        <w:footnoteReference w:id="59"/>
      </w:r>
      <w:r w:rsidRPr="00102378">
        <w:rPr>
          <w:sz w:val="24"/>
          <w:szCs w:val="24"/>
        </w:rPr>
        <w:t xml:space="preserve"> Several explanations are possible for this discrepancy. One explanation is that political ties might play a more critical role than compliance costs for these countries, so trade is not affected by the </w:t>
      </w:r>
      <w:r w:rsidR="00CA6D48">
        <w:rPr>
          <w:sz w:val="24"/>
          <w:szCs w:val="24"/>
        </w:rPr>
        <w:t>high costs imposed by the control model</w:t>
      </w:r>
      <w:r w:rsidRPr="00102378">
        <w:rPr>
          <w:sz w:val="24"/>
          <w:szCs w:val="24"/>
        </w:rPr>
        <w:t xml:space="preserve">. Another possibility is that the stricter requirements to process personal data locally, which define the control model, </w:t>
      </w:r>
      <w:r w:rsidR="00CA6D48">
        <w:rPr>
          <w:sz w:val="24"/>
          <w:szCs w:val="24"/>
        </w:rPr>
        <w:t xml:space="preserve">remain ‘on the books’ and </w:t>
      </w:r>
      <w:r w:rsidRPr="00102378">
        <w:rPr>
          <w:sz w:val="24"/>
          <w:szCs w:val="24"/>
        </w:rPr>
        <w:t xml:space="preserve">are not enforced </w:t>
      </w:r>
      <w:r w:rsidR="00CA6D48">
        <w:rPr>
          <w:sz w:val="24"/>
          <w:szCs w:val="24"/>
        </w:rPr>
        <w:t>by companies</w:t>
      </w:r>
      <w:r w:rsidR="00236A55">
        <w:rPr>
          <w:sz w:val="24"/>
          <w:szCs w:val="24"/>
        </w:rPr>
        <w:t xml:space="preserve">. </w:t>
      </w:r>
    </w:p>
    <w:p w14:paraId="0000005A" w14:textId="2B5FD52A" w:rsidR="00E51BAE" w:rsidRDefault="00AF1982">
      <w:pPr>
        <w:pStyle w:val="Heading3"/>
        <w:numPr>
          <w:ilvl w:val="0"/>
          <w:numId w:val="1"/>
        </w:numPr>
        <w:spacing w:after="200"/>
        <w:jc w:val="both"/>
      </w:pPr>
      <w:bookmarkStart w:id="21" w:name="_heading=h.rtphptv62l98" w:colFirst="0" w:colLast="0"/>
      <w:bookmarkEnd w:id="21"/>
      <w:r>
        <w:t xml:space="preserve">Enforcing the data flows commitments in the </w:t>
      </w:r>
      <w:proofErr w:type="spellStart"/>
      <w:r>
        <w:t>AfCFTA’s</w:t>
      </w:r>
      <w:proofErr w:type="spellEnd"/>
      <w:r>
        <w:t xml:space="preserve"> Digital Protocol</w:t>
      </w:r>
    </w:p>
    <w:p w14:paraId="0000005B" w14:textId="1B71A7B9" w:rsidR="00E51BAE" w:rsidRDefault="00236A55">
      <w:pPr>
        <w:spacing w:after="200"/>
        <w:jc w:val="both"/>
        <w:rPr>
          <w:sz w:val="24"/>
          <w:szCs w:val="24"/>
        </w:rPr>
      </w:pPr>
      <w:r>
        <w:rPr>
          <w:sz w:val="24"/>
          <w:szCs w:val="24"/>
        </w:rPr>
        <w:t xml:space="preserve">In the African continent, </w:t>
      </w:r>
      <w:r w:rsidR="00CA6D48">
        <w:rPr>
          <w:sz w:val="24"/>
          <w:szCs w:val="24"/>
        </w:rPr>
        <w:t xml:space="preserve">policy </w:t>
      </w:r>
      <w:r>
        <w:rPr>
          <w:sz w:val="24"/>
          <w:szCs w:val="24"/>
        </w:rPr>
        <w:t xml:space="preserve">discussions revolve around the benefits of a harmonised regional approach to data governance to foster trade and trust in the </w:t>
      </w:r>
      <w:r w:rsidR="00CA6D48">
        <w:rPr>
          <w:sz w:val="24"/>
          <w:szCs w:val="24"/>
        </w:rPr>
        <w:t>digital economy</w:t>
      </w:r>
      <w:r>
        <w:rPr>
          <w:sz w:val="24"/>
          <w:szCs w:val="24"/>
        </w:rPr>
        <w:t>. This paper provides empirical evidence as to which data model would be best suited to promote digital trade in the region, both for cross-border transfers and domestic data processing.</w:t>
      </w:r>
    </w:p>
    <w:p w14:paraId="0BFC2B79" w14:textId="62ADAA6F" w:rsidR="00E416E1" w:rsidRDefault="00236A55">
      <w:pPr>
        <w:spacing w:after="200"/>
        <w:jc w:val="both"/>
        <w:rPr>
          <w:sz w:val="24"/>
          <w:szCs w:val="24"/>
        </w:rPr>
      </w:pPr>
      <w:r>
        <w:rPr>
          <w:sz w:val="24"/>
          <w:szCs w:val="24"/>
        </w:rPr>
        <w:t xml:space="preserve">By assessing the data models implemented by 54 African countries, we find that the EU model for regulating personal data has heavily influenced the data policies in the region, with almost half of the countries implementing conditions on data transfers and two-thirds of the countries with a comprehensive data protection law. Yet, our analysis shows that the </w:t>
      </w:r>
      <w:r>
        <w:rPr>
          <w:sz w:val="24"/>
          <w:szCs w:val="24"/>
        </w:rPr>
        <w:lastRenderedPageBreak/>
        <w:t>Brussels effect does not appear to be beneficial in promoting intra-regional trade as both the conditions applied to transfers across borders and the presence of ambitious data protection regimes domestically are associated with lower intra-regional trade in digital services, although the results differ by income level.</w:t>
      </w:r>
    </w:p>
    <w:p w14:paraId="47C6BBA3" w14:textId="77777777" w:rsidR="00670DE9" w:rsidRDefault="00236A55">
      <w:pPr>
        <w:spacing w:after="200"/>
        <w:jc w:val="both"/>
        <w:rPr>
          <w:sz w:val="24"/>
          <w:szCs w:val="24"/>
        </w:rPr>
      </w:pPr>
      <w:r>
        <w:rPr>
          <w:sz w:val="24"/>
          <w:szCs w:val="24"/>
        </w:rPr>
        <w:t xml:space="preserve">The negative result associated with the presence of a comprehensive data protection regime diverges from previous research that shows the positive effect of these regimes on enhancing consumers’ trust. We explain this difference </w:t>
      </w:r>
      <w:r w:rsidR="00670DE9">
        <w:rPr>
          <w:sz w:val="24"/>
          <w:szCs w:val="24"/>
        </w:rPr>
        <w:t>by stating</w:t>
      </w:r>
      <w:r>
        <w:rPr>
          <w:sz w:val="24"/>
          <w:szCs w:val="24"/>
        </w:rPr>
        <w:t xml:space="preserve"> that compliance costs derived from implementing a comprehensive data protection regime may disproportionately affect less developed countries. In fact, we find that country-pairs of low-income economies drive the negative relation, while no significant effect is found for country-pairs of middle-income economies. A negative effect is also found </w:t>
      </w:r>
      <w:r w:rsidR="00CA6D48">
        <w:rPr>
          <w:sz w:val="24"/>
          <w:szCs w:val="24"/>
        </w:rPr>
        <w:t>in the</w:t>
      </w:r>
      <w:r>
        <w:rPr>
          <w:sz w:val="24"/>
          <w:szCs w:val="24"/>
        </w:rPr>
        <w:t xml:space="preserve"> digital services trade between country-pairs from different income groups. This finding deserves further research to strike a balance between the need to protect the privacy of citizens and the need for low-income economies to enhance growth. </w:t>
      </w:r>
    </w:p>
    <w:p w14:paraId="38B78777" w14:textId="0F430146" w:rsidR="00670DE9" w:rsidRDefault="00FE1637">
      <w:pPr>
        <w:spacing w:after="200"/>
        <w:jc w:val="both"/>
        <w:rPr>
          <w:sz w:val="24"/>
          <w:szCs w:val="24"/>
        </w:rPr>
      </w:pPr>
      <w:r>
        <w:rPr>
          <w:sz w:val="24"/>
          <w:szCs w:val="24"/>
        </w:rPr>
        <w:t>The</w:t>
      </w:r>
      <w:r w:rsidR="000639E5">
        <w:rPr>
          <w:sz w:val="24"/>
          <w:szCs w:val="24"/>
        </w:rPr>
        <w:t xml:space="preserve"> commitment undertaken </w:t>
      </w:r>
      <w:r w:rsidR="00475046">
        <w:rPr>
          <w:sz w:val="24"/>
          <w:szCs w:val="24"/>
        </w:rPr>
        <w:t>in</w:t>
      </w:r>
      <w:r w:rsidR="000639E5">
        <w:rPr>
          <w:sz w:val="24"/>
          <w:szCs w:val="24"/>
        </w:rPr>
        <w:t xml:space="preserve"> Digital Protocol </w:t>
      </w:r>
      <w:r>
        <w:rPr>
          <w:sz w:val="24"/>
          <w:szCs w:val="24"/>
        </w:rPr>
        <w:t>provides governments in Africa the freedom to decide how to best protect their citizens' personal information. Art</w:t>
      </w:r>
      <w:r w:rsidR="00FD422E">
        <w:rPr>
          <w:sz w:val="24"/>
          <w:szCs w:val="24"/>
        </w:rPr>
        <w:t>icle</w:t>
      </w:r>
      <w:r>
        <w:rPr>
          <w:sz w:val="24"/>
          <w:szCs w:val="24"/>
        </w:rPr>
        <w:t xml:space="preserve"> 21 of the leaked text does not prescribe a specific model for regulating personal data</w:t>
      </w:r>
      <w:r w:rsidR="00BF1B53">
        <w:rPr>
          <w:sz w:val="24"/>
          <w:szCs w:val="24"/>
        </w:rPr>
        <w:t>. Still,</w:t>
      </w:r>
      <w:r>
        <w:rPr>
          <w:sz w:val="24"/>
          <w:szCs w:val="24"/>
        </w:rPr>
        <w:t xml:space="preserve"> it points out the important role of </w:t>
      </w:r>
      <w:r w:rsidR="00BF1B53">
        <w:rPr>
          <w:sz w:val="24"/>
          <w:szCs w:val="24"/>
        </w:rPr>
        <w:t xml:space="preserve">data protection authorities and other bodies that can support the enforcement of data protection laws, while also acknowledging the necessity of capacity building, collaboration and dialogue (Art. 21.6). </w:t>
      </w:r>
      <w:r w:rsidR="00236A55">
        <w:rPr>
          <w:sz w:val="24"/>
          <w:szCs w:val="24"/>
        </w:rPr>
        <w:t>The Malabo Convention could serve as a roadmap to advancing and harmonising a data protection policy that reflects the continent’s priorities and values.</w:t>
      </w:r>
      <w:r w:rsidR="00236A55">
        <w:rPr>
          <w:sz w:val="24"/>
          <w:szCs w:val="24"/>
          <w:vertAlign w:val="superscript"/>
        </w:rPr>
        <w:footnoteReference w:id="60"/>
      </w:r>
      <w:r w:rsidR="00236A55">
        <w:rPr>
          <w:sz w:val="24"/>
          <w:szCs w:val="24"/>
        </w:rPr>
        <w:t xml:space="preserve"> By creating regional alignment in the data protection laws, the Convention could enable better and faster implementation at a domestic level by fostering collaboration, mutual learning, and the development of regional best practices.</w:t>
      </w:r>
      <w:r w:rsidR="00670DE9">
        <w:rPr>
          <w:sz w:val="24"/>
          <w:szCs w:val="24"/>
        </w:rPr>
        <w:t xml:space="preserve"> </w:t>
      </w:r>
    </w:p>
    <w:p w14:paraId="0000005E" w14:textId="1921129F" w:rsidR="00E51BAE" w:rsidRDefault="00236A55">
      <w:pPr>
        <w:spacing w:after="200"/>
        <w:jc w:val="both"/>
        <w:rPr>
          <w:sz w:val="24"/>
          <w:szCs w:val="24"/>
        </w:rPr>
      </w:pPr>
      <w:r>
        <w:rPr>
          <w:sz w:val="24"/>
          <w:szCs w:val="24"/>
        </w:rPr>
        <w:t xml:space="preserve">Regarding cross-border data models, we find that the conditions applied to data transfers are associated with lower intra-regional trade in digital services. This result aligns with </w:t>
      </w:r>
      <w:r w:rsidR="00CA6D48">
        <w:rPr>
          <w:sz w:val="24"/>
          <w:szCs w:val="24"/>
        </w:rPr>
        <w:t>previous studies</w:t>
      </w:r>
      <w:r>
        <w:rPr>
          <w:sz w:val="24"/>
          <w:szCs w:val="24"/>
        </w:rPr>
        <w:t xml:space="preserve">, where the conditional model was also found to impact trade in services negatively. Contrary to several previous </w:t>
      </w:r>
      <w:r w:rsidR="00CA6D48">
        <w:rPr>
          <w:sz w:val="24"/>
          <w:szCs w:val="24"/>
        </w:rPr>
        <w:t>studies, we do not find any significant effect for</w:t>
      </w:r>
      <w:r>
        <w:rPr>
          <w:sz w:val="24"/>
          <w:szCs w:val="24"/>
        </w:rPr>
        <w:t xml:space="preserve"> the stricter control model. The explanations for this finding can be diverse. One explanation is that political ties might play a more critical role than compliance costs for these countries</w:t>
      </w:r>
      <w:r w:rsidR="00BF1B53">
        <w:rPr>
          <w:sz w:val="24"/>
          <w:szCs w:val="24"/>
        </w:rPr>
        <w:t>, so</w:t>
      </w:r>
      <w:r>
        <w:rPr>
          <w:sz w:val="24"/>
          <w:szCs w:val="24"/>
        </w:rPr>
        <w:t xml:space="preserve"> t</w:t>
      </w:r>
      <w:r w:rsidR="00AF1982">
        <w:rPr>
          <w:sz w:val="24"/>
          <w:szCs w:val="24"/>
        </w:rPr>
        <w:t>he additional compliance costs do not affect trade</w:t>
      </w:r>
      <w:r>
        <w:rPr>
          <w:sz w:val="24"/>
          <w:szCs w:val="24"/>
        </w:rPr>
        <w:t xml:space="preserve">. Another possible explanation is the stricter requirements to process personal data locally (that define the control model) are not enforced in practice. More research in this area would help explain these findings. </w:t>
      </w:r>
    </w:p>
    <w:p w14:paraId="4D660666" w14:textId="6AEDEA24" w:rsidR="00CA6D48" w:rsidRDefault="00236A55">
      <w:pPr>
        <w:spacing w:after="200"/>
        <w:jc w:val="both"/>
        <w:rPr>
          <w:sz w:val="24"/>
          <w:szCs w:val="24"/>
        </w:rPr>
      </w:pPr>
      <w:r>
        <w:rPr>
          <w:sz w:val="24"/>
          <w:szCs w:val="24"/>
        </w:rPr>
        <w:t>Our analysis shows</w:t>
      </w:r>
      <w:r w:rsidR="00CA6D48">
        <w:rPr>
          <w:sz w:val="24"/>
          <w:szCs w:val="24"/>
        </w:rPr>
        <w:t>, in line with previous findings,</w:t>
      </w:r>
      <w:r>
        <w:rPr>
          <w:sz w:val="24"/>
          <w:szCs w:val="24"/>
        </w:rPr>
        <w:t xml:space="preserve"> that </w:t>
      </w:r>
      <w:r w:rsidR="00CA6D48">
        <w:rPr>
          <w:sz w:val="24"/>
          <w:szCs w:val="24"/>
        </w:rPr>
        <w:t xml:space="preserve">a regime with </w:t>
      </w:r>
      <w:r>
        <w:rPr>
          <w:sz w:val="24"/>
          <w:szCs w:val="24"/>
        </w:rPr>
        <w:t>open data transfers benefit</w:t>
      </w:r>
      <w:r w:rsidR="00CA6D48">
        <w:rPr>
          <w:sz w:val="24"/>
          <w:szCs w:val="24"/>
        </w:rPr>
        <w:t>s</w:t>
      </w:r>
      <w:r>
        <w:rPr>
          <w:sz w:val="24"/>
          <w:szCs w:val="24"/>
        </w:rPr>
        <w:t xml:space="preserve"> intra-regional trade in digital services. </w:t>
      </w:r>
      <w:r w:rsidR="00CA6D48">
        <w:rPr>
          <w:sz w:val="24"/>
          <w:szCs w:val="24"/>
        </w:rPr>
        <w:t>This is the only model for which we</w:t>
      </w:r>
      <w:r w:rsidR="00670DE9">
        <w:rPr>
          <w:sz w:val="24"/>
          <w:szCs w:val="24"/>
        </w:rPr>
        <w:t xml:space="preserve"> consistently</w:t>
      </w:r>
      <w:r w:rsidR="00CA6D48">
        <w:rPr>
          <w:sz w:val="24"/>
          <w:szCs w:val="24"/>
        </w:rPr>
        <w:t xml:space="preserve"> find a positive and statistically significant relation with trade in digital services. I</w:t>
      </w:r>
      <w:r>
        <w:rPr>
          <w:sz w:val="24"/>
          <w:szCs w:val="24"/>
        </w:rPr>
        <w:t xml:space="preserve">f </w:t>
      </w:r>
      <w:r w:rsidR="00CA6D48">
        <w:rPr>
          <w:sz w:val="24"/>
          <w:szCs w:val="24"/>
        </w:rPr>
        <w:t xml:space="preserve">countries in the region </w:t>
      </w:r>
      <w:r>
        <w:rPr>
          <w:sz w:val="24"/>
          <w:szCs w:val="24"/>
        </w:rPr>
        <w:t>countries were to implement an open regime of data transfers, they could benefit from an increase of intra-regional trade in digital services by up to 11%,</w:t>
      </w:r>
      <w:r>
        <w:rPr>
          <w:sz w:val="24"/>
          <w:szCs w:val="24"/>
          <w:vertAlign w:val="superscript"/>
        </w:rPr>
        <w:footnoteReference w:id="61"/>
      </w:r>
      <w:r>
        <w:rPr>
          <w:sz w:val="24"/>
          <w:szCs w:val="24"/>
        </w:rPr>
        <w:t xml:space="preserve"> </w:t>
      </w:r>
      <w:r>
        <w:rPr>
          <w:sz w:val="24"/>
          <w:szCs w:val="24"/>
        </w:rPr>
        <w:lastRenderedPageBreak/>
        <w:t xml:space="preserve">a much-needed boost given that Africa today covers less than 1% of global trade in </w:t>
      </w:r>
      <w:proofErr w:type="gramStart"/>
      <w:r>
        <w:rPr>
          <w:sz w:val="24"/>
          <w:szCs w:val="24"/>
        </w:rPr>
        <w:t>digitally-deliverable</w:t>
      </w:r>
      <w:proofErr w:type="gramEnd"/>
      <w:r>
        <w:rPr>
          <w:sz w:val="24"/>
          <w:szCs w:val="24"/>
        </w:rPr>
        <w:t xml:space="preserve"> services.</w:t>
      </w:r>
      <w:r>
        <w:rPr>
          <w:sz w:val="24"/>
          <w:szCs w:val="24"/>
          <w:vertAlign w:val="superscript"/>
        </w:rPr>
        <w:footnoteReference w:id="62"/>
      </w:r>
      <w:r>
        <w:rPr>
          <w:sz w:val="24"/>
          <w:szCs w:val="24"/>
        </w:rPr>
        <w:t xml:space="preserve"> This amounts to 135 million USD for intra-African trade in digital services in the region.</w:t>
      </w:r>
      <w:r>
        <w:rPr>
          <w:sz w:val="24"/>
          <w:szCs w:val="24"/>
          <w:vertAlign w:val="superscript"/>
        </w:rPr>
        <w:footnoteReference w:id="63"/>
      </w:r>
      <w:r>
        <w:rPr>
          <w:sz w:val="24"/>
          <w:szCs w:val="24"/>
        </w:rPr>
        <w:t xml:space="preserve"> </w:t>
      </w:r>
    </w:p>
    <w:p w14:paraId="038CCB10" w14:textId="1D194E5E" w:rsidR="008726CE" w:rsidRDefault="00236A55" w:rsidP="008E2E17">
      <w:pPr>
        <w:spacing w:after="200"/>
        <w:jc w:val="both"/>
        <w:rPr>
          <w:sz w:val="24"/>
          <w:szCs w:val="24"/>
        </w:rPr>
      </w:pPr>
      <w:r>
        <w:rPr>
          <w:sz w:val="24"/>
          <w:szCs w:val="24"/>
        </w:rPr>
        <w:t xml:space="preserve">Our findings, therefore, support the </w:t>
      </w:r>
      <w:r w:rsidR="00BF1B53">
        <w:rPr>
          <w:sz w:val="24"/>
          <w:szCs w:val="24"/>
        </w:rPr>
        <w:t>commitment undertaken in the Digital Protocol of the</w:t>
      </w:r>
      <w:r>
        <w:rPr>
          <w:sz w:val="24"/>
          <w:szCs w:val="24"/>
        </w:rPr>
        <w:t xml:space="preserve"> </w:t>
      </w:r>
      <w:proofErr w:type="spellStart"/>
      <w:r>
        <w:rPr>
          <w:sz w:val="24"/>
          <w:szCs w:val="24"/>
        </w:rPr>
        <w:t>AfCFTA</w:t>
      </w:r>
      <w:proofErr w:type="spellEnd"/>
      <w:r>
        <w:rPr>
          <w:sz w:val="24"/>
          <w:szCs w:val="24"/>
        </w:rPr>
        <w:t xml:space="preserve"> to </w:t>
      </w:r>
      <w:r w:rsidR="00BF1B53">
        <w:rPr>
          <w:sz w:val="24"/>
          <w:szCs w:val="24"/>
        </w:rPr>
        <w:t>enable</w:t>
      </w:r>
      <w:r>
        <w:rPr>
          <w:sz w:val="24"/>
          <w:szCs w:val="24"/>
        </w:rPr>
        <w:t xml:space="preserve"> data transfers in the region. </w:t>
      </w:r>
      <w:r w:rsidR="00FD422E">
        <w:rPr>
          <w:sz w:val="24"/>
          <w:szCs w:val="24"/>
        </w:rPr>
        <w:t>A</w:t>
      </w:r>
      <w:r w:rsidR="00FD422E" w:rsidRPr="00D9087D">
        <w:rPr>
          <w:sz w:val="24"/>
          <w:szCs w:val="24"/>
        </w:rPr>
        <w:t xml:space="preserve">rticle 20 of the </w:t>
      </w:r>
      <w:r w:rsidR="00FD422E">
        <w:rPr>
          <w:sz w:val="24"/>
          <w:szCs w:val="24"/>
        </w:rPr>
        <w:t>Digital P</w:t>
      </w:r>
      <w:r w:rsidR="00FD422E" w:rsidRPr="00D9087D">
        <w:rPr>
          <w:sz w:val="24"/>
          <w:szCs w:val="24"/>
        </w:rPr>
        <w:t xml:space="preserve">rotocol mandates unrestricted cross-border data flows, </w:t>
      </w:r>
      <w:r w:rsidR="00FD422E">
        <w:rPr>
          <w:sz w:val="24"/>
          <w:szCs w:val="24"/>
        </w:rPr>
        <w:t xml:space="preserve">stating </w:t>
      </w:r>
      <w:r w:rsidR="00FD422E" w:rsidRPr="00D9087D">
        <w:rPr>
          <w:sz w:val="24"/>
          <w:szCs w:val="24"/>
        </w:rPr>
        <w:t xml:space="preserve">that a specific </w:t>
      </w:r>
      <w:r w:rsidR="00FD422E">
        <w:rPr>
          <w:sz w:val="24"/>
          <w:szCs w:val="24"/>
        </w:rPr>
        <w:t>A</w:t>
      </w:r>
      <w:r w:rsidR="00FD422E" w:rsidRPr="00D9087D">
        <w:rPr>
          <w:sz w:val="24"/>
          <w:szCs w:val="24"/>
        </w:rPr>
        <w:t>nnex</w:t>
      </w:r>
      <w:r w:rsidR="004943D0">
        <w:rPr>
          <w:sz w:val="24"/>
          <w:szCs w:val="24"/>
        </w:rPr>
        <w:t>e</w:t>
      </w:r>
      <w:r w:rsidR="00FD422E" w:rsidRPr="00D9087D">
        <w:rPr>
          <w:sz w:val="24"/>
          <w:szCs w:val="24"/>
        </w:rPr>
        <w:t xml:space="preserve"> will further define the rules.</w:t>
      </w:r>
      <w:r w:rsidR="008A37AB">
        <w:rPr>
          <w:sz w:val="24"/>
          <w:szCs w:val="24"/>
        </w:rPr>
        <w:t xml:space="preserve"> </w:t>
      </w:r>
      <w:r w:rsidR="004943D0">
        <w:rPr>
          <w:sz w:val="24"/>
          <w:szCs w:val="24"/>
        </w:rPr>
        <w:t>Among other things, the definition of the “legitimate policy objectives” is left to the future annexe. This</w:t>
      </w:r>
      <w:r w:rsidR="008E2E17">
        <w:rPr>
          <w:sz w:val="24"/>
          <w:szCs w:val="24"/>
        </w:rPr>
        <w:t xml:space="preserve"> leaves space for limiting the efficacy of this commitment</w:t>
      </w:r>
      <w:r w:rsidR="004943D0">
        <w:rPr>
          <w:sz w:val="24"/>
          <w:szCs w:val="24"/>
        </w:rPr>
        <w:t xml:space="preserve">, </w:t>
      </w:r>
      <w:r w:rsidR="008E2E17">
        <w:rPr>
          <w:sz w:val="24"/>
          <w:szCs w:val="24"/>
        </w:rPr>
        <w:t>as countries could decide to adopt the self-judging approach implemented in the Regional Comprehensive Economic Partnership (RCEP)</w:t>
      </w:r>
      <w:r w:rsidR="00C63E94">
        <w:rPr>
          <w:sz w:val="24"/>
          <w:szCs w:val="24"/>
        </w:rPr>
        <w:t>,</w:t>
      </w:r>
      <w:r w:rsidR="00192CE0">
        <w:rPr>
          <w:rStyle w:val="FootnoteReference"/>
          <w:sz w:val="24"/>
          <w:szCs w:val="24"/>
        </w:rPr>
        <w:footnoteReference w:id="64"/>
      </w:r>
      <w:r w:rsidR="008E2E17">
        <w:rPr>
          <w:sz w:val="24"/>
          <w:szCs w:val="24"/>
        </w:rPr>
        <w:t xml:space="preserve"> where </w:t>
      </w:r>
      <w:r w:rsidR="008E2E17" w:rsidRPr="008E2E17">
        <w:rPr>
          <w:sz w:val="24"/>
          <w:szCs w:val="24"/>
        </w:rPr>
        <w:t>the Parties</w:t>
      </w:r>
      <w:r w:rsidR="008E2E17">
        <w:rPr>
          <w:sz w:val="24"/>
          <w:szCs w:val="24"/>
        </w:rPr>
        <w:t xml:space="preserve"> </w:t>
      </w:r>
      <w:r w:rsidR="008E2E17" w:rsidRPr="008E2E17">
        <w:rPr>
          <w:sz w:val="24"/>
          <w:szCs w:val="24"/>
        </w:rPr>
        <w:t>affirm</w:t>
      </w:r>
      <w:r w:rsidR="008E2E17">
        <w:rPr>
          <w:sz w:val="24"/>
          <w:szCs w:val="24"/>
        </w:rPr>
        <w:t>ed that “</w:t>
      </w:r>
      <w:r w:rsidR="008E2E17" w:rsidRPr="008E2E17">
        <w:rPr>
          <w:sz w:val="24"/>
          <w:szCs w:val="24"/>
        </w:rPr>
        <w:t>the necessity behind the implementation of such legitimate public policy shall be decided by the implementing Party</w:t>
      </w:r>
      <w:r w:rsidR="008E2E17">
        <w:rPr>
          <w:sz w:val="24"/>
          <w:szCs w:val="24"/>
        </w:rPr>
        <w:t>”.</w:t>
      </w:r>
      <w:r w:rsidR="008E2E17">
        <w:rPr>
          <w:rStyle w:val="FootnoteReference"/>
          <w:sz w:val="24"/>
          <w:szCs w:val="24"/>
        </w:rPr>
        <w:footnoteReference w:id="65"/>
      </w:r>
      <w:r w:rsidR="00C63E94">
        <w:rPr>
          <w:sz w:val="24"/>
          <w:szCs w:val="24"/>
        </w:rPr>
        <w:t xml:space="preserve"> </w:t>
      </w:r>
    </w:p>
    <w:p w14:paraId="672DD3EA" w14:textId="77777777" w:rsidR="00AF1982" w:rsidRDefault="00C63E94" w:rsidP="00FD422E">
      <w:pPr>
        <w:spacing w:after="200"/>
        <w:jc w:val="both"/>
        <w:rPr>
          <w:sz w:val="24"/>
          <w:szCs w:val="24"/>
        </w:rPr>
      </w:pPr>
      <w:r>
        <w:rPr>
          <w:sz w:val="24"/>
          <w:szCs w:val="24"/>
        </w:rPr>
        <w:t xml:space="preserve">On the other hand, while in RCEP the parties </w:t>
      </w:r>
      <w:r w:rsidR="00192CE0">
        <w:rPr>
          <w:sz w:val="24"/>
          <w:szCs w:val="24"/>
        </w:rPr>
        <w:t>explicitly stated that any measure considered “</w:t>
      </w:r>
      <w:r w:rsidRPr="00C63E94">
        <w:rPr>
          <w:sz w:val="24"/>
          <w:szCs w:val="24"/>
        </w:rPr>
        <w:t>necessary for the protection of its essential security interests</w:t>
      </w:r>
      <w:r w:rsidR="00192CE0">
        <w:rPr>
          <w:sz w:val="24"/>
          <w:szCs w:val="24"/>
        </w:rPr>
        <w:t xml:space="preserve"> (…) </w:t>
      </w:r>
      <w:r w:rsidRPr="00C63E94">
        <w:rPr>
          <w:sz w:val="24"/>
          <w:szCs w:val="24"/>
        </w:rPr>
        <w:t>shall not be disputed by other Parties</w:t>
      </w:r>
      <w:r w:rsidR="00192CE0">
        <w:rPr>
          <w:sz w:val="24"/>
          <w:szCs w:val="24"/>
        </w:rPr>
        <w:t>”,</w:t>
      </w:r>
      <w:r w:rsidR="00192CE0">
        <w:rPr>
          <w:rStyle w:val="FootnoteReference"/>
          <w:sz w:val="24"/>
          <w:szCs w:val="24"/>
        </w:rPr>
        <w:footnoteReference w:id="66"/>
      </w:r>
      <w:r w:rsidR="00192CE0">
        <w:rPr>
          <w:sz w:val="24"/>
          <w:szCs w:val="24"/>
        </w:rPr>
        <w:t xml:space="preserve"> this is not the case in the Digital Protocol</w:t>
      </w:r>
      <w:r w:rsidR="008726CE">
        <w:rPr>
          <w:sz w:val="24"/>
          <w:szCs w:val="24"/>
        </w:rPr>
        <w:t>. In fact, both</w:t>
      </w:r>
      <w:r w:rsidR="00192CE0">
        <w:rPr>
          <w:sz w:val="24"/>
          <w:szCs w:val="24"/>
        </w:rPr>
        <w:t xml:space="preserve"> </w:t>
      </w:r>
      <w:r w:rsidR="008726CE">
        <w:rPr>
          <w:sz w:val="24"/>
          <w:szCs w:val="24"/>
        </w:rPr>
        <w:t>the exception for achieving a legitimate policy objective and protecting essential security interests have to satisfy conditions similar to those found in</w:t>
      </w:r>
      <w:r w:rsidR="008726CE" w:rsidRPr="008726CE">
        <w:rPr>
          <w:sz w:val="24"/>
          <w:szCs w:val="24"/>
        </w:rPr>
        <w:t xml:space="preserve"> the chapeau of the general exceptions in Article XIV GATS</w:t>
      </w:r>
      <w:r w:rsidR="008726CE">
        <w:rPr>
          <w:sz w:val="24"/>
          <w:szCs w:val="24"/>
        </w:rPr>
        <w:t>.</w:t>
      </w:r>
      <w:r w:rsidR="008726CE">
        <w:rPr>
          <w:rStyle w:val="FootnoteReference"/>
          <w:sz w:val="24"/>
          <w:szCs w:val="24"/>
        </w:rPr>
        <w:footnoteReference w:id="67"/>
      </w:r>
      <w:r w:rsidR="008726CE">
        <w:rPr>
          <w:sz w:val="24"/>
          <w:szCs w:val="24"/>
        </w:rPr>
        <w:t xml:space="preserve"> That is, they must “not be applied in a manner which would constitute a means of arbitrary or unjustifiable discrimination, or a disguised restriction” on digital trade.</w:t>
      </w:r>
      <w:r w:rsidR="008726CE">
        <w:rPr>
          <w:rStyle w:val="FootnoteReference"/>
          <w:sz w:val="24"/>
          <w:szCs w:val="24"/>
        </w:rPr>
        <w:footnoteReference w:id="68"/>
      </w:r>
      <w:r w:rsidR="00C06F55">
        <w:rPr>
          <w:sz w:val="24"/>
          <w:szCs w:val="24"/>
        </w:rPr>
        <w:t xml:space="preserve"> Interestingly, the text of the exceptions in the </w:t>
      </w:r>
      <w:r w:rsidR="00AF1982">
        <w:rPr>
          <w:sz w:val="24"/>
          <w:szCs w:val="24"/>
        </w:rPr>
        <w:t>D</w:t>
      </w:r>
      <w:r w:rsidR="00C06F55">
        <w:rPr>
          <w:sz w:val="24"/>
          <w:szCs w:val="24"/>
        </w:rPr>
        <w:t xml:space="preserve">igital </w:t>
      </w:r>
      <w:r w:rsidR="00AF1982">
        <w:rPr>
          <w:sz w:val="24"/>
          <w:szCs w:val="24"/>
        </w:rPr>
        <w:t>P</w:t>
      </w:r>
      <w:r w:rsidR="00C06F55">
        <w:rPr>
          <w:sz w:val="24"/>
          <w:szCs w:val="24"/>
        </w:rPr>
        <w:t>rotocol adds an additional condition, that is, the</w:t>
      </w:r>
      <w:r w:rsidR="00C06F55" w:rsidRPr="00C06F55">
        <w:rPr>
          <w:sz w:val="24"/>
          <w:szCs w:val="24"/>
        </w:rPr>
        <w:t xml:space="preserve"> restrictions that should not be </w:t>
      </w:r>
      <w:r w:rsidR="00C06F55">
        <w:rPr>
          <w:sz w:val="24"/>
          <w:szCs w:val="24"/>
        </w:rPr>
        <w:t>“</w:t>
      </w:r>
      <w:r w:rsidR="00C06F55" w:rsidRPr="00C06F55">
        <w:rPr>
          <w:sz w:val="24"/>
          <w:szCs w:val="24"/>
        </w:rPr>
        <w:t xml:space="preserve">greater than </w:t>
      </w:r>
      <w:r w:rsidR="00C06F55">
        <w:rPr>
          <w:sz w:val="24"/>
          <w:szCs w:val="24"/>
        </w:rPr>
        <w:t xml:space="preserve">are </w:t>
      </w:r>
      <w:r w:rsidR="00C06F55" w:rsidRPr="00C06F55">
        <w:rPr>
          <w:sz w:val="24"/>
          <w:szCs w:val="24"/>
        </w:rPr>
        <w:t>required to achieve the objective</w:t>
      </w:r>
      <w:r w:rsidR="00C06F55">
        <w:rPr>
          <w:sz w:val="24"/>
          <w:szCs w:val="24"/>
        </w:rPr>
        <w:t>”</w:t>
      </w:r>
      <w:r w:rsidR="00C06F55" w:rsidRPr="00C06F55">
        <w:rPr>
          <w:sz w:val="24"/>
          <w:szCs w:val="24"/>
        </w:rPr>
        <w:t xml:space="preserve"> pursued by the measure in question.</w:t>
      </w:r>
      <w:r w:rsidR="00C06F55">
        <w:rPr>
          <w:rStyle w:val="FootnoteReference"/>
          <w:sz w:val="24"/>
          <w:szCs w:val="24"/>
        </w:rPr>
        <w:footnoteReference w:id="69"/>
      </w:r>
      <w:r w:rsidR="00C06F55">
        <w:rPr>
          <w:sz w:val="24"/>
          <w:szCs w:val="24"/>
        </w:rPr>
        <w:t xml:space="preserve"> This second condition is also found in the</w:t>
      </w:r>
      <w:r w:rsidR="00AF1982">
        <w:rPr>
          <w:sz w:val="24"/>
          <w:szCs w:val="24"/>
        </w:rPr>
        <w:t xml:space="preserve"> ambitious data flows commitments</w:t>
      </w:r>
      <w:r w:rsidR="00C06F55">
        <w:rPr>
          <w:sz w:val="24"/>
          <w:szCs w:val="24"/>
        </w:rPr>
        <w:t xml:space="preserve"> </w:t>
      </w:r>
      <w:r w:rsidR="00AF1982">
        <w:rPr>
          <w:sz w:val="24"/>
          <w:szCs w:val="24"/>
        </w:rPr>
        <w:t xml:space="preserve">of the </w:t>
      </w:r>
      <w:r w:rsidR="00C06F55" w:rsidRPr="00C06F55">
        <w:rPr>
          <w:sz w:val="24"/>
          <w:szCs w:val="24"/>
        </w:rPr>
        <w:t>Comprehensive and Progressive Agreement for Trans-Pacific Partnership</w:t>
      </w:r>
      <w:r w:rsidR="00C06F55">
        <w:rPr>
          <w:sz w:val="24"/>
          <w:szCs w:val="24"/>
        </w:rPr>
        <w:t xml:space="preserve"> (CPTPP</w:t>
      </w:r>
      <w:r w:rsidR="00F840F6">
        <w:rPr>
          <w:sz w:val="24"/>
          <w:szCs w:val="24"/>
        </w:rPr>
        <w:t>)</w:t>
      </w:r>
      <w:r w:rsidR="00C06F55">
        <w:rPr>
          <w:sz w:val="24"/>
          <w:szCs w:val="24"/>
        </w:rPr>
        <w:t>.</w:t>
      </w:r>
      <w:r w:rsidR="00C06F55">
        <w:rPr>
          <w:rStyle w:val="FootnoteReference"/>
          <w:sz w:val="24"/>
          <w:szCs w:val="24"/>
        </w:rPr>
        <w:footnoteReference w:id="70"/>
      </w:r>
      <w:r w:rsidR="00C06F55">
        <w:rPr>
          <w:sz w:val="24"/>
          <w:szCs w:val="24"/>
        </w:rPr>
        <w:t xml:space="preserve"> </w:t>
      </w:r>
      <w:r w:rsidR="00D4018F">
        <w:rPr>
          <w:sz w:val="24"/>
          <w:szCs w:val="24"/>
        </w:rPr>
        <w:t>The same exceptions apply to the ban on the use and location of computing facilities in the territory of a State Party as a condition to conduct business.</w:t>
      </w:r>
      <w:r w:rsidR="00D4018F">
        <w:rPr>
          <w:rStyle w:val="FootnoteReference"/>
          <w:sz w:val="24"/>
          <w:szCs w:val="24"/>
        </w:rPr>
        <w:footnoteReference w:id="71"/>
      </w:r>
      <w:r w:rsidR="00D4018F">
        <w:rPr>
          <w:sz w:val="24"/>
          <w:szCs w:val="24"/>
        </w:rPr>
        <w:t xml:space="preserve"> </w:t>
      </w:r>
    </w:p>
    <w:p w14:paraId="5A5BFD75" w14:textId="6427991D" w:rsidR="00670DE9" w:rsidRPr="00AF1982" w:rsidRDefault="00C06F55">
      <w:pPr>
        <w:spacing w:after="200"/>
        <w:jc w:val="both"/>
        <w:rPr>
          <w:sz w:val="24"/>
          <w:szCs w:val="24"/>
        </w:rPr>
      </w:pPr>
      <w:r>
        <w:rPr>
          <w:sz w:val="24"/>
          <w:szCs w:val="24"/>
        </w:rPr>
        <w:t>Overall, while African countries have undertaken a clear commitment to support data flows</w:t>
      </w:r>
      <w:r w:rsidR="00F840F6">
        <w:rPr>
          <w:sz w:val="24"/>
          <w:szCs w:val="24"/>
        </w:rPr>
        <w:t xml:space="preserve"> in the Digital Protocol</w:t>
      </w:r>
      <w:r>
        <w:rPr>
          <w:sz w:val="24"/>
          <w:szCs w:val="24"/>
        </w:rPr>
        <w:t xml:space="preserve">, </w:t>
      </w:r>
      <w:r w:rsidR="00FD422E">
        <w:rPr>
          <w:sz w:val="24"/>
          <w:szCs w:val="24"/>
        </w:rPr>
        <w:t>a certain degree of legal uncertainty remains as to how the exceptions will be defined a</w:t>
      </w:r>
      <w:r w:rsidR="00531BF3">
        <w:rPr>
          <w:sz w:val="24"/>
          <w:szCs w:val="24"/>
        </w:rPr>
        <w:t>nd</w:t>
      </w:r>
      <w:r w:rsidR="00FD422E">
        <w:rPr>
          <w:sz w:val="24"/>
          <w:szCs w:val="24"/>
        </w:rPr>
        <w:t xml:space="preserve"> when the</w:t>
      </w:r>
      <w:r w:rsidR="004943D0">
        <w:rPr>
          <w:sz w:val="24"/>
          <w:szCs w:val="24"/>
        </w:rPr>
        <w:t>y will be enforceable</w:t>
      </w:r>
      <w:r w:rsidR="00FD422E">
        <w:rPr>
          <w:sz w:val="24"/>
          <w:szCs w:val="24"/>
        </w:rPr>
        <w:t>, as there is no clear</w:t>
      </w:r>
      <w:r w:rsidR="00FD422E" w:rsidRPr="00D9087D">
        <w:rPr>
          <w:sz w:val="24"/>
          <w:szCs w:val="24"/>
        </w:rPr>
        <w:t xml:space="preserve"> timeline </w:t>
      </w:r>
      <w:r w:rsidR="00FD422E" w:rsidRPr="00D9087D">
        <w:rPr>
          <w:sz w:val="24"/>
          <w:szCs w:val="24"/>
        </w:rPr>
        <w:lastRenderedPageBreak/>
        <w:t xml:space="preserve">for </w:t>
      </w:r>
      <w:r w:rsidR="004943D0">
        <w:rPr>
          <w:sz w:val="24"/>
          <w:szCs w:val="24"/>
        </w:rPr>
        <w:t>the</w:t>
      </w:r>
      <w:r w:rsidR="00FD422E" w:rsidRPr="00D9087D">
        <w:rPr>
          <w:sz w:val="24"/>
          <w:szCs w:val="24"/>
        </w:rPr>
        <w:t xml:space="preserve"> development</w:t>
      </w:r>
      <w:r w:rsidR="004943D0">
        <w:rPr>
          <w:sz w:val="24"/>
          <w:szCs w:val="24"/>
        </w:rPr>
        <w:t xml:space="preserve"> of the annexe.</w:t>
      </w:r>
      <w:r w:rsidR="00D4018F">
        <w:rPr>
          <w:sz w:val="24"/>
          <w:szCs w:val="24"/>
        </w:rPr>
        <w:t xml:space="preserve"> </w:t>
      </w:r>
      <w:r w:rsidR="00B07CC2">
        <w:rPr>
          <w:sz w:val="24"/>
          <w:szCs w:val="24"/>
        </w:rPr>
        <w:t xml:space="preserve">The </w:t>
      </w:r>
      <w:r w:rsidR="00D4018F">
        <w:rPr>
          <w:sz w:val="24"/>
          <w:szCs w:val="24"/>
        </w:rPr>
        <w:t xml:space="preserve">implementation of the </w:t>
      </w:r>
      <w:r w:rsidR="00B07CC2">
        <w:rPr>
          <w:sz w:val="24"/>
          <w:szCs w:val="24"/>
        </w:rPr>
        <w:t xml:space="preserve">commitment to an open regime for data transfers within the region </w:t>
      </w:r>
      <w:r w:rsidR="00D4018F">
        <w:rPr>
          <w:sz w:val="24"/>
          <w:szCs w:val="24"/>
        </w:rPr>
        <w:t xml:space="preserve">will </w:t>
      </w:r>
      <w:r w:rsidR="003971E2">
        <w:rPr>
          <w:sz w:val="24"/>
          <w:szCs w:val="24"/>
        </w:rPr>
        <w:t xml:space="preserve">also </w:t>
      </w:r>
      <w:r w:rsidR="00D4018F">
        <w:rPr>
          <w:sz w:val="24"/>
          <w:szCs w:val="24"/>
        </w:rPr>
        <w:t xml:space="preserve">require the amendment of certain </w:t>
      </w:r>
      <w:r w:rsidR="00B07CC2">
        <w:rPr>
          <w:sz w:val="24"/>
          <w:szCs w:val="24"/>
        </w:rPr>
        <w:t>agreements of the African regional economic communities (RECs)</w:t>
      </w:r>
      <w:r w:rsidR="00D4018F">
        <w:rPr>
          <w:sz w:val="24"/>
          <w:szCs w:val="24"/>
        </w:rPr>
        <w:t>, whose texts currently</w:t>
      </w:r>
      <w:r w:rsidR="00B07CC2">
        <w:rPr>
          <w:sz w:val="24"/>
          <w:szCs w:val="24"/>
        </w:rPr>
        <w:t xml:space="preserve"> restrict data transfers outside the respective REC.</w:t>
      </w:r>
      <w:r w:rsidR="00A71A59">
        <w:rPr>
          <w:rStyle w:val="FootnoteReference"/>
          <w:sz w:val="24"/>
          <w:szCs w:val="24"/>
        </w:rPr>
        <w:footnoteReference w:id="72"/>
      </w:r>
      <w:r w:rsidR="00236A55">
        <w:rPr>
          <w:sz w:val="24"/>
          <w:szCs w:val="24"/>
        </w:rPr>
        <w:t xml:space="preserve"> These include the East African Community E-Commerce Strategy</w:t>
      </w:r>
      <w:r w:rsidR="00FD422E">
        <w:rPr>
          <w:rStyle w:val="FootnoteReference"/>
          <w:sz w:val="24"/>
          <w:szCs w:val="24"/>
        </w:rPr>
        <w:footnoteReference w:id="73"/>
      </w:r>
      <w:r w:rsidR="00236A55">
        <w:rPr>
          <w:sz w:val="24"/>
          <w:szCs w:val="24"/>
        </w:rPr>
        <w:t xml:space="preserve"> and the Supplementary Act on Personal Data Protection of the Economic Community of West African States (ECOWAS Supplementary Act on Personal Data Protection)</w:t>
      </w:r>
      <w:r w:rsidR="00FD422E">
        <w:rPr>
          <w:rStyle w:val="FootnoteReference"/>
          <w:sz w:val="24"/>
          <w:szCs w:val="24"/>
        </w:rPr>
        <w:footnoteReference w:id="74"/>
      </w:r>
      <w:r w:rsidR="00236A55">
        <w:rPr>
          <w:color w:val="333333"/>
          <w:sz w:val="24"/>
          <w:szCs w:val="24"/>
          <w:highlight w:val="white"/>
        </w:rPr>
        <w:t>.</w:t>
      </w:r>
    </w:p>
    <w:p w14:paraId="0000008A" w14:textId="67A54664" w:rsidR="00E51BAE" w:rsidRPr="00A71A59" w:rsidRDefault="00236A55" w:rsidP="00A71A59">
      <w:pPr>
        <w:spacing w:after="200"/>
        <w:jc w:val="both"/>
        <w:rPr>
          <w:b/>
          <w:sz w:val="24"/>
          <w:szCs w:val="24"/>
        </w:rPr>
      </w:pPr>
      <w:r>
        <w:rPr>
          <w:sz w:val="24"/>
          <w:szCs w:val="24"/>
        </w:rPr>
        <w:t xml:space="preserve">By offering empirical evidence on the effect of regulatory policies adopted in the region, we hope to inform the policy debate in the region about the benefits and costs associated with specific regulatory policies on personal data. Yet, the definition of the regional framework for data flows and data processing that reflects the priorities and values of the region should also be informed by additional empirical evidence on the effectiveness of data policies to achieve non-economic public policy goals. In addition, additional research would be beneficial to study the potential effects of different data policies on trade between the region and the rest of the world so that both intra-regional and multilateral discussions can benefit from much-needed empirical evidence. </w:t>
      </w:r>
      <w:bookmarkStart w:id="22" w:name="_heading=h.h273ry2tk35v" w:colFirst="0" w:colLast="0"/>
      <w:bookmarkEnd w:id="22"/>
      <w:r>
        <w:br w:type="page"/>
      </w:r>
    </w:p>
    <w:p w14:paraId="00000137" w14:textId="28864EF0" w:rsidR="00E51BAE" w:rsidRDefault="00236A55">
      <w:pPr>
        <w:pStyle w:val="Heading3"/>
      </w:pPr>
      <w:bookmarkStart w:id="23" w:name="_heading=h.9xm8u8o6myto" w:colFirst="0" w:colLast="0"/>
      <w:bookmarkStart w:id="24" w:name="_heading=h.i4q5mgax3ze6" w:colFirst="0" w:colLast="0"/>
      <w:bookmarkEnd w:id="23"/>
      <w:bookmarkEnd w:id="24"/>
      <w:r>
        <w:lastRenderedPageBreak/>
        <w:t>Annex Table A</w:t>
      </w:r>
      <w:r w:rsidR="005E64C5">
        <w:t>1</w:t>
      </w:r>
      <w:r>
        <w:t>: Definitions of digital services</w:t>
      </w:r>
    </w:p>
    <w:p w14:paraId="00000138" w14:textId="77777777" w:rsidR="00E51BAE" w:rsidRDefault="00E51BAE">
      <w:pPr>
        <w:rPr>
          <w:b/>
        </w:rPr>
      </w:pPr>
    </w:p>
    <w:tbl>
      <w:tblPr>
        <w:tblStyle w:val="a7"/>
        <w:tblW w:w="9120" w:type="dxa"/>
        <w:tblBorders>
          <w:top w:val="nil"/>
          <w:left w:val="nil"/>
          <w:bottom w:val="nil"/>
          <w:right w:val="nil"/>
          <w:insideH w:val="nil"/>
          <w:insideV w:val="nil"/>
        </w:tblBorders>
        <w:tblLayout w:type="fixed"/>
        <w:tblLook w:val="0600" w:firstRow="0" w:lastRow="0" w:firstColumn="0" w:lastColumn="0" w:noHBand="1" w:noVBand="1"/>
      </w:tblPr>
      <w:tblGrid>
        <w:gridCol w:w="2745"/>
        <w:gridCol w:w="705"/>
        <w:gridCol w:w="750"/>
        <w:gridCol w:w="720"/>
        <w:gridCol w:w="705"/>
        <w:gridCol w:w="1275"/>
        <w:gridCol w:w="900"/>
        <w:gridCol w:w="1320"/>
      </w:tblGrid>
      <w:tr w:rsidR="00E51BAE" w14:paraId="76352FA2" w14:textId="77777777">
        <w:trPr>
          <w:trHeight w:val="540"/>
        </w:trPr>
        <w:tc>
          <w:tcPr>
            <w:tcW w:w="2745" w:type="dxa"/>
            <w:tcBorders>
              <w:top w:val="single" w:sz="6" w:space="0" w:color="000000"/>
              <w:left w:val="nil"/>
              <w:bottom w:val="single" w:sz="6" w:space="0" w:color="000000"/>
              <w:right w:val="nil"/>
            </w:tcBorders>
            <w:tcMar>
              <w:top w:w="0" w:type="dxa"/>
              <w:left w:w="100" w:type="dxa"/>
              <w:bottom w:w="0" w:type="dxa"/>
              <w:right w:w="100" w:type="dxa"/>
            </w:tcMar>
          </w:tcPr>
          <w:p w14:paraId="00000139" w14:textId="77777777" w:rsidR="00E51BAE" w:rsidRDefault="00236A55">
            <w:pPr>
              <w:spacing w:before="240"/>
              <w:rPr>
                <w:b/>
                <w:sz w:val="20"/>
                <w:szCs w:val="20"/>
              </w:rPr>
            </w:pPr>
            <w:r>
              <w:rPr>
                <w:b/>
                <w:sz w:val="20"/>
                <w:szCs w:val="20"/>
              </w:rPr>
              <w:t>Sector description</w:t>
            </w:r>
          </w:p>
        </w:tc>
        <w:tc>
          <w:tcPr>
            <w:tcW w:w="705" w:type="dxa"/>
            <w:tcBorders>
              <w:top w:val="single" w:sz="6" w:space="0" w:color="000000"/>
              <w:left w:val="nil"/>
              <w:bottom w:val="single" w:sz="6" w:space="0" w:color="000000"/>
              <w:right w:val="nil"/>
            </w:tcBorders>
            <w:tcMar>
              <w:top w:w="0" w:type="dxa"/>
              <w:left w:w="100" w:type="dxa"/>
              <w:bottom w:w="0" w:type="dxa"/>
              <w:right w:w="100" w:type="dxa"/>
            </w:tcMar>
          </w:tcPr>
          <w:p w14:paraId="0000013A" w14:textId="77777777" w:rsidR="00E51BAE" w:rsidRDefault="00236A55">
            <w:pPr>
              <w:jc w:val="center"/>
              <w:rPr>
                <w:b/>
                <w:sz w:val="20"/>
                <w:szCs w:val="20"/>
              </w:rPr>
            </w:pPr>
            <w:r>
              <w:rPr>
                <w:b/>
                <w:sz w:val="20"/>
                <w:szCs w:val="20"/>
              </w:rPr>
              <w:t>Dig 1</w:t>
            </w:r>
          </w:p>
        </w:tc>
        <w:tc>
          <w:tcPr>
            <w:tcW w:w="750" w:type="dxa"/>
            <w:tcBorders>
              <w:top w:val="single" w:sz="6" w:space="0" w:color="000000"/>
              <w:left w:val="nil"/>
              <w:bottom w:val="single" w:sz="6" w:space="0" w:color="000000"/>
              <w:right w:val="nil"/>
            </w:tcBorders>
            <w:tcMar>
              <w:top w:w="0" w:type="dxa"/>
              <w:left w:w="100" w:type="dxa"/>
              <w:bottom w:w="0" w:type="dxa"/>
              <w:right w:w="100" w:type="dxa"/>
            </w:tcMar>
          </w:tcPr>
          <w:p w14:paraId="0000013B" w14:textId="77777777" w:rsidR="00E51BAE" w:rsidRDefault="00236A55">
            <w:pPr>
              <w:jc w:val="center"/>
              <w:rPr>
                <w:b/>
                <w:sz w:val="20"/>
                <w:szCs w:val="20"/>
              </w:rPr>
            </w:pPr>
            <w:r>
              <w:rPr>
                <w:b/>
                <w:sz w:val="20"/>
                <w:szCs w:val="20"/>
              </w:rPr>
              <w:t>Dig 2</w:t>
            </w:r>
          </w:p>
        </w:tc>
        <w:tc>
          <w:tcPr>
            <w:tcW w:w="720" w:type="dxa"/>
            <w:tcBorders>
              <w:top w:val="single" w:sz="6" w:space="0" w:color="000000"/>
              <w:left w:val="nil"/>
              <w:bottom w:val="single" w:sz="6" w:space="0" w:color="000000"/>
              <w:right w:val="nil"/>
            </w:tcBorders>
            <w:tcMar>
              <w:top w:w="0" w:type="dxa"/>
              <w:left w:w="100" w:type="dxa"/>
              <w:bottom w:w="0" w:type="dxa"/>
              <w:right w:w="100" w:type="dxa"/>
            </w:tcMar>
          </w:tcPr>
          <w:p w14:paraId="0000013C" w14:textId="77777777" w:rsidR="00E51BAE" w:rsidRDefault="00236A55">
            <w:pPr>
              <w:jc w:val="center"/>
              <w:rPr>
                <w:b/>
                <w:sz w:val="20"/>
                <w:szCs w:val="20"/>
              </w:rPr>
            </w:pPr>
            <w:r>
              <w:rPr>
                <w:b/>
                <w:sz w:val="20"/>
                <w:szCs w:val="20"/>
              </w:rPr>
              <w:t>Dig 3</w:t>
            </w:r>
          </w:p>
        </w:tc>
        <w:tc>
          <w:tcPr>
            <w:tcW w:w="705" w:type="dxa"/>
            <w:tcBorders>
              <w:top w:val="single" w:sz="6" w:space="0" w:color="000000"/>
              <w:left w:val="nil"/>
              <w:bottom w:val="single" w:sz="6" w:space="0" w:color="000000"/>
              <w:right w:val="nil"/>
            </w:tcBorders>
            <w:tcMar>
              <w:top w:w="0" w:type="dxa"/>
              <w:left w:w="100" w:type="dxa"/>
              <w:bottom w:w="0" w:type="dxa"/>
              <w:right w:w="100" w:type="dxa"/>
            </w:tcMar>
          </w:tcPr>
          <w:p w14:paraId="0000013D" w14:textId="77777777" w:rsidR="00E51BAE" w:rsidRDefault="00236A55">
            <w:pPr>
              <w:jc w:val="center"/>
              <w:rPr>
                <w:b/>
                <w:sz w:val="20"/>
                <w:szCs w:val="20"/>
              </w:rPr>
            </w:pPr>
            <w:r>
              <w:rPr>
                <w:b/>
                <w:sz w:val="20"/>
                <w:szCs w:val="20"/>
              </w:rPr>
              <w:t>Dig 4</w:t>
            </w:r>
          </w:p>
        </w:tc>
        <w:tc>
          <w:tcPr>
            <w:tcW w:w="1275" w:type="dxa"/>
            <w:tcBorders>
              <w:top w:val="single" w:sz="6" w:space="0" w:color="000000"/>
              <w:left w:val="nil"/>
              <w:bottom w:val="single" w:sz="6" w:space="0" w:color="000000"/>
              <w:right w:val="nil"/>
            </w:tcBorders>
            <w:tcMar>
              <w:top w:w="0" w:type="dxa"/>
              <w:left w:w="100" w:type="dxa"/>
              <w:bottom w:w="0" w:type="dxa"/>
              <w:right w:w="100" w:type="dxa"/>
            </w:tcMar>
          </w:tcPr>
          <w:p w14:paraId="0000013E" w14:textId="77777777" w:rsidR="00E51BAE" w:rsidRDefault="00236A55">
            <w:pPr>
              <w:jc w:val="center"/>
              <w:rPr>
                <w:b/>
                <w:sz w:val="20"/>
                <w:szCs w:val="20"/>
              </w:rPr>
            </w:pPr>
            <w:r>
              <w:rPr>
                <w:b/>
                <w:sz w:val="20"/>
                <w:szCs w:val="20"/>
              </w:rPr>
              <w:t>Digitally deliverable</w:t>
            </w:r>
          </w:p>
        </w:tc>
        <w:tc>
          <w:tcPr>
            <w:tcW w:w="900" w:type="dxa"/>
            <w:tcBorders>
              <w:top w:val="single" w:sz="6" w:space="0" w:color="000000"/>
              <w:left w:val="nil"/>
              <w:bottom w:val="single" w:sz="6" w:space="0" w:color="000000"/>
              <w:right w:val="nil"/>
            </w:tcBorders>
            <w:tcMar>
              <w:top w:w="0" w:type="dxa"/>
              <w:left w:w="100" w:type="dxa"/>
              <w:bottom w:w="0" w:type="dxa"/>
              <w:right w:w="100" w:type="dxa"/>
            </w:tcMar>
          </w:tcPr>
          <w:p w14:paraId="0000013F" w14:textId="77777777" w:rsidR="00E51BAE" w:rsidRDefault="00236A55">
            <w:pPr>
              <w:jc w:val="center"/>
              <w:rPr>
                <w:b/>
                <w:sz w:val="20"/>
                <w:szCs w:val="20"/>
              </w:rPr>
            </w:pPr>
            <w:r>
              <w:rPr>
                <w:b/>
                <w:sz w:val="20"/>
                <w:szCs w:val="20"/>
              </w:rPr>
              <w:t>S/L ratio</w:t>
            </w:r>
          </w:p>
        </w:tc>
        <w:tc>
          <w:tcPr>
            <w:tcW w:w="1320" w:type="dxa"/>
            <w:tcBorders>
              <w:top w:val="single" w:sz="6" w:space="0" w:color="000000"/>
              <w:left w:val="nil"/>
              <w:bottom w:val="single" w:sz="6" w:space="0" w:color="000000"/>
              <w:right w:val="nil"/>
            </w:tcBorders>
            <w:tcMar>
              <w:top w:w="0" w:type="dxa"/>
              <w:left w:w="100" w:type="dxa"/>
              <w:bottom w:w="0" w:type="dxa"/>
              <w:right w:w="100" w:type="dxa"/>
            </w:tcMar>
          </w:tcPr>
          <w:p w14:paraId="00000140" w14:textId="77777777" w:rsidR="00E51BAE" w:rsidRDefault="00236A55">
            <w:pPr>
              <w:jc w:val="center"/>
              <w:rPr>
                <w:b/>
                <w:sz w:val="20"/>
                <w:szCs w:val="20"/>
              </w:rPr>
            </w:pPr>
            <w:r>
              <w:rPr>
                <w:b/>
                <w:sz w:val="20"/>
                <w:szCs w:val="20"/>
              </w:rPr>
              <w:t>Share PS</w:t>
            </w:r>
          </w:p>
        </w:tc>
      </w:tr>
      <w:tr w:rsidR="00E51BAE" w14:paraId="7171485E" w14:textId="77777777">
        <w:trPr>
          <w:trHeight w:val="300"/>
        </w:trPr>
        <w:tc>
          <w:tcPr>
            <w:tcW w:w="2745" w:type="dxa"/>
            <w:tcBorders>
              <w:top w:val="nil"/>
              <w:left w:val="nil"/>
              <w:bottom w:val="nil"/>
              <w:right w:val="nil"/>
            </w:tcBorders>
            <w:tcMar>
              <w:top w:w="0" w:type="dxa"/>
              <w:left w:w="100" w:type="dxa"/>
              <w:bottom w:w="0" w:type="dxa"/>
              <w:right w:w="100" w:type="dxa"/>
            </w:tcMar>
          </w:tcPr>
          <w:p w14:paraId="00000141" w14:textId="77777777" w:rsidR="00E51BAE" w:rsidRDefault="00236A55">
            <w:pPr>
              <w:spacing w:before="240"/>
              <w:rPr>
                <w:b/>
                <w:sz w:val="20"/>
                <w:szCs w:val="20"/>
              </w:rPr>
            </w:pPr>
            <w:r>
              <w:rPr>
                <w:b/>
                <w:sz w:val="20"/>
                <w:szCs w:val="20"/>
              </w:rPr>
              <w:t>Telecom, computer, and information</w:t>
            </w:r>
          </w:p>
        </w:tc>
        <w:tc>
          <w:tcPr>
            <w:tcW w:w="705" w:type="dxa"/>
            <w:tcBorders>
              <w:top w:val="nil"/>
              <w:left w:val="nil"/>
              <w:bottom w:val="nil"/>
              <w:right w:val="nil"/>
            </w:tcBorders>
            <w:tcMar>
              <w:top w:w="0" w:type="dxa"/>
              <w:left w:w="100" w:type="dxa"/>
              <w:bottom w:w="0" w:type="dxa"/>
              <w:right w:w="100" w:type="dxa"/>
            </w:tcMar>
          </w:tcPr>
          <w:p w14:paraId="00000142" w14:textId="77777777" w:rsidR="00E51BAE" w:rsidRDefault="00236A55">
            <w:pPr>
              <w:spacing w:before="240"/>
              <w:jc w:val="center"/>
              <w:rPr>
                <w:sz w:val="20"/>
                <w:szCs w:val="20"/>
              </w:rPr>
            </w:pPr>
            <w:r>
              <w:rPr>
                <w:sz w:val="20"/>
                <w:szCs w:val="20"/>
              </w:rPr>
              <w:t>●</w:t>
            </w:r>
          </w:p>
        </w:tc>
        <w:tc>
          <w:tcPr>
            <w:tcW w:w="750" w:type="dxa"/>
            <w:tcBorders>
              <w:top w:val="nil"/>
              <w:left w:val="nil"/>
              <w:bottom w:val="nil"/>
              <w:right w:val="nil"/>
            </w:tcBorders>
            <w:tcMar>
              <w:top w:w="0" w:type="dxa"/>
              <w:left w:w="100" w:type="dxa"/>
              <w:bottom w:w="0" w:type="dxa"/>
              <w:right w:w="100" w:type="dxa"/>
            </w:tcMar>
          </w:tcPr>
          <w:p w14:paraId="00000143" w14:textId="77777777" w:rsidR="00E51BAE" w:rsidRDefault="00236A55">
            <w:pPr>
              <w:spacing w:before="240"/>
              <w:jc w:val="center"/>
              <w:rPr>
                <w:sz w:val="20"/>
                <w:szCs w:val="20"/>
              </w:rPr>
            </w:pPr>
            <w:r>
              <w:rPr>
                <w:sz w:val="20"/>
                <w:szCs w:val="20"/>
              </w:rPr>
              <w:t>●</w:t>
            </w:r>
          </w:p>
        </w:tc>
        <w:tc>
          <w:tcPr>
            <w:tcW w:w="720" w:type="dxa"/>
            <w:tcBorders>
              <w:top w:val="nil"/>
              <w:left w:val="nil"/>
              <w:bottom w:val="nil"/>
              <w:right w:val="nil"/>
            </w:tcBorders>
            <w:tcMar>
              <w:top w:w="0" w:type="dxa"/>
              <w:left w:w="100" w:type="dxa"/>
              <w:bottom w:w="0" w:type="dxa"/>
              <w:right w:w="100" w:type="dxa"/>
            </w:tcMar>
          </w:tcPr>
          <w:p w14:paraId="00000144" w14:textId="77777777" w:rsidR="00E51BAE" w:rsidRDefault="00236A55">
            <w:pPr>
              <w:spacing w:before="240"/>
              <w:jc w:val="center"/>
              <w:rPr>
                <w:sz w:val="20"/>
                <w:szCs w:val="20"/>
              </w:rPr>
            </w:pPr>
            <w:r>
              <w:rPr>
                <w:sz w:val="20"/>
                <w:szCs w:val="20"/>
              </w:rPr>
              <w:t>●</w:t>
            </w:r>
          </w:p>
        </w:tc>
        <w:tc>
          <w:tcPr>
            <w:tcW w:w="705" w:type="dxa"/>
            <w:tcBorders>
              <w:top w:val="nil"/>
              <w:left w:val="nil"/>
              <w:bottom w:val="nil"/>
              <w:right w:val="nil"/>
            </w:tcBorders>
            <w:tcMar>
              <w:top w:w="0" w:type="dxa"/>
              <w:left w:w="100" w:type="dxa"/>
              <w:bottom w:w="0" w:type="dxa"/>
              <w:right w:w="100" w:type="dxa"/>
            </w:tcMar>
          </w:tcPr>
          <w:p w14:paraId="00000145" w14:textId="77777777" w:rsidR="00E51BAE" w:rsidRDefault="00236A55">
            <w:pPr>
              <w:spacing w:before="240"/>
              <w:jc w:val="center"/>
              <w:rPr>
                <w:sz w:val="20"/>
                <w:szCs w:val="20"/>
              </w:rPr>
            </w:pPr>
            <w:r>
              <w:rPr>
                <w:sz w:val="20"/>
                <w:szCs w:val="20"/>
              </w:rPr>
              <w:t>●</w:t>
            </w:r>
          </w:p>
        </w:tc>
        <w:tc>
          <w:tcPr>
            <w:tcW w:w="1275" w:type="dxa"/>
            <w:tcBorders>
              <w:top w:val="nil"/>
              <w:left w:val="nil"/>
              <w:bottom w:val="nil"/>
              <w:right w:val="nil"/>
            </w:tcBorders>
            <w:tcMar>
              <w:top w:w="0" w:type="dxa"/>
              <w:left w:w="100" w:type="dxa"/>
              <w:bottom w:w="0" w:type="dxa"/>
              <w:right w:w="100" w:type="dxa"/>
            </w:tcMar>
          </w:tcPr>
          <w:p w14:paraId="00000146" w14:textId="77777777" w:rsidR="00E51BAE" w:rsidRDefault="00236A55">
            <w:pPr>
              <w:spacing w:before="240"/>
              <w:jc w:val="center"/>
              <w:rPr>
                <w:sz w:val="20"/>
                <w:szCs w:val="20"/>
              </w:rPr>
            </w:pPr>
            <w:r>
              <w:rPr>
                <w:sz w:val="20"/>
                <w:szCs w:val="20"/>
              </w:rPr>
              <w:t>Yes</w:t>
            </w:r>
          </w:p>
        </w:tc>
        <w:tc>
          <w:tcPr>
            <w:tcW w:w="900" w:type="dxa"/>
            <w:tcBorders>
              <w:top w:val="nil"/>
              <w:left w:val="nil"/>
              <w:bottom w:val="nil"/>
              <w:right w:val="nil"/>
            </w:tcBorders>
            <w:tcMar>
              <w:top w:w="0" w:type="dxa"/>
              <w:left w:w="100" w:type="dxa"/>
              <w:bottom w:w="0" w:type="dxa"/>
              <w:right w:w="100" w:type="dxa"/>
            </w:tcMar>
          </w:tcPr>
          <w:p w14:paraId="00000147" w14:textId="77777777" w:rsidR="00E51BAE" w:rsidRDefault="00236A55">
            <w:pPr>
              <w:spacing w:before="240"/>
              <w:jc w:val="center"/>
              <w:rPr>
                <w:sz w:val="20"/>
                <w:szCs w:val="20"/>
              </w:rPr>
            </w:pPr>
            <w:r>
              <w:rPr>
                <w:sz w:val="20"/>
                <w:szCs w:val="20"/>
              </w:rPr>
              <w:t>4.10</w:t>
            </w:r>
          </w:p>
        </w:tc>
        <w:tc>
          <w:tcPr>
            <w:tcW w:w="1320" w:type="dxa"/>
            <w:tcBorders>
              <w:top w:val="nil"/>
              <w:left w:val="nil"/>
              <w:bottom w:val="nil"/>
              <w:right w:val="nil"/>
            </w:tcBorders>
            <w:tcMar>
              <w:top w:w="0" w:type="dxa"/>
              <w:left w:w="100" w:type="dxa"/>
              <w:bottom w:w="0" w:type="dxa"/>
              <w:right w:w="100" w:type="dxa"/>
            </w:tcMar>
          </w:tcPr>
          <w:p w14:paraId="00000148" w14:textId="77777777" w:rsidR="00E51BAE" w:rsidRDefault="00236A55">
            <w:pPr>
              <w:spacing w:before="240"/>
              <w:jc w:val="center"/>
              <w:rPr>
                <w:sz w:val="20"/>
                <w:szCs w:val="20"/>
              </w:rPr>
            </w:pPr>
            <w:r>
              <w:rPr>
                <w:sz w:val="20"/>
                <w:szCs w:val="20"/>
              </w:rPr>
              <w:t>2.59</w:t>
            </w:r>
          </w:p>
        </w:tc>
      </w:tr>
      <w:tr w:rsidR="00E51BAE" w14:paraId="21F23B5B" w14:textId="77777777">
        <w:trPr>
          <w:trHeight w:val="300"/>
        </w:trPr>
        <w:tc>
          <w:tcPr>
            <w:tcW w:w="2745" w:type="dxa"/>
            <w:tcBorders>
              <w:top w:val="nil"/>
              <w:left w:val="nil"/>
              <w:bottom w:val="nil"/>
              <w:right w:val="nil"/>
            </w:tcBorders>
            <w:tcMar>
              <w:top w:w="0" w:type="dxa"/>
              <w:left w:w="100" w:type="dxa"/>
              <w:bottom w:w="0" w:type="dxa"/>
              <w:right w:w="100" w:type="dxa"/>
            </w:tcMar>
          </w:tcPr>
          <w:p w14:paraId="00000149" w14:textId="77777777" w:rsidR="00E51BAE" w:rsidRDefault="00236A55">
            <w:pPr>
              <w:spacing w:before="240"/>
              <w:rPr>
                <w:b/>
                <w:sz w:val="20"/>
                <w:szCs w:val="20"/>
              </w:rPr>
            </w:pPr>
            <w:r>
              <w:rPr>
                <w:b/>
                <w:sz w:val="20"/>
                <w:szCs w:val="20"/>
              </w:rPr>
              <w:t>Other business services</w:t>
            </w:r>
          </w:p>
        </w:tc>
        <w:tc>
          <w:tcPr>
            <w:tcW w:w="705" w:type="dxa"/>
            <w:tcBorders>
              <w:top w:val="nil"/>
              <w:left w:val="nil"/>
              <w:bottom w:val="nil"/>
              <w:right w:val="nil"/>
            </w:tcBorders>
            <w:tcMar>
              <w:top w:w="0" w:type="dxa"/>
              <w:left w:w="100" w:type="dxa"/>
              <w:bottom w:w="0" w:type="dxa"/>
              <w:right w:w="100" w:type="dxa"/>
            </w:tcMar>
          </w:tcPr>
          <w:p w14:paraId="0000014A" w14:textId="77777777" w:rsidR="00E51BAE" w:rsidRDefault="00236A55">
            <w:pPr>
              <w:spacing w:before="240"/>
              <w:jc w:val="center"/>
              <w:rPr>
                <w:sz w:val="20"/>
                <w:szCs w:val="20"/>
              </w:rPr>
            </w:pPr>
            <w:r>
              <w:rPr>
                <w:sz w:val="20"/>
                <w:szCs w:val="20"/>
              </w:rPr>
              <w:t>●</w:t>
            </w:r>
          </w:p>
        </w:tc>
        <w:tc>
          <w:tcPr>
            <w:tcW w:w="750" w:type="dxa"/>
            <w:tcBorders>
              <w:top w:val="nil"/>
              <w:left w:val="nil"/>
              <w:bottom w:val="nil"/>
              <w:right w:val="nil"/>
            </w:tcBorders>
            <w:tcMar>
              <w:top w:w="0" w:type="dxa"/>
              <w:left w:w="100" w:type="dxa"/>
              <w:bottom w:w="0" w:type="dxa"/>
              <w:right w:w="100" w:type="dxa"/>
            </w:tcMar>
          </w:tcPr>
          <w:p w14:paraId="0000014B" w14:textId="77777777" w:rsidR="00E51BAE" w:rsidRDefault="00236A55">
            <w:pPr>
              <w:spacing w:before="240"/>
              <w:jc w:val="center"/>
              <w:rPr>
                <w:sz w:val="20"/>
                <w:szCs w:val="20"/>
              </w:rPr>
            </w:pPr>
            <w:r>
              <w:rPr>
                <w:sz w:val="20"/>
                <w:szCs w:val="20"/>
              </w:rPr>
              <w:t>●</w:t>
            </w:r>
          </w:p>
        </w:tc>
        <w:tc>
          <w:tcPr>
            <w:tcW w:w="720" w:type="dxa"/>
            <w:tcBorders>
              <w:top w:val="nil"/>
              <w:left w:val="nil"/>
              <w:bottom w:val="nil"/>
              <w:right w:val="nil"/>
            </w:tcBorders>
            <w:tcMar>
              <w:top w:w="0" w:type="dxa"/>
              <w:left w:w="100" w:type="dxa"/>
              <w:bottom w:w="0" w:type="dxa"/>
              <w:right w:w="100" w:type="dxa"/>
            </w:tcMar>
          </w:tcPr>
          <w:p w14:paraId="0000014C" w14:textId="77777777" w:rsidR="00E51BAE" w:rsidRDefault="00236A55">
            <w:pPr>
              <w:spacing w:before="240"/>
              <w:jc w:val="center"/>
              <w:rPr>
                <w:sz w:val="20"/>
                <w:szCs w:val="20"/>
              </w:rPr>
            </w:pPr>
            <w:r>
              <w:rPr>
                <w:sz w:val="20"/>
                <w:szCs w:val="20"/>
              </w:rPr>
              <w:t>●</w:t>
            </w:r>
          </w:p>
        </w:tc>
        <w:tc>
          <w:tcPr>
            <w:tcW w:w="705" w:type="dxa"/>
            <w:tcBorders>
              <w:top w:val="nil"/>
              <w:left w:val="nil"/>
              <w:bottom w:val="nil"/>
              <w:right w:val="nil"/>
            </w:tcBorders>
            <w:tcMar>
              <w:top w:w="0" w:type="dxa"/>
              <w:left w:w="100" w:type="dxa"/>
              <w:bottom w:w="0" w:type="dxa"/>
              <w:right w:w="100" w:type="dxa"/>
            </w:tcMar>
          </w:tcPr>
          <w:p w14:paraId="0000014D" w14:textId="77777777" w:rsidR="00E51BAE" w:rsidRDefault="00236A55">
            <w:pPr>
              <w:spacing w:before="240"/>
              <w:jc w:val="center"/>
              <w:rPr>
                <w:sz w:val="20"/>
                <w:szCs w:val="20"/>
              </w:rPr>
            </w:pPr>
            <w:r>
              <w:rPr>
                <w:sz w:val="20"/>
                <w:szCs w:val="20"/>
              </w:rPr>
              <w:t>●</w:t>
            </w:r>
          </w:p>
        </w:tc>
        <w:tc>
          <w:tcPr>
            <w:tcW w:w="1275" w:type="dxa"/>
            <w:tcBorders>
              <w:top w:val="nil"/>
              <w:left w:val="nil"/>
              <w:bottom w:val="nil"/>
              <w:right w:val="nil"/>
            </w:tcBorders>
            <w:tcMar>
              <w:top w:w="0" w:type="dxa"/>
              <w:left w:w="100" w:type="dxa"/>
              <w:bottom w:w="0" w:type="dxa"/>
              <w:right w:w="100" w:type="dxa"/>
            </w:tcMar>
          </w:tcPr>
          <w:p w14:paraId="0000014E" w14:textId="77777777" w:rsidR="00E51BAE" w:rsidRDefault="00236A55">
            <w:pPr>
              <w:spacing w:before="240"/>
              <w:jc w:val="center"/>
              <w:rPr>
                <w:sz w:val="20"/>
                <w:szCs w:val="20"/>
              </w:rPr>
            </w:pPr>
            <w:r>
              <w:rPr>
                <w:sz w:val="20"/>
                <w:szCs w:val="20"/>
              </w:rPr>
              <w:t>Yes</w:t>
            </w:r>
          </w:p>
        </w:tc>
        <w:tc>
          <w:tcPr>
            <w:tcW w:w="900" w:type="dxa"/>
            <w:tcBorders>
              <w:top w:val="nil"/>
              <w:left w:val="nil"/>
              <w:bottom w:val="nil"/>
              <w:right w:val="nil"/>
            </w:tcBorders>
            <w:tcMar>
              <w:top w:w="0" w:type="dxa"/>
              <w:left w:w="100" w:type="dxa"/>
              <w:bottom w:w="0" w:type="dxa"/>
              <w:right w:w="100" w:type="dxa"/>
            </w:tcMar>
          </w:tcPr>
          <w:p w14:paraId="0000014F" w14:textId="77777777" w:rsidR="00E51BAE" w:rsidRDefault="00236A55">
            <w:pPr>
              <w:spacing w:before="240"/>
              <w:jc w:val="center"/>
              <w:rPr>
                <w:sz w:val="20"/>
                <w:szCs w:val="20"/>
              </w:rPr>
            </w:pPr>
            <w:r>
              <w:rPr>
                <w:sz w:val="20"/>
                <w:szCs w:val="20"/>
              </w:rPr>
              <w:t>1.08</w:t>
            </w:r>
          </w:p>
        </w:tc>
        <w:tc>
          <w:tcPr>
            <w:tcW w:w="1320" w:type="dxa"/>
            <w:tcBorders>
              <w:top w:val="nil"/>
              <w:left w:val="nil"/>
              <w:bottom w:val="nil"/>
              <w:right w:val="nil"/>
            </w:tcBorders>
            <w:tcMar>
              <w:top w:w="0" w:type="dxa"/>
              <w:left w:w="100" w:type="dxa"/>
              <w:bottom w:w="0" w:type="dxa"/>
              <w:right w:w="100" w:type="dxa"/>
            </w:tcMar>
          </w:tcPr>
          <w:p w14:paraId="00000150" w14:textId="77777777" w:rsidR="00E51BAE" w:rsidRDefault="00236A55">
            <w:pPr>
              <w:spacing w:before="240"/>
              <w:jc w:val="center"/>
              <w:rPr>
                <w:sz w:val="20"/>
                <w:szCs w:val="20"/>
              </w:rPr>
            </w:pPr>
            <w:r>
              <w:rPr>
                <w:sz w:val="20"/>
                <w:szCs w:val="20"/>
              </w:rPr>
              <w:t>0.08</w:t>
            </w:r>
          </w:p>
        </w:tc>
      </w:tr>
      <w:tr w:rsidR="00E51BAE" w14:paraId="64DBD99D" w14:textId="77777777">
        <w:trPr>
          <w:trHeight w:val="300"/>
        </w:trPr>
        <w:tc>
          <w:tcPr>
            <w:tcW w:w="2745" w:type="dxa"/>
            <w:tcBorders>
              <w:top w:val="nil"/>
              <w:left w:val="nil"/>
              <w:bottom w:val="nil"/>
              <w:right w:val="nil"/>
            </w:tcBorders>
            <w:tcMar>
              <w:top w:w="0" w:type="dxa"/>
              <w:left w:w="100" w:type="dxa"/>
              <w:bottom w:w="0" w:type="dxa"/>
              <w:right w:w="100" w:type="dxa"/>
            </w:tcMar>
          </w:tcPr>
          <w:p w14:paraId="00000151" w14:textId="77777777" w:rsidR="00E51BAE" w:rsidRDefault="00236A55">
            <w:pPr>
              <w:spacing w:before="240"/>
              <w:rPr>
                <w:b/>
                <w:sz w:val="20"/>
                <w:szCs w:val="20"/>
              </w:rPr>
            </w:pPr>
            <w:r>
              <w:rPr>
                <w:b/>
                <w:sz w:val="20"/>
                <w:szCs w:val="20"/>
              </w:rPr>
              <w:t>Insurance and pension services</w:t>
            </w:r>
          </w:p>
        </w:tc>
        <w:tc>
          <w:tcPr>
            <w:tcW w:w="705" w:type="dxa"/>
            <w:tcBorders>
              <w:top w:val="nil"/>
              <w:left w:val="nil"/>
              <w:bottom w:val="nil"/>
              <w:right w:val="nil"/>
            </w:tcBorders>
            <w:tcMar>
              <w:top w:w="0" w:type="dxa"/>
              <w:left w:w="100" w:type="dxa"/>
              <w:bottom w:w="0" w:type="dxa"/>
              <w:right w:w="100" w:type="dxa"/>
            </w:tcMar>
          </w:tcPr>
          <w:p w14:paraId="00000152" w14:textId="77777777" w:rsidR="00E51BAE" w:rsidRDefault="00E51BAE"/>
        </w:tc>
        <w:tc>
          <w:tcPr>
            <w:tcW w:w="750" w:type="dxa"/>
            <w:tcBorders>
              <w:top w:val="nil"/>
              <w:left w:val="nil"/>
              <w:bottom w:val="nil"/>
              <w:right w:val="nil"/>
            </w:tcBorders>
            <w:tcMar>
              <w:top w:w="0" w:type="dxa"/>
              <w:left w:w="100" w:type="dxa"/>
              <w:bottom w:w="0" w:type="dxa"/>
              <w:right w:w="100" w:type="dxa"/>
            </w:tcMar>
          </w:tcPr>
          <w:p w14:paraId="00000153" w14:textId="77777777" w:rsidR="00E51BAE" w:rsidRDefault="00236A55">
            <w:pPr>
              <w:spacing w:before="240"/>
              <w:jc w:val="center"/>
              <w:rPr>
                <w:sz w:val="20"/>
                <w:szCs w:val="20"/>
              </w:rPr>
            </w:pPr>
            <w:r>
              <w:rPr>
                <w:sz w:val="20"/>
                <w:szCs w:val="20"/>
              </w:rPr>
              <w:t>●</w:t>
            </w:r>
          </w:p>
        </w:tc>
        <w:tc>
          <w:tcPr>
            <w:tcW w:w="720" w:type="dxa"/>
            <w:tcBorders>
              <w:top w:val="nil"/>
              <w:left w:val="nil"/>
              <w:bottom w:val="nil"/>
              <w:right w:val="nil"/>
            </w:tcBorders>
            <w:tcMar>
              <w:top w:w="0" w:type="dxa"/>
              <w:left w:w="100" w:type="dxa"/>
              <w:bottom w:w="0" w:type="dxa"/>
              <w:right w:w="100" w:type="dxa"/>
            </w:tcMar>
          </w:tcPr>
          <w:p w14:paraId="00000154" w14:textId="77777777" w:rsidR="00E51BAE" w:rsidRDefault="00236A55">
            <w:pPr>
              <w:spacing w:before="240"/>
              <w:jc w:val="center"/>
              <w:rPr>
                <w:sz w:val="20"/>
                <w:szCs w:val="20"/>
              </w:rPr>
            </w:pPr>
            <w:r>
              <w:rPr>
                <w:sz w:val="20"/>
                <w:szCs w:val="20"/>
              </w:rPr>
              <w:t>●</w:t>
            </w:r>
          </w:p>
        </w:tc>
        <w:tc>
          <w:tcPr>
            <w:tcW w:w="705" w:type="dxa"/>
            <w:tcBorders>
              <w:top w:val="nil"/>
              <w:left w:val="nil"/>
              <w:bottom w:val="nil"/>
              <w:right w:val="nil"/>
            </w:tcBorders>
            <w:tcMar>
              <w:top w:w="0" w:type="dxa"/>
              <w:left w:w="100" w:type="dxa"/>
              <w:bottom w:w="0" w:type="dxa"/>
              <w:right w:w="100" w:type="dxa"/>
            </w:tcMar>
          </w:tcPr>
          <w:p w14:paraId="00000155" w14:textId="77777777" w:rsidR="00E51BAE" w:rsidRDefault="00236A55">
            <w:pPr>
              <w:spacing w:before="240"/>
              <w:jc w:val="center"/>
              <w:rPr>
                <w:sz w:val="20"/>
                <w:szCs w:val="20"/>
              </w:rPr>
            </w:pPr>
            <w:r>
              <w:rPr>
                <w:sz w:val="20"/>
                <w:szCs w:val="20"/>
              </w:rPr>
              <w:t>●</w:t>
            </w:r>
          </w:p>
        </w:tc>
        <w:tc>
          <w:tcPr>
            <w:tcW w:w="1275" w:type="dxa"/>
            <w:tcBorders>
              <w:top w:val="nil"/>
              <w:left w:val="nil"/>
              <w:bottom w:val="nil"/>
              <w:right w:val="nil"/>
            </w:tcBorders>
            <w:tcMar>
              <w:top w:w="0" w:type="dxa"/>
              <w:left w:w="100" w:type="dxa"/>
              <w:bottom w:w="0" w:type="dxa"/>
              <w:right w:w="100" w:type="dxa"/>
            </w:tcMar>
          </w:tcPr>
          <w:p w14:paraId="00000156" w14:textId="77777777" w:rsidR="00E51BAE" w:rsidRDefault="00236A55">
            <w:pPr>
              <w:spacing w:before="240"/>
              <w:jc w:val="center"/>
              <w:rPr>
                <w:sz w:val="20"/>
                <w:szCs w:val="20"/>
              </w:rPr>
            </w:pPr>
            <w:r>
              <w:rPr>
                <w:sz w:val="20"/>
                <w:szCs w:val="20"/>
              </w:rPr>
              <w:t>Yes</w:t>
            </w:r>
          </w:p>
        </w:tc>
        <w:tc>
          <w:tcPr>
            <w:tcW w:w="900" w:type="dxa"/>
            <w:tcBorders>
              <w:top w:val="nil"/>
              <w:left w:val="nil"/>
              <w:bottom w:val="nil"/>
              <w:right w:val="nil"/>
            </w:tcBorders>
            <w:tcMar>
              <w:top w:w="0" w:type="dxa"/>
              <w:left w:w="100" w:type="dxa"/>
              <w:bottom w:w="0" w:type="dxa"/>
              <w:right w:w="100" w:type="dxa"/>
            </w:tcMar>
          </w:tcPr>
          <w:p w14:paraId="00000157" w14:textId="77777777" w:rsidR="00E51BAE" w:rsidRDefault="00236A55">
            <w:pPr>
              <w:spacing w:before="240"/>
              <w:jc w:val="center"/>
              <w:rPr>
                <w:sz w:val="20"/>
                <w:szCs w:val="20"/>
              </w:rPr>
            </w:pPr>
            <w:r>
              <w:rPr>
                <w:sz w:val="20"/>
                <w:szCs w:val="20"/>
              </w:rPr>
              <w:t>2.88</w:t>
            </w:r>
          </w:p>
        </w:tc>
        <w:tc>
          <w:tcPr>
            <w:tcW w:w="1320" w:type="dxa"/>
            <w:tcBorders>
              <w:top w:val="nil"/>
              <w:left w:val="nil"/>
              <w:bottom w:val="nil"/>
              <w:right w:val="nil"/>
            </w:tcBorders>
            <w:tcMar>
              <w:top w:w="0" w:type="dxa"/>
              <w:left w:w="100" w:type="dxa"/>
              <w:bottom w:w="0" w:type="dxa"/>
              <w:right w:w="100" w:type="dxa"/>
            </w:tcMar>
          </w:tcPr>
          <w:p w14:paraId="00000158" w14:textId="77777777" w:rsidR="00E51BAE" w:rsidRDefault="00236A55">
            <w:pPr>
              <w:spacing w:before="240"/>
              <w:jc w:val="center"/>
              <w:rPr>
                <w:sz w:val="20"/>
                <w:szCs w:val="20"/>
              </w:rPr>
            </w:pPr>
            <w:r>
              <w:rPr>
                <w:sz w:val="20"/>
                <w:szCs w:val="20"/>
              </w:rPr>
              <w:t>0.05</w:t>
            </w:r>
          </w:p>
        </w:tc>
      </w:tr>
      <w:tr w:rsidR="00E51BAE" w14:paraId="613847C8" w14:textId="77777777">
        <w:trPr>
          <w:trHeight w:val="300"/>
        </w:trPr>
        <w:tc>
          <w:tcPr>
            <w:tcW w:w="2745" w:type="dxa"/>
            <w:tcBorders>
              <w:top w:val="nil"/>
              <w:left w:val="nil"/>
              <w:bottom w:val="nil"/>
              <w:right w:val="nil"/>
            </w:tcBorders>
            <w:tcMar>
              <w:top w:w="0" w:type="dxa"/>
              <w:left w:w="100" w:type="dxa"/>
              <w:bottom w:w="0" w:type="dxa"/>
              <w:right w:w="100" w:type="dxa"/>
            </w:tcMar>
          </w:tcPr>
          <w:p w14:paraId="00000159" w14:textId="77777777" w:rsidR="00E51BAE" w:rsidRDefault="00236A55">
            <w:pPr>
              <w:spacing w:before="240"/>
              <w:rPr>
                <w:b/>
                <w:sz w:val="20"/>
                <w:szCs w:val="20"/>
              </w:rPr>
            </w:pPr>
            <w:r>
              <w:rPr>
                <w:b/>
                <w:sz w:val="20"/>
                <w:szCs w:val="20"/>
              </w:rPr>
              <w:t>Financial services</w:t>
            </w:r>
          </w:p>
        </w:tc>
        <w:tc>
          <w:tcPr>
            <w:tcW w:w="705" w:type="dxa"/>
            <w:tcBorders>
              <w:top w:val="nil"/>
              <w:left w:val="nil"/>
              <w:bottom w:val="nil"/>
              <w:right w:val="nil"/>
            </w:tcBorders>
            <w:tcMar>
              <w:top w:w="0" w:type="dxa"/>
              <w:left w:w="100" w:type="dxa"/>
              <w:bottom w:w="0" w:type="dxa"/>
              <w:right w:w="100" w:type="dxa"/>
            </w:tcMar>
          </w:tcPr>
          <w:p w14:paraId="0000015A" w14:textId="77777777" w:rsidR="00E51BAE" w:rsidRDefault="00E51BAE"/>
        </w:tc>
        <w:tc>
          <w:tcPr>
            <w:tcW w:w="750" w:type="dxa"/>
            <w:tcBorders>
              <w:top w:val="nil"/>
              <w:left w:val="nil"/>
              <w:bottom w:val="nil"/>
              <w:right w:val="nil"/>
            </w:tcBorders>
            <w:tcMar>
              <w:top w:w="0" w:type="dxa"/>
              <w:left w:w="100" w:type="dxa"/>
              <w:bottom w:w="0" w:type="dxa"/>
              <w:right w:w="100" w:type="dxa"/>
            </w:tcMar>
          </w:tcPr>
          <w:p w14:paraId="0000015B" w14:textId="77777777" w:rsidR="00E51BAE" w:rsidRDefault="00236A55">
            <w:pPr>
              <w:spacing w:before="240"/>
              <w:jc w:val="center"/>
              <w:rPr>
                <w:sz w:val="20"/>
                <w:szCs w:val="20"/>
              </w:rPr>
            </w:pPr>
            <w:r>
              <w:rPr>
                <w:sz w:val="20"/>
                <w:szCs w:val="20"/>
              </w:rPr>
              <w:t>●</w:t>
            </w:r>
          </w:p>
        </w:tc>
        <w:tc>
          <w:tcPr>
            <w:tcW w:w="720" w:type="dxa"/>
            <w:tcBorders>
              <w:top w:val="nil"/>
              <w:left w:val="nil"/>
              <w:bottom w:val="nil"/>
              <w:right w:val="nil"/>
            </w:tcBorders>
            <w:tcMar>
              <w:top w:w="0" w:type="dxa"/>
              <w:left w:w="100" w:type="dxa"/>
              <w:bottom w:w="0" w:type="dxa"/>
              <w:right w:w="100" w:type="dxa"/>
            </w:tcMar>
          </w:tcPr>
          <w:p w14:paraId="0000015C" w14:textId="77777777" w:rsidR="00E51BAE" w:rsidRDefault="00236A55">
            <w:pPr>
              <w:spacing w:before="240"/>
              <w:jc w:val="center"/>
              <w:rPr>
                <w:sz w:val="20"/>
                <w:szCs w:val="20"/>
              </w:rPr>
            </w:pPr>
            <w:r>
              <w:rPr>
                <w:sz w:val="20"/>
                <w:szCs w:val="20"/>
              </w:rPr>
              <w:t>●</w:t>
            </w:r>
          </w:p>
        </w:tc>
        <w:tc>
          <w:tcPr>
            <w:tcW w:w="705" w:type="dxa"/>
            <w:tcBorders>
              <w:top w:val="nil"/>
              <w:left w:val="nil"/>
              <w:bottom w:val="nil"/>
              <w:right w:val="nil"/>
            </w:tcBorders>
            <w:tcMar>
              <w:top w:w="0" w:type="dxa"/>
              <w:left w:w="100" w:type="dxa"/>
              <w:bottom w:w="0" w:type="dxa"/>
              <w:right w:w="100" w:type="dxa"/>
            </w:tcMar>
          </w:tcPr>
          <w:p w14:paraId="0000015D" w14:textId="77777777" w:rsidR="00E51BAE" w:rsidRDefault="00236A55">
            <w:pPr>
              <w:spacing w:before="240"/>
              <w:jc w:val="center"/>
              <w:rPr>
                <w:sz w:val="20"/>
                <w:szCs w:val="20"/>
              </w:rPr>
            </w:pPr>
            <w:r>
              <w:rPr>
                <w:sz w:val="20"/>
                <w:szCs w:val="20"/>
              </w:rPr>
              <w:t>●</w:t>
            </w:r>
          </w:p>
        </w:tc>
        <w:tc>
          <w:tcPr>
            <w:tcW w:w="1275" w:type="dxa"/>
            <w:tcBorders>
              <w:top w:val="nil"/>
              <w:left w:val="nil"/>
              <w:bottom w:val="nil"/>
              <w:right w:val="nil"/>
            </w:tcBorders>
            <w:tcMar>
              <w:top w:w="0" w:type="dxa"/>
              <w:left w:w="100" w:type="dxa"/>
              <w:bottom w:w="0" w:type="dxa"/>
              <w:right w:w="100" w:type="dxa"/>
            </w:tcMar>
          </w:tcPr>
          <w:p w14:paraId="0000015E" w14:textId="77777777" w:rsidR="00E51BAE" w:rsidRDefault="00236A55">
            <w:pPr>
              <w:spacing w:before="240"/>
              <w:jc w:val="center"/>
              <w:rPr>
                <w:sz w:val="20"/>
                <w:szCs w:val="20"/>
              </w:rPr>
            </w:pPr>
            <w:r>
              <w:rPr>
                <w:sz w:val="20"/>
                <w:szCs w:val="20"/>
              </w:rPr>
              <w:t>Yes</w:t>
            </w:r>
          </w:p>
        </w:tc>
        <w:tc>
          <w:tcPr>
            <w:tcW w:w="900" w:type="dxa"/>
            <w:tcBorders>
              <w:top w:val="nil"/>
              <w:left w:val="nil"/>
              <w:bottom w:val="nil"/>
              <w:right w:val="nil"/>
            </w:tcBorders>
            <w:tcMar>
              <w:top w:w="0" w:type="dxa"/>
              <w:left w:w="100" w:type="dxa"/>
              <w:bottom w:w="0" w:type="dxa"/>
              <w:right w:w="100" w:type="dxa"/>
            </w:tcMar>
          </w:tcPr>
          <w:p w14:paraId="0000015F" w14:textId="77777777" w:rsidR="00E51BAE" w:rsidRDefault="00236A55">
            <w:pPr>
              <w:spacing w:before="240"/>
              <w:jc w:val="center"/>
              <w:rPr>
                <w:sz w:val="20"/>
                <w:szCs w:val="20"/>
              </w:rPr>
            </w:pPr>
            <w:r>
              <w:rPr>
                <w:sz w:val="20"/>
                <w:szCs w:val="20"/>
              </w:rPr>
              <w:t>2.87</w:t>
            </w:r>
          </w:p>
        </w:tc>
        <w:tc>
          <w:tcPr>
            <w:tcW w:w="1320" w:type="dxa"/>
            <w:tcBorders>
              <w:top w:val="nil"/>
              <w:left w:val="nil"/>
              <w:bottom w:val="nil"/>
              <w:right w:val="nil"/>
            </w:tcBorders>
            <w:tcMar>
              <w:top w:w="0" w:type="dxa"/>
              <w:left w:w="100" w:type="dxa"/>
              <w:bottom w:w="0" w:type="dxa"/>
              <w:right w:w="100" w:type="dxa"/>
            </w:tcMar>
          </w:tcPr>
          <w:p w14:paraId="00000160" w14:textId="77777777" w:rsidR="00E51BAE" w:rsidRDefault="00236A55">
            <w:pPr>
              <w:spacing w:before="240"/>
              <w:jc w:val="center"/>
              <w:rPr>
                <w:sz w:val="20"/>
                <w:szCs w:val="20"/>
              </w:rPr>
            </w:pPr>
            <w:r>
              <w:rPr>
                <w:sz w:val="20"/>
                <w:szCs w:val="20"/>
              </w:rPr>
              <w:t>0.05</w:t>
            </w:r>
          </w:p>
        </w:tc>
      </w:tr>
      <w:tr w:rsidR="00E51BAE" w14:paraId="4726A523" w14:textId="77777777">
        <w:trPr>
          <w:trHeight w:val="300"/>
        </w:trPr>
        <w:tc>
          <w:tcPr>
            <w:tcW w:w="2745" w:type="dxa"/>
            <w:tcBorders>
              <w:top w:val="nil"/>
              <w:left w:val="nil"/>
              <w:bottom w:val="nil"/>
              <w:right w:val="nil"/>
            </w:tcBorders>
            <w:tcMar>
              <w:top w:w="0" w:type="dxa"/>
              <w:left w:w="100" w:type="dxa"/>
              <w:bottom w:w="0" w:type="dxa"/>
              <w:right w:w="100" w:type="dxa"/>
            </w:tcMar>
          </w:tcPr>
          <w:p w14:paraId="00000161" w14:textId="77777777" w:rsidR="00E51BAE" w:rsidRDefault="00236A55">
            <w:pPr>
              <w:spacing w:before="240"/>
              <w:rPr>
                <w:b/>
                <w:sz w:val="20"/>
                <w:szCs w:val="20"/>
              </w:rPr>
            </w:pPr>
            <w:r>
              <w:rPr>
                <w:b/>
                <w:sz w:val="20"/>
                <w:szCs w:val="20"/>
              </w:rPr>
              <w:t>Heritage and recreational services</w:t>
            </w:r>
          </w:p>
        </w:tc>
        <w:tc>
          <w:tcPr>
            <w:tcW w:w="705" w:type="dxa"/>
            <w:tcBorders>
              <w:top w:val="nil"/>
              <w:left w:val="nil"/>
              <w:bottom w:val="nil"/>
              <w:right w:val="nil"/>
            </w:tcBorders>
            <w:tcMar>
              <w:top w:w="0" w:type="dxa"/>
              <w:left w:w="100" w:type="dxa"/>
              <w:bottom w:w="0" w:type="dxa"/>
              <w:right w:w="100" w:type="dxa"/>
            </w:tcMar>
          </w:tcPr>
          <w:p w14:paraId="00000162" w14:textId="77777777" w:rsidR="00E51BAE" w:rsidRDefault="00E51BAE"/>
        </w:tc>
        <w:tc>
          <w:tcPr>
            <w:tcW w:w="750" w:type="dxa"/>
            <w:tcBorders>
              <w:top w:val="nil"/>
              <w:left w:val="nil"/>
              <w:bottom w:val="nil"/>
              <w:right w:val="nil"/>
            </w:tcBorders>
            <w:tcMar>
              <w:top w:w="0" w:type="dxa"/>
              <w:left w:w="100" w:type="dxa"/>
              <w:bottom w:w="0" w:type="dxa"/>
              <w:right w:w="100" w:type="dxa"/>
            </w:tcMar>
          </w:tcPr>
          <w:p w14:paraId="00000163" w14:textId="77777777" w:rsidR="00E51BAE" w:rsidRDefault="00E51BAE"/>
        </w:tc>
        <w:tc>
          <w:tcPr>
            <w:tcW w:w="720" w:type="dxa"/>
            <w:tcBorders>
              <w:top w:val="nil"/>
              <w:left w:val="nil"/>
              <w:bottom w:val="nil"/>
              <w:right w:val="nil"/>
            </w:tcBorders>
            <w:tcMar>
              <w:top w:w="0" w:type="dxa"/>
              <w:left w:w="100" w:type="dxa"/>
              <w:bottom w:w="0" w:type="dxa"/>
              <w:right w:w="100" w:type="dxa"/>
            </w:tcMar>
          </w:tcPr>
          <w:p w14:paraId="00000164" w14:textId="77777777" w:rsidR="00E51BAE" w:rsidRDefault="00236A55">
            <w:pPr>
              <w:spacing w:before="240"/>
              <w:jc w:val="center"/>
              <w:rPr>
                <w:sz w:val="20"/>
                <w:szCs w:val="20"/>
              </w:rPr>
            </w:pPr>
            <w:r>
              <w:rPr>
                <w:sz w:val="20"/>
                <w:szCs w:val="20"/>
              </w:rPr>
              <w:t>●</w:t>
            </w:r>
          </w:p>
        </w:tc>
        <w:tc>
          <w:tcPr>
            <w:tcW w:w="705" w:type="dxa"/>
            <w:tcBorders>
              <w:top w:val="nil"/>
              <w:left w:val="nil"/>
              <w:bottom w:val="nil"/>
              <w:right w:val="nil"/>
            </w:tcBorders>
            <w:tcMar>
              <w:top w:w="0" w:type="dxa"/>
              <w:left w:w="100" w:type="dxa"/>
              <w:bottom w:w="0" w:type="dxa"/>
              <w:right w:w="100" w:type="dxa"/>
            </w:tcMar>
          </w:tcPr>
          <w:p w14:paraId="00000165" w14:textId="77777777" w:rsidR="00E51BAE" w:rsidRDefault="00236A55">
            <w:pPr>
              <w:spacing w:before="240"/>
              <w:jc w:val="center"/>
              <w:rPr>
                <w:sz w:val="20"/>
                <w:szCs w:val="20"/>
              </w:rPr>
            </w:pPr>
            <w:r>
              <w:rPr>
                <w:sz w:val="20"/>
                <w:szCs w:val="20"/>
              </w:rPr>
              <w:t>●</w:t>
            </w:r>
          </w:p>
        </w:tc>
        <w:tc>
          <w:tcPr>
            <w:tcW w:w="1275" w:type="dxa"/>
            <w:tcBorders>
              <w:top w:val="nil"/>
              <w:left w:val="nil"/>
              <w:bottom w:val="nil"/>
              <w:right w:val="nil"/>
            </w:tcBorders>
            <w:tcMar>
              <w:top w:w="0" w:type="dxa"/>
              <w:left w:w="100" w:type="dxa"/>
              <w:bottom w:w="0" w:type="dxa"/>
              <w:right w:w="100" w:type="dxa"/>
            </w:tcMar>
          </w:tcPr>
          <w:p w14:paraId="00000166" w14:textId="77777777" w:rsidR="00E51BAE" w:rsidRDefault="00236A55">
            <w:pPr>
              <w:spacing w:before="240"/>
              <w:jc w:val="center"/>
              <w:rPr>
                <w:sz w:val="20"/>
                <w:szCs w:val="20"/>
              </w:rPr>
            </w:pPr>
            <w:r>
              <w:rPr>
                <w:sz w:val="20"/>
                <w:szCs w:val="20"/>
              </w:rPr>
              <w:t>Yes</w:t>
            </w:r>
          </w:p>
        </w:tc>
        <w:tc>
          <w:tcPr>
            <w:tcW w:w="900" w:type="dxa"/>
            <w:tcBorders>
              <w:top w:val="nil"/>
              <w:left w:val="nil"/>
              <w:bottom w:val="nil"/>
              <w:right w:val="nil"/>
            </w:tcBorders>
            <w:tcMar>
              <w:top w:w="0" w:type="dxa"/>
              <w:left w:w="100" w:type="dxa"/>
              <w:bottom w:w="0" w:type="dxa"/>
              <w:right w:w="100" w:type="dxa"/>
            </w:tcMar>
          </w:tcPr>
          <w:p w14:paraId="00000167" w14:textId="77777777" w:rsidR="00E51BAE" w:rsidRDefault="00236A55">
            <w:pPr>
              <w:spacing w:before="240"/>
              <w:jc w:val="center"/>
              <w:rPr>
                <w:sz w:val="20"/>
                <w:szCs w:val="20"/>
              </w:rPr>
            </w:pPr>
            <w:r>
              <w:rPr>
                <w:sz w:val="20"/>
                <w:szCs w:val="20"/>
              </w:rPr>
              <w:t>0.54</w:t>
            </w:r>
          </w:p>
        </w:tc>
        <w:tc>
          <w:tcPr>
            <w:tcW w:w="1320" w:type="dxa"/>
            <w:tcBorders>
              <w:top w:val="nil"/>
              <w:left w:val="nil"/>
              <w:bottom w:val="nil"/>
              <w:right w:val="nil"/>
            </w:tcBorders>
            <w:tcMar>
              <w:top w:w="0" w:type="dxa"/>
              <w:left w:w="100" w:type="dxa"/>
              <w:bottom w:w="0" w:type="dxa"/>
              <w:right w:w="100" w:type="dxa"/>
            </w:tcMar>
          </w:tcPr>
          <w:p w14:paraId="00000168" w14:textId="77777777" w:rsidR="00E51BAE" w:rsidRDefault="00236A55">
            <w:pPr>
              <w:spacing w:before="240"/>
              <w:jc w:val="center"/>
              <w:rPr>
                <w:sz w:val="20"/>
                <w:szCs w:val="20"/>
              </w:rPr>
            </w:pPr>
            <w:r>
              <w:rPr>
                <w:sz w:val="20"/>
                <w:szCs w:val="20"/>
              </w:rPr>
              <w:t>0.09</w:t>
            </w:r>
          </w:p>
        </w:tc>
      </w:tr>
      <w:tr w:rsidR="00E51BAE" w14:paraId="309A159E" w14:textId="77777777">
        <w:trPr>
          <w:trHeight w:val="300"/>
        </w:trPr>
        <w:tc>
          <w:tcPr>
            <w:tcW w:w="2745" w:type="dxa"/>
            <w:tcBorders>
              <w:top w:val="nil"/>
              <w:left w:val="nil"/>
              <w:bottom w:val="nil"/>
              <w:right w:val="nil"/>
            </w:tcBorders>
            <w:tcMar>
              <w:top w:w="0" w:type="dxa"/>
              <w:left w:w="100" w:type="dxa"/>
              <w:bottom w:w="0" w:type="dxa"/>
              <w:right w:w="100" w:type="dxa"/>
            </w:tcMar>
          </w:tcPr>
          <w:p w14:paraId="00000169" w14:textId="77777777" w:rsidR="00E51BAE" w:rsidRDefault="00236A55">
            <w:pPr>
              <w:spacing w:before="240"/>
              <w:rPr>
                <w:b/>
                <w:sz w:val="20"/>
                <w:szCs w:val="20"/>
              </w:rPr>
            </w:pPr>
            <w:r>
              <w:rPr>
                <w:b/>
                <w:sz w:val="20"/>
                <w:szCs w:val="20"/>
              </w:rPr>
              <w:t>Trade-related services</w:t>
            </w:r>
          </w:p>
        </w:tc>
        <w:tc>
          <w:tcPr>
            <w:tcW w:w="705" w:type="dxa"/>
            <w:tcBorders>
              <w:top w:val="nil"/>
              <w:left w:val="nil"/>
              <w:bottom w:val="nil"/>
              <w:right w:val="nil"/>
            </w:tcBorders>
            <w:tcMar>
              <w:top w:w="0" w:type="dxa"/>
              <w:left w:w="100" w:type="dxa"/>
              <w:bottom w:w="0" w:type="dxa"/>
              <w:right w:w="100" w:type="dxa"/>
            </w:tcMar>
          </w:tcPr>
          <w:p w14:paraId="0000016A" w14:textId="77777777" w:rsidR="00E51BAE" w:rsidRDefault="00E51BAE"/>
        </w:tc>
        <w:tc>
          <w:tcPr>
            <w:tcW w:w="750" w:type="dxa"/>
            <w:tcBorders>
              <w:top w:val="nil"/>
              <w:left w:val="nil"/>
              <w:bottom w:val="nil"/>
              <w:right w:val="nil"/>
            </w:tcBorders>
            <w:tcMar>
              <w:top w:w="0" w:type="dxa"/>
              <w:left w:w="100" w:type="dxa"/>
              <w:bottom w:w="0" w:type="dxa"/>
              <w:right w:w="100" w:type="dxa"/>
            </w:tcMar>
          </w:tcPr>
          <w:p w14:paraId="0000016B" w14:textId="77777777" w:rsidR="00E51BAE" w:rsidRDefault="00E51BAE"/>
        </w:tc>
        <w:tc>
          <w:tcPr>
            <w:tcW w:w="720" w:type="dxa"/>
            <w:tcBorders>
              <w:top w:val="nil"/>
              <w:left w:val="nil"/>
              <w:bottom w:val="nil"/>
              <w:right w:val="nil"/>
            </w:tcBorders>
            <w:tcMar>
              <w:top w:w="0" w:type="dxa"/>
              <w:left w:w="100" w:type="dxa"/>
              <w:bottom w:w="0" w:type="dxa"/>
              <w:right w:w="100" w:type="dxa"/>
            </w:tcMar>
          </w:tcPr>
          <w:p w14:paraId="0000016C" w14:textId="77777777" w:rsidR="00E51BAE" w:rsidRDefault="00236A55">
            <w:pPr>
              <w:spacing w:before="240"/>
              <w:jc w:val="center"/>
              <w:rPr>
                <w:sz w:val="20"/>
                <w:szCs w:val="20"/>
              </w:rPr>
            </w:pPr>
            <w:r>
              <w:rPr>
                <w:sz w:val="20"/>
                <w:szCs w:val="20"/>
              </w:rPr>
              <w:t>●</w:t>
            </w:r>
          </w:p>
        </w:tc>
        <w:tc>
          <w:tcPr>
            <w:tcW w:w="705" w:type="dxa"/>
            <w:tcBorders>
              <w:top w:val="nil"/>
              <w:left w:val="nil"/>
              <w:bottom w:val="nil"/>
              <w:right w:val="nil"/>
            </w:tcBorders>
            <w:tcMar>
              <w:top w:w="0" w:type="dxa"/>
              <w:left w:w="100" w:type="dxa"/>
              <w:bottom w:w="0" w:type="dxa"/>
              <w:right w:w="100" w:type="dxa"/>
            </w:tcMar>
          </w:tcPr>
          <w:p w14:paraId="0000016D" w14:textId="77777777" w:rsidR="00E51BAE" w:rsidRDefault="00236A55">
            <w:pPr>
              <w:spacing w:before="240"/>
              <w:jc w:val="center"/>
              <w:rPr>
                <w:sz w:val="20"/>
                <w:szCs w:val="20"/>
              </w:rPr>
            </w:pPr>
            <w:r>
              <w:rPr>
                <w:sz w:val="20"/>
                <w:szCs w:val="20"/>
              </w:rPr>
              <w:t>●</w:t>
            </w:r>
          </w:p>
        </w:tc>
        <w:tc>
          <w:tcPr>
            <w:tcW w:w="1275" w:type="dxa"/>
            <w:tcBorders>
              <w:top w:val="nil"/>
              <w:left w:val="nil"/>
              <w:bottom w:val="nil"/>
              <w:right w:val="nil"/>
            </w:tcBorders>
            <w:tcMar>
              <w:top w:w="0" w:type="dxa"/>
              <w:left w:w="100" w:type="dxa"/>
              <w:bottom w:w="0" w:type="dxa"/>
              <w:right w:w="100" w:type="dxa"/>
            </w:tcMar>
          </w:tcPr>
          <w:p w14:paraId="0000016E" w14:textId="77777777" w:rsidR="00E51BAE" w:rsidRDefault="00236A55">
            <w:pPr>
              <w:spacing w:before="240"/>
              <w:jc w:val="center"/>
              <w:rPr>
                <w:sz w:val="20"/>
                <w:szCs w:val="20"/>
              </w:rPr>
            </w:pPr>
            <w:r>
              <w:rPr>
                <w:sz w:val="20"/>
                <w:szCs w:val="20"/>
              </w:rPr>
              <w:t>Yes</w:t>
            </w:r>
          </w:p>
        </w:tc>
        <w:tc>
          <w:tcPr>
            <w:tcW w:w="900" w:type="dxa"/>
            <w:tcBorders>
              <w:top w:val="nil"/>
              <w:left w:val="nil"/>
              <w:bottom w:val="nil"/>
              <w:right w:val="nil"/>
            </w:tcBorders>
            <w:tcMar>
              <w:top w:w="0" w:type="dxa"/>
              <w:left w:w="100" w:type="dxa"/>
              <w:bottom w:w="0" w:type="dxa"/>
              <w:right w:w="100" w:type="dxa"/>
            </w:tcMar>
          </w:tcPr>
          <w:p w14:paraId="0000016F" w14:textId="77777777" w:rsidR="00E51BAE" w:rsidRDefault="00236A55">
            <w:pPr>
              <w:spacing w:before="240"/>
              <w:jc w:val="center"/>
              <w:rPr>
                <w:sz w:val="20"/>
                <w:szCs w:val="20"/>
              </w:rPr>
            </w:pPr>
            <w:r>
              <w:rPr>
                <w:sz w:val="20"/>
                <w:szCs w:val="20"/>
              </w:rPr>
              <w:t>0.51</w:t>
            </w:r>
          </w:p>
        </w:tc>
        <w:tc>
          <w:tcPr>
            <w:tcW w:w="1320" w:type="dxa"/>
            <w:tcBorders>
              <w:top w:val="nil"/>
              <w:left w:val="nil"/>
              <w:bottom w:val="nil"/>
              <w:right w:val="nil"/>
            </w:tcBorders>
            <w:tcMar>
              <w:top w:w="0" w:type="dxa"/>
              <w:left w:w="100" w:type="dxa"/>
              <w:bottom w:w="0" w:type="dxa"/>
              <w:right w:w="100" w:type="dxa"/>
            </w:tcMar>
          </w:tcPr>
          <w:p w14:paraId="00000170" w14:textId="77777777" w:rsidR="00E51BAE" w:rsidRDefault="00236A55">
            <w:pPr>
              <w:spacing w:before="240"/>
              <w:jc w:val="center"/>
              <w:rPr>
                <w:sz w:val="20"/>
                <w:szCs w:val="20"/>
              </w:rPr>
            </w:pPr>
            <w:r>
              <w:rPr>
                <w:sz w:val="20"/>
                <w:szCs w:val="20"/>
              </w:rPr>
              <w:t>0.02</w:t>
            </w:r>
          </w:p>
        </w:tc>
      </w:tr>
      <w:tr w:rsidR="00E51BAE" w14:paraId="223C2970" w14:textId="77777777">
        <w:trPr>
          <w:trHeight w:val="300"/>
        </w:trPr>
        <w:tc>
          <w:tcPr>
            <w:tcW w:w="2745" w:type="dxa"/>
            <w:tcBorders>
              <w:top w:val="nil"/>
              <w:left w:val="nil"/>
              <w:bottom w:val="nil"/>
              <w:right w:val="nil"/>
            </w:tcBorders>
            <w:tcMar>
              <w:top w:w="0" w:type="dxa"/>
              <w:left w:w="100" w:type="dxa"/>
              <w:bottom w:w="0" w:type="dxa"/>
              <w:right w:w="100" w:type="dxa"/>
            </w:tcMar>
          </w:tcPr>
          <w:p w14:paraId="00000171" w14:textId="77777777" w:rsidR="00E51BAE" w:rsidRDefault="00236A55">
            <w:pPr>
              <w:spacing w:before="240"/>
              <w:rPr>
                <w:b/>
                <w:sz w:val="20"/>
                <w:szCs w:val="20"/>
              </w:rPr>
            </w:pPr>
            <w:r>
              <w:rPr>
                <w:b/>
                <w:sz w:val="20"/>
                <w:szCs w:val="20"/>
              </w:rPr>
              <w:t>Charges for the use of IPR</w:t>
            </w:r>
          </w:p>
        </w:tc>
        <w:tc>
          <w:tcPr>
            <w:tcW w:w="705" w:type="dxa"/>
            <w:tcBorders>
              <w:top w:val="nil"/>
              <w:left w:val="nil"/>
              <w:bottom w:val="nil"/>
              <w:right w:val="nil"/>
            </w:tcBorders>
            <w:tcMar>
              <w:top w:w="0" w:type="dxa"/>
              <w:left w:w="100" w:type="dxa"/>
              <w:bottom w:w="0" w:type="dxa"/>
              <w:right w:w="100" w:type="dxa"/>
            </w:tcMar>
          </w:tcPr>
          <w:p w14:paraId="00000172" w14:textId="77777777" w:rsidR="00E51BAE" w:rsidRDefault="00E51BAE"/>
        </w:tc>
        <w:tc>
          <w:tcPr>
            <w:tcW w:w="750" w:type="dxa"/>
            <w:tcBorders>
              <w:top w:val="nil"/>
              <w:left w:val="nil"/>
              <w:bottom w:val="nil"/>
              <w:right w:val="nil"/>
            </w:tcBorders>
            <w:tcMar>
              <w:top w:w="0" w:type="dxa"/>
              <w:left w:w="100" w:type="dxa"/>
              <w:bottom w:w="0" w:type="dxa"/>
              <w:right w:w="100" w:type="dxa"/>
            </w:tcMar>
          </w:tcPr>
          <w:p w14:paraId="00000173" w14:textId="77777777" w:rsidR="00E51BAE" w:rsidRDefault="00E51BAE"/>
        </w:tc>
        <w:tc>
          <w:tcPr>
            <w:tcW w:w="720" w:type="dxa"/>
            <w:tcBorders>
              <w:top w:val="nil"/>
              <w:left w:val="nil"/>
              <w:bottom w:val="nil"/>
              <w:right w:val="nil"/>
            </w:tcBorders>
            <w:tcMar>
              <w:top w:w="0" w:type="dxa"/>
              <w:left w:w="100" w:type="dxa"/>
              <w:bottom w:w="0" w:type="dxa"/>
              <w:right w:w="100" w:type="dxa"/>
            </w:tcMar>
          </w:tcPr>
          <w:p w14:paraId="00000174" w14:textId="77777777" w:rsidR="00E51BAE" w:rsidRDefault="00E51BAE"/>
        </w:tc>
        <w:tc>
          <w:tcPr>
            <w:tcW w:w="705" w:type="dxa"/>
            <w:tcBorders>
              <w:top w:val="nil"/>
              <w:left w:val="nil"/>
              <w:bottom w:val="nil"/>
              <w:right w:val="nil"/>
            </w:tcBorders>
            <w:tcMar>
              <w:top w:w="0" w:type="dxa"/>
              <w:left w:w="100" w:type="dxa"/>
              <w:bottom w:w="0" w:type="dxa"/>
              <w:right w:w="100" w:type="dxa"/>
            </w:tcMar>
          </w:tcPr>
          <w:p w14:paraId="00000175" w14:textId="77777777" w:rsidR="00E51BAE" w:rsidRDefault="00236A55">
            <w:pPr>
              <w:spacing w:before="240"/>
              <w:jc w:val="center"/>
              <w:rPr>
                <w:sz w:val="20"/>
                <w:szCs w:val="20"/>
              </w:rPr>
            </w:pPr>
            <w:r>
              <w:rPr>
                <w:sz w:val="20"/>
                <w:szCs w:val="20"/>
              </w:rPr>
              <w:t>●</w:t>
            </w:r>
          </w:p>
        </w:tc>
        <w:tc>
          <w:tcPr>
            <w:tcW w:w="1275" w:type="dxa"/>
            <w:tcBorders>
              <w:top w:val="nil"/>
              <w:left w:val="nil"/>
              <w:bottom w:val="nil"/>
              <w:right w:val="nil"/>
            </w:tcBorders>
            <w:tcMar>
              <w:top w:w="0" w:type="dxa"/>
              <w:left w:w="100" w:type="dxa"/>
              <w:bottom w:w="0" w:type="dxa"/>
              <w:right w:w="100" w:type="dxa"/>
            </w:tcMar>
          </w:tcPr>
          <w:p w14:paraId="00000176" w14:textId="77777777" w:rsidR="00E51BAE" w:rsidRDefault="00236A55">
            <w:pPr>
              <w:spacing w:before="240"/>
              <w:jc w:val="center"/>
              <w:rPr>
                <w:sz w:val="20"/>
                <w:szCs w:val="20"/>
              </w:rPr>
            </w:pPr>
            <w:r>
              <w:rPr>
                <w:sz w:val="20"/>
                <w:szCs w:val="20"/>
              </w:rPr>
              <w:t>Yes</w:t>
            </w:r>
          </w:p>
        </w:tc>
        <w:tc>
          <w:tcPr>
            <w:tcW w:w="900" w:type="dxa"/>
            <w:tcBorders>
              <w:top w:val="nil"/>
              <w:left w:val="nil"/>
              <w:bottom w:val="nil"/>
              <w:right w:val="nil"/>
            </w:tcBorders>
            <w:tcMar>
              <w:top w:w="0" w:type="dxa"/>
              <w:left w:w="100" w:type="dxa"/>
              <w:bottom w:w="0" w:type="dxa"/>
              <w:right w:w="100" w:type="dxa"/>
            </w:tcMar>
          </w:tcPr>
          <w:p w14:paraId="00000177" w14:textId="77777777" w:rsidR="00E51BAE" w:rsidRDefault="00236A55">
            <w:pPr>
              <w:spacing w:before="240"/>
              <w:jc w:val="center"/>
              <w:rPr>
                <w:sz w:val="20"/>
                <w:szCs w:val="20"/>
              </w:rPr>
            </w:pPr>
            <w:r>
              <w:rPr>
                <w:sz w:val="20"/>
                <w:szCs w:val="20"/>
              </w:rPr>
              <w:t>-</w:t>
            </w:r>
          </w:p>
        </w:tc>
        <w:tc>
          <w:tcPr>
            <w:tcW w:w="1320" w:type="dxa"/>
            <w:tcBorders>
              <w:top w:val="nil"/>
              <w:left w:val="nil"/>
              <w:bottom w:val="nil"/>
              <w:right w:val="nil"/>
            </w:tcBorders>
            <w:tcMar>
              <w:top w:w="0" w:type="dxa"/>
              <w:left w:w="100" w:type="dxa"/>
              <w:bottom w:w="0" w:type="dxa"/>
              <w:right w:w="100" w:type="dxa"/>
            </w:tcMar>
          </w:tcPr>
          <w:p w14:paraId="00000178" w14:textId="77777777" w:rsidR="00E51BAE" w:rsidRDefault="00236A55">
            <w:pPr>
              <w:spacing w:before="240"/>
              <w:jc w:val="center"/>
              <w:rPr>
                <w:sz w:val="20"/>
                <w:szCs w:val="20"/>
              </w:rPr>
            </w:pPr>
            <w:r>
              <w:rPr>
                <w:sz w:val="20"/>
                <w:szCs w:val="20"/>
              </w:rPr>
              <w:t>-</w:t>
            </w:r>
          </w:p>
        </w:tc>
      </w:tr>
      <w:tr w:rsidR="00E51BAE" w14:paraId="790E7BC2" w14:textId="77777777">
        <w:trPr>
          <w:trHeight w:val="300"/>
        </w:trPr>
        <w:tc>
          <w:tcPr>
            <w:tcW w:w="2745" w:type="dxa"/>
            <w:tcBorders>
              <w:top w:val="nil"/>
              <w:left w:val="nil"/>
              <w:bottom w:val="nil"/>
              <w:right w:val="nil"/>
            </w:tcBorders>
            <w:tcMar>
              <w:top w:w="0" w:type="dxa"/>
              <w:left w:w="100" w:type="dxa"/>
              <w:bottom w:w="0" w:type="dxa"/>
              <w:right w:w="100" w:type="dxa"/>
            </w:tcMar>
          </w:tcPr>
          <w:p w14:paraId="00000179" w14:textId="77777777" w:rsidR="00E51BAE" w:rsidRDefault="00236A55">
            <w:pPr>
              <w:spacing w:before="240"/>
              <w:rPr>
                <w:b/>
                <w:sz w:val="20"/>
                <w:szCs w:val="20"/>
              </w:rPr>
            </w:pPr>
            <w:r>
              <w:rPr>
                <w:b/>
                <w:sz w:val="20"/>
                <w:szCs w:val="20"/>
              </w:rPr>
              <w:t>Health services</w:t>
            </w:r>
          </w:p>
        </w:tc>
        <w:tc>
          <w:tcPr>
            <w:tcW w:w="705" w:type="dxa"/>
            <w:tcBorders>
              <w:top w:val="nil"/>
              <w:left w:val="nil"/>
              <w:bottom w:val="nil"/>
              <w:right w:val="nil"/>
            </w:tcBorders>
            <w:tcMar>
              <w:top w:w="0" w:type="dxa"/>
              <w:left w:w="100" w:type="dxa"/>
              <w:bottom w:w="0" w:type="dxa"/>
              <w:right w:w="100" w:type="dxa"/>
            </w:tcMar>
          </w:tcPr>
          <w:p w14:paraId="0000017A" w14:textId="77777777" w:rsidR="00E51BAE" w:rsidRDefault="00E51BAE"/>
        </w:tc>
        <w:tc>
          <w:tcPr>
            <w:tcW w:w="750" w:type="dxa"/>
            <w:tcBorders>
              <w:top w:val="nil"/>
              <w:left w:val="nil"/>
              <w:bottom w:val="nil"/>
              <w:right w:val="nil"/>
            </w:tcBorders>
            <w:tcMar>
              <w:top w:w="0" w:type="dxa"/>
              <w:left w:w="100" w:type="dxa"/>
              <w:bottom w:w="0" w:type="dxa"/>
              <w:right w:w="100" w:type="dxa"/>
            </w:tcMar>
          </w:tcPr>
          <w:p w14:paraId="0000017B" w14:textId="77777777" w:rsidR="00E51BAE" w:rsidRDefault="00E51BAE"/>
        </w:tc>
        <w:tc>
          <w:tcPr>
            <w:tcW w:w="720" w:type="dxa"/>
            <w:tcBorders>
              <w:top w:val="nil"/>
              <w:left w:val="nil"/>
              <w:bottom w:val="nil"/>
              <w:right w:val="nil"/>
            </w:tcBorders>
            <w:tcMar>
              <w:top w:w="0" w:type="dxa"/>
              <w:left w:w="100" w:type="dxa"/>
              <w:bottom w:w="0" w:type="dxa"/>
              <w:right w:w="100" w:type="dxa"/>
            </w:tcMar>
          </w:tcPr>
          <w:p w14:paraId="0000017C" w14:textId="77777777" w:rsidR="00E51BAE" w:rsidRDefault="00E51BAE"/>
        </w:tc>
        <w:tc>
          <w:tcPr>
            <w:tcW w:w="705" w:type="dxa"/>
            <w:tcBorders>
              <w:top w:val="nil"/>
              <w:left w:val="nil"/>
              <w:bottom w:val="nil"/>
              <w:right w:val="nil"/>
            </w:tcBorders>
            <w:tcMar>
              <w:top w:w="0" w:type="dxa"/>
              <w:left w:w="100" w:type="dxa"/>
              <w:bottom w:w="0" w:type="dxa"/>
              <w:right w:w="100" w:type="dxa"/>
            </w:tcMar>
          </w:tcPr>
          <w:p w14:paraId="0000017D" w14:textId="77777777" w:rsidR="00E51BAE" w:rsidRDefault="00236A55">
            <w:pPr>
              <w:spacing w:before="240"/>
              <w:jc w:val="center"/>
              <w:rPr>
                <w:sz w:val="20"/>
                <w:szCs w:val="20"/>
              </w:rPr>
            </w:pPr>
            <w:r>
              <w:rPr>
                <w:sz w:val="20"/>
                <w:szCs w:val="20"/>
              </w:rPr>
              <w:t>●</w:t>
            </w:r>
          </w:p>
        </w:tc>
        <w:tc>
          <w:tcPr>
            <w:tcW w:w="1275" w:type="dxa"/>
            <w:tcBorders>
              <w:top w:val="nil"/>
              <w:left w:val="nil"/>
              <w:bottom w:val="nil"/>
              <w:right w:val="nil"/>
            </w:tcBorders>
            <w:tcMar>
              <w:top w:w="0" w:type="dxa"/>
              <w:left w:w="100" w:type="dxa"/>
              <w:bottom w:w="0" w:type="dxa"/>
              <w:right w:w="100" w:type="dxa"/>
            </w:tcMar>
          </w:tcPr>
          <w:p w14:paraId="0000017E" w14:textId="77777777" w:rsidR="00E51BAE" w:rsidRDefault="00236A55">
            <w:pPr>
              <w:spacing w:before="240"/>
              <w:jc w:val="center"/>
              <w:rPr>
                <w:sz w:val="20"/>
                <w:szCs w:val="20"/>
              </w:rPr>
            </w:pPr>
            <w:r>
              <w:rPr>
                <w:sz w:val="20"/>
                <w:szCs w:val="20"/>
              </w:rPr>
              <w:t>Yes</w:t>
            </w:r>
          </w:p>
        </w:tc>
        <w:tc>
          <w:tcPr>
            <w:tcW w:w="900" w:type="dxa"/>
            <w:tcBorders>
              <w:top w:val="nil"/>
              <w:left w:val="nil"/>
              <w:bottom w:val="nil"/>
              <w:right w:val="nil"/>
            </w:tcBorders>
            <w:tcMar>
              <w:top w:w="0" w:type="dxa"/>
              <w:left w:w="100" w:type="dxa"/>
              <w:bottom w:w="0" w:type="dxa"/>
              <w:right w:w="100" w:type="dxa"/>
            </w:tcMar>
          </w:tcPr>
          <w:p w14:paraId="0000017F" w14:textId="77777777" w:rsidR="00E51BAE" w:rsidRDefault="00236A55">
            <w:pPr>
              <w:spacing w:before="240"/>
              <w:jc w:val="center"/>
              <w:rPr>
                <w:sz w:val="20"/>
                <w:szCs w:val="20"/>
              </w:rPr>
            </w:pPr>
            <w:r>
              <w:rPr>
                <w:sz w:val="20"/>
                <w:szCs w:val="20"/>
              </w:rPr>
              <w:t>0.22</w:t>
            </w:r>
          </w:p>
        </w:tc>
        <w:tc>
          <w:tcPr>
            <w:tcW w:w="1320" w:type="dxa"/>
            <w:tcBorders>
              <w:top w:val="nil"/>
              <w:left w:val="nil"/>
              <w:bottom w:val="nil"/>
              <w:right w:val="nil"/>
            </w:tcBorders>
            <w:tcMar>
              <w:top w:w="0" w:type="dxa"/>
              <w:left w:w="100" w:type="dxa"/>
              <w:bottom w:w="0" w:type="dxa"/>
              <w:right w:w="100" w:type="dxa"/>
            </w:tcMar>
          </w:tcPr>
          <w:p w14:paraId="00000180" w14:textId="77777777" w:rsidR="00E51BAE" w:rsidRDefault="00236A55">
            <w:pPr>
              <w:spacing w:before="240"/>
              <w:jc w:val="center"/>
              <w:rPr>
                <w:sz w:val="20"/>
                <w:szCs w:val="20"/>
              </w:rPr>
            </w:pPr>
            <w:r>
              <w:rPr>
                <w:sz w:val="20"/>
                <w:szCs w:val="20"/>
              </w:rPr>
              <w:t>0.04</w:t>
            </w:r>
          </w:p>
        </w:tc>
      </w:tr>
      <w:tr w:rsidR="00E51BAE" w14:paraId="3BAECC05" w14:textId="77777777">
        <w:trPr>
          <w:trHeight w:val="300"/>
        </w:trPr>
        <w:tc>
          <w:tcPr>
            <w:tcW w:w="2745" w:type="dxa"/>
            <w:tcBorders>
              <w:top w:val="nil"/>
              <w:left w:val="nil"/>
              <w:bottom w:val="nil"/>
              <w:right w:val="nil"/>
            </w:tcBorders>
            <w:tcMar>
              <w:top w:w="0" w:type="dxa"/>
              <w:left w:w="100" w:type="dxa"/>
              <w:bottom w:w="0" w:type="dxa"/>
              <w:right w:w="100" w:type="dxa"/>
            </w:tcMar>
          </w:tcPr>
          <w:p w14:paraId="00000181" w14:textId="77777777" w:rsidR="00E51BAE" w:rsidRDefault="00236A55">
            <w:pPr>
              <w:spacing w:before="240"/>
              <w:rPr>
                <w:b/>
                <w:sz w:val="20"/>
                <w:szCs w:val="20"/>
              </w:rPr>
            </w:pPr>
            <w:r>
              <w:rPr>
                <w:b/>
                <w:sz w:val="20"/>
                <w:szCs w:val="20"/>
              </w:rPr>
              <w:t>Education services</w:t>
            </w:r>
          </w:p>
        </w:tc>
        <w:tc>
          <w:tcPr>
            <w:tcW w:w="705" w:type="dxa"/>
            <w:tcBorders>
              <w:top w:val="nil"/>
              <w:left w:val="nil"/>
              <w:bottom w:val="nil"/>
              <w:right w:val="nil"/>
            </w:tcBorders>
            <w:tcMar>
              <w:top w:w="0" w:type="dxa"/>
              <w:left w:w="100" w:type="dxa"/>
              <w:bottom w:w="0" w:type="dxa"/>
              <w:right w:w="100" w:type="dxa"/>
            </w:tcMar>
          </w:tcPr>
          <w:p w14:paraId="00000182" w14:textId="77777777" w:rsidR="00E51BAE" w:rsidRDefault="00E51BAE"/>
        </w:tc>
        <w:tc>
          <w:tcPr>
            <w:tcW w:w="750" w:type="dxa"/>
            <w:tcBorders>
              <w:top w:val="nil"/>
              <w:left w:val="nil"/>
              <w:bottom w:val="nil"/>
              <w:right w:val="nil"/>
            </w:tcBorders>
            <w:tcMar>
              <w:top w:w="0" w:type="dxa"/>
              <w:left w:w="100" w:type="dxa"/>
              <w:bottom w:w="0" w:type="dxa"/>
              <w:right w:w="100" w:type="dxa"/>
            </w:tcMar>
          </w:tcPr>
          <w:p w14:paraId="00000183" w14:textId="77777777" w:rsidR="00E51BAE" w:rsidRDefault="00E51BAE"/>
        </w:tc>
        <w:tc>
          <w:tcPr>
            <w:tcW w:w="720" w:type="dxa"/>
            <w:tcBorders>
              <w:top w:val="nil"/>
              <w:left w:val="nil"/>
              <w:bottom w:val="nil"/>
              <w:right w:val="nil"/>
            </w:tcBorders>
            <w:tcMar>
              <w:top w:w="0" w:type="dxa"/>
              <w:left w:w="100" w:type="dxa"/>
              <w:bottom w:w="0" w:type="dxa"/>
              <w:right w:w="100" w:type="dxa"/>
            </w:tcMar>
          </w:tcPr>
          <w:p w14:paraId="00000184" w14:textId="77777777" w:rsidR="00E51BAE" w:rsidRDefault="00E51BAE"/>
        </w:tc>
        <w:tc>
          <w:tcPr>
            <w:tcW w:w="705" w:type="dxa"/>
            <w:tcBorders>
              <w:top w:val="nil"/>
              <w:left w:val="nil"/>
              <w:bottom w:val="nil"/>
              <w:right w:val="nil"/>
            </w:tcBorders>
            <w:tcMar>
              <w:top w:w="0" w:type="dxa"/>
              <w:left w:w="100" w:type="dxa"/>
              <w:bottom w:w="0" w:type="dxa"/>
              <w:right w:w="100" w:type="dxa"/>
            </w:tcMar>
          </w:tcPr>
          <w:p w14:paraId="00000185" w14:textId="77777777" w:rsidR="00E51BAE" w:rsidRDefault="00236A55">
            <w:pPr>
              <w:spacing w:before="240"/>
              <w:jc w:val="center"/>
              <w:rPr>
                <w:sz w:val="20"/>
                <w:szCs w:val="20"/>
              </w:rPr>
            </w:pPr>
            <w:r>
              <w:rPr>
                <w:sz w:val="20"/>
                <w:szCs w:val="20"/>
              </w:rPr>
              <w:t>●</w:t>
            </w:r>
          </w:p>
        </w:tc>
        <w:tc>
          <w:tcPr>
            <w:tcW w:w="1275" w:type="dxa"/>
            <w:tcBorders>
              <w:top w:val="nil"/>
              <w:left w:val="nil"/>
              <w:bottom w:val="nil"/>
              <w:right w:val="nil"/>
            </w:tcBorders>
            <w:tcMar>
              <w:top w:w="0" w:type="dxa"/>
              <w:left w:w="100" w:type="dxa"/>
              <w:bottom w:w="0" w:type="dxa"/>
              <w:right w:w="100" w:type="dxa"/>
            </w:tcMar>
          </w:tcPr>
          <w:p w14:paraId="00000186" w14:textId="77777777" w:rsidR="00E51BAE" w:rsidRDefault="00236A55">
            <w:pPr>
              <w:spacing w:before="240"/>
              <w:jc w:val="center"/>
              <w:rPr>
                <w:sz w:val="20"/>
                <w:szCs w:val="20"/>
              </w:rPr>
            </w:pPr>
            <w:r>
              <w:rPr>
                <w:sz w:val="20"/>
                <w:szCs w:val="20"/>
              </w:rPr>
              <w:t>Yes</w:t>
            </w:r>
          </w:p>
        </w:tc>
        <w:tc>
          <w:tcPr>
            <w:tcW w:w="900" w:type="dxa"/>
            <w:tcBorders>
              <w:top w:val="nil"/>
              <w:left w:val="nil"/>
              <w:bottom w:val="nil"/>
              <w:right w:val="nil"/>
            </w:tcBorders>
            <w:tcMar>
              <w:top w:w="0" w:type="dxa"/>
              <w:left w:w="100" w:type="dxa"/>
              <w:bottom w:w="0" w:type="dxa"/>
              <w:right w:w="100" w:type="dxa"/>
            </w:tcMar>
          </w:tcPr>
          <w:p w14:paraId="00000187" w14:textId="77777777" w:rsidR="00E51BAE" w:rsidRDefault="00236A55">
            <w:pPr>
              <w:spacing w:before="240"/>
              <w:jc w:val="center"/>
              <w:rPr>
                <w:sz w:val="20"/>
                <w:szCs w:val="20"/>
              </w:rPr>
            </w:pPr>
            <w:r>
              <w:rPr>
                <w:sz w:val="20"/>
                <w:szCs w:val="20"/>
              </w:rPr>
              <w:t>0.28</w:t>
            </w:r>
          </w:p>
        </w:tc>
        <w:tc>
          <w:tcPr>
            <w:tcW w:w="1320" w:type="dxa"/>
            <w:tcBorders>
              <w:top w:val="nil"/>
              <w:left w:val="nil"/>
              <w:bottom w:val="nil"/>
              <w:right w:val="nil"/>
            </w:tcBorders>
            <w:tcMar>
              <w:top w:w="0" w:type="dxa"/>
              <w:left w:w="100" w:type="dxa"/>
              <w:bottom w:w="0" w:type="dxa"/>
              <w:right w:w="100" w:type="dxa"/>
            </w:tcMar>
          </w:tcPr>
          <w:p w14:paraId="00000188" w14:textId="77777777" w:rsidR="00E51BAE" w:rsidRDefault="00236A55">
            <w:pPr>
              <w:spacing w:before="240"/>
              <w:jc w:val="center"/>
              <w:rPr>
                <w:sz w:val="20"/>
                <w:szCs w:val="20"/>
              </w:rPr>
            </w:pPr>
            <w:r>
              <w:rPr>
                <w:sz w:val="20"/>
                <w:szCs w:val="20"/>
              </w:rPr>
              <w:t>0.11</w:t>
            </w:r>
          </w:p>
        </w:tc>
      </w:tr>
      <w:tr w:rsidR="00E51BAE" w14:paraId="3BD5B01C" w14:textId="77777777">
        <w:trPr>
          <w:trHeight w:val="300"/>
        </w:trPr>
        <w:tc>
          <w:tcPr>
            <w:tcW w:w="2745" w:type="dxa"/>
            <w:tcBorders>
              <w:top w:val="nil"/>
              <w:left w:val="nil"/>
              <w:bottom w:val="nil"/>
              <w:right w:val="nil"/>
            </w:tcBorders>
            <w:tcMar>
              <w:top w:w="0" w:type="dxa"/>
              <w:left w:w="100" w:type="dxa"/>
              <w:bottom w:w="0" w:type="dxa"/>
              <w:right w:w="100" w:type="dxa"/>
            </w:tcMar>
          </w:tcPr>
          <w:p w14:paraId="00000189" w14:textId="77777777" w:rsidR="00E51BAE" w:rsidRDefault="00236A55">
            <w:pPr>
              <w:spacing w:before="240"/>
              <w:rPr>
                <w:b/>
                <w:sz w:val="20"/>
                <w:szCs w:val="20"/>
              </w:rPr>
            </w:pPr>
            <w:r>
              <w:rPr>
                <w:b/>
                <w:sz w:val="20"/>
                <w:szCs w:val="20"/>
              </w:rPr>
              <w:t>Other personal services</w:t>
            </w:r>
          </w:p>
        </w:tc>
        <w:tc>
          <w:tcPr>
            <w:tcW w:w="705" w:type="dxa"/>
            <w:tcBorders>
              <w:top w:val="nil"/>
              <w:left w:val="nil"/>
              <w:bottom w:val="nil"/>
              <w:right w:val="nil"/>
            </w:tcBorders>
            <w:tcMar>
              <w:top w:w="0" w:type="dxa"/>
              <w:left w:w="100" w:type="dxa"/>
              <w:bottom w:w="0" w:type="dxa"/>
              <w:right w:w="100" w:type="dxa"/>
            </w:tcMar>
          </w:tcPr>
          <w:p w14:paraId="0000018A" w14:textId="77777777" w:rsidR="00E51BAE" w:rsidRDefault="00E51BAE"/>
        </w:tc>
        <w:tc>
          <w:tcPr>
            <w:tcW w:w="750" w:type="dxa"/>
            <w:tcBorders>
              <w:top w:val="nil"/>
              <w:left w:val="nil"/>
              <w:bottom w:val="nil"/>
              <w:right w:val="nil"/>
            </w:tcBorders>
            <w:tcMar>
              <w:top w:w="0" w:type="dxa"/>
              <w:left w:w="100" w:type="dxa"/>
              <w:bottom w:w="0" w:type="dxa"/>
              <w:right w:w="100" w:type="dxa"/>
            </w:tcMar>
          </w:tcPr>
          <w:p w14:paraId="0000018B" w14:textId="77777777" w:rsidR="00E51BAE" w:rsidRDefault="00E51BAE"/>
        </w:tc>
        <w:tc>
          <w:tcPr>
            <w:tcW w:w="720" w:type="dxa"/>
            <w:tcBorders>
              <w:top w:val="nil"/>
              <w:left w:val="nil"/>
              <w:bottom w:val="nil"/>
              <w:right w:val="nil"/>
            </w:tcBorders>
            <w:tcMar>
              <w:top w:w="0" w:type="dxa"/>
              <w:left w:w="100" w:type="dxa"/>
              <w:bottom w:w="0" w:type="dxa"/>
              <w:right w:w="100" w:type="dxa"/>
            </w:tcMar>
          </w:tcPr>
          <w:p w14:paraId="0000018C" w14:textId="77777777" w:rsidR="00E51BAE" w:rsidRDefault="00E51BAE"/>
        </w:tc>
        <w:tc>
          <w:tcPr>
            <w:tcW w:w="705" w:type="dxa"/>
            <w:tcBorders>
              <w:top w:val="nil"/>
              <w:left w:val="nil"/>
              <w:bottom w:val="nil"/>
              <w:right w:val="nil"/>
            </w:tcBorders>
            <w:tcMar>
              <w:top w:w="0" w:type="dxa"/>
              <w:left w:w="100" w:type="dxa"/>
              <w:bottom w:w="0" w:type="dxa"/>
              <w:right w:w="100" w:type="dxa"/>
            </w:tcMar>
          </w:tcPr>
          <w:p w14:paraId="0000018D" w14:textId="77777777" w:rsidR="00E51BAE" w:rsidRDefault="00236A55">
            <w:pPr>
              <w:spacing w:before="240"/>
              <w:jc w:val="center"/>
              <w:rPr>
                <w:sz w:val="20"/>
                <w:szCs w:val="20"/>
              </w:rPr>
            </w:pPr>
            <w:r>
              <w:rPr>
                <w:sz w:val="20"/>
                <w:szCs w:val="20"/>
              </w:rPr>
              <w:t>●</w:t>
            </w:r>
          </w:p>
        </w:tc>
        <w:tc>
          <w:tcPr>
            <w:tcW w:w="1275" w:type="dxa"/>
            <w:tcBorders>
              <w:top w:val="nil"/>
              <w:left w:val="nil"/>
              <w:bottom w:val="nil"/>
              <w:right w:val="nil"/>
            </w:tcBorders>
            <w:tcMar>
              <w:top w:w="0" w:type="dxa"/>
              <w:left w:w="100" w:type="dxa"/>
              <w:bottom w:w="0" w:type="dxa"/>
              <w:right w:w="100" w:type="dxa"/>
            </w:tcMar>
          </w:tcPr>
          <w:p w14:paraId="0000018E" w14:textId="77777777" w:rsidR="00E51BAE" w:rsidRDefault="00236A55">
            <w:pPr>
              <w:spacing w:before="240"/>
              <w:jc w:val="center"/>
              <w:rPr>
                <w:sz w:val="20"/>
                <w:szCs w:val="20"/>
              </w:rPr>
            </w:pPr>
            <w:r>
              <w:rPr>
                <w:sz w:val="20"/>
                <w:szCs w:val="20"/>
              </w:rPr>
              <w:t>Yes</w:t>
            </w:r>
          </w:p>
        </w:tc>
        <w:tc>
          <w:tcPr>
            <w:tcW w:w="900" w:type="dxa"/>
            <w:tcBorders>
              <w:top w:val="nil"/>
              <w:left w:val="nil"/>
              <w:bottom w:val="nil"/>
              <w:right w:val="nil"/>
            </w:tcBorders>
            <w:tcMar>
              <w:top w:w="0" w:type="dxa"/>
              <w:left w:w="100" w:type="dxa"/>
              <w:bottom w:w="0" w:type="dxa"/>
              <w:right w:w="100" w:type="dxa"/>
            </w:tcMar>
          </w:tcPr>
          <w:p w14:paraId="0000018F" w14:textId="77777777" w:rsidR="00E51BAE" w:rsidRDefault="00236A55">
            <w:pPr>
              <w:spacing w:before="240"/>
              <w:jc w:val="center"/>
              <w:rPr>
                <w:sz w:val="20"/>
                <w:szCs w:val="20"/>
              </w:rPr>
            </w:pPr>
            <w:r>
              <w:rPr>
                <w:sz w:val="20"/>
                <w:szCs w:val="20"/>
              </w:rPr>
              <w:t>0.09</w:t>
            </w:r>
          </w:p>
        </w:tc>
        <w:tc>
          <w:tcPr>
            <w:tcW w:w="1320" w:type="dxa"/>
            <w:tcBorders>
              <w:top w:val="nil"/>
              <w:left w:val="nil"/>
              <w:bottom w:val="nil"/>
              <w:right w:val="nil"/>
            </w:tcBorders>
            <w:tcMar>
              <w:top w:w="0" w:type="dxa"/>
              <w:left w:w="100" w:type="dxa"/>
              <w:bottom w:w="0" w:type="dxa"/>
              <w:right w:w="100" w:type="dxa"/>
            </w:tcMar>
          </w:tcPr>
          <w:p w14:paraId="00000190" w14:textId="77777777" w:rsidR="00E51BAE" w:rsidRDefault="00236A55">
            <w:pPr>
              <w:spacing w:before="240"/>
              <w:jc w:val="center"/>
              <w:rPr>
                <w:sz w:val="20"/>
                <w:szCs w:val="20"/>
              </w:rPr>
            </w:pPr>
            <w:r>
              <w:rPr>
                <w:sz w:val="20"/>
                <w:szCs w:val="20"/>
              </w:rPr>
              <w:t>-</w:t>
            </w:r>
          </w:p>
        </w:tc>
      </w:tr>
      <w:tr w:rsidR="00E51BAE" w14:paraId="0FD20947" w14:textId="77777777">
        <w:trPr>
          <w:trHeight w:val="300"/>
        </w:trPr>
        <w:tc>
          <w:tcPr>
            <w:tcW w:w="2745" w:type="dxa"/>
            <w:tcBorders>
              <w:top w:val="nil"/>
              <w:left w:val="nil"/>
              <w:bottom w:val="nil"/>
              <w:right w:val="nil"/>
            </w:tcBorders>
            <w:tcMar>
              <w:top w:w="0" w:type="dxa"/>
              <w:left w:w="100" w:type="dxa"/>
              <w:bottom w:w="0" w:type="dxa"/>
              <w:right w:w="100" w:type="dxa"/>
            </w:tcMar>
          </w:tcPr>
          <w:p w14:paraId="00000191" w14:textId="77777777" w:rsidR="00E51BAE" w:rsidRDefault="00236A55">
            <w:pPr>
              <w:spacing w:before="240"/>
              <w:rPr>
                <w:b/>
                <w:sz w:val="20"/>
                <w:szCs w:val="20"/>
              </w:rPr>
            </w:pPr>
            <w:r>
              <w:rPr>
                <w:b/>
                <w:sz w:val="20"/>
                <w:szCs w:val="20"/>
              </w:rPr>
              <w:t>Manufacturing services</w:t>
            </w:r>
          </w:p>
        </w:tc>
        <w:tc>
          <w:tcPr>
            <w:tcW w:w="705" w:type="dxa"/>
            <w:tcBorders>
              <w:top w:val="nil"/>
              <w:left w:val="nil"/>
              <w:bottom w:val="nil"/>
              <w:right w:val="nil"/>
            </w:tcBorders>
            <w:tcMar>
              <w:top w:w="0" w:type="dxa"/>
              <w:left w:w="100" w:type="dxa"/>
              <w:bottom w:w="0" w:type="dxa"/>
              <w:right w:w="100" w:type="dxa"/>
            </w:tcMar>
          </w:tcPr>
          <w:p w14:paraId="00000192" w14:textId="77777777" w:rsidR="00E51BAE" w:rsidRDefault="00E51BAE"/>
        </w:tc>
        <w:tc>
          <w:tcPr>
            <w:tcW w:w="750" w:type="dxa"/>
            <w:tcBorders>
              <w:top w:val="nil"/>
              <w:left w:val="nil"/>
              <w:bottom w:val="nil"/>
              <w:right w:val="nil"/>
            </w:tcBorders>
            <w:tcMar>
              <w:top w:w="0" w:type="dxa"/>
              <w:left w:w="100" w:type="dxa"/>
              <w:bottom w:w="0" w:type="dxa"/>
              <w:right w:w="100" w:type="dxa"/>
            </w:tcMar>
          </w:tcPr>
          <w:p w14:paraId="00000193" w14:textId="77777777" w:rsidR="00E51BAE" w:rsidRDefault="00E51BAE"/>
        </w:tc>
        <w:tc>
          <w:tcPr>
            <w:tcW w:w="720" w:type="dxa"/>
            <w:tcBorders>
              <w:top w:val="nil"/>
              <w:left w:val="nil"/>
              <w:bottom w:val="nil"/>
              <w:right w:val="nil"/>
            </w:tcBorders>
            <w:tcMar>
              <w:top w:w="0" w:type="dxa"/>
              <w:left w:w="100" w:type="dxa"/>
              <w:bottom w:w="0" w:type="dxa"/>
              <w:right w:w="100" w:type="dxa"/>
            </w:tcMar>
          </w:tcPr>
          <w:p w14:paraId="00000194" w14:textId="77777777" w:rsidR="00E51BAE" w:rsidRDefault="00E51BAE"/>
        </w:tc>
        <w:tc>
          <w:tcPr>
            <w:tcW w:w="705" w:type="dxa"/>
            <w:tcBorders>
              <w:top w:val="nil"/>
              <w:left w:val="nil"/>
              <w:bottom w:val="nil"/>
              <w:right w:val="nil"/>
            </w:tcBorders>
            <w:tcMar>
              <w:top w:w="0" w:type="dxa"/>
              <w:left w:w="100" w:type="dxa"/>
              <w:bottom w:w="0" w:type="dxa"/>
              <w:right w:w="100" w:type="dxa"/>
            </w:tcMar>
          </w:tcPr>
          <w:p w14:paraId="00000195" w14:textId="77777777" w:rsidR="00E51BAE" w:rsidRDefault="00E51BAE"/>
        </w:tc>
        <w:tc>
          <w:tcPr>
            <w:tcW w:w="1275" w:type="dxa"/>
            <w:tcBorders>
              <w:top w:val="nil"/>
              <w:left w:val="nil"/>
              <w:bottom w:val="nil"/>
              <w:right w:val="nil"/>
            </w:tcBorders>
            <w:tcMar>
              <w:top w:w="0" w:type="dxa"/>
              <w:left w:w="100" w:type="dxa"/>
              <w:bottom w:w="0" w:type="dxa"/>
              <w:right w:w="100" w:type="dxa"/>
            </w:tcMar>
          </w:tcPr>
          <w:p w14:paraId="00000196" w14:textId="77777777" w:rsidR="00E51BAE" w:rsidRDefault="00236A55">
            <w:pPr>
              <w:spacing w:before="240"/>
              <w:jc w:val="center"/>
              <w:rPr>
                <w:sz w:val="20"/>
                <w:szCs w:val="20"/>
              </w:rPr>
            </w:pPr>
            <w:r>
              <w:rPr>
                <w:sz w:val="20"/>
                <w:szCs w:val="20"/>
              </w:rPr>
              <w:t>No</w:t>
            </w:r>
          </w:p>
        </w:tc>
        <w:tc>
          <w:tcPr>
            <w:tcW w:w="900" w:type="dxa"/>
            <w:tcBorders>
              <w:top w:val="nil"/>
              <w:left w:val="nil"/>
              <w:bottom w:val="nil"/>
              <w:right w:val="nil"/>
            </w:tcBorders>
            <w:tcMar>
              <w:top w:w="0" w:type="dxa"/>
              <w:left w:w="100" w:type="dxa"/>
              <w:bottom w:w="0" w:type="dxa"/>
              <w:right w:w="100" w:type="dxa"/>
            </w:tcMar>
          </w:tcPr>
          <w:p w14:paraId="00000197" w14:textId="77777777" w:rsidR="00E51BAE" w:rsidRDefault="00236A55">
            <w:pPr>
              <w:spacing w:before="240"/>
              <w:jc w:val="center"/>
              <w:rPr>
                <w:sz w:val="20"/>
                <w:szCs w:val="20"/>
              </w:rPr>
            </w:pPr>
            <w:r>
              <w:rPr>
                <w:sz w:val="20"/>
                <w:szCs w:val="20"/>
              </w:rPr>
              <w:t>-</w:t>
            </w:r>
          </w:p>
        </w:tc>
        <w:tc>
          <w:tcPr>
            <w:tcW w:w="1320" w:type="dxa"/>
            <w:tcBorders>
              <w:top w:val="nil"/>
              <w:left w:val="nil"/>
              <w:bottom w:val="nil"/>
              <w:right w:val="nil"/>
            </w:tcBorders>
            <w:tcMar>
              <w:top w:w="0" w:type="dxa"/>
              <w:left w:w="100" w:type="dxa"/>
              <w:bottom w:w="0" w:type="dxa"/>
              <w:right w:w="100" w:type="dxa"/>
            </w:tcMar>
          </w:tcPr>
          <w:p w14:paraId="00000198" w14:textId="77777777" w:rsidR="00E51BAE" w:rsidRDefault="00236A55">
            <w:pPr>
              <w:spacing w:before="240"/>
              <w:jc w:val="center"/>
              <w:rPr>
                <w:sz w:val="20"/>
                <w:szCs w:val="20"/>
              </w:rPr>
            </w:pPr>
            <w:r>
              <w:rPr>
                <w:sz w:val="20"/>
                <w:szCs w:val="20"/>
              </w:rPr>
              <w:t>-</w:t>
            </w:r>
          </w:p>
        </w:tc>
      </w:tr>
      <w:tr w:rsidR="00E51BAE" w14:paraId="07BA99E0" w14:textId="77777777">
        <w:trPr>
          <w:trHeight w:val="300"/>
        </w:trPr>
        <w:tc>
          <w:tcPr>
            <w:tcW w:w="2745" w:type="dxa"/>
            <w:tcBorders>
              <w:top w:val="nil"/>
              <w:left w:val="nil"/>
              <w:bottom w:val="nil"/>
              <w:right w:val="nil"/>
            </w:tcBorders>
            <w:tcMar>
              <w:top w:w="0" w:type="dxa"/>
              <w:left w:w="100" w:type="dxa"/>
              <w:bottom w:w="0" w:type="dxa"/>
              <w:right w:w="100" w:type="dxa"/>
            </w:tcMar>
          </w:tcPr>
          <w:p w14:paraId="00000199" w14:textId="77777777" w:rsidR="00E51BAE" w:rsidRDefault="00236A55">
            <w:pPr>
              <w:spacing w:before="240"/>
              <w:rPr>
                <w:b/>
                <w:sz w:val="20"/>
                <w:szCs w:val="20"/>
              </w:rPr>
            </w:pPr>
            <w:r>
              <w:rPr>
                <w:b/>
                <w:sz w:val="20"/>
                <w:szCs w:val="20"/>
              </w:rPr>
              <w:t>Maintenance and repair</w:t>
            </w:r>
          </w:p>
        </w:tc>
        <w:tc>
          <w:tcPr>
            <w:tcW w:w="705" w:type="dxa"/>
            <w:tcBorders>
              <w:top w:val="nil"/>
              <w:left w:val="nil"/>
              <w:bottom w:val="nil"/>
              <w:right w:val="nil"/>
            </w:tcBorders>
            <w:tcMar>
              <w:top w:w="0" w:type="dxa"/>
              <w:left w:w="100" w:type="dxa"/>
              <w:bottom w:w="0" w:type="dxa"/>
              <w:right w:w="100" w:type="dxa"/>
            </w:tcMar>
          </w:tcPr>
          <w:p w14:paraId="0000019A" w14:textId="77777777" w:rsidR="00E51BAE" w:rsidRDefault="00E51BAE"/>
        </w:tc>
        <w:tc>
          <w:tcPr>
            <w:tcW w:w="750" w:type="dxa"/>
            <w:tcBorders>
              <w:top w:val="nil"/>
              <w:left w:val="nil"/>
              <w:bottom w:val="nil"/>
              <w:right w:val="nil"/>
            </w:tcBorders>
            <w:tcMar>
              <w:top w:w="0" w:type="dxa"/>
              <w:left w:w="100" w:type="dxa"/>
              <w:bottom w:w="0" w:type="dxa"/>
              <w:right w:w="100" w:type="dxa"/>
            </w:tcMar>
          </w:tcPr>
          <w:p w14:paraId="0000019B" w14:textId="77777777" w:rsidR="00E51BAE" w:rsidRDefault="00E51BAE"/>
        </w:tc>
        <w:tc>
          <w:tcPr>
            <w:tcW w:w="720" w:type="dxa"/>
            <w:tcBorders>
              <w:top w:val="nil"/>
              <w:left w:val="nil"/>
              <w:bottom w:val="nil"/>
              <w:right w:val="nil"/>
            </w:tcBorders>
            <w:tcMar>
              <w:top w:w="0" w:type="dxa"/>
              <w:left w:w="100" w:type="dxa"/>
              <w:bottom w:w="0" w:type="dxa"/>
              <w:right w:w="100" w:type="dxa"/>
            </w:tcMar>
          </w:tcPr>
          <w:p w14:paraId="0000019C" w14:textId="77777777" w:rsidR="00E51BAE" w:rsidRDefault="00E51BAE"/>
        </w:tc>
        <w:tc>
          <w:tcPr>
            <w:tcW w:w="705" w:type="dxa"/>
            <w:tcBorders>
              <w:top w:val="nil"/>
              <w:left w:val="nil"/>
              <w:bottom w:val="nil"/>
              <w:right w:val="nil"/>
            </w:tcBorders>
            <w:tcMar>
              <w:top w:w="0" w:type="dxa"/>
              <w:left w:w="100" w:type="dxa"/>
              <w:bottom w:w="0" w:type="dxa"/>
              <w:right w:w="100" w:type="dxa"/>
            </w:tcMar>
          </w:tcPr>
          <w:p w14:paraId="0000019D" w14:textId="77777777" w:rsidR="00E51BAE" w:rsidRDefault="00E51BAE"/>
        </w:tc>
        <w:tc>
          <w:tcPr>
            <w:tcW w:w="1275" w:type="dxa"/>
            <w:tcBorders>
              <w:top w:val="nil"/>
              <w:left w:val="nil"/>
              <w:bottom w:val="nil"/>
              <w:right w:val="nil"/>
            </w:tcBorders>
            <w:tcMar>
              <w:top w:w="0" w:type="dxa"/>
              <w:left w:w="100" w:type="dxa"/>
              <w:bottom w:w="0" w:type="dxa"/>
              <w:right w:w="100" w:type="dxa"/>
            </w:tcMar>
          </w:tcPr>
          <w:p w14:paraId="0000019E" w14:textId="77777777" w:rsidR="00E51BAE" w:rsidRDefault="00236A55">
            <w:pPr>
              <w:spacing w:before="240"/>
              <w:jc w:val="center"/>
              <w:rPr>
                <w:sz w:val="20"/>
                <w:szCs w:val="20"/>
              </w:rPr>
            </w:pPr>
            <w:r>
              <w:rPr>
                <w:sz w:val="20"/>
                <w:szCs w:val="20"/>
              </w:rPr>
              <w:t>No</w:t>
            </w:r>
          </w:p>
        </w:tc>
        <w:tc>
          <w:tcPr>
            <w:tcW w:w="900" w:type="dxa"/>
            <w:tcBorders>
              <w:top w:val="nil"/>
              <w:left w:val="nil"/>
              <w:bottom w:val="nil"/>
              <w:right w:val="nil"/>
            </w:tcBorders>
            <w:tcMar>
              <w:top w:w="0" w:type="dxa"/>
              <w:left w:w="100" w:type="dxa"/>
              <w:bottom w:w="0" w:type="dxa"/>
              <w:right w:w="100" w:type="dxa"/>
            </w:tcMar>
          </w:tcPr>
          <w:p w14:paraId="0000019F" w14:textId="77777777" w:rsidR="00E51BAE" w:rsidRDefault="00236A55">
            <w:pPr>
              <w:spacing w:before="240"/>
              <w:jc w:val="center"/>
              <w:rPr>
                <w:sz w:val="20"/>
                <w:szCs w:val="20"/>
              </w:rPr>
            </w:pPr>
            <w:r>
              <w:rPr>
                <w:sz w:val="20"/>
                <w:szCs w:val="20"/>
              </w:rPr>
              <w:t>-</w:t>
            </w:r>
          </w:p>
        </w:tc>
        <w:tc>
          <w:tcPr>
            <w:tcW w:w="1320" w:type="dxa"/>
            <w:tcBorders>
              <w:top w:val="nil"/>
              <w:left w:val="nil"/>
              <w:bottom w:val="nil"/>
              <w:right w:val="nil"/>
            </w:tcBorders>
            <w:tcMar>
              <w:top w:w="0" w:type="dxa"/>
              <w:left w:w="100" w:type="dxa"/>
              <w:bottom w:w="0" w:type="dxa"/>
              <w:right w:w="100" w:type="dxa"/>
            </w:tcMar>
          </w:tcPr>
          <w:p w14:paraId="000001A0" w14:textId="77777777" w:rsidR="00E51BAE" w:rsidRDefault="00236A55">
            <w:pPr>
              <w:spacing w:before="240"/>
              <w:jc w:val="center"/>
              <w:rPr>
                <w:sz w:val="20"/>
                <w:szCs w:val="20"/>
              </w:rPr>
            </w:pPr>
            <w:r>
              <w:rPr>
                <w:sz w:val="20"/>
                <w:szCs w:val="20"/>
              </w:rPr>
              <w:t>-</w:t>
            </w:r>
          </w:p>
        </w:tc>
      </w:tr>
      <w:tr w:rsidR="00E51BAE" w14:paraId="1CADD8E1" w14:textId="77777777">
        <w:trPr>
          <w:trHeight w:val="300"/>
        </w:trPr>
        <w:tc>
          <w:tcPr>
            <w:tcW w:w="2745" w:type="dxa"/>
            <w:tcBorders>
              <w:top w:val="nil"/>
              <w:left w:val="nil"/>
              <w:bottom w:val="nil"/>
              <w:right w:val="nil"/>
            </w:tcBorders>
            <w:tcMar>
              <w:top w:w="0" w:type="dxa"/>
              <w:left w:w="100" w:type="dxa"/>
              <w:bottom w:w="0" w:type="dxa"/>
              <w:right w:w="100" w:type="dxa"/>
            </w:tcMar>
          </w:tcPr>
          <w:p w14:paraId="000001A1" w14:textId="77777777" w:rsidR="00E51BAE" w:rsidRDefault="00236A55">
            <w:pPr>
              <w:spacing w:before="240"/>
              <w:rPr>
                <w:b/>
                <w:sz w:val="20"/>
                <w:szCs w:val="20"/>
              </w:rPr>
            </w:pPr>
            <w:r>
              <w:rPr>
                <w:b/>
                <w:sz w:val="20"/>
                <w:szCs w:val="20"/>
              </w:rPr>
              <w:t>Transport</w:t>
            </w:r>
          </w:p>
        </w:tc>
        <w:tc>
          <w:tcPr>
            <w:tcW w:w="705" w:type="dxa"/>
            <w:tcBorders>
              <w:top w:val="nil"/>
              <w:left w:val="nil"/>
              <w:bottom w:val="nil"/>
              <w:right w:val="nil"/>
            </w:tcBorders>
            <w:tcMar>
              <w:top w:w="0" w:type="dxa"/>
              <w:left w:w="100" w:type="dxa"/>
              <w:bottom w:w="0" w:type="dxa"/>
              <w:right w:w="100" w:type="dxa"/>
            </w:tcMar>
          </w:tcPr>
          <w:p w14:paraId="000001A2" w14:textId="77777777" w:rsidR="00E51BAE" w:rsidRDefault="00E51BAE"/>
        </w:tc>
        <w:tc>
          <w:tcPr>
            <w:tcW w:w="750" w:type="dxa"/>
            <w:tcBorders>
              <w:top w:val="nil"/>
              <w:left w:val="nil"/>
              <w:bottom w:val="nil"/>
              <w:right w:val="nil"/>
            </w:tcBorders>
            <w:tcMar>
              <w:top w:w="0" w:type="dxa"/>
              <w:left w:w="100" w:type="dxa"/>
              <w:bottom w:w="0" w:type="dxa"/>
              <w:right w:w="100" w:type="dxa"/>
            </w:tcMar>
          </w:tcPr>
          <w:p w14:paraId="000001A3" w14:textId="77777777" w:rsidR="00E51BAE" w:rsidRDefault="00E51BAE"/>
        </w:tc>
        <w:tc>
          <w:tcPr>
            <w:tcW w:w="720" w:type="dxa"/>
            <w:tcBorders>
              <w:top w:val="nil"/>
              <w:left w:val="nil"/>
              <w:bottom w:val="nil"/>
              <w:right w:val="nil"/>
            </w:tcBorders>
            <w:tcMar>
              <w:top w:w="0" w:type="dxa"/>
              <w:left w:w="100" w:type="dxa"/>
              <w:bottom w:w="0" w:type="dxa"/>
              <w:right w:w="100" w:type="dxa"/>
            </w:tcMar>
          </w:tcPr>
          <w:p w14:paraId="000001A4" w14:textId="77777777" w:rsidR="00E51BAE" w:rsidRDefault="00E51BAE"/>
        </w:tc>
        <w:tc>
          <w:tcPr>
            <w:tcW w:w="705" w:type="dxa"/>
            <w:tcBorders>
              <w:top w:val="nil"/>
              <w:left w:val="nil"/>
              <w:bottom w:val="nil"/>
              <w:right w:val="nil"/>
            </w:tcBorders>
            <w:tcMar>
              <w:top w:w="0" w:type="dxa"/>
              <w:left w:w="100" w:type="dxa"/>
              <w:bottom w:w="0" w:type="dxa"/>
              <w:right w:w="100" w:type="dxa"/>
            </w:tcMar>
          </w:tcPr>
          <w:p w14:paraId="000001A5" w14:textId="77777777" w:rsidR="00E51BAE" w:rsidRDefault="00E51BAE"/>
        </w:tc>
        <w:tc>
          <w:tcPr>
            <w:tcW w:w="1275" w:type="dxa"/>
            <w:tcBorders>
              <w:top w:val="nil"/>
              <w:left w:val="nil"/>
              <w:bottom w:val="nil"/>
              <w:right w:val="nil"/>
            </w:tcBorders>
            <w:tcMar>
              <w:top w:w="0" w:type="dxa"/>
              <w:left w:w="100" w:type="dxa"/>
              <w:bottom w:w="0" w:type="dxa"/>
              <w:right w:w="100" w:type="dxa"/>
            </w:tcMar>
          </w:tcPr>
          <w:p w14:paraId="000001A6" w14:textId="77777777" w:rsidR="00E51BAE" w:rsidRDefault="00236A55">
            <w:pPr>
              <w:spacing w:before="240"/>
              <w:jc w:val="center"/>
              <w:rPr>
                <w:sz w:val="20"/>
                <w:szCs w:val="20"/>
              </w:rPr>
            </w:pPr>
            <w:r>
              <w:rPr>
                <w:sz w:val="20"/>
                <w:szCs w:val="20"/>
              </w:rPr>
              <w:t>No</w:t>
            </w:r>
          </w:p>
        </w:tc>
        <w:tc>
          <w:tcPr>
            <w:tcW w:w="900" w:type="dxa"/>
            <w:tcBorders>
              <w:top w:val="nil"/>
              <w:left w:val="nil"/>
              <w:bottom w:val="nil"/>
              <w:right w:val="nil"/>
            </w:tcBorders>
            <w:tcMar>
              <w:top w:w="0" w:type="dxa"/>
              <w:left w:w="100" w:type="dxa"/>
              <w:bottom w:w="0" w:type="dxa"/>
              <w:right w:w="100" w:type="dxa"/>
            </w:tcMar>
          </w:tcPr>
          <w:p w14:paraId="000001A7" w14:textId="77777777" w:rsidR="00E51BAE" w:rsidRDefault="00236A55">
            <w:pPr>
              <w:spacing w:before="240"/>
              <w:jc w:val="center"/>
              <w:rPr>
                <w:sz w:val="20"/>
                <w:szCs w:val="20"/>
              </w:rPr>
            </w:pPr>
            <w:r>
              <w:rPr>
                <w:sz w:val="20"/>
                <w:szCs w:val="20"/>
              </w:rPr>
              <w:t>0.58</w:t>
            </w:r>
          </w:p>
        </w:tc>
        <w:tc>
          <w:tcPr>
            <w:tcW w:w="1320" w:type="dxa"/>
            <w:tcBorders>
              <w:top w:val="nil"/>
              <w:left w:val="nil"/>
              <w:bottom w:val="nil"/>
              <w:right w:val="nil"/>
            </w:tcBorders>
            <w:tcMar>
              <w:top w:w="0" w:type="dxa"/>
              <w:left w:w="100" w:type="dxa"/>
              <w:bottom w:w="0" w:type="dxa"/>
              <w:right w:w="100" w:type="dxa"/>
            </w:tcMar>
          </w:tcPr>
          <w:p w14:paraId="000001A8" w14:textId="77777777" w:rsidR="00E51BAE" w:rsidRDefault="00236A55">
            <w:pPr>
              <w:spacing w:before="240"/>
              <w:jc w:val="center"/>
              <w:rPr>
                <w:sz w:val="20"/>
                <w:szCs w:val="20"/>
              </w:rPr>
            </w:pPr>
            <w:r>
              <w:rPr>
                <w:sz w:val="20"/>
                <w:szCs w:val="20"/>
              </w:rPr>
              <w:t>-</w:t>
            </w:r>
          </w:p>
        </w:tc>
      </w:tr>
      <w:tr w:rsidR="00E51BAE" w14:paraId="5465F38C" w14:textId="77777777">
        <w:trPr>
          <w:trHeight w:val="300"/>
        </w:trPr>
        <w:tc>
          <w:tcPr>
            <w:tcW w:w="2745" w:type="dxa"/>
            <w:tcBorders>
              <w:top w:val="nil"/>
              <w:left w:val="nil"/>
              <w:bottom w:val="nil"/>
              <w:right w:val="nil"/>
            </w:tcBorders>
            <w:tcMar>
              <w:top w:w="0" w:type="dxa"/>
              <w:left w:w="100" w:type="dxa"/>
              <w:bottom w:w="0" w:type="dxa"/>
              <w:right w:w="100" w:type="dxa"/>
            </w:tcMar>
          </w:tcPr>
          <w:p w14:paraId="000001A9" w14:textId="77777777" w:rsidR="00E51BAE" w:rsidRDefault="00236A55">
            <w:pPr>
              <w:spacing w:before="240"/>
              <w:rPr>
                <w:b/>
                <w:sz w:val="20"/>
                <w:szCs w:val="20"/>
              </w:rPr>
            </w:pPr>
            <w:r>
              <w:rPr>
                <w:b/>
                <w:sz w:val="20"/>
                <w:szCs w:val="20"/>
              </w:rPr>
              <w:t>Travel</w:t>
            </w:r>
          </w:p>
        </w:tc>
        <w:tc>
          <w:tcPr>
            <w:tcW w:w="705" w:type="dxa"/>
            <w:tcBorders>
              <w:top w:val="nil"/>
              <w:left w:val="nil"/>
              <w:bottom w:val="nil"/>
              <w:right w:val="nil"/>
            </w:tcBorders>
            <w:tcMar>
              <w:top w:w="0" w:type="dxa"/>
              <w:left w:w="100" w:type="dxa"/>
              <w:bottom w:w="0" w:type="dxa"/>
              <w:right w:w="100" w:type="dxa"/>
            </w:tcMar>
          </w:tcPr>
          <w:p w14:paraId="000001AA" w14:textId="77777777" w:rsidR="00E51BAE" w:rsidRDefault="00E51BAE"/>
        </w:tc>
        <w:tc>
          <w:tcPr>
            <w:tcW w:w="750" w:type="dxa"/>
            <w:tcBorders>
              <w:top w:val="nil"/>
              <w:left w:val="nil"/>
              <w:bottom w:val="nil"/>
              <w:right w:val="nil"/>
            </w:tcBorders>
            <w:tcMar>
              <w:top w:w="0" w:type="dxa"/>
              <w:left w:w="100" w:type="dxa"/>
              <w:bottom w:w="0" w:type="dxa"/>
              <w:right w:w="100" w:type="dxa"/>
            </w:tcMar>
          </w:tcPr>
          <w:p w14:paraId="000001AB" w14:textId="77777777" w:rsidR="00E51BAE" w:rsidRDefault="00E51BAE"/>
        </w:tc>
        <w:tc>
          <w:tcPr>
            <w:tcW w:w="720" w:type="dxa"/>
            <w:tcBorders>
              <w:top w:val="nil"/>
              <w:left w:val="nil"/>
              <w:bottom w:val="nil"/>
              <w:right w:val="nil"/>
            </w:tcBorders>
            <w:tcMar>
              <w:top w:w="0" w:type="dxa"/>
              <w:left w:w="100" w:type="dxa"/>
              <w:bottom w:w="0" w:type="dxa"/>
              <w:right w:w="100" w:type="dxa"/>
            </w:tcMar>
          </w:tcPr>
          <w:p w14:paraId="000001AC" w14:textId="77777777" w:rsidR="00E51BAE" w:rsidRDefault="00E51BAE"/>
        </w:tc>
        <w:tc>
          <w:tcPr>
            <w:tcW w:w="705" w:type="dxa"/>
            <w:tcBorders>
              <w:top w:val="nil"/>
              <w:left w:val="nil"/>
              <w:bottom w:val="nil"/>
              <w:right w:val="nil"/>
            </w:tcBorders>
            <w:tcMar>
              <w:top w:w="0" w:type="dxa"/>
              <w:left w:w="100" w:type="dxa"/>
              <w:bottom w:w="0" w:type="dxa"/>
              <w:right w:w="100" w:type="dxa"/>
            </w:tcMar>
          </w:tcPr>
          <w:p w14:paraId="000001AD" w14:textId="77777777" w:rsidR="00E51BAE" w:rsidRDefault="00E51BAE"/>
        </w:tc>
        <w:tc>
          <w:tcPr>
            <w:tcW w:w="1275" w:type="dxa"/>
            <w:tcBorders>
              <w:top w:val="nil"/>
              <w:left w:val="nil"/>
              <w:bottom w:val="nil"/>
              <w:right w:val="nil"/>
            </w:tcBorders>
            <w:tcMar>
              <w:top w:w="0" w:type="dxa"/>
              <w:left w:w="100" w:type="dxa"/>
              <w:bottom w:w="0" w:type="dxa"/>
              <w:right w:w="100" w:type="dxa"/>
            </w:tcMar>
          </w:tcPr>
          <w:p w14:paraId="000001AE" w14:textId="77777777" w:rsidR="00E51BAE" w:rsidRDefault="00236A55">
            <w:pPr>
              <w:spacing w:before="240"/>
              <w:jc w:val="center"/>
              <w:rPr>
                <w:sz w:val="20"/>
                <w:szCs w:val="20"/>
              </w:rPr>
            </w:pPr>
            <w:r>
              <w:rPr>
                <w:sz w:val="20"/>
                <w:szCs w:val="20"/>
              </w:rPr>
              <w:t>No</w:t>
            </w:r>
          </w:p>
        </w:tc>
        <w:tc>
          <w:tcPr>
            <w:tcW w:w="900" w:type="dxa"/>
            <w:tcBorders>
              <w:top w:val="nil"/>
              <w:left w:val="nil"/>
              <w:bottom w:val="nil"/>
              <w:right w:val="nil"/>
            </w:tcBorders>
            <w:tcMar>
              <w:top w:w="0" w:type="dxa"/>
              <w:left w:w="100" w:type="dxa"/>
              <w:bottom w:w="0" w:type="dxa"/>
              <w:right w:w="100" w:type="dxa"/>
            </w:tcMar>
          </w:tcPr>
          <w:p w14:paraId="000001AF" w14:textId="77777777" w:rsidR="00E51BAE" w:rsidRDefault="00236A55">
            <w:pPr>
              <w:spacing w:before="240"/>
              <w:jc w:val="center"/>
              <w:rPr>
                <w:sz w:val="20"/>
                <w:szCs w:val="20"/>
              </w:rPr>
            </w:pPr>
            <w:r>
              <w:rPr>
                <w:sz w:val="20"/>
                <w:szCs w:val="20"/>
              </w:rPr>
              <w:t>0.04</w:t>
            </w:r>
          </w:p>
        </w:tc>
        <w:tc>
          <w:tcPr>
            <w:tcW w:w="1320" w:type="dxa"/>
            <w:tcBorders>
              <w:top w:val="nil"/>
              <w:left w:val="nil"/>
              <w:bottom w:val="nil"/>
              <w:right w:val="nil"/>
            </w:tcBorders>
            <w:tcMar>
              <w:top w:w="0" w:type="dxa"/>
              <w:left w:w="100" w:type="dxa"/>
              <w:bottom w:w="0" w:type="dxa"/>
              <w:right w:w="100" w:type="dxa"/>
            </w:tcMar>
          </w:tcPr>
          <w:p w14:paraId="000001B0" w14:textId="77777777" w:rsidR="00E51BAE" w:rsidRDefault="00236A55">
            <w:pPr>
              <w:spacing w:before="240"/>
              <w:jc w:val="center"/>
              <w:rPr>
                <w:sz w:val="20"/>
                <w:szCs w:val="20"/>
              </w:rPr>
            </w:pPr>
            <w:r>
              <w:rPr>
                <w:sz w:val="20"/>
                <w:szCs w:val="20"/>
              </w:rPr>
              <w:t>0.08</w:t>
            </w:r>
          </w:p>
        </w:tc>
      </w:tr>
      <w:tr w:rsidR="00E51BAE" w14:paraId="663D2A75" w14:textId="77777777">
        <w:trPr>
          <w:trHeight w:val="300"/>
        </w:trPr>
        <w:tc>
          <w:tcPr>
            <w:tcW w:w="2745" w:type="dxa"/>
            <w:tcBorders>
              <w:top w:val="nil"/>
              <w:left w:val="nil"/>
              <w:bottom w:val="nil"/>
              <w:right w:val="nil"/>
            </w:tcBorders>
            <w:tcMar>
              <w:top w:w="0" w:type="dxa"/>
              <w:left w:w="100" w:type="dxa"/>
              <w:bottom w:w="0" w:type="dxa"/>
              <w:right w:w="100" w:type="dxa"/>
            </w:tcMar>
          </w:tcPr>
          <w:p w14:paraId="000001B1" w14:textId="77777777" w:rsidR="00E51BAE" w:rsidRDefault="00236A55">
            <w:pPr>
              <w:spacing w:before="240"/>
              <w:rPr>
                <w:b/>
                <w:sz w:val="20"/>
                <w:szCs w:val="20"/>
              </w:rPr>
            </w:pPr>
            <w:r>
              <w:rPr>
                <w:b/>
                <w:sz w:val="20"/>
                <w:szCs w:val="20"/>
              </w:rPr>
              <w:t>Construction</w:t>
            </w:r>
          </w:p>
        </w:tc>
        <w:tc>
          <w:tcPr>
            <w:tcW w:w="705" w:type="dxa"/>
            <w:tcBorders>
              <w:top w:val="nil"/>
              <w:left w:val="nil"/>
              <w:bottom w:val="nil"/>
              <w:right w:val="nil"/>
            </w:tcBorders>
            <w:tcMar>
              <w:top w:w="0" w:type="dxa"/>
              <w:left w:w="100" w:type="dxa"/>
              <w:bottom w:w="0" w:type="dxa"/>
              <w:right w:w="100" w:type="dxa"/>
            </w:tcMar>
          </w:tcPr>
          <w:p w14:paraId="000001B2" w14:textId="77777777" w:rsidR="00E51BAE" w:rsidRDefault="00E51BAE"/>
        </w:tc>
        <w:tc>
          <w:tcPr>
            <w:tcW w:w="750" w:type="dxa"/>
            <w:tcBorders>
              <w:top w:val="nil"/>
              <w:left w:val="nil"/>
              <w:bottom w:val="nil"/>
              <w:right w:val="nil"/>
            </w:tcBorders>
            <w:tcMar>
              <w:top w:w="0" w:type="dxa"/>
              <w:left w:w="100" w:type="dxa"/>
              <w:bottom w:w="0" w:type="dxa"/>
              <w:right w:w="100" w:type="dxa"/>
            </w:tcMar>
          </w:tcPr>
          <w:p w14:paraId="000001B3" w14:textId="77777777" w:rsidR="00E51BAE" w:rsidRDefault="00E51BAE"/>
        </w:tc>
        <w:tc>
          <w:tcPr>
            <w:tcW w:w="720" w:type="dxa"/>
            <w:tcBorders>
              <w:top w:val="nil"/>
              <w:left w:val="nil"/>
              <w:bottom w:val="nil"/>
              <w:right w:val="nil"/>
            </w:tcBorders>
            <w:tcMar>
              <w:top w:w="0" w:type="dxa"/>
              <w:left w:w="100" w:type="dxa"/>
              <w:bottom w:w="0" w:type="dxa"/>
              <w:right w:w="100" w:type="dxa"/>
            </w:tcMar>
          </w:tcPr>
          <w:p w14:paraId="000001B4" w14:textId="77777777" w:rsidR="00E51BAE" w:rsidRDefault="00E51BAE"/>
        </w:tc>
        <w:tc>
          <w:tcPr>
            <w:tcW w:w="705" w:type="dxa"/>
            <w:tcBorders>
              <w:top w:val="nil"/>
              <w:left w:val="nil"/>
              <w:bottom w:val="nil"/>
              <w:right w:val="nil"/>
            </w:tcBorders>
            <w:tcMar>
              <w:top w:w="0" w:type="dxa"/>
              <w:left w:w="100" w:type="dxa"/>
              <w:bottom w:w="0" w:type="dxa"/>
              <w:right w:w="100" w:type="dxa"/>
            </w:tcMar>
          </w:tcPr>
          <w:p w14:paraId="000001B5" w14:textId="77777777" w:rsidR="00E51BAE" w:rsidRDefault="00E51BAE"/>
        </w:tc>
        <w:tc>
          <w:tcPr>
            <w:tcW w:w="1275" w:type="dxa"/>
            <w:tcBorders>
              <w:top w:val="nil"/>
              <w:left w:val="nil"/>
              <w:bottom w:val="nil"/>
              <w:right w:val="nil"/>
            </w:tcBorders>
            <w:tcMar>
              <w:top w:w="0" w:type="dxa"/>
              <w:left w:w="100" w:type="dxa"/>
              <w:bottom w:w="0" w:type="dxa"/>
              <w:right w:w="100" w:type="dxa"/>
            </w:tcMar>
          </w:tcPr>
          <w:p w14:paraId="000001B6" w14:textId="77777777" w:rsidR="00E51BAE" w:rsidRDefault="00236A55">
            <w:pPr>
              <w:spacing w:before="240"/>
              <w:jc w:val="center"/>
              <w:rPr>
                <w:sz w:val="20"/>
                <w:szCs w:val="20"/>
              </w:rPr>
            </w:pPr>
            <w:r>
              <w:rPr>
                <w:sz w:val="20"/>
                <w:szCs w:val="20"/>
              </w:rPr>
              <w:t>No</w:t>
            </w:r>
          </w:p>
        </w:tc>
        <w:tc>
          <w:tcPr>
            <w:tcW w:w="900" w:type="dxa"/>
            <w:tcBorders>
              <w:top w:val="nil"/>
              <w:left w:val="nil"/>
              <w:bottom w:val="nil"/>
              <w:right w:val="nil"/>
            </w:tcBorders>
            <w:tcMar>
              <w:top w:w="0" w:type="dxa"/>
              <w:left w:w="100" w:type="dxa"/>
              <w:bottom w:w="0" w:type="dxa"/>
              <w:right w:w="100" w:type="dxa"/>
            </w:tcMar>
          </w:tcPr>
          <w:p w14:paraId="000001B7" w14:textId="77777777" w:rsidR="00E51BAE" w:rsidRDefault="00236A55">
            <w:pPr>
              <w:spacing w:before="240"/>
              <w:jc w:val="center"/>
              <w:rPr>
                <w:sz w:val="20"/>
                <w:szCs w:val="20"/>
              </w:rPr>
            </w:pPr>
            <w:r>
              <w:rPr>
                <w:sz w:val="20"/>
                <w:szCs w:val="20"/>
              </w:rPr>
              <w:t>0.06</w:t>
            </w:r>
          </w:p>
        </w:tc>
        <w:tc>
          <w:tcPr>
            <w:tcW w:w="1320" w:type="dxa"/>
            <w:tcBorders>
              <w:top w:val="nil"/>
              <w:left w:val="nil"/>
              <w:bottom w:val="nil"/>
              <w:right w:val="nil"/>
            </w:tcBorders>
            <w:tcMar>
              <w:top w:w="0" w:type="dxa"/>
              <w:left w:w="100" w:type="dxa"/>
              <w:bottom w:w="0" w:type="dxa"/>
              <w:right w:w="100" w:type="dxa"/>
            </w:tcMar>
          </w:tcPr>
          <w:p w14:paraId="000001B8" w14:textId="77777777" w:rsidR="00E51BAE" w:rsidRDefault="00236A55">
            <w:pPr>
              <w:spacing w:before="240"/>
              <w:jc w:val="center"/>
              <w:rPr>
                <w:sz w:val="20"/>
                <w:szCs w:val="20"/>
              </w:rPr>
            </w:pPr>
            <w:r>
              <w:rPr>
                <w:sz w:val="20"/>
                <w:szCs w:val="20"/>
              </w:rPr>
              <w:t>0.00</w:t>
            </w:r>
          </w:p>
        </w:tc>
      </w:tr>
      <w:tr w:rsidR="00E51BAE" w14:paraId="5392BA39" w14:textId="77777777">
        <w:trPr>
          <w:trHeight w:val="300"/>
        </w:trPr>
        <w:tc>
          <w:tcPr>
            <w:tcW w:w="2745" w:type="dxa"/>
            <w:tcBorders>
              <w:top w:val="nil"/>
              <w:left w:val="nil"/>
              <w:bottom w:val="nil"/>
              <w:right w:val="nil"/>
            </w:tcBorders>
            <w:tcMar>
              <w:top w:w="0" w:type="dxa"/>
              <w:left w:w="100" w:type="dxa"/>
              <w:bottom w:w="0" w:type="dxa"/>
              <w:right w:w="100" w:type="dxa"/>
            </w:tcMar>
          </w:tcPr>
          <w:p w14:paraId="000001B9" w14:textId="77777777" w:rsidR="00E51BAE" w:rsidRDefault="00236A55">
            <w:pPr>
              <w:spacing w:before="240"/>
              <w:rPr>
                <w:b/>
                <w:sz w:val="20"/>
                <w:szCs w:val="20"/>
              </w:rPr>
            </w:pPr>
            <w:r>
              <w:rPr>
                <w:b/>
                <w:sz w:val="20"/>
                <w:szCs w:val="20"/>
              </w:rPr>
              <w:t>Government goods and services</w:t>
            </w:r>
          </w:p>
        </w:tc>
        <w:tc>
          <w:tcPr>
            <w:tcW w:w="705" w:type="dxa"/>
            <w:tcBorders>
              <w:top w:val="nil"/>
              <w:left w:val="nil"/>
              <w:bottom w:val="nil"/>
              <w:right w:val="nil"/>
            </w:tcBorders>
            <w:tcMar>
              <w:top w:w="0" w:type="dxa"/>
              <w:left w:w="100" w:type="dxa"/>
              <w:bottom w:w="0" w:type="dxa"/>
              <w:right w:w="100" w:type="dxa"/>
            </w:tcMar>
          </w:tcPr>
          <w:p w14:paraId="000001BA" w14:textId="77777777" w:rsidR="00E51BAE" w:rsidRDefault="00E51BAE"/>
        </w:tc>
        <w:tc>
          <w:tcPr>
            <w:tcW w:w="750" w:type="dxa"/>
            <w:tcBorders>
              <w:top w:val="nil"/>
              <w:left w:val="nil"/>
              <w:bottom w:val="nil"/>
              <w:right w:val="nil"/>
            </w:tcBorders>
            <w:tcMar>
              <w:top w:w="0" w:type="dxa"/>
              <w:left w:w="100" w:type="dxa"/>
              <w:bottom w:w="0" w:type="dxa"/>
              <w:right w:w="100" w:type="dxa"/>
            </w:tcMar>
          </w:tcPr>
          <w:p w14:paraId="000001BB" w14:textId="77777777" w:rsidR="00E51BAE" w:rsidRDefault="00E51BAE"/>
        </w:tc>
        <w:tc>
          <w:tcPr>
            <w:tcW w:w="720" w:type="dxa"/>
            <w:tcBorders>
              <w:top w:val="nil"/>
              <w:left w:val="nil"/>
              <w:bottom w:val="nil"/>
              <w:right w:val="nil"/>
            </w:tcBorders>
            <w:tcMar>
              <w:top w:w="0" w:type="dxa"/>
              <w:left w:w="100" w:type="dxa"/>
              <w:bottom w:w="0" w:type="dxa"/>
              <w:right w:w="100" w:type="dxa"/>
            </w:tcMar>
          </w:tcPr>
          <w:p w14:paraId="000001BC" w14:textId="77777777" w:rsidR="00E51BAE" w:rsidRDefault="00E51BAE"/>
        </w:tc>
        <w:tc>
          <w:tcPr>
            <w:tcW w:w="705" w:type="dxa"/>
            <w:tcBorders>
              <w:top w:val="nil"/>
              <w:left w:val="nil"/>
              <w:bottom w:val="nil"/>
              <w:right w:val="nil"/>
            </w:tcBorders>
            <w:tcMar>
              <w:top w:w="0" w:type="dxa"/>
              <w:left w:w="100" w:type="dxa"/>
              <w:bottom w:w="0" w:type="dxa"/>
              <w:right w:w="100" w:type="dxa"/>
            </w:tcMar>
          </w:tcPr>
          <w:p w14:paraId="000001BD" w14:textId="77777777" w:rsidR="00E51BAE" w:rsidRDefault="00E51BAE"/>
        </w:tc>
        <w:tc>
          <w:tcPr>
            <w:tcW w:w="1275" w:type="dxa"/>
            <w:tcBorders>
              <w:top w:val="nil"/>
              <w:left w:val="nil"/>
              <w:bottom w:val="nil"/>
              <w:right w:val="nil"/>
            </w:tcBorders>
            <w:tcMar>
              <w:top w:w="0" w:type="dxa"/>
              <w:left w:w="100" w:type="dxa"/>
              <w:bottom w:w="0" w:type="dxa"/>
              <w:right w:w="100" w:type="dxa"/>
            </w:tcMar>
          </w:tcPr>
          <w:p w14:paraId="000001BE" w14:textId="77777777" w:rsidR="00E51BAE" w:rsidRDefault="00236A55">
            <w:pPr>
              <w:spacing w:before="240"/>
              <w:jc w:val="center"/>
              <w:rPr>
                <w:sz w:val="20"/>
                <w:szCs w:val="20"/>
              </w:rPr>
            </w:pPr>
            <w:r>
              <w:rPr>
                <w:sz w:val="20"/>
                <w:szCs w:val="20"/>
              </w:rPr>
              <w:t>No</w:t>
            </w:r>
          </w:p>
        </w:tc>
        <w:tc>
          <w:tcPr>
            <w:tcW w:w="900" w:type="dxa"/>
            <w:tcBorders>
              <w:top w:val="nil"/>
              <w:left w:val="nil"/>
              <w:bottom w:val="nil"/>
              <w:right w:val="nil"/>
            </w:tcBorders>
            <w:tcMar>
              <w:top w:w="0" w:type="dxa"/>
              <w:left w:w="100" w:type="dxa"/>
              <w:bottom w:w="0" w:type="dxa"/>
              <w:right w:w="100" w:type="dxa"/>
            </w:tcMar>
          </w:tcPr>
          <w:p w14:paraId="000001BF" w14:textId="77777777" w:rsidR="00E51BAE" w:rsidRDefault="00236A55">
            <w:pPr>
              <w:spacing w:before="240"/>
              <w:jc w:val="center"/>
              <w:rPr>
                <w:sz w:val="20"/>
                <w:szCs w:val="20"/>
              </w:rPr>
            </w:pPr>
            <w:r>
              <w:rPr>
                <w:sz w:val="20"/>
                <w:szCs w:val="20"/>
              </w:rPr>
              <w:t>-</w:t>
            </w:r>
          </w:p>
        </w:tc>
        <w:tc>
          <w:tcPr>
            <w:tcW w:w="1320" w:type="dxa"/>
            <w:tcBorders>
              <w:top w:val="nil"/>
              <w:left w:val="nil"/>
              <w:bottom w:val="nil"/>
              <w:right w:val="nil"/>
            </w:tcBorders>
            <w:tcMar>
              <w:top w:w="0" w:type="dxa"/>
              <w:left w:w="100" w:type="dxa"/>
              <w:bottom w:w="0" w:type="dxa"/>
              <w:right w:w="100" w:type="dxa"/>
            </w:tcMar>
          </w:tcPr>
          <w:p w14:paraId="000001C0" w14:textId="77777777" w:rsidR="00E51BAE" w:rsidRDefault="00236A55">
            <w:pPr>
              <w:spacing w:before="240"/>
              <w:jc w:val="center"/>
              <w:rPr>
                <w:sz w:val="20"/>
                <w:szCs w:val="20"/>
              </w:rPr>
            </w:pPr>
            <w:r>
              <w:rPr>
                <w:sz w:val="20"/>
                <w:szCs w:val="20"/>
              </w:rPr>
              <w:t>-</w:t>
            </w:r>
          </w:p>
        </w:tc>
      </w:tr>
      <w:tr w:rsidR="00E51BAE" w14:paraId="3EFEEFE1" w14:textId="77777777">
        <w:trPr>
          <w:trHeight w:val="300"/>
        </w:trPr>
        <w:tc>
          <w:tcPr>
            <w:tcW w:w="2745" w:type="dxa"/>
            <w:tcBorders>
              <w:top w:val="nil"/>
              <w:left w:val="nil"/>
              <w:bottom w:val="single" w:sz="6" w:space="0" w:color="000000"/>
              <w:right w:val="nil"/>
            </w:tcBorders>
            <w:tcMar>
              <w:top w:w="0" w:type="dxa"/>
              <w:left w:w="100" w:type="dxa"/>
              <w:bottom w:w="0" w:type="dxa"/>
              <w:right w:w="100" w:type="dxa"/>
            </w:tcMar>
          </w:tcPr>
          <w:p w14:paraId="000001C1" w14:textId="77777777" w:rsidR="00E51BAE" w:rsidRDefault="00236A55">
            <w:pPr>
              <w:spacing w:before="240"/>
              <w:rPr>
                <w:b/>
                <w:sz w:val="20"/>
                <w:szCs w:val="20"/>
              </w:rPr>
            </w:pPr>
            <w:r>
              <w:rPr>
                <w:b/>
                <w:sz w:val="20"/>
                <w:szCs w:val="20"/>
              </w:rPr>
              <w:t>Services not allocated</w:t>
            </w:r>
          </w:p>
        </w:tc>
        <w:tc>
          <w:tcPr>
            <w:tcW w:w="705" w:type="dxa"/>
            <w:tcBorders>
              <w:top w:val="nil"/>
              <w:left w:val="nil"/>
              <w:bottom w:val="single" w:sz="6" w:space="0" w:color="000000"/>
              <w:right w:val="nil"/>
            </w:tcBorders>
            <w:tcMar>
              <w:top w:w="0" w:type="dxa"/>
              <w:left w:w="100" w:type="dxa"/>
              <w:bottom w:w="0" w:type="dxa"/>
              <w:right w:w="100" w:type="dxa"/>
            </w:tcMar>
          </w:tcPr>
          <w:p w14:paraId="000001C2" w14:textId="77777777" w:rsidR="00E51BAE" w:rsidRDefault="00236A55">
            <w:pPr>
              <w:spacing w:before="240"/>
              <w:jc w:val="center"/>
              <w:rPr>
                <w:sz w:val="20"/>
                <w:szCs w:val="20"/>
              </w:rPr>
            </w:pPr>
            <w:r>
              <w:rPr>
                <w:sz w:val="20"/>
                <w:szCs w:val="20"/>
              </w:rPr>
              <w:t xml:space="preserve"> </w:t>
            </w:r>
          </w:p>
        </w:tc>
        <w:tc>
          <w:tcPr>
            <w:tcW w:w="750" w:type="dxa"/>
            <w:tcBorders>
              <w:top w:val="nil"/>
              <w:left w:val="nil"/>
              <w:bottom w:val="single" w:sz="6" w:space="0" w:color="000000"/>
              <w:right w:val="nil"/>
            </w:tcBorders>
            <w:tcMar>
              <w:top w:w="0" w:type="dxa"/>
              <w:left w:w="100" w:type="dxa"/>
              <w:bottom w:w="0" w:type="dxa"/>
              <w:right w:w="100" w:type="dxa"/>
            </w:tcMar>
          </w:tcPr>
          <w:p w14:paraId="000001C3" w14:textId="77777777" w:rsidR="00E51BAE" w:rsidRDefault="00236A55">
            <w:pPr>
              <w:spacing w:before="240"/>
              <w:jc w:val="center"/>
              <w:rPr>
                <w:sz w:val="20"/>
                <w:szCs w:val="20"/>
              </w:rPr>
            </w:pPr>
            <w:r>
              <w:rPr>
                <w:sz w:val="20"/>
                <w:szCs w:val="20"/>
              </w:rPr>
              <w:t xml:space="preserve"> </w:t>
            </w:r>
          </w:p>
        </w:tc>
        <w:tc>
          <w:tcPr>
            <w:tcW w:w="720" w:type="dxa"/>
            <w:tcBorders>
              <w:top w:val="nil"/>
              <w:left w:val="nil"/>
              <w:bottom w:val="single" w:sz="6" w:space="0" w:color="000000"/>
              <w:right w:val="nil"/>
            </w:tcBorders>
            <w:tcMar>
              <w:top w:w="0" w:type="dxa"/>
              <w:left w:w="100" w:type="dxa"/>
              <w:bottom w:w="0" w:type="dxa"/>
              <w:right w:w="100" w:type="dxa"/>
            </w:tcMar>
          </w:tcPr>
          <w:p w14:paraId="000001C4" w14:textId="77777777" w:rsidR="00E51BAE" w:rsidRDefault="00236A55">
            <w:pPr>
              <w:spacing w:before="240"/>
              <w:jc w:val="center"/>
              <w:rPr>
                <w:sz w:val="20"/>
                <w:szCs w:val="20"/>
              </w:rPr>
            </w:pPr>
            <w:r>
              <w:rPr>
                <w:sz w:val="20"/>
                <w:szCs w:val="20"/>
              </w:rPr>
              <w:t xml:space="preserve"> </w:t>
            </w:r>
          </w:p>
        </w:tc>
        <w:tc>
          <w:tcPr>
            <w:tcW w:w="705" w:type="dxa"/>
            <w:tcBorders>
              <w:top w:val="nil"/>
              <w:left w:val="nil"/>
              <w:bottom w:val="single" w:sz="6" w:space="0" w:color="000000"/>
              <w:right w:val="nil"/>
            </w:tcBorders>
            <w:tcMar>
              <w:top w:w="0" w:type="dxa"/>
              <w:left w:w="100" w:type="dxa"/>
              <w:bottom w:w="0" w:type="dxa"/>
              <w:right w:w="100" w:type="dxa"/>
            </w:tcMar>
          </w:tcPr>
          <w:p w14:paraId="000001C5" w14:textId="77777777" w:rsidR="00E51BAE" w:rsidRDefault="00236A55">
            <w:pPr>
              <w:spacing w:before="240"/>
              <w:jc w:val="center"/>
              <w:rPr>
                <w:sz w:val="20"/>
                <w:szCs w:val="20"/>
              </w:rPr>
            </w:pPr>
            <w:r>
              <w:rPr>
                <w:sz w:val="20"/>
                <w:szCs w:val="20"/>
              </w:rPr>
              <w:t xml:space="preserve"> </w:t>
            </w:r>
          </w:p>
        </w:tc>
        <w:tc>
          <w:tcPr>
            <w:tcW w:w="1275" w:type="dxa"/>
            <w:tcBorders>
              <w:top w:val="nil"/>
              <w:left w:val="nil"/>
              <w:bottom w:val="single" w:sz="6" w:space="0" w:color="000000"/>
              <w:right w:val="nil"/>
            </w:tcBorders>
            <w:tcMar>
              <w:top w:w="0" w:type="dxa"/>
              <w:left w:w="100" w:type="dxa"/>
              <w:bottom w:w="0" w:type="dxa"/>
              <w:right w:w="100" w:type="dxa"/>
            </w:tcMar>
          </w:tcPr>
          <w:p w14:paraId="000001C6" w14:textId="77777777" w:rsidR="00E51BAE" w:rsidRDefault="00236A55">
            <w:pPr>
              <w:spacing w:before="240"/>
              <w:jc w:val="center"/>
              <w:rPr>
                <w:sz w:val="20"/>
                <w:szCs w:val="20"/>
              </w:rPr>
            </w:pPr>
            <w:r>
              <w:rPr>
                <w:sz w:val="20"/>
                <w:szCs w:val="20"/>
              </w:rPr>
              <w:t>No</w:t>
            </w:r>
          </w:p>
        </w:tc>
        <w:tc>
          <w:tcPr>
            <w:tcW w:w="900" w:type="dxa"/>
            <w:tcBorders>
              <w:top w:val="nil"/>
              <w:left w:val="nil"/>
              <w:bottom w:val="single" w:sz="6" w:space="0" w:color="000000"/>
              <w:right w:val="nil"/>
            </w:tcBorders>
            <w:tcMar>
              <w:top w:w="0" w:type="dxa"/>
              <w:left w:w="100" w:type="dxa"/>
              <w:bottom w:w="0" w:type="dxa"/>
              <w:right w:w="100" w:type="dxa"/>
            </w:tcMar>
          </w:tcPr>
          <w:p w14:paraId="000001C7" w14:textId="77777777" w:rsidR="00E51BAE" w:rsidRDefault="00236A55">
            <w:pPr>
              <w:spacing w:before="240"/>
              <w:jc w:val="center"/>
              <w:rPr>
                <w:sz w:val="20"/>
                <w:szCs w:val="20"/>
              </w:rPr>
            </w:pPr>
            <w:r>
              <w:rPr>
                <w:sz w:val="20"/>
                <w:szCs w:val="20"/>
              </w:rPr>
              <w:t>0.18</w:t>
            </w:r>
          </w:p>
        </w:tc>
        <w:tc>
          <w:tcPr>
            <w:tcW w:w="1320" w:type="dxa"/>
            <w:tcBorders>
              <w:top w:val="nil"/>
              <w:left w:val="nil"/>
              <w:bottom w:val="single" w:sz="6" w:space="0" w:color="000000"/>
              <w:right w:val="nil"/>
            </w:tcBorders>
            <w:tcMar>
              <w:top w:w="0" w:type="dxa"/>
              <w:left w:w="100" w:type="dxa"/>
              <w:bottom w:w="0" w:type="dxa"/>
              <w:right w:w="100" w:type="dxa"/>
            </w:tcMar>
          </w:tcPr>
          <w:p w14:paraId="000001C8" w14:textId="77777777" w:rsidR="00E51BAE" w:rsidRDefault="00236A55">
            <w:pPr>
              <w:spacing w:before="240"/>
              <w:jc w:val="center"/>
              <w:rPr>
                <w:sz w:val="20"/>
                <w:szCs w:val="20"/>
              </w:rPr>
            </w:pPr>
            <w:r>
              <w:rPr>
                <w:sz w:val="20"/>
                <w:szCs w:val="20"/>
              </w:rPr>
              <w:t>-</w:t>
            </w:r>
          </w:p>
        </w:tc>
      </w:tr>
    </w:tbl>
    <w:p w14:paraId="000001C9" w14:textId="77777777" w:rsidR="00E51BAE" w:rsidRDefault="00E51BAE">
      <w:pPr>
        <w:rPr>
          <w:b/>
        </w:rPr>
      </w:pPr>
    </w:p>
    <w:sectPr w:rsidR="00E51BAE">
      <w:headerReference w:type="even" r:id="rId12"/>
      <w:headerReference w:type="default" r:id="rId13"/>
      <w:footerReference w:type="even" r:id="rId14"/>
      <w:footerReference w:type="default" r:id="rId15"/>
      <w:headerReference w:type="first" r:id="rId16"/>
      <w:footerReference w:type="first" r:id="rId17"/>
      <w:pgSz w:w="11906" w:h="16838"/>
      <w:pgMar w:top="1133" w:right="1273" w:bottom="1133" w:left="1133"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33A87A" w14:textId="77777777" w:rsidR="00B9541C" w:rsidRDefault="00B9541C">
      <w:pPr>
        <w:spacing w:line="240" w:lineRule="auto"/>
      </w:pPr>
      <w:r>
        <w:separator/>
      </w:r>
    </w:p>
  </w:endnote>
  <w:endnote w:type="continuationSeparator" w:id="0">
    <w:p w14:paraId="681FC571" w14:textId="77777777" w:rsidR="00B9541C" w:rsidRDefault="00B954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Aptos Narrow">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CE" w14:textId="77777777" w:rsidR="00E51BAE" w:rsidRDefault="00E51BAE">
    <w:pPr>
      <w:pBdr>
        <w:top w:val="nil"/>
        <w:left w:val="nil"/>
        <w:bottom w:val="nil"/>
        <w:right w:val="nil"/>
        <w:between w:val="nil"/>
      </w:pBdr>
      <w:tabs>
        <w:tab w:val="center" w:pos="4680"/>
        <w:tab w:val="right" w:pos="9360"/>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D0" w14:textId="77777777" w:rsidR="00E51BAE" w:rsidRDefault="00E51BA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CF" w14:textId="77777777" w:rsidR="00E51BAE" w:rsidRDefault="00E51BAE">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2B1967" w14:textId="77777777" w:rsidR="00B9541C" w:rsidRDefault="00B9541C">
      <w:pPr>
        <w:spacing w:line="240" w:lineRule="auto"/>
      </w:pPr>
      <w:r>
        <w:separator/>
      </w:r>
    </w:p>
  </w:footnote>
  <w:footnote w:type="continuationSeparator" w:id="0">
    <w:p w14:paraId="615FEB1C" w14:textId="77777777" w:rsidR="00B9541C" w:rsidRDefault="00B9541C">
      <w:pPr>
        <w:spacing w:line="240" w:lineRule="auto"/>
      </w:pPr>
      <w:r>
        <w:continuationSeparator/>
      </w:r>
    </w:p>
  </w:footnote>
  <w:footnote w:id="1">
    <w:p w14:paraId="4852E577" w14:textId="77777777" w:rsidR="00D87A46" w:rsidRPr="00262783" w:rsidRDefault="00D87A46" w:rsidP="00D87A46">
      <w:pPr>
        <w:pStyle w:val="FootnoteText"/>
      </w:pPr>
      <w:r>
        <w:rPr>
          <w:rStyle w:val="FootnoteReference"/>
        </w:rPr>
        <w:footnoteRef/>
      </w:r>
      <w:r>
        <w:t xml:space="preserve"> This paper builds on research supported by the </w:t>
      </w:r>
      <w:r w:rsidRPr="00262783">
        <w:t>African Economic Research Consortium</w:t>
      </w:r>
      <w:r>
        <w:t xml:space="preserve"> (AERC) as part of the </w:t>
      </w:r>
      <w:r w:rsidRPr="00262783">
        <w:t>Data Governance in Africa</w:t>
      </w:r>
      <w:r>
        <w:t xml:space="preserve"> project - </w:t>
      </w:r>
      <w:r w:rsidRPr="00262783">
        <w:t>Grant No: RC23525</w:t>
      </w:r>
      <w:r>
        <w:t xml:space="preserve">. </w:t>
      </w:r>
    </w:p>
  </w:footnote>
  <w:footnote w:id="2">
    <w:p w14:paraId="23F0F03C" w14:textId="5184DABB" w:rsidR="00F40713" w:rsidRDefault="00236A55">
      <w:pPr>
        <w:spacing w:line="240" w:lineRule="auto"/>
        <w:rPr>
          <w:sz w:val="20"/>
          <w:szCs w:val="20"/>
        </w:rPr>
      </w:pPr>
      <w:r>
        <w:rPr>
          <w:vertAlign w:val="superscript"/>
        </w:rPr>
        <w:footnoteRef/>
      </w:r>
      <w:r>
        <w:rPr>
          <w:sz w:val="20"/>
          <w:szCs w:val="20"/>
        </w:rPr>
        <w:t xml:space="preserve"> </w:t>
      </w:r>
      <w:r w:rsidR="00F40713" w:rsidRPr="00F40713">
        <w:rPr>
          <w:sz w:val="20"/>
          <w:szCs w:val="20"/>
        </w:rPr>
        <w:t xml:space="preserve">African Union, 'Data Policy Framework' (2022) </w:t>
      </w:r>
      <w:r w:rsidR="00F40713" w:rsidRPr="00F40713">
        <w:rPr>
          <w:color w:val="1155CC"/>
          <w:sz w:val="20"/>
          <w:szCs w:val="20"/>
          <w:u w:val="single"/>
        </w:rPr>
        <w:t>https://au.int/sites/default/files/documents/42078-doc-AU-DATA-POLICY-FRAMEWORK-ENG1.pdf</w:t>
      </w:r>
      <w:r w:rsidR="00F40713" w:rsidRPr="00F40713">
        <w:rPr>
          <w:sz w:val="20"/>
          <w:szCs w:val="20"/>
        </w:rPr>
        <w:t xml:space="preserve"> accessed 27 July 2024</w:t>
      </w:r>
      <w:r w:rsidR="009B0372">
        <w:rPr>
          <w:sz w:val="20"/>
          <w:szCs w:val="20"/>
        </w:rPr>
        <w:t>.</w:t>
      </w:r>
    </w:p>
  </w:footnote>
  <w:footnote w:id="3">
    <w:p w14:paraId="06DA534C" w14:textId="5AF3603D" w:rsidR="00CA2144" w:rsidRDefault="00236A55">
      <w:pPr>
        <w:spacing w:line="240" w:lineRule="auto"/>
        <w:rPr>
          <w:sz w:val="20"/>
          <w:szCs w:val="20"/>
        </w:rPr>
      </w:pPr>
      <w:r>
        <w:rPr>
          <w:vertAlign w:val="superscript"/>
        </w:rPr>
        <w:footnoteRef/>
      </w:r>
      <w:r>
        <w:rPr>
          <w:sz w:val="20"/>
          <w:szCs w:val="20"/>
        </w:rPr>
        <w:t xml:space="preserve"> </w:t>
      </w:r>
      <w:r w:rsidR="00CA2144" w:rsidRPr="00CA2144">
        <w:rPr>
          <w:sz w:val="20"/>
          <w:szCs w:val="20"/>
        </w:rPr>
        <w:t xml:space="preserve">African Union, 'The Digital Transformation Strategy for Africa (2020-2030)' (2020) </w:t>
      </w:r>
      <w:r w:rsidR="00CA2144" w:rsidRPr="00CA2144">
        <w:rPr>
          <w:color w:val="1155CC"/>
          <w:sz w:val="20"/>
          <w:szCs w:val="20"/>
          <w:u w:val="single"/>
        </w:rPr>
        <w:t>https://au.int/sites/default/files/documents/38507-doc-dts-english.pdf</w:t>
      </w:r>
      <w:r w:rsidR="00CA2144" w:rsidRPr="00CA2144">
        <w:rPr>
          <w:sz w:val="20"/>
          <w:szCs w:val="20"/>
        </w:rPr>
        <w:t xml:space="preserve"> accessed 27 July 2024</w:t>
      </w:r>
      <w:r w:rsidR="00130AFA">
        <w:rPr>
          <w:sz w:val="20"/>
          <w:szCs w:val="20"/>
        </w:rPr>
        <w:t>.</w:t>
      </w:r>
    </w:p>
  </w:footnote>
  <w:footnote w:id="4">
    <w:p w14:paraId="2AEF9B6D" w14:textId="37DD495F" w:rsidR="00D9087D" w:rsidRDefault="00D9087D" w:rsidP="00D9087D">
      <w:pPr>
        <w:spacing w:line="240" w:lineRule="auto"/>
        <w:rPr>
          <w:sz w:val="20"/>
          <w:szCs w:val="20"/>
        </w:rPr>
      </w:pPr>
      <w:r>
        <w:rPr>
          <w:vertAlign w:val="superscript"/>
        </w:rPr>
        <w:footnoteRef/>
      </w:r>
      <w:r>
        <w:rPr>
          <w:sz w:val="20"/>
          <w:szCs w:val="20"/>
        </w:rPr>
        <w:t xml:space="preserve"> The Digital Protocol was adopted </w:t>
      </w:r>
      <w:r w:rsidR="00A3732D">
        <w:rPr>
          <w:sz w:val="20"/>
          <w:szCs w:val="20"/>
        </w:rPr>
        <w:t>d</w:t>
      </w:r>
      <w:r w:rsidR="00A3732D" w:rsidRPr="00A3732D">
        <w:rPr>
          <w:sz w:val="20"/>
          <w:szCs w:val="20"/>
        </w:rPr>
        <w:t xml:space="preserve">uring </w:t>
      </w:r>
      <w:r w:rsidR="00A3732D">
        <w:rPr>
          <w:sz w:val="20"/>
          <w:szCs w:val="20"/>
        </w:rPr>
        <w:t>the</w:t>
      </w:r>
      <w:r w:rsidR="00A3732D" w:rsidRPr="00A3732D">
        <w:rPr>
          <w:sz w:val="20"/>
          <w:szCs w:val="20"/>
        </w:rPr>
        <w:t xml:space="preserve"> 37</w:t>
      </w:r>
      <w:r w:rsidR="00A3732D" w:rsidRPr="00A3732D">
        <w:rPr>
          <w:sz w:val="20"/>
          <w:szCs w:val="20"/>
          <w:vertAlign w:val="superscript"/>
        </w:rPr>
        <w:t>th</w:t>
      </w:r>
      <w:r w:rsidR="00A3732D">
        <w:rPr>
          <w:sz w:val="20"/>
          <w:szCs w:val="20"/>
        </w:rPr>
        <w:t xml:space="preserve"> </w:t>
      </w:r>
      <w:r w:rsidR="00A3732D" w:rsidRPr="00A3732D">
        <w:rPr>
          <w:sz w:val="20"/>
          <w:szCs w:val="20"/>
        </w:rPr>
        <w:t>Ordinary Sessio</w:t>
      </w:r>
      <w:r w:rsidR="00A3732D">
        <w:rPr>
          <w:sz w:val="20"/>
          <w:szCs w:val="20"/>
        </w:rPr>
        <w:t xml:space="preserve">n of the </w:t>
      </w:r>
      <w:r w:rsidR="00A3732D" w:rsidRPr="00A3732D">
        <w:rPr>
          <w:sz w:val="20"/>
          <w:szCs w:val="20"/>
        </w:rPr>
        <w:t>African Union held from 17 to 18 February 2024 in Addis Ababa, Ethiopia</w:t>
      </w:r>
      <w:r w:rsidR="00A3732D">
        <w:rPr>
          <w:sz w:val="20"/>
          <w:szCs w:val="20"/>
        </w:rPr>
        <w:t>.</w:t>
      </w:r>
      <w:r w:rsidR="0046684F">
        <w:rPr>
          <w:sz w:val="20"/>
          <w:szCs w:val="20"/>
        </w:rPr>
        <w:t xml:space="preserve"> </w:t>
      </w:r>
      <w:r w:rsidR="0014200D">
        <w:rPr>
          <w:sz w:val="20"/>
          <w:szCs w:val="20"/>
        </w:rPr>
        <w:t xml:space="preserve">See </w:t>
      </w:r>
      <w:proofErr w:type="spellStart"/>
      <w:r w:rsidR="00877654" w:rsidRPr="00877654">
        <w:rPr>
          <w:sz w:val="20"/>
          <w:szCs w:val="20"/>
        </w:rPr>
        <w:t>Tralac</w:t>
      </w:r>
      <w:proofErr w:type="spellEnd"/>
      <w:r w:rsidR="00877654" w:rsidRPr="00877654">
        <w:rPr>
          <w:sz w:val="20"/>
          <w:szCs w:val="20"/>
        </w:rPr>
        <w:t xml:space="preserve">, 'Scope and Details of the Annexes to the </w:t>
      </w:r>
      <w:proofErr w:type="spellStart"/>
      <w:r w:rsidR="00877654" w:rsidRPr="00877654">
        <w:rPr>
          <w:sz w:val="20"/>
          <w:szCs w:val="20"/>
        </w:rPr>
        <w:t>AfCFTA</w:t>
      </w:r>
      <w:proofErr w:type="spellEnd"/>
      <w:r w:rsidR="00877654" w:rsidRPr="00877654">
        <w:rPr>
          <w:sz w:val="20"/>
          <w:szCs w:val="20"/>
        </w:rPr>
        <w:t xml:space="preserve"> Protocol on Digital Trade' (</w:t>
      </w:r>
      <w:proofErr w:type="spellStart"/>
      <w:r w:rsidR="00877654" w:rsidRPr="00877654">
        <w:rPr>
          <w:sz w:val="20"/>
          <w:szCs w:val="20"/>
        </w:rPr>
        <w:t>Tralac</w:t>
      </w:r>
      <w:proofErr w:type="spellEnd"/>
      <w:r w:rsidR="00877654" w:rsidRPr="00877654">
        <w:rPr>
          <w:sz w:val="20"/>
          <w:szCs w:val="20"/>
        </w:rPr>
        <w:t xml:space="preserve"> 2024 Annual Conference, 2024) </w:t>
      </w:r>
      <w:r w:rsidR="00877654" w:rsidRPr="00877654">
        <w:rPr>
          <w:color w:val="1155CC"/>
          <w:sz w:val="20"/>
          <w:szCs w:val="20"/>
          <w:u w:val="single"/>
        </w:rPr>
        <w:t>https://www.tralac.org/documents/events/tralac/5394-2024-annual-conference-note-scope-details-of-annexes-to-the-afcfta-protocol-on-digital-trade/file.html</w:t>
      </w:r>
      <w:r w:rsidR="00877654" w:rsidRPr="00877654">
        <w:rPr>
          <w:sz w:val="20"/>
          <w:szCs w:val="20"/>
        </w:rPr>
        <w:t xml:space="preserve"> accessed</w:t>
      </w:r>
      <w:r w:rsidR="00877654">
        <w:rPr>
          <w:sz w:val="20"/>
          <w:szCs w:val="20"/>
        </w:rPr>
        <w:t xml:space="preserve"> 29 July 2024</w:t>
      </w:r>
      <w:r w:rsidR="00877654" w:rsidRPr="00877654">
        <w:rPr>
          <w:sz w:val="20"/>
          <w:szCs w:val="20"/>
        </w:rPr>
        <w:t>.</w:t>
      </w:r>
      <w:r w:rsidR="0014200D">
        <w:rPr>
          <w:sz w:val="20"/>
          <w:szCs w:val="20"/>
        </w:rPr>
        <w:t xml:space="preserve"> It requires 22 ratifications to go into force. </w:t>
      </w:r>
      <w:r w:rsidR="0046684F">
        <w:rPr>
          <w:sz w:val="20"/>
          <w:szCs w:val="20"/>
        </w:rPr>
        <w:t xml:space="preserve">While the adopted text is not </w:t>
      </w:r>
      <w:r w:rsidR="0014200D">
        <w:rPr>
          <w:sz w:val="20"/>
          <w:szCs w:val="20"/>
        </w:rPr>
        <w:t xml:space="preserve">yet </w:t>
      </w:r>
      <w:r w:rsidR="0046684F">
        <w:rPr>
          <w:sz w:val="20"/>
          <w:szCs w:val="20"/>
        </w:rPr>
        <w:t>available</w:t>
      </w:r>
      <w:r w:rsidR="0014200D">
        <w:rPr>
          <w:sz w:val="20"/>
          <w:szCs w:val="20"/>
        </w:rPr>
        <w:t xml:space="preserve"> online</w:t>
      </w:r>
      <w:r w:rsidR="0046684F">
        <w:rPr>
          <w:sz w:val="20"/>
          <w:szCs w:val="20"/>
        </w:rPr>
        <w:t>, a draft version of the text as of February 9</w:t>
      </w:r>
      <w:r w:rsidR="0046684F" w:rsidRPr="0046684F">
        <w:rPr>
          <w:sz w:val="20"/>
          <w:szCs w:val="20"/>
          <w:vertAlign w:val="superscript"/>
        </w:rPr>
        <w:t>th</w:t>
      </w:r>
      <w:r w:rsidR="0046684F">
        <w:rPr>
          <w:sz w:val="20"/>
          <w:szCs w:val="20"/>
        </w:rPr>
        <w:t xml:space="preserve"> </w:t>
      </w:r>
      <w:r>
        <w:rPr>
          <w:sz w:val="20"/>
          <w:szCs w:val="20"/>
        </w:rPr>
        <w:t xml:space="preserve">has been leaked by Bilaterls.org and is available at the following link: </w:t>
      </w:r>
      <w:hyperlink r:id="rId1">
        <w:r>
          <w:rPr>
            <w:color w:val="1155CC"/>
            <w:sz w:val="20"/>
            <w:szCs w:val="20"/>
            <w:u w:val="single"/>
          </w:rPr>
          <w:t>https://www.bilaterals.org/IMG/pdf/afcfta_digital_trade_protocol_-_9_february_2024_draft.pdf</w:t>
        </w:r>
      </w:hyperlink>
      <w:r>
        <w:rPr>
          <w:sz w:val="20"/>
          <w:szCs w:val="20"/>
        </w:rPr>
        <w:t xml:space="preserve"> </w:t>
      </w:r>
    </w:p>
  </w:footnote>
  <w:footnote w:id="5">
    <w:p w14:paraId="000001D1" w14:textId="46119DAC" w:rsidR="00E51BAE" w:rsidRDefault="00236A55">
      <w:pPr>
        <w:spacing w:line="240" w:lineRule="auto"/>
        <w:rPr>
          <w:sz w:val="20"/>
          <w:szCs w:val="20"/>
        </w:rPr>
      </w:pPr>
      <w:r>
        <w:rPr>
          <w:vertAlign w:val="superscript"/>
        </w:rPr>
        <w:footnoteRef/>
      </w:r>
      <w:r>
        <w:rPr>
          <w:sz w:val="20"/>
          <w:szCs w:val="20"/>
        </w:rPr>
        <w:t xml:space="preserve"> The countries included in the analysis are the following: Algeria, Angola, Benin, Botswana, Burkina Faso, Burundi, Cape Verde, Cameroon, Central African Republic, Chad, Comoros, Congo, Côte d'Ivoire, Djibouti, D.R Congo, Egypt, Equatorial Guinea, Eritrea, Eswatini, Ethiopia, Gabon, Gambia, Ghana, Guinea, Guinea-Bissau, Kenya, Lesotho, Liberia, Libya, Madagascar, Malawi, Mali, Mauritania, Mauritius, Morocco, Mozambique, Namibia, Niger, Nigeria, Rwanda, São Tomé &amp; Principe, Senegal, Seychelles, Sierra Leone, Somalia, South Africa, South Sudan, Sudan, Tanzania, Togo, Tunisia, Uganda, Zambia, and Zimbabwe. </w:t>
      </w:r>
    </w:p>
  </w:footnote>
  <w:footnote w:id="6">
    <w:p w14:paraId="3D68714A" w14:textId="08C8F16A" w:rsidR="00CE5E7A" w:rsidRDefault="00236A55">
      <w:pPr>
        <w:spacing w:line="240" w:lineRule="auto"/>
        <w:rPr>
          <w:sz w:val="20"/>
          <w:szCs w:val="20"/>
        </w:rPr>
      </w:pPr>
      <w:r>
        <w:rPr>
          <w:vertAlign w:val="superscript"/>
        </w:rPr>
        <w:footnoteRef/>
      </w:r>
      <w:r>
        <w:rPr>
          <w:sz w:val="20"/>
          <w:szCs w:val="20"/>
        </w:rPr>
        <w:t xml:space="preserve"> </w:t>
      </w:r>
      <w:r w:rsidR="00CE5E7A" w:rsidRPr="00CE5E7A">
        <w:rPr>
          <w:sz w:val="20"/>
          <w:szCs w:val="20"/>
        </w:rPr>
        <w:t>MF Ferracane (ed), Digital Trade Integration Database (2022) European University Institute et al. &lt;</w:t>
      </w:r>
      <w:r w:rsidR="00CE5E7A" w:rsidRPr="00D345F8">
        <w:rPr>
          <w:color w:val="1155CC"/>
          <w:sz w:val="20"/>
          <w:szCs w:val="20"/>
          <w:u w:val="single"/>
        </w:rPr>
        <w:t>dti.eui.eu</w:t>
      </w:r>
      <w:r w:rsidR="00CE5E7A" w:rsidRPr="00CE5E7A">
        <w:rPr>
          <w:sz w:val="20"/>
          <w:szCs w:val="20"/>
        </w:rPr>
        <w:t>&gt; accessed 27 July 2024</w:t>
      </w:r>
      <w:r w:rsidR="009B0372">
        <w:rPr>
          <w:sz w:val="20"/>
          <w:szCs w:val="20"/>
        </w:rPr>
        <w:t>.</w:t>
      </w:r>
    </w:p>
  </w:footnote>
  <w:footnote w:id="7">
    <w:p w14:paraId="42CFE849" w14:textId="01B68123" w:rsidR="00E11345" w:rsidRPr="00E11345" w:rsidRDefault="00E11345">
      <w:pPr>
        <w:pStyle w:val="FootnoteText"/>
        <w:rPr>
          <w:lang w:val="en-US"/>
        </w:rPr>
      </w:pPr>
      <w:r>
        <w:rPr>
          <w:rStyle w:val="FootnoteReference"/>
        </w:rPr>
        <w:footnoteRef/>
      </w:r>
      <w:r>
        <w:t xml:space="preserve"> </w:t>
      </w:r>
      <w:r w:rsidRPr="00E11345">
        <w:t xml:space="preserve">World Bank, 'World Development Report 2021: Data for Better Lives' (2021) World Bank, Washington, DC </w:t>
      </w:r>
      <w:r w:rsidRPr="00A94974">
        <w:rPr>
          <w:color w:val="1155CC"/>
          <w:u w:val="single"/>
        </w:rPr>
        <w:t>https://www.worldbank.org/en/publication/wdr2021</w:t>
      </w:r>
      <w:r w:rsidRPr="00E11345">
        <w:t xml:space="preserve"> accessed 27 July 2024</w:t>
      </w:r>
      <w:r w:rsidR="009B0372">
        <w:t>.</w:t>
      </w:r>
    </w:p>
  </w:footnote>
  <w:footnote w:id="8">
    <w:p w14:paraId="31C877B3" w14:textId="67F06737" w:rsidR="00A248C0" w:rsidRPr="00A248C0" w:rsidRDefault="00A248C0">
      <w:pPr>
        <w:pStyle w:val="FootnoteText"/>
      </w:pPr>
      <w:r>
        <w:rPr>
          <w:rStyle w:val="FootnoteReference"/>
        </w:rPr>
        <w:footnoteRef/>
      </w:r>
      <w:r>
        <w:t xml:space="preserve"> For an overview of all policies restricting data transfers, see </w:t>
      </w:r>
      <w:r w:rsidR="006E32FE" w:rsidRPr="006E32FE">
        <w:t xml:space="preserve">MF Ferracane and S González Ugarte, 'Data Localisation: Global Trends' (EUI, RSC, Working Paper, 2024/21, Global Governance Society) </w:t>
      </w:r>
      <w:r w:rsidR="006E32FE" w:rsidRPr="00D345F8">
        <w:rPr>
          <w:color w:val="1155CC"/>
          <w:u w:val="single"/>
        </w:rPr>
        <w:t>https://hdl.handle.net/1814/77051</w:t>
      </w:r>
      <w:r w:rsidR="006E32FE" w:rsidRPr="006E32FE">
        <w:t xml:space="preserve"> accessed 29 July 2024</w:t>
      </w:r>
      <w:r w:rsidR="00E416E1">
        <w:t>.</w:t>
      </w:r>
    </w:p>
  </w:footnote>
  <w:footnote w:id="9">
    <w:p w14:paraId="35C112F8" w14:textId="0CA1B5CF" w:rsidR="002B7C44" w:rsidRPr="002B7C44" w:rsidRDefault="002B7C44">
      <w:pPr>
        <w:pStyle w:val="FootnoteText"/>
        <w:rPr>
          <w:lang w:val="en-US"/>
        </w:rPr>
      </w:pPr>
      <w:r>
        <w:rPr>
          <w:rStyle w:val="FootnoteReference"/>
        </w:rPr>
        <w:footnoteRef/>
      </w:r>
      <w:r>
        <w:t xml:space="preserve"> </w:t>
      </w:r>
      <w:r w:rsidRPr="002B7C44">
        <w:t xml:space="preserve">MF Ferracane and E Van der </w:t>
      </w:r>
      <w:proofErr w:type="spellStart"/>
      <w:r w:rsidRPr="002B7C44">
        <w:t>Marel</w:t>
      </w:r>
      <w:proofErr w:type="spellEnd"/>
      <w:r w:rsidRPr="002B7C44">
        <w:t>, 'Digital Trade’s Regulatory Environment: Opportunities for Regulatory Harmonisation in Africa' (2023) UN-ECA, Addis Ababa</w:t>
      </w:r>
      <w:r>
        <w:t>.</w:t>
      </w:r>
    </w:p>
  </w:footnote>
  <w:footnote w:id="10">
    <w:p w14:paraId="08B41264" w14:textId="15981DE7" w:rsidR="00556861" w:rsidRPr="00556861" w:rsidRDefault="00556861">
      <w:pPr>
        <w:pStyle w:val="FootnoteText"/>
      </w:pPr>
      <w:r>
        <w:rPr>
          <w:rStyle w:val="FootnoteReference"/>
        </w:rPr>
        <w:footnoteRef/>
      </w:r>
      <w:r>
        <w:t xml:space="preserve"> </w:t>
      </w:r>
      <w:r w:rsidRPr="00556861">
        <w:t xml:space="preserve">MF Ferracane and E Van der </w:t>
      </w:r>
      <w:proofErr w:type="spellStart"/>
      <w:r w:rsidRPr="00556861">
        <w:t>Marel</w:t>
      </w:r>
      <w:proofErr w:type="spellEnd"/>
      <w:r w:rsidRPr="00556861">
        <w:t>, 'Regulating Personal Data: Data Models and Digital Services Trade' (2021b) Policy Research Working Paper No. 9596, World Bank, Washington, DC</w:t>
      </w:r>
      <w:r>
        <w:t>.</w:t>
      </w:r>
    </w:p>
  </w:footnote>
  <w:footnote w:id="11">
    <w:p w14:paraId="56279DC0" w14:textId="44F63B59" w:rsidR="001C6DB4" w:rsidRPr="00556861" w:rsidRDefault="001C6DB4">
      <w:pPr>
        <w:pStyle w:val="FootnoteText"/>
        <w:rPr>
          <w:lang w:val="en-US"/>
        </w:rPr>
      </w:pPr>
      <w:r>
        <w:rPr>
          <w:rStyle w:val="FootnoteReference"/>
        </w:rPr>
        <w:footnoteRef/>
      </w:r>
      <w:r>
        <w:t xml:space="preserve"> </w:t>
      </w:r>
      <w:r w:rsidRPr="001C6DB4">
        <w:t xml:space="preserve">MF Ferracane, J </w:t>
      </w:r>
      <w:proofErr w:type="spellStart"/>
      <w:r w:rsidRPr="001C6DB4">
        <w:t>Kren</w:t>
      </w:r>
      <w:proofErr w:type="spellEnd"/>
      <w:r w:rsidRPr="001C6DB4">
        <w:t xml:space="preserve">, and E Van der </w:t>
      </w:r>
      <w:proofErr w:type="spellStart"/>
      <w:r w:rsidRPr="001C6DB4">
        <w:t>Marel</w:t>
      </w:r>
      <w:proofErr w:type="spellEnd"/>
      <w:r w:rsidRPr="001C6DB4">
        <w:t>, 'Do Data Policy Restrictions Impact the Productivity Performance of Firms and Industries?' (2020) 28(3) Review of International Economics 676-722</w:t>
      </w:r>
      <w:r w:rsidR="006E32FE">
        <w:t xml:space="preserve">; </w:t>
      </w:r>
      <w:r w:rsidR="006E32FE" w:rsidRPr="006E32FE">
        <w:t xml:space="preserve">MF Ferracane and E Van der </w:t>
      </w:r>
      <w:proofErr w:type="spellStart"/>
      <w:r w:rsidR="006E32FE" w:rsidRPr="006E32FE">
        <w:t>Marel</w:t>
      </w:r>
      <w:proofErr w:type="spellEnd"/>
      <w:r w:rsidR="006E32FE" w:rsidRPr="006E32FE">
        <w:t>, 'Do Data Flows Restrictions Inhibit Trade in Services?' (2021a) 157(4) Review of World Economics 727-76</w:t>
      </w:r>
      <w:r w:rsidR="00556861">
        <w:t xml:space="preserve">; </w:t>
      </w:r>
      <w:r w:rsidR="00556861" w:rsidRPr="00556861">
        <w:t xml:space="preserve">MF Ferracane and E Van der </w:t>
      </w:r>
      <w:proofErr w:type="spellStart"/>
      <w:r w:rsidR="00556861" w:rsidRPr="00556861">
        <w:t>Marel</w:t>
      </w:r>
      <w:proofErr w:type="spellEnd"/>
      <w:r w:rsidR="00556861" w:rsidRPr="00556861">
        <w:t>, 'Governing Personal Data and Trade in Digital Services' (2024) Special Issue Paper, Review of International Economics, March 2024</w:t>
      </w:r>
      <w:r w:rsidR="00556861">
        <w:t>;</w:t>
      </w:r>
      <w:r w:rsidR="00DE586B" w:rsidRPr="00DE586B">
        <w:t xml:space="preserve"> </w:t>
      </w:r>
      <w:r w:rsidR="00DE586B" w:rsidRPr="00490156">
        <w:t xml:space="preserve">J López González, F </w:t>
      </w:r>
      <w:proofErr w:type="spellStart"/>
      <w:r w:rsidR="00DE586B" w:rsidRPr="00490156">
        <w:t>Casalini</w:t>
      </w:r>
      <w:proofErr w:type="spellEnd"/>
      <w:r w:rsidR="00DE586B" w:rsidRPr="00490156">
        <w:t xml:space="preserve">, and J Porras, 'A Preliminary Mapping of Data Localisation Measures' (2022) OECD Trade Policy Papers No. 262, OECD Publishing, Paris </w:t>
      </w:r>
      <w:r w:rsidR="00DE586B" w:rsidRPr="00490156">
        <w:rPr>
          <w:color w:val="1155CC"/>
          <w:u w:val="single"/>
        </w:rPr>
        <w:t>https://doi.org/10.1787/c5ca3fed-en</w:t>
      </w:r>
      <w:r w:rsidR="00DE586B" w:rsidRPr="00490156">
        <w:t xml:space="preserve"> accessed 27 July 2024</w:t>
      </w:r>
      <w:r w:rsidR="00DE586B">
        <w:t>.</w:t>
      </w:r>
    </w:p>
  </w:footnote>
  <w:footnote w:id="12">
    <w:p w14:paraId="41EBA421" w14:textId="41D369AE" w:rsidR="006E32FE" w:rsidRPr="00DE586B" w:rsidRDefault="006E32FE">
      <w:pPr>
        <w:pStyle w:val="FootnoteText"/>
        <w:rPr>
          <w:lang w:val="it-IT"/>
        </w:rPr>
      </w:pPr>
      <w:r>
        <w:rPr>
          <w:rStyle w:val="FootnoteReference"/>
        </w:rPr>
        <w:footnoteRef/>
      </w:r>
      <w:r w:rsidR="00DE586B" w:rsidRPr="00DE586B">
        <w:rPr>
          <w:lang w:val="it-IT"/>
        </w:rPr>
        <w:t xml:space="preserve">Ferracane and E Van </w:t>
      </w:r>
      <w:proofErr w:type="spellStart"/>
      <w:r w:rsidR="00DE586B" w:rsidRPr="00DE586B">
        <w:rPr>
          <w:lang w:val="it-IT"/>
        </w:rPr>
        <w:t>der</w:t>
      </w:r>
      <w:proofErr w:type="spellEnd"/>
      <w:r w:rsidR="00DE586B" w:rsidRPr="00DE586B">
        <w:rPr>
          <w:lang w:val="it-IT"/>
        </w:rPr>
        <w:t xml:space="preserve"> </w:t>
      </w:r>
      <w:proofErr w:type="spellStart"/>
      <w:r w:rsidR="00DE586B" w:rsidRPr="00DE586B">
        <w:rPr>
          <w:lang w:val="it-IT"/>
        </w:rPr>
        <w:t>Marel</w:t>
      </w:r>
      <w:proofErr w:type="spellEnd"/>
      <w:r w:rsidR="00DE586B" w:rsidRPr="00DE586B">
        <w:rPr>
          <w:lang w:val="it-IT"/>
        </w:rPr>
        <w:t xml:space="preserve">, </w:t>
      </w:r>
      <w:proofErr w:type="spellStart"/>
      <w:r w:rsidR="00DE586B" w:rsidRPr="00DE586B">
        <w:rPr>
          <w:i/>
          <w:iCs/>
          <w:lang w:val="it-IT"/>
        </w:rPr>
        <w:t>supra</w:t>
      </w:r>
      <w:proofErr w:type="spellEnd"/>
      <w:r w:rsidR="00DE586B">
        <w:rPr>
          <w:lang w:val="it-IT"/>
        </w:rPr>
        <w:t xml:space="preserve"> note 10.</w:t>
      </w:r>
    </w:p>
  </w:footnote>
  <w:footnote w:id="13">
    <w:p w14:paraId="6FFA6CBB" w14:textId="18538D1F" w:rsidR="00490156" w:rsidRPr="00DE586B" w:rsidRDefault="00490156">
      <w:pPr>
        <w:pStyle w:val="FootnoteText"/>
        <w:rPr>
          <w:lang w:val="it-IT"/>
        </w:rPr>
      </w:pPr>
      <w:r>
        <w:rPr>
          <w:rStyle w:val="FootnoteReference"/>
        </w:rPr>
        <w:footnoteRef/>
      </w:r>
      <w:r w:rsidRPr="00DE586B">
        <w:rPr>
          <w:lang w:val="it-IT"/>
        </w:rPr>
        <w:t xml:space="preserve"> </w:t>
      </w:r>
      <w:r w:rsidR="00DE586B" w:rsidRPr="00DE586B">
        <w:rPr>
          <w:lang w:val="it-IT"/>
        </w:rPr>
        <w:t xml:space="preserve">López González </w:t>
      </w:r>
      <w:r w:rsidR="00DE586B" w:rsidRPr="00DE586B">
        <w:rPr>
          <w:i/>
          <w:iCs/>
          <w:lang w:val="it-IT"/>
        </w:rPr>
        <w:t>et al</w:t>
      </w:r>
      <w:r w:rsidR="00DE586B" w:rsidRPr="00DE586B">
        <w:rPr>
          <w:lang w:val="it-IT"/>
        </w:rPr>
        <w:t xml:space="preserve">, </w:t>
      </w:r>
      <w:proofErr w:type="spellStart"/>
      <w:r w:rsidR="00DE586B" w:rsidRPr="00DE586B">
        <w:rPr>
          <w:i/>
          <w:iCs/>
          <w:lang w:val="it-IT"/>
        </w:rPr>
        <w:t>supra</w:t>
      </w:r>
      <w:proofErr w:type="spellEnd"/>
      <w:r w:rsidR="00DE586B">
        <w:rPr>
          <w:lang w:val="it-IT"/>
        </w:rPr>
        <w:t xml:space="preserve"> note 10.</w:t>
      </w:r>
    </w:p>
  </w:footnote>
  <w:footnote w:id="14">
    <w:p w14:paraId="3ECC3668" w14:textId="28FE85CE" w:rsidR="005B3CCC" w:rsidRPr="005B3CCC" w:rsidRDefault="005B3CCC">
      <w:pPr>
        <w:pStyle w:val="FootnoteText"/>
        <w:rPr>
          <w:lang w:val="en-US"/>
        </w:rPr>
      </w:pPr>
      <w:r>
        <w:rPr>
          <w:rStyle w:val="FootnoteReference"/>
        </w:rPr>
        <w:footnoteRef/>
      </w:r>
      <w:r>
        <w:t xml:space="preserve"> </w:t>
      </w:r>
      <w:r w:rsidRPr="005B3CCC">
        <w:t xml:space="preserve">USITC, 'U.S.-Mexico-Canada Trade Agreement: Likely Impact on the US Economy and on Specific Industry Sectors' (2019) </w:t>
      </w:r>
      <w:r w:rsidRPr="005B3CCC">
        <w:rPr>
          <w:color w:val="1155CC"/>
          <w:u w:val="single"/>
        </w:rPr>
        <w:t>https://www.usitc.gov/publications/332/pub4889.pdf</w:t>
      </w:r>
      <w:r w:rsidRPr="005B3CCC">
        <w:t xml:space="preserve"> accessed 27 July 2024</w:t>
      </w:r>
      <w:r>
        <w:t>.</w:t>
      </w:r>
    </w:p>
  </w:footnote>
  <w:footnote w:id="15">
    <w:p w14:paraId="362E39E7" w14:textId="73B2AC18" w:rsidR="001C6DB4" w:rsidRPr="001C6DB4" w:rsidRDefault="001C6DB4">
      <w:pPr>
        <w:pStyle w:val="FootnoteText"/>
      </w:pPr>
      <w:r>
        <w:rPr>
          <w:rStyle w:val="FootnoteReference"/>
        </w:rPr>
        <w:footnoteRef/>
      </w:r>
      <w:r>
        <w:t xml:space="preserve"> </w:t>
      </w:r>
      <w:r w:rsidRPr="00B43B6D">
        <w:t xml:space="preserve">MF Ferracane, J </w:t>
      </w:r>
      <w:proofErr w:type="spellStart"/>
      <w:r w:rsidRPr="00B43B6D">
        <w:t>Kren</w:t>
      </w:r>
      <w:proofErr w:type="spellEnd"/>
      <w:r w:rsidRPr="00B43B6D">
        <w:t xml:space="preserve">, and E Van der </w:t>
      </w:r>
      <w:proofErr w:type="spellStart"/>
      <w:r w:rsidRPr="00B43B6D">
        <w:t>Marel</w:t>
      </w:r>
      <w:proofErr w:type="spellEnd"/>
      <w:r w:rsidRPr="00B43B6D">
        <w:t xml:space="preserve">, </w:t>
      </w:r>
      <w:r w:rsidR="00B43B6D" w:rsidRPr="00B43B6D">
        <w:rPr>
          <w:i/>
          <w:iCs/>
        </w:rPr>
        <w:t>supra</w:t>
      </w:r>
      <w:r w:rsidR="00B43B6D" w:rsidRPr="007F1F20">
        <w:t xml:space="preserve"> footnote</w:t>
      </w:r>
      <w:r w:rsidR="00B43B6D">
        <w:t xml:space="preserve"> </w:t>
      </w:r>
      <w:r w:rsidR="00FA1FFE">
        <w:t>10</w:t>
      </w:r>
      <w:r w:rsidR="00B43B6D">
        <w:t>.</w:t>
      </w:r>
    </w:p>
  </w:footnote>
  <w:footnote w:id="16">
    <w:p w14:paraId="65A08AD0" w14:textId="51E74389" w:rsidR="00A94974" w:rsidRPr="00A94974" w:rsidRDefault="00A94974">
      <w:pPr>
        <w:pStyle w:val="FootnoteText"/>
        <w:rPr>
          <w:color w:val="FF0000"/>
          <w:lang w:val="en-US"/>
        </w:rPr>
      </w:pPr>
      <w:r>
        <w:rPr>
          <w:rStyle w:val="FootnoteReference"/>
        </w:rPr>
        <w:footnoteRef/>
      </w:r>
      <w:r>
        <w:t xml:space="preserve"> </w:t>
      </w:r>
      <w:r w:rsidRPr="00A94974">
        <w:t>World Bank</w:t>
      </w:r>
      <w:r w:rsidR="007F1F20">
        <w:t xml:space="preserve">, </w:t>
      </w:r>
      <w:bookmarkStart w:id="8" w:name="_Hlk173187833"/>
      <w:r w:rsidR="007F1F20" w:rsidRPr="007F1F20">
        <w:rPr>
          <w:i/>
          <w:iCs/>
        </w:rPr>
        <w:t>supra</w:t>
      </w:r>
      <w:r w:rsidR="007F1F20" w:rsidRPr="007F1F20">
        <w:t xml:space="preserve"> footnote</w:t>
      </w:r>
      <w:r w:rsidR="007F1F20">
        <w:t xml:space="preserve"> 6</w:t>
      </w:r>
      <w:bookmarkEnd w:id="8"/>
      <w:r w:rsidR="007F1F20">
        <w:t>.</w:t>
      </w:r>
    </w:p>
  </w:footnote>
  <w:footnote w:id="17">
    <w:p w14:paraId="535EEF93" w14:textId="7F0A7E47" w:rsidR="000A2B61" w:rsidRPr="00556861" w:rsidRDefault="000A2B61" w:rsidP="000A2B61">
      <w:pPr>
        <w:pStyle w:val="FootnoteText"/>
        <w:rPr>
          <w:lang w:val="en-US"/>
        </w:rPr>
      </w:pPr>
      <w:r>
        <w:rPr>
          <w:rStyle w:val="FootnoteReference"/>
        </w:rPr>
        <w:footnoteRef/>
      </w:r>
      <w:r>
        <w:t xml:space="preserve"> </w:t>
      </w:r>
      <w:r w:rsidRPr="00556861">
        <w:t xml:space="preserve">Ferracane and van der </w:t>
      </w:r>
      <w:proofErr w:type="spellStart"/>
      <w:r w:rsidRPr="00556861">
        <w:t>Marel</w:t>
      </w:r>
      <w:proofErr w:type="spellEnd"/>
      <w:r>
        <w:t xml:space="preserve">, </w:t>
      </w:r>
      <w:r w:rsidRPr="00B43B6D">
        <w:rPr>
          <w:i/>
          <w:iCs/>
        </w:rPr>
        <w:t>supra</w:t>
      </w:r>
      <w:r w:rsidRPr="007F1F20">
        <w:t xml:space="preserve"> footnote</w:t>
      </w:r>
      <w:r>
        <w:t xml:space="preserve"> </w:t>
      </w:r>
      <w:r w:rsidR="00455A5D">
        <w:t>9</w:t>
      </w:r>
      <w:r>
        <w:t xml:space="preserve">; </w:t>
      </w:r>
      <w:r w:rsidRPr="00556861">
        <w:t xml:space="preserve">Ferracane and van der </w:t>
      </w:r>
      <w:proofErr w:type="spellStart"/>
      <w:r w:rsidRPr="00556861">
        <w:t>Marel</w:t>
      </w:r>
      <w:proofErr w:type="spellEnd"/>
      <w:r>
        <w:t xml:space="preserve">, </w:t>
      </w:r>
      <w:r w:rsidRPr="00B43B6D">
        <w:rPr>
          <w:i/>
          <w:iCs/>
        </w:rPr>
        <w:t>supra</w:t>
      </w:r>
      <w:r w:rsidRPr="007F1F20">
        <w:t xml:space="preserve"> footnote</w:t>
      </w:r>
      <w:r>
        <w:t xml:space="preserve"> </w:t>
      </w:r>
      <w:r w:rsidR="00455A5D">
        <w:t>10</w:t>
      </w:r>
      <w:r>
        <w:t>.</w:t>
      </w:r>
    </w:p>
  </w:footnote>
  <w:footnote w:id="18">
    <w:p w14:paraId="05601847" w14:textId="4D76238F" w:rsidR="0016323E" w:rsidRPr="0016323E" w:rsidRDefault="0016323E">
      <w:pPr>
        <w:pStyle w:val="FootnoteText"/>
      </w:pPr>
      <w:r>
        <w:rPr>
          <w:rStyle w:val="FootnoteReference"/>
        </w:rPr>
        <w:footnoteRef/>
      </w:r>
      <w:r>
        <w:t xml:space="preserve"> </w:t>
      </w:r>
      <w:r w:rsidRPr="0016323E">
        <w:t xml:space="preserve">A </w:t>
      </w:r>
      <w:proofErr w:type="spellStart"/>
      <w:r w:rsidRPr="0016323E">
        <w:t>Acquisti</w:t>
      </w:r>
      <w:proofErr w:type="spellEnd"/>
      <w:r w:rsidRPr="0016323E">
        <w:t xml:space="preserve">, C Taylor, and L </w:t>
      </w:r>
      <w:proofErr w:type="spellStart"/>
      <w:r w:rsidRPr="0016323E">
        <w:t>Wagman</w:t>
      </w:r>
      <w:proofErr w:type="spellEnd"/>
      <w:r w:rsidRPr="0016323E">
        <w:t>, 'The Economics of Privacy' (2016) 54(2) Journal of Economic Literature 442-92</w:t>
      </w:r>
      <w:r w:rsidR="005B3CCC">
        <w:t>.</w:t>
      </w:r>
    </w:p>
  </w:footnote>
  <w:footnote w:id="19">
    <w:p w14:paraId="62A91190" w14:textId="6864A56E" w:rsidR="00A94974" w:rsidRPr="00A94974" w:rsidRDefault="00A94974">
      <w:pPr>
        <w:pStyle w:val="FootnoteText"/>
      </w:pPr>
      <w:r>
        <w:rPr>
          <w:rStyle w:val="FootnoteReference"/>
        </w:rPr>
        <w:footnoteRef/>
      </w:r>
      <w:r>
        <w:t xml:space="preserve"> </w:t>
      </w:r>
      <w:r w:rsidRPr="00A94974">
        <w:t xml:space="preserve">J Zhang, F </w:t>
      </w:r>
      <w:proofErr w:type="spellStart"/>
      <w:r w:rsidRPr="00A94974">
        <w:t>Hassandoust</w:t>
      </w:r>
      <w:proofErr w:type="spellEnd"/>
      <w:r w:rsidRPr="00A94974">
        <w:t>, and J Williams, 'Online Customer Trust in the Context of the General Data Protection Regulation (GDPR)' (2020) 12(1) Pacific Asia Journal of the Association for Information Systems 4</w:t>
      </w:r>
      <w:r w:rsidR="003D155C">
        <w:t>.</w:t>
      </w:r>
    </w:p>
  </w:footnote>
  <w:footnote w:id="20">
    <w:p w14:paraId="328BFA77" w14:textId="24017C28" w:rsidR="007B6866" w:rsidRPr="007B6866" w:rsidRDefault="007B6866">
      <w:pPr>
        <w:pStyle w:val="FootnoteText"/>
      </w:pPr>
      <w:r>
        <w:rPr>
          <w:rStyle w:val="FootnoteReference"/>
        </w:rPr>
        <w:footnoteRef/>
      </w:r>
      <w:r>
        <w:t xml:space="preserve"> </w:t>
      </w:r>
      <w:r w:rsidRPr="007B6866">
        <w:t xml:space="preserve">M </w:t>
      </w:r>
      <w:proofErr w:type="spellStart"/>
      <w:r w:rsidRPr="007B6866">
        <w:t>Batikas</w:t>
      </w:r>
      <w:proofErr w:type="spellEnd"/>
      <w:r w:rsidRPr="007B6866">
        <w:t xml:space="preserve">, S Bechtold, T </w:t>
      </w:r>
      <w:proofErr w:type="spellStart"/>
      <w:r w:rsidRPr="007B6866">
        <w:t>Kretschmer</w:t>
      </w:r>
      <w:proofErr w:type="spellEnd"/>
      <w:r w:rsidRPr="007B6866">
        <w:t xml:space="preserve">, and C </w:t>
      </w:r>
      <w:proofErr w:type="spellStart"/>
      <w:r w:rsidRPr="007B6866">
        <w:t>Peukert</w:t>
      </w:r>
      <w:proofErr w:type="spellEnd"/>
      <w:r w:rsidRPr="007B6866">
        <w:t>, 'European Privacy Law and Global Markets for Data' (2020) CEPR Discussion Paper DP14475</w:t>
      </w:r>
      <w:r w:rsidR="0049085D">
        <w:t xml:space="preserve">; </w:t>
      </w:r>
      <w:r w:rsidR="0049085D" w:rsidRPr="0049085D">
        <w:t>C Chen, C Frey, and G Presidente, 'Privacy Regulation and Firm Performance: Estimating the GDPR Effect Globally' (2022) The Oxford Martin Working Paper Series on Technological and Economic Change, Working Paper No. 2022-1</w:t>
      </w:r>
      <w:r w:rsidR="00024FB5">
        <w:t>.</w:t>
      </w:r>
    </w:p>
  </w:footnote>
  <w:footnote w:id="21">
    <w:p w14:paraId="253FDAB6" w14:textId="2932FC30" w:rsidR="00CE5E7A" w:rsidRPr="00CE5E7A" w:rsidRDefault="00CE5E7A">
      <w:pPr>
        <w:pStyle w:val="FootnoteText"/>
      </w:pPr>
      <w:r>
        <w:rPr>
          <w:rStyle w:val="FootnoteReference"/>
        </w:rPr>
        <w:footnoteRef/>
      </w:r>
      <w:r>
        <w:t xml:space="preserve"> </w:t>
      </w:r>
      <w:r w:rsidRPr="00CE5E7A">
        <w:t xml:space="preserve">M </w:t>
      </w:r>
      <w:proofErr w:type="spellStart"/>
      <w:r w:rsidRPr="00CE5E7A">
        <w:t>Fiorini</w:t>
      </w:r>
      <w:proofErr w:type="spellEnd"/>
      <w:r w:rsidRPr="00CE5E7A">
        <w:t xml:space="preserve">, B </w:t>
      </w:r>
      <w:proofErr w:type="spellStart"/>
      <w:r w:rsidRPr="00CE5E7A">
        <w:t>Hoekman</w:t>
      </w:r>
      <w:proofErr w:type="spellEnd"/>
      <w:r w:rsidRPr="00CE5E7A">
        <w:t>, and D Quinn, 'Services Trade Policy and Industry Performance in African Economies' (2022) Robert Schuman Centre for Advanced Studies Research Paper No. RSC_75, December 2022</w:t>
      </w:r>
      <w:r w:rsidR="00024FB5">
        <w:t>.</w:t>
      </w:r>
    </w:p>
  </w:footnote>
  <w:footnote w:id="22">
    <w:p w14:paraId="41CD7528" w14:textId="40EB9800" w:rsidR="0049085D" w:rsidRPr="0049085D" w:rsidRDefault="0049085D">
      <w:pPr>
        <w:pStyle w:val="FootnoteText"/>
        <w:rPr>
          <w:lang w:val="en-US"/>
        </w:rPr>
      </w:pPr>
      <w:r>
        <w:rPr>
          <w:rStyle w:val="FootnoteReference"/>
        </w:rPr>
        <w:footnoteRef/>
      </w:r>
      <w:r>
        <w:t xml:space="preserve"> </w:t>
      </w:r>
      <w:r w:rsidRPr="0049085D">
        <w:t xml:space="preserve">J </w:t>
      </w:r>
      <w:proofErr w:type="spellStart"/>
      <w:r w:rsidRPr="0049085D">
        <w:t>Cariolle</w:t>
      </w:r>
      <w:proofErr w:type="spellEnd"/>
      <w:r w:rsidRPr="0049085D">
        <w:t xml:space="preserve"> and C Piedade, 'Digital Connectedness and Exports Upgrading: Is Sub</w:t>
      </w:r>
      <w:r w:rsidRPr="0049085D">
        <w:rPr>
          <w:rFonts w:ascii="Cambria Math" w:hAnsi="Cambria Math" w:cs="Cambria Math"/>
        </w:rPr>
        <w:t>‐</w:t>
      </w:r>
      <w:r w:rsidRPr="0049085D">
        <w:t>Saharan Africa Catching Up?' (2023) 46(11) The World Economy 3325-44</w:t>
      </w:r>
      <w:r w:rsidR="00024FB5">
        <w:t>.</w:t>
      </w:r>
    </w:p>
  </w:footnote>
  <w:footnote w:id="23">
    <w:p w14:paraId="497CB19B" w14:textId="2761B6EA" w:rsidR="002B7C44" w:rsidRPr="002B7C44" w:rsidRDefault="002B7C44">
      <w:pPr>
        <w:pStyle w:val="FootnoteText"/>
        <w:rPr>
          <w:lang w:val="es-CL"/>
        </w:rPr>
      </w:pPr>
      <w:r>
        <w:rPr>
          <w:rStyle w:val="FootnoteReference"/>
        </w:rPr>
        <w:footnoteRef/>
      </w:r>
      <w:r w:rsidRPr="002B7C44">
        <w:rPr>
          <w:lang w:val="es-CL"/>
        </w:rPr>
        <w:t xml:space="preserve"> MF Ferracane and E Van </w:t>
      </w:r>
      <w:proofErr w:type="spellStart"/>
      <w:r w:rsidRPr="002B7C44">
        <w:rPr>
          <w:lang w:val="es-CL"/>
        </w:rPr>
        <w:t>der</w:t>
      </w:r>
      <w:proofErr w:type="spellEnd"/>
      <w:r w:rsidRPr="002B7C44">
        <w:rPr>
          <w:lang w:val="es-CL"/>
        </w:rPr>
        <w:t xml:space="preserve"> </w:t>
      </w:r>
      <w:proofErr w:type="spellStart"/>
      <w:r w:rsidRPr="002B7C44">
        <w:rPr>
          <w:lang w:val="es-CL"/>
        </w:rPr>
        <w:t>Marel</w:t>
      </w:r>
      <w:proofErr w:type="spellEnd"/>
      <w:r>
        <w:rPr>
          <w:lang w:val="es-CL"/>
        </w:rPr>
        <w:t xml:space="preserve">, </w:t>
      </w:r>
      <w:r>
        <w:rPr>
          <w:i/>
          <w:iCs/>
          <w:lang w:val="es-CL"/>
        </w:rPr>
        <w:t xml:space="preserve">supra </w:t>
      </w:r>
      <w:proofErr w:type="spellStart"/>
      <w:r>
        <w:rPr>
          <w:lang w:val="es-CL"/>
        </w:rPr>
        <w:t>footnote</w:t>
      </w:r>
      <w:proofErr w:type="spellEnd"/>
      <w:r>
        <w:rPr>
          <w:lang w:val="es-CL"/>
        </w:rPr>
        <w:t xml:space="preserve"> </w:t>
      </w:r>
      <w:r w:rsidR="00CC51C8">
        <w:rPr>
          <w:lang w:val="es-CL"/>
        </w:rPr>
        <w:t>8</w:t>
      </w:r>
      <w:r>
        <w:rPr>
          <w:lang w:val="es-CL"/>
        </w:rPr>
        <w:t>.</w:t>
      </w:r>
    </w:p>
  </w:footnote>
  <w:footnote w:id="24">
    <w:p w14:paraId="3D9C5DBD" w14:textId="3BE0FA35" w:rsidR="00193E8A" w:rsidRPr="00193E8A" w:rsidRDefault="00193E8A">
      <w:pPr>
        <w:pStyle w:val="FootnoteText"/>
        <w:rPr>
          <w:lang w:val="en-US"/>
        </w:rPr>
      </w:pPr>
      <w:r>
        <w:rPr>
          <w:rStyle w:val="FootnoteReference"/>
        </w:rPr>
        <w:footnoteRef/>
      </w:r>
      <w:r w:rsidR="00024FB5">
        <w:t xml:space="preserve"> </w:t>
      </w:r>
      <w:r w:rsidR="00024FB5" w:rsidRPr="00024FB5">
        <w:t xml:space="preserve">E Salami, 'Implementing the </w:t>
      </w:r>
      <w:proofErr w:type="spellStart"/>
      <w:r w:rsidR="00024FB5" w:rsidRPr="00024FB5">
        <w:t>AfCFTA</w:t>
      </w:r>
      <w:proofErr w:type="spellEnd"/>
      <w:r w:rsidR="00024FB5" w:rsidRPr="00024FB5">
        <w:t xml:space="preserve"> Agreement: A Case for the Harmonization of Data Protection Law in Africa' (2022) 66(2) Journal of African Law 281-91</w:t>
      </w:r>
      <w:r>
        <w:t xml:space="preserve">; </w:t>
      </w:r>
      <w:r w:rsidRPr="00193E8A">
        <w:t>Mozilla, 'The Malabo Roadmap: Approaches to Promote Data Protection and Data Governance in Africa' (2022) https://dataprotection.africa/wp-content/uploads/malabo_roadmap_Sept_2022.pdf accessed 27 July 2024</w:t>
      </w:r>
      <w:r>
        <w:t>.</w:t>
      </w:r>
    </w:p>
  </w:footnote>
  <w:footnote w:id="25">
    <w:p w14:paraId="0D97E20E" w14:textId="34C42B8D" w:rsidR="00863F56" w:rsidRPr="00863F56" w:rsidRDefault="00863F56">
      <w:pPr>
        <w:pStyle w:val="FootnoteText"/>
        <w:rPr>
          <w:lang w:val="en-US"/>
        </w:rPr>
      </w:pPr>
      <w:r>
        <w:rPr>
          <w:rStyle w:val="FootnoteReference"/>
        </w:rPr>
        <w:footnoteRef/>
      </w:r>
      <w:r>
        <w:t xml:space="preserve"> </w:t>
      </w:r>
      <w:r w:rsidR="00490156" w:rsidRPr="00490156">
        <w:t xml:space="preserve">A </w:t>
      </w:r>
      <w:proofErr w:type="spellStart"/>
      <w:r w:rsidR="00490156" w:rsidRPr="00490156">
        <w:t>Makulilo</w:t>
      </w:r>
      <w:proofErr w:type="spellEnd"/>
      <w:r w:rsidR="00490156" w:rsidRPr="00490156">
        <w:t xml:space="preserve">, 'One Size Fits All: Does Europe Impose Its Data Protection Regime on Africa?' (2013) 37 </w:t>
      </w:r>
      <w:proofErr w:type="spellStart"/>
      <w:r w:rsidR="00490156" w:rsidRPr="00490156">
        <w:t>Datenschutz</w:t>
      </w:r>
      <w:proofErr w:type="spellEnd"/>
      <w:r w:rsidR="00490156" w:rsidRPr="00490156">
        <w:t xml:space="preserve"> und </w:t>
      </w:r>
      <w:proofErr w:type="spellStart"/>
      <w:r w:rsidR="00490156" w:rsidRPr="00490156">
        <w:t>Datensicherheit</w:t>
      </w:r>
      <w:proofErr w:type="spellEnd"/>
      <w:r w:rsidR="00490156" w:rsidRPr="00490156">
        <w:t xml:space="preserve"> 447-51</w:t>
      </w:r>
      <w:r w:rsidR="0049085D">
        <w:t xml:space="preserve">; </w:t>
      </w:r>
      <w:r w:rsidR="00593E02" w:rsidRPr="00593E02">
        <w:t>C Mannion, 'Data Imperialism: The GDPR's Disastrous Impact on Africa's E-Commerce Markets' (2020) 53(2) Vanderbilt Journal of Transnational Law</w:t>
      </w:r>
      <w:r w:rsidR="00593E02">
        <w:t xml:space="preserve">; </w:t>
      </w:r>
      <w:r w:rsidRPr="00863F56">
        <w:t>J Bryant, 'Africa in the Information Age: Challenges, Opportunities, and Strategies for Data Protection and Digital Rights' (2021) 24(2) Stanford Technology Law Review 389-439</w:t>
      </w:r>
      <w:r w:rsidR="00BF2B17">
        <w:t>.</w:t>
      </w:r>
    </w:p>
  </w:footnote>
  <w:footnote w:id="26">
    <w:p w14:paraId="000001D4" w14:textId="77777777" w:rsidR="00E51BAE" w:rsidRDefault="00236A55">
      <w:pPr>
        <w:spacing w:line="240" w:lineRule="auto"/>
        <w:rPr>
          <w:sz w:val="20"/>
          <w:szCs w:val="20"/>
        </w:rPr>
      </w:pPr>
      <w:r>
        <w:rPr>
          <w:vertAlign w:val="superscript"/>
        </w:rPr>
        <w:footnoteRef/>
      </w:r>
      <w:r>
        <w:rPr>
          <w:sz w:val="20"/>
          <w:szCs w:val="20"/>
        </w:rPr>
        <w:t xml:space="preserve"> In the case of the EU, which is the main actor embodying this model, the issue of privacy and data protection is incorporated as a matter of fundamental rights in the European Convention of Human Rights (Art.8), Lisbon Treaty (Art. 16) and the Charter of Fundamental Rights of the EU (Art. 7-8).</w:t>
      </w:r>
    </w:p>
  </w:footnote>
  <w:footnote w:id="27">
    <w:p w14:paraId="2BAD7499" w14:textId="5A865005" w:rsidR="00CA1186" w:rsidRDefault="00236A55">
      <w:pPr>
        <w:spacing w:line="240" w:lineRule="auto"/>
        <w:rPr>
          <w:sz w:val="20"/>
          <w:szCs w:val="20"/>
        </w:rPr>
      </w:pPr>
      <w:r>
        <w:rPr>
          <w:vertAlign w:val="superscript"/>
        </w:rPr>
        <w:footnoteRef/>
      </w:r>
      <w:r>
        <w:rPr>
          <w:sz w:val="20"/>
          <w:szCs w:val="20"/>
        </w:rPr>
        <w:t xml:space="preserve"> </w:t>
      </w:r>
      <w:r w:rsidR="00CA1186" w:rsidRPr="00CA1186">
        <w:rPr>
          <w:sz w:val="20"/>
          <w:szCs w:val="20"/>
        </w:rPr>
        <w:t xml:space="preserve">European Union, Regulation (EU) 2018/1807 of the European Parliament and of the Council of 14 November 2018 on a framework for the free flow of non-personal data in the European Union </w:t>
      </w:r>
      <w:r w:rsidR="00CA1186" w:rsidRPr="00CA1186">
        <w:rPr>
          <w:color w:val="1155CC"/>
          <w:sz w:val="20"/>
          <w:szCs w:val="20"/>
          <w:u w:val="single"/>
        </w:rPr>
        <w:t>https://eur-lex.europa.eu/legal-content/EN/TXT/?uri=CELEX%3A32018R1807</w:t>
      </w:r>
      <w:r w:rsidR="00CA1186" w:rsidRPr="00CA1186">
        <w:rPr>
          <w:sz w:val="20"/>
          <w:szCs w:val="20"/>
        </w:rPr>
        <w:t xml:space="preserve"> accessed 27 July 2024</w:t>
      </w:r>
      <w:r w:rsidR="009B0372">
        <w:rPr>
          <w:sz w:val="20"/>
          <w:szCs w:val="20"/>
        </w:rPr>
        <w:t>.</w:t>
      </w:r>
    </w:p>
  </w:footnote>
  <w:footnote w:id="28">
    <w:p w14:paraId="0F707B3B" w14:textId="6DB8A83B" w:rsidR="00863F56" w:rsidRPr="00863F56" w:rsidRDefault="00863F56">
      <w:pPr>
        <w:pStyle w:val="FootnoteText"/>
      </w:pPr>
      <w:r>
        <w:rPr>
          <w:rStyle w:val="FootnoteReference"/>
        </w:rPr>
        <w:footnoteRef/>
      </w:r>
      <w:r>
        <w:t xml:space="preserve"> </w:t>
      </w:r>
      <w:r w:rsidRPr="00863F56">
        <w:t xml:space="preserve">A Bradford, 'The Brussels Effect: How the European Union Rules the World' (2020) Oxford University Press </w:t>
      </w:r>
      <w:r w:rsidRPr="00D345F8">
        <w:rPr>
          <w:color w:val="1155CC"/>
          <w:u w:val="single"/>
        </w:rPr>
        <w:t>https://doi.org/10.1093/oso/9780190088583.001.0001</w:t>
      </w:r>
      <w:r w:rsidRPr="00863F56">
        <w:t xml:space="preserve"> accessed 27 July 2024</w:t>
      </w:r>
      <w:r w:rsidR="009B0372">
        <w:t>.</w:t>
      </w:r>
    </w:p>
  </w:footnote>
  <w:footnote w:id="29">
    <w:p w14:paraId="000001D5" w14:textId="7A8AF2A1" w:rsidR="00E51BAE" w:rsidRDefault="00236A55">
      <w:pPr>
        <w:spacing w:line="240" w:lineRule="auto"/>
        <w:rPr>
          <w:sz w:val="20"/>
          <w:szCs w:val="20"/>
        </w:rPr>
      </w:pPr>
      <w:r>
        <w:rPr>
          <w:vertAlign w:val="superscript"/>
        </w:rPr>
        <w:footnoteRef/>
      </w:r>
      <w:r>
        <w:rPr>
          <w:sz w:val="20"/>
          <w:szCs w:val="20"/>
        </w:rPr>
        <w:t xml:space="preserve"> In China, which is the major actor employing this data model, the first mention to data privacy appeared when the Tort Liability Law was enacted in 2009</w:t>
      </w:r>
      <w:r w:rsidR="00D345F8">
        <w:rPr>
          <w:sz w:val="20"/>
          <w:szCs w:val="20"/>
        </w:rPr>
        <w:t xml:space="preserve">. See </w:t>
      </w:r>
      <w:r w:rsidR="00D345F8" w:rsidRPr="005B3CCC">
        <w:rPr>
          <w:sz w:val="20"/>
          <w:szCs w:val="20"/>
        </w:rPr>
        <w:t>Z Wang, 'Systematic Government Access to Private-Sector Data in China' (2012) 2(4) International Data Privacy Law 220-29</w:t>
      </w:r>
      <w:r w:rsidR="00D345F8">
        <w:rPr>
          <w:sz w:val="20"/>
          <w:szCs w:val="20"/>
        </w:rPr>
        <w:t>.</w:t>
      </w:r>
    </w:p>
  </w:footnote>
  <w:footnote w:id="30">
    <w:p w14:paraId="000001D6" w14:textId="764B1D8F" w:rsidR="00E51BAE" w:rsidRPr="00E35D1D" w:rsidRDefault="00236A55">
      <w:pPr>
        <w:spacing w:line="240" w:lineRule="auto"/>
        <w:rPr>
          <w:color w:val="000000" w:themeColor="text1"/>
          <w:sz w:val="20"/>
          <w:szCs w:val="20"/>
        </w:rPr>
      </w:pPr>
      <w:r>
        <w:rPr>
          <w:vertAlign w:val="superscript"/>
        </w:rPr>
        <w:footnoteRef/>
      </w:r>
      <w:r>
        <w:rPr>
          <w:sz w:val="20"/>
          <w:szCs w:val="20"/>
        </w:rPr>
        <w:t xml:space="preserve"> </w:t>
      </w:r>
      <w:r w:rsidR="000E38FB" w:rsidRPr="000E38FB">
        <w:rPr>
          <w:sz w:val="20"/>
          <w:szCs w:val="20"/>
        </w:rPr>
        <w:t>See, e.g.,</w:t>
      </w:r>
      <w:r w:rsidR="000E38FB" w:rsidRPr="000E38FB">
        <w:t xml:space="preserve"> </w:t>
      </w:r>
      <w:r w:rsidR="000E38FB" w:rsidRPr="000E38FB">
        <w:rPr>
          <w:sz w:val="20"/>
          <w:szCs w:val="20"/>
        </w:rPr>
        <w:t>HS Gao, 'Data Regulation with Chinese Characteristics' (2019) SMU Centre for AI &amp; Data Governance Research Paper No. 2019/04; Singapore Management University School of Law Research Paper No. 28/2019</w:t>
      </w:r>
      <w:r w:rsidR="000E38FB">
        <w:rPr>
          <w:sz w:val="20"/>
          <w:szCs w:val="20"/>
        </w:rPr>
        <w:t xml:space="preserve">. </w:t>
      </w:r>
      <w:r w:rsidRPr="00E35D1D">
        <w:rPr>
          <w:color w:val="000000" w:themeColor="text1"/>
          <w:sz w:val="20"/>
          <w:szCs w:val="20"/>
        </w:rPr>
        <w:t xml:space="preserve">Regarding China, Gao (2019) adds that “the key to understand data regulation in China, therefore, must be security”. The heightened link with security not only explains the domestic regulatory framework in China, but also informs on how China would deal with the issue at the international level. As stated by President Xi, “there is no national security without cybersecurity”. </w:t>
      </w:r>
    </w:p>
  </w:footnote>
  <w:footnote w:id="31">
    <w:p w14:paraId="000001D7" w14:textId="06338BCF" w:rsidR="00E51BAE" w:rsidRDefault="00236A55">
      <w:pPr>
        <w:spacing w:line="240" w:lineRule="auto"/>
        <w:rPr>
          <w:sz w:val="20"/>
          <w:szCs w:val="20"/>
        </w:rPr>
      </w:pPr>
      <w:r>
        <w:rPr>
          <w:vertAlign w:val="superscript"/>
        </w:rPr>
        <w:footnoteRef/>
      </w:r>
      <w:r>
        <w:rPr>
          <w:sz w:val="20"/>
          <w:szCs w:val="20"/>
        </w:rPr>
        <w:t xml:space="preserve"> </w:t>
      </w:r>
      <w:r w:rsidRPr="00E35D1D">
        <w:rPr>
          <w:i/>
          <w:iCs/>
          <w:color w:val="000000" w:themeColor="text1"/>
          <w:sz w:val="20"/>
          <w:szCs w:val="20"/>
        </w:rPr>
        <w:t>See</w:t>
      </w:r>
      <w:r w:rsidRPr="00E35D1D">
        <w:rPr>
          <w:color w:val="000000" w:themeColor="text1"/>
          <w:sz w:val="20"/>
          <w:szCs w:val="20"/>
        </w:rPr>
        <w:t xml:space="preserve"> </w:t>
      </w:r>
      <w:r w:rsidR="00E35D1D" w:rsidRPr="00E35D1D">
        <w:rPr>
          <w:color w:val="000000" w:themeColor="text1"/>
          <w:sz w:val="20"/>
          <w:szCs w:val="20"/>
        </w:rPr>
        <w:t xml:space="preserve">Cybersecurity Law of the People's Republic of China, as adopted at the 24th Session of the Standing Committee of the Twelfth National People's Congress of the People's Republic of China on November 7, 2016, </w:t>
      </w:r>
      <w:hyperlink r:id="rId2">
        <w:r w:rsidR="00E35D1D" w:rsidRPr="00E35D1D">
          <w:rPr>
            <w:color w:val="000000" w:themeColor="text1"/>
            <w:sz w:val="20"/>
            <w:szCs w:val="20"/>
            <w:u w:val="single"/>
          </w:rPr>
          <w:t>http://www.chinalawinfo.com</w:t>
        </w:r>
      </w:hyperlink>
      <w:r w:rsidR="00E35D1D" w:rsidRPr="00E35D1D">
        <w:rPr>
          <w:color w:val="000000" w:themeColor="text1"/>
          <w:sz w:val="20"/>
          <w:szCs w:val="20"/>
          <w:u w:val="single"/>
        </w:rPr>
        <w:t xml:space="preserve">. </w:t>
      </w:r>
      <w:r w:rsidR="00E35D1D" w:rsidRPr="00E35D1D">
        <w:rPr>
          <w:color w:val="000000" w:themeColor="text1"/>
          <w:sz w:val="20"/>
          <w:szCs w:val="20"/>
        </w:rPr>
        <w:t>Art. 1 states that the new requirements</w:t>
      </w:r>
      <w:r w:rsidR="00E35D1D" w:rsidRPr="00E35D1D">
        <w:rPr>
          <w:color w:val="000000" w:themeColor="text1"/>
          <w:sz w:val="20"/>
          <w:szCs w:val="20"/>
          <w:u w:val="single"/>
        </w:rPr>
        <w:t xml:space="preserve"> i</w:t>
      </w:r>
      <w:r w:rsidRPr="00E35D1D">
        <w:rPr>
          <w:color w:val="000000" w:themeColor="text1"/>
          <w:sz w:val="20"/>
          <w:szCs w:val="20"/>
        </w:rPr>
        <w:t>mposed</w:t>
      </w:r>
      <w:r w:rsidR="00E35D1D" w:rsidRPr="00E35D1D">
        <w:rPr>
          <w:color w:val="000000" w:themeColor="text1"/>
          <w:sz w:val="20"/>
          <w:szCs w:val="20"/>
        </w:rPr>
        <w:t xml:space="preserve"> have the objective to</w:t>
      </w:r>
      <w:r w:rsidRPr="00E35D1D">
        <w:rPr>
          <w:color w:val="000000" w:themeColor="text1"/>
          <w:sz w:val="20"/>
          <w:szCs w:val="20"/>
        </w:rPr>
        <w:t xml:space="preserve"> “safeguard cyber security, protect cyberspace sovereignty and national security”</w:t>
      </w:r>
      <w:r w:rsidR="00E35D1D" w:rsidRPr="00E35D1D">
        <w:rPr>
          <w:color w:val="000000" w:themeColor="text1"/>
          <w:sz w:val="20"/>
          <w:szCs w:val="20"/>
        </w:rPr>
        <w:t xml:space="preserve">. </w:t>
      </w:r>
      <w:r w:rsidRPr="00E35D1D">
        <w:rPr>
          <w:color w:val="000000" w:themeColor="text1"/>
          <w:sz w:val="20"/>
          <w:szCs w:val="20"/>
        </w:rPr>
        <w:t xml:space="preserve">See </w:t>
      </w:r>
      <w:r w:rsidR="00967DD2" w:rsidRPr="00E35D1D">
        <w:rPr>
          <w:color w:val="000000" w:themeColor="text1"/>
          <w:sz w:val="20"/>
          <w:szCs w:val="20"/>
        </w:rPr>
        <w:t>also</w:t>
      </w:r>
      <w:r w:rsidRPr="00E35D1D">
        <w:rPr>
          <w:color w:val="000000" w:themeColor="text1"/>
          <w:sz w:val="20"/>
          <w:szCs w:val="20"/>
        </w:rPr>
        <w:t xml:space="preserve"> Gao</w:t>
      </w:r>
      <w:r w:rsidR="00E35D1D">
        <w:rPr>
          <w:color w:val="000000" w:themeColor="text1"/>
          <w:sz w:val="20"/>
          <w:szCs w:val="20"/>
        </w:rPr>
        <w:t xml:space="preserve">, </w:t>
      </w:r>
      <w:r w:rsidR="00E35D1D" w:rsidRPr="00E35D1D">
        <w:rPr>
          <w:i/>
          <w:iCs/>
          <w:color w:val="000000" w:themeColor="text1"/>
          <w:sz w:val="20"/>
          <w:szCs w:val="20"/>
        </w:rPr>
        <w:t>supra</w:t>
      </w:r>
      <w:r w:rsidR="00E35D1D">
        <w:rPr>
          <w:color w:val="000000" w:themeColor="text1"/>
          <w:sz w:val="20"/>
          <w:szCs w:val="20"/>
        </w:rPr>
        <w:t xml:space="preserve"> footnote 29,</w:t>
      </w:r>
      <w:r w:rsidRPr="00E35D1D">
        <w:rPr>
          <w:color w:val="000000" w:themeColor="text1"/>
          <w:sz w:val="20"/>
          <w:szCs w:val="20"/>
        </w:rPr>
        <w:t xml:space="preserve"> for an analysis of the Chinese data model. </w:t>
      </w:r>
      <w:r>
        <w:rPr>
          <w:sz w:val="20"/>
          <w:szCs w:val="20"/>
        </w:rPr>
        <w:t>Another example i</w:t>
      </w:r>
      <w:r w:rsidR="00E35D1D">
        <w:rPr>
          <w:sz w:val="20"/>
          <w:szCs w:val="20"/>
        </w:rPr>
        <w:t>s</w:t>
      </w:r>
      <w:r>
        <w:rPr>
          <w:sz w:val="20"/>
          <w:szCs w:val="20"/>
        </w:rPr>
        <w:t xml:space="preserve"> the Russian Federal Law No. 242-FZ “On Amending Certain Legislative Acts of the Russian Federation Regarding Clarifying the Personal Data Processing Procedure in Information and Telecommunication Networks’ from 21 July 2014, which required data operators to ensure that the recording, systematisation, accumulation, storage, update/ amendment, and retrieval of personal data of the citizens of the Russian Federation is made using databases located in the Russian Federation.</w:t>
      </w:r>
    </w:p>
  </w:footnote>
  <w:footnote w:id="32">
    <w:p w14:paraId="000001D8" w14:textId="1D75FA6A" w:rsidR="00E51BAE" w:rsidRDefault="00236A55">
      <w:pPr>
        <w:spacing w:line="240" w:lineRule="auto"/>
        <w:rPr>
          <w:sz w:val="20"/>
          <w:szCs w:val="20"/>
        </w:rPr>
      </w:pPr>
      <w:r>
        <w:rPr>
          <w:vertAlign w:val="superscript"/>
        </w:rPr>
        <w:footnoteRef/>
      </w:r>
      <w:r w:rsidR="00193E8A">
        <w:rPr>
          <w:sz w:val="20"/>
          <w:szCs w:val="20"/>
        </w:rPr>
        <w:t xml:space="preserve"> </w:t>
      </w:r>
      <w:r w:rsidR="005B3CCC" w:rsidRPr="005B3CCC">
        <w:rPr>
          <w:sz w:val="20"/>
          <w:szCs w:val="20"/>
        </w:rPr>
        <w:t>Z Wang,</w:t>
      </w:r>
      <w:r w:rsidR="00D345F8" w:rsidRPr="00D345F8">
        <w:t xml:space="preserve"> </w:t>
      </w:r>
      <w:r w:rsidR="00D345F8" w:rsidRPr="00D345F8">
        <w:rPr>
          <w:i/>
          <w:iCs/>
          <w:sz w:val="20"/>
          <w:szCs w:val="20"/>
        </w:rPr>
        <w:t>supra</w:t>
      </w:r>
      <w:r w:rsidR="00D345F8" w:rsidRPr="00D345F8">
        <w:rPr>
          <w:sz w:val="20"/>
          <w:szCs w:val="20"/>
        </w:rPr>
        <w:t xml:space="preserve"> footnote </w:t>
      </w:r>
      <w:r w:rsidR="00D345F8">
        <w:rPr>
          <w:sz w:val="20"/>
          <w:szCs w:val="20"/>
        </w:rPr>
        <w:t>2</w:t>
      </w:r>
      <w:r w:rsidR="00455A5D">
        <w:rPr>
          <w:sz w:val="20"/>
          <w:szCs w:val="20"/>
        </w:rPr>
        <w:t>8</w:t>
      </w:r>
      <w:r w:rsidR="00A71A59">
        <w:rPr>
          <w:sz w:val="20"/>
          <w:szCs w:val="20"/>
        </w:rPr>
        <w:t>.</w:t>
      </w:r>
      <w:r w:rsidR="00024FB5">
        <w:rPr>
          <w:sz w:val="20"/>
          <w:szCs w:val="20"/>
        </w:rPr>
        <w:t xml:space="preserve"> </w:t>
      </w:r>
      <w:r w:rsidRPr="00A71A59">
        <w:rPr>
          <w:sz w:val="20"/>
          <w:szCs w:val="20"/>
        </w:rPr>
        <w:t>Wang states that with respect to China: “in the constitution law, penal laws, penal litigation laws, state security laws, and other public sector laws there are many exemption rules and vague definitions that grant the government extensive rights and generous room for flexibility for investigation, seizure, and search, especially in the areas of state security or for maintaining social order”.</w:t>
      </w:r>
      <w:r w:rsidR="00A71A59">
        <w:rPr>
          <w:sz w:val="20"/>
          <w:szCs w:val="20"/>
        </w:rPr>
        <w:t xml:space="preserve"> See also </w:t>
      </w:r>
      <w:r w:rsidR="00A71A59" w:rsidRPr="00193E8A">
        <w:rPr>
          <w:sz w:val="20"/>
          <w:szCs w:val="20"/>
        </w:rPr>
        <w:t xml:space="preserve">I Rubinstein, G </w:t>
      </w:r>
      <w:proofErr w:type="spellStart"/>
      <w:r w:rsidR="00A71A59" w:rsidRPr="00193E8A">
        <w:rPr>
          <w:sz w:val="20"/>
          <w:szCs w:val="20"/>
        </w:rPr>
        <w:t>Nojeim</w:t>
      </w:r>
      <w:proofErr w:type="spellEnd"/>
      <w:r w:rsidR="00A71A59" w:rsidRPr="00193E8A">
        <w:rPr>
          <w:sz w:val="20"/>
          <w:szCs w:val="20"/>
        </w:rPr>
        <w:t>, and R Lee, 'Systematic Government Access to Personal Data: A Comparative Analysis' (2014) 4(2) International Data Privacy Law 96-119</w:t>
      </w:r>
      <w:r w:rsidR="00A71A59">
        <w:rPr>
          <w:sz w:val="20"/>
          <w:szCs w:val="20"/>
        </w:rPr>
        <w:t>.</w:t>
      </w:r>
    </w:p>
  </w:footnote>
  <w:footnote w:id="33">
    <w:p w14:paraId="638A4A52" w14:textId="059403EE" w:rsidR="00967DD2" w:rsidRPr="00967DD2" w:rsidRDefault="00967DD2">
      <w:pPr>
        <w:pStyle w:val="FootnoteText"/>
      </w:pPr>
      <w:r>
        <w:rPr>
          <w:rStyle w:val="FootnoteReference"/>
        </w:rPr>
        <w:footnoteRef/>
      </w:r>
      <w:r>
        <w:t xml:space="preserve"> This is the case of </w:t>
      </w:r>
      <w:r w:rsidR="00210096">
        <w:t>Algeria, Angola, Benin,</w:t>
      </w:r>
      <w:r w:rsidR="00C56DCA">
        <w:t xml:space="preserve"> Burkina Faso, </w:t>
      </w:r>
      <w:r w:rsidR="00C56DCA" w:rsidRPr="00CA0B57">
        <w:rPr>
          <w:rFonts w:eastAsia="Times New Roman"/>
          <w:color w:val="000000"/>
          <w:lang w:eastAsia="en-GB"/>
        </w:rPr>
        <w:t>Côte d'Ivoire</w:t>
      </w:r>
      <w:r w:rsidR="00C56DCA">
        <w:rPr>
          <w:rFonts w:eastAsia="Times New Roman"/>
          <w:color w:val="000000"/>
          <w:lang w:eastAsia="en-GB"/>
        </w:rPr>
        <w:t>,</w:t>
      </w:r>
      <w:r w:rsidR="00E83CA3">
        <w:rPr>
          <w:rFonts w:eastAsia="Times New Roman"/>
          <w:color w:val="000000"/>
          <w:lang w:eastAsia="en-GB"/>
        </w:rPr>
        <w:t xml:space="preserve"> Guinea, </w:t>
      </w:r>
      <w:r w:rsidR="00CD1AF6">
        <w:rPr>
          <w:rFonts w:eastAsia="Times New Roman"/>
          <w:color w:val="000000"/>
          <w:lang w:eastAsia="en-GB"/>
        </w:rPr>
        <w:t>Niger</w:t>
      </w:r>
      <w:r w:rsidR="00BE020D">
        <w:rPr>
          <w:rFonts w:eastAsia="Times New Roman"/>
          <w:color w:val="000000"/>
          <w:lang w:eastAsia="en-GB"/>
        </w:rPr>
        <w:t>, Tunisia, and Zambia.</w:t>
      </w:r>
    </w:p>
  </w:footnote>
  <w:footnote w:id="34">
    <w:p w14:paraId="05869F48" w14:textId="172045A0" w:rsidR="00902CF2" w:rsidRPr="00902CF2" w:rsidRDefault="00902CF2">
      <w:pPr>
        <w:pStyle w:val="FootnoteText"/>
        <w:rPr>
          <w:lang w:val="en-US"/>
        </w:rPr>
      </w:pPr>
      <w:r>
        <w:rPr>
          <w:rStyle w:val="FootnoteReference"/>
        </w:rPr>
        <w:footnoteRef/>
      </w:r>
      <w:r>
        <w:t xml:space="preserve"> </w:t>
      </w:r>
      <w:r w:rsidRPr="00902CF2">
        <w:t>R La Porta, F Lopez-de-Silanes, and A Shleifer, 'The Economic Consequences of Legal Origins' (2008) 46(2) Journal of Economic Literature 285-332</w:t>
      </w:r>
      <w:r>
        <w:t>.</w:t>
      </w:r>
    </w:p>
  </w:footnote>
  <w:footnote w:id="35">
    <w:p w14:paraId="6A7E7214" w14:textId="71F97C85" w:rsidR="00F13004" w:rsidRPr="00F13004" w:rsidRDefault="00F13004">
      <w:pPr>
        <w:pStyle w:val="FootnoteText"/>
        <w:rPr>
          <w:lang w:val="en-US"/>
        </w:rPr>
      </w:pPr>
      <w:r>
        <w:rPr>
          <w:rStyle w:val="FootnoteReference"/>
        </w:rPr>
        <w:footnoteRef/>
      </w:r>
      <w:r>
        <w:t xml:space="preserve"> </w:t>
      </w:r>
      <w:r w:rsidRPr="00F13004">
        <w:t xml:space="preserve">J Melitz and F </w:t>
      </w:r>
      <w:proofErr w:type="spellStart"/>
      <w:r w:rsidRPr="00F13004">
        <w:t>Toubal</w:t>
      </w:r>
      <w:proofErr w:type="spellEnd"/>
      <w:r w:rsidRPr="00F13004">
        <w:t>, 'Somatic Distance, Trust and Trade' (2019) 27(3) Review of International Economics 786-802</w:t>
      </w:r>
      <w:r>
        <w:t>.</w:t>
      </w:r>
    </w:p>
  </w:footnote>
  <w:footnote w:id="36">
    <w:p w14:paraId="72893755" w14:textId="2AEDAC2A" w:rsidR="00024FB5" w:rsidRPr="00024FB5" w:rsidRDefault="00024FB5">
      <w:pPr>
        <w:pStyle w:val="FootnoteText"/>
        <w:rPr>
          <w:lang w:val="en-US"/>
        </w:rPr>
      </w:pPr>
      <w:r>
        <w:rPr>
          <w:rStyle w:val="FootnoteReference"/>
        </w:rPr>
        <w:footnoteRef/>
      </w:r>
      <w:r>
        <w:t xml:space="preserve"> </w:t>
      </w:r>
      <w:r w:rsidRPr="00024FB5">
        <w:t xml:space="preserve">J Santos Silva and S </w:t>
      </w:r>
      <w:proofErr w:type="spellStart"/>
      <w:r w:rsidRPr="00024FB5">
        <w:t>Tenreyro</w:t>
      </w:r>
      <w:proofErr w:type="spellEnd"/>
      <w:r w:rsidRPr="00024FB5">
        <w:t>, 'The Log of Gravity' (2006) 88(4) The Review of Economics and Statistics 641-58</w:t>
      </w:r>
      <w:r>
        <w:t>.</w:t>
      </w:r>
    </w:p>
  </w:footnote>
  <w:footnote w:id="37">
    <w:p w14:paraId="4865A2C4" w14:textId="1B96F1BA" w:rsidR="007B6866" w:rsidRPr="007B6866" w:rsidRDefault="007B6866">
      <w:pPr>
        <w:pStyle w:val="FootnoteText"/>
        <w:rPr>
          <w:lang w:val="en-US"/>
        </w:rPr>
      </w:pPr>
      <w:r>
        <w:rPr>
          <w:rStyle w:val="FootnoteReference"/>
        </w:rPr>
        <w:footnoteRef/>
      </w:r>
      <w:r>
        <w:t xml:space="preserve"> </w:t>
      </w:r>
      <w:r w:rsidRPr="007B6866">
        <w:t xml:space="preserve">S Baier and J </w:t>
      </w:r>
      <w:proofErr w:type="spellStart"/>
      <w:r w:rsidRPr="007B6866">
        <w:t>Bergstrand</w:t>
      </w:r>
      <w:proofErr w:type="spellEnd"/>
      <w:r w:rsidRPr="007B6866">
        <w:t>, 'Do Free Trade Agreements Actually Increase Members' International Trade?' (2007) 71(1) Journal of International Economics 72-95</w:t>
      </w:r>
      <w:r w:rsidR="005B3CCC">
        <w:t>.</w:t>
      </w:r>
    </w:p>
  </w:footnote>
  <w:footnote w:id="38">
    <w:p w14:paraId="01F990EE" w14:textId="34D2F1E7" w:rsidR="0016323E" w:rsidRPr="0016323E" w:rsidRDefault="0016323E">
      <w:pPr>
        <w:pStyle w:val="FootnoteText"/>
      </w:pPr>
      <w:r>
        <w:rPr>
          <w:rStyle w:val="FootnoteReference"/>
        </w:rPr>
        <w:footnoteRef/>
      </w:r>
      <w:r>
        <w:t xml:space="preserve"> </w:t>
      </w:r>
      <w:r w:rsidRPr="0016323E">
        <w:t xml:space="preserve">J Anderson and Y </w:t>
      </w:r>
      <w:proofErr w:type="spellStart"/>
      <w:r w:rsidRPr="0016323E">
        <w:t>Yotov</w:t>
      </w:r>
      <w:proofErr w:type="spellEnd"/>
      <w:r w:rsidRPr="0016323E">
        <w:t>, 'Terms of Trade and Global Efficiency Effects of Free Trade Agreements' (2016) 99(C) Journal of International Economics 279-98</w:t>
      </w:r>
      <w:r w:rsidR="005B3CCC">
        <w:t>.</w:t>
      </w:r>
    </w:p>
  </w:footnote>
  <w:footnote w:id="39">
    <w:p w14:paraId="032F1546" w14:textId="59EC5719" w:rsidR="00193E8A" w:rsidRPr="00193E8A" w:rsidRDefault="00193E8A">
      <w:pPr>
        <w:pStyle w:val="FootnoteText"/>
      </w:pPr>
      <w:r>
        <w:rPr>
          <w:rStyle w:val="FootnoteReference"/>
        </w:rPr>
        <w:footnoteRef/>
      </w:r>
      <w:r>
        <w:t xml:space="preserve"> </w:t>
      </w:r>
      <w:r w:rsidRPr="00193E8A">
        <w:t xml:space="preserve">R </w:t>
      </w:r>
      <w:proofErr w:type="spellStart"/>
      <w:r w:rsidRPr="00193E8A">
        <w:t>Piermartini</w:t>
      </w:r>
      <w:proofErr w:type="spellEnd"/>
      <w:r w:rsidRPr="00193E8A">
        <w:t xml:space="preserve"> and Y </w:t>
      </w:r>
      <w:proofErr w:type="spellStart"/>
      <w:r w:rsidRPr="00193E8A">
        <w:t>Yotov</w:t>
      </w:r>
      <w:proofErr w:type="spellEnd"/>
      <w:r w:rsidRPr="00193E8A">
        <w:t>, 'Estimating Trade Policy Effects with Structural Gravity' (2016) WTO Staff Working Papers No. ERSD-2016-10, World Trade Organization (WTO), Economic Research and Statistics Division</w:t>
      </w:r>
      <w:r>
        <w:t>.</w:t>
      </w:r>
    </w:p>
  </w:footnote>
  <w:footnote w:id="40">
    <w:p w14:paraId="6F98337E" w14:textId="27DF299C" w:rsidR="00CA1186" w:rsidRPr="00CA1186" w:rsidRDefault="00CA1186">
      <w:pPr>
        <w:pStyle w:val="FootnoteText"/>
        <w:rPr>
          <w:lang w:val="en-US"/>
        </w:rPr>
      </w:pPr>
      <w:r>
        <w:rPr>
          <w:rStyle w:val="FootnoteReference"/>
        </w:rPr>
        <w:footnoteRef/>
      </w:r>
      <w:r>
        <w:t xml:space="preserve"> </w:t>
      </w:r>
      <w:r w:rsidRPr="00CA1186">
        <w:t xml:space="preserve">T </w:t>
      </w:r>
      <w:proofErr w:type="spellStart"/>
      <w:r w:rsidRPr="00CA1186">
        <w:t>Fally</w:t>
      </w:r>
      <w:proofErr w:type="spellEnd"/>
      <w:r w:rsidRPr="00CA1186">
        <w:t>, 'Structural Gravity and Fixed Effects' (2015) 97(1) Journal of International Economics 76-85</w:t>
      </w:r>
    </w:p>
  </w:footnote>
  <w:footnote w:id="41">
    <w:p w14:paraId="24826D55" w14:textId="286E754B" w:rsidR="005B3CCC" w:rsidRPr="005B3CCC" w:rsidRDefault="005B3CCC">
      <w:pPr>
        <w:pStyle w:val="FootnoteText"/>
        <w:rPr>
          <w:lang w:val="en-US"/>
        </w:rPr>
      </w:pPr>
      <w:r>
        <w:rPr>
          <w:rStyle w:val="FootnoteReference"/>
        </w:rPr>
        <w:footnoteRef/>
      </w:r>
      <w:r>
        <w:t xml:space="preserve"> </w:t>
      </w:r>
      <w:r w:rsidRPr="005B3CCC">
        <w:t xml:space="preserve">J Santos Silva and S </w:t>
      </w:r>
      <w:proofErr w:type="spellStart"/>
      <w:r w:rsidRPr="005B3CCC">
        <w:t>Tenreyro</w:t>
      </w:r>
      <w:proofErr w:type="spellEnd"/>
      <w:r w:rsidRPr="005B3CCC">
        <w:t>, 'On the Existence of the Maximum Likelihood Estimates in Poisson Regression' (2010) 107(2) Economics Letters 310-12</w:t>
      </w:r>
      <w:r>
        <w:t>.</w:t>
      </w:r>
    </w:p>
  </w:footnote>
  <w:footnote w:id="42">
    <w:p w14:paraId="3536AD00" w14:textId="30967F96" w:rsidR="009E5907" w:rsidRPr="009E5907" w:rsidRDefault="009E5907">
      <w:pPr>
        <w:pStyle w:val="FootnoteText"/>
      </w:pPr>
      <w:r>
        <w:rPr>
          <w:rStyle w:val="FootnoteReference"/>
        </w:rPr>
        <w:footnoteRef/>
      </w:r>
      <w:r>
        <w:t xml:space="preserve"> </w:t>
      </w:r>
      <w:r w:rsidRPr="009E5907">
        <w:t xml:space="preserve">H Dai, KL Milkman, and J Riis, 'The Fresh Start Effect: Temporal Landmarks Motivate Aspirational </w:t>
      </w:r>
      <w:proofErr w:type="spellStart"/>
      <w:r w:rsidRPr="009E5907">
        <w:t>Behavior</w:t>
      </w:r>
      <w:proofErr w:type="spellEnd"/>
      <w:r w:rsidRPr="009E5907">
        <w:t>' (2014) 60(10) Management Science 2563-82</w:t>
      </w:r>
      <w:r w:rsidR="005B3CCC">
        <w:t>.</w:t>
      </w:r>
      <w:r w:rsidRPr="009E5907">
        <w:tab/>
      </w:r>
    </w:p>
  </w:footnote>
  <w:footnote w:id="43">
    <w:p w14:paraId="072ECE18" w14:textId="18A95FF5" w:rsidR="009E5907" w:rsidRPr="009E5907" w:rsidRDefault="009E5907">
      <w:pPr>
        <w:pStyle w:val="FootnoteText"/>
      </w:pPr>
      <w:r>
        <w:rPr>
          <w:rStyle w:val="FootnoteReference"/>
        </w:rPr>
        <w:footnoteRef/>
      </w:r>
      <w:r>
        <w:t xml:space="preserve"> </w:t>
      </w:r>
      <w:r w:rsidRPr="009E5907">
        <w:t xml:space="preserve">P Egger and F </w:t>
      </w:r>
      <w:proofErr w:type="spellStart"/>
      <w:r w:rsidRPr="009E5907">
        <w:t>Tarlea</w:t>
      </w:r>
      <w:proofErr w:type="spellEnd"/>
      <w:r w:rsidRPr="009E5907">
        <w:t>, 'Multi-way Clustering Estimation of Standard Errors in Gravity Models' (2015) 134 Economics Letters 144-47</w:t>
      </w:r>
      <w:r w:rsidR="005B3CCC">
        <w:t>.</w:t>
      </w:r>
    </w:p>
  </w:footnote>
  <w:footnote w:id="44">
    <w:p w14:paraId="5B39387F" w14:textId="08C43900" w:rsidR="00B761AE" w:rsidRPr="00B761AE" w:rsidRDefault="00B761AE">
      <w:pPr>
        <w:pStyle w:val="FootnoteText"/>
        <w:rPr>
          <w:lang w:val="en-US"/>
        </w:rPr>
      </w:pPr>
      <w:r>
        <w:rPr>
          <w:rStyle w:val="FootnoteReference"/>
        </w:rPr>
        <w:footnoteRef/>
      </w:r>
      <w:r>
        <w:t xml:space="preserve"> </w:t>
      </w:r>
      <w:r w:rsidRPr="00B761AE">
        <w:t xml:space="preserve">International Monetary Fund et al., 'Handbook on Measuring Digital Trade, Second Edition' (2023) OECD Publishing, Paris/International Monetary Fund/UNCTAD, Geneva 10/WTO, Geneva </w:t>
      </w:r>
      <w:r w:rsidRPr="00B761AE">
        <w:rPr>
          <w:color w:val="1155CC"/>
          <w:u w:val="single"/>
        </w:rPr>
        <w:t>https://doi.org/10.1787/ac99e6d3-en</w:t>
      </w:r>
      <w:r w:rsidRPr="00B761AE">
        <w:t xml:space="preserve"> accessed 27 July 2024</w:t>
      </w:r>
      <w:r w:rsidR="005B3CCC">
        <w:t>.</w:t>
      </w:r>
    </w:p>
  </w:footnote>
  <w:footnote w:id="45">
    <w:p w14:paraId="5C6D75E3" w14:textId="23C1F08B" w:rsidR="0074086A" w:rsidRPr="0074086A" w:rsidRDefault="0074086A">
      <w:pPr>
        <w:pStyle w:val="FootnoteText"/>
        <w:rPr>
          <w:color w:val="FF0000"/>
        </w:rPr>
      </w:pPr>
      <w:r>
        <w:rPr>
          <w:rStyle w:val="FootnoteReference"/>
        </w:rPr>
        <w:footnoteRef/>
      </w:r>
      <w:r>
        <w:t xml:space="preserve"> </w:t>
      </w:r>
      <w:r w:rsidRPr="002D5C30">
        <w:t xml:space="preserve">MF Ferracane and E Van der </w:t>
      </w:r>
      <w:proofErr w:type="spellStart"/>
      <w:r w:rsidRPr="002D5C30">
        <w:t>Marel</w:t>
      </w:r>
      <w:proofErr w:type="spellEnd"/>
      <w:r w:rsidRPr="002D5C30">
        <w:t xml:space="preserve">, </w:t>
      </w:r>
      <w:r w:rsidR="002D5C30" w:rsidRPr="00D345F8">
        <w:rPr>
          <w:i/>
          <w:iCs/>
        </w:rPr>
        <w:t>supra</w:t>
      </w:r>
      <w:r w:rsidR="002D5C30" w:rsidRPr="002D5C30">
        <w:t xml:space="preserve"> footnote </w:t>
      </w:r>
      <w:r w:rsidR="006A7AA8">
        <w:t>10</w:t>
      </w:r>
      <w:r w:rsidR="002D5C30" w:rsidRPr="002D5C30">
        <w:t>.</w:t>
      </w:r>
    </w:p>
  </w:footnote>
  <w:footnote w:id="46">
    <w:p w14:paraId="000001D9" w14:textId="77777777" w:rsidR="00E51BAE" w:rsidRDefault="00236A55">
      <w:pPr>
        <w:spacing w:line="240" w:lineRule="auto"/>
        <w:rPr>
          <w:sz w:val="20"/>
          <w:szCs w:val="20"/>
        </w:rPr>
      </w:pPr>
      <w:r>
        <w:rPr>
          <w:vertAlign w:val="superscript"/>
        </w:rPr>
        <w:footnoteRef/>
      </w:r>
      <w:r>
        <w:rPr>
          <w:sz w:val="20"/>
          <w:szCs w:val="20"/>
        </w:rPr>
        <w:t xml:space="preserve"> The European Court of Justice (ECJ) repealed the Privacy Shield agreement in 2020. In July 2023, the European Commission adopted a decision of adequacy for the EU-US Data Privacy Framework, a new mechanism replacing the Privacy Shield.</w:t>
      </w:r>
    </w:p>
  </w:footnote>
  <w:footnote w:id="47">
    <w:p w14:paraId="467FA39E" w14:textId="36044F9F" w:rsidR="003B5676" w:rsidRPr="00915C36" w:rsidRDefault="003B5676" w:rsidP="003B5676">
      <w:pPr>
        <w:spacing w:line="240" w:lineRule="auto"/>
        <w:rPr>
          <w:sz w:val="20"/>
          <w:szCs w:val="20"/>
          <w:lang w:val="en-US"/>
        </w:rPr>
      </w:pPr>
      <w:r>
        <w:rPr>
          <w:vertAlign w:val="superscript"/>
        </w:rPr>
        <w:footnoteRef/>
      </w:r>
      <w:r>
        <w:rPr>
          <w:sz w:val="20"/>
          <w:szCs w:val="20"/>
        </w:rPr>
        <w:t xml:space="preserve"> We manually concord the services sectors between the US Census classification system and the classification used by our trade data. A recent survey involving SMEs in four European markets shows that travel services, business services and the arts, entertainment, and recreation in the form of media and entertainment are high utilizers of personal data too</w:t>
      </w:r>
      <w:r w:rsidR="00902CF2">
        <w:rPr>
          <w:sz w:val="20"/>
          <w:szCs w:val="20"/>
        </w:rPr>
        <w:t>.</w:t>
      </w:r>
      <w:r w:rsidR="00CF3412">
        <w:rPr>
          <w:sz w:val="20"/>
          <w:szCs w:val="20"/>
        </w:rPr>
        <w:t xml:space="preserve"> </w:t>
      </w:r>
      <w:r w:rsidR="00902CF2">
        <w:rPr>
          <w:sz w:val="20"/>
          <w:szCs w:val="20"/>
        </w:rPr>
        <w:t>S</w:t>
      </w:r>
      <w:r w:rsidR="00CF3412">
        <w:rPr>
          <w:sz w:val="20"/>
          <w:szCs w:val="20"/>
        </w:rPr>
        <w:t xml:space="preserve">ee </w:t>
      </w:r>
      <w:r w:rsidR="00CF3412" w:rsidRPr="00CF3412">
        <w:rPr>
          <w:sz w:val="20"/>
          <w:szCs w:val="20"/>
        </w:rPr>
        <w:t xml:space="preserve">Kearney, 'The Economic Costs of Restricting the Cross-Border Flow of Data' (2021) ECIPE and Kearney Report </w:t>
      </w:r>
      <w:r w:rsidR="00CF3412" w:rsidRPr="00CF3412">
        <w:rPr>
          <w:color w:val="1155CC"/>
          <w:sz w:val="20"/>
          <w:szCs w:val="20"/>
          <w:u w:val="single"/>
        </w:rPr>
        <w:t>https://www.kearney.com/documents/3677458/161343923/The+economic+costs+of+restricting+the+cross-border+flow+of+data.pdf/82370205-fa6b-b135-3f2b-b406c4d6159e?t=1625036783000</w:t>
      </w:r>
      <w:r w:rsidR="00CF3412" w:rsidRPr="00CF3412">
        <w:rPr>
          <w:sz w:val="20"/>
          <w:szCs w:val="20"/>
        </w:rPr>
        <w:t xml:space="preserve"> accessed 27 July 2024</w:t>
      </w:r>
      <w:r w:rsidR="009B0372">
        <w:rPr>
          <w:sz w:val="20"/>
          <w:szCs w:val="20"/>
        </w:rPr>
        <w:t>.</w:t>
      </w:r>
    </w:p>
  </w:footnote>
  <w:footnote w:id="48">
    <w:p w14:paraId="000001DB" w14:textId="77777777" w:rsidR="00E51BAE" w:rsidRDefault="00236A55">
      <w:pPr>
        <w:spacing w:line="240" w:lineRule="auto"/>
        <w:rPr>
          <w:sz w:val="20"/>
          <w:szCs w:val="20"/>
        </w:rPr>
      </w:pPr>
      <w:r>
        <w:rPr>
          <w:vertAlign w:val="superscript"/>
        </w:rPr>
        <w:footnoteRef/>
      </w:r>
      <w:r>
        <w:rPr>
          <w:sz w:val="20"/>
          <w:szCs w:val="20"/>
        </w:rPr>
        <w:t xml:space="preserve"> We consider all the approaches above to select the four different categorizations. For instance, even though some sectors rank high on data-intensity (S/L ratio) measure, if they are not considered as a digital deliverable service according to the Handbook by IMF-OECD-UNTAD-WTO and does not rank high in the share of firms that have signed up on the PS framework, it is not considered as digital. This is the case for the transportation sector.</w:t>
      </w:r>
    </w:p>
  </w:footnote>
  <w:footnote w:id="49">
    <w:p w14:paraId="1FF82D23" w14:textId="292683C2" w:rsidR="00902CF2" w:rsidRPr="00902CF2" w:rsidRDefault="00902CF2">
      <w:pPr>
        <w:pStyle w:val="FootnoteText"/>
        <w:rPr>
          <w:lang w:val="en-US"/>
        </w:rPr>
      </w:pPr>
      <w:r>
        <w:rPr>
          <w:rStyle w:val="FootnoteReference"/>
        </w:rPr>
        <w:footnoteRef/>
      </w:r>
      <w:r>
        <w:t xml:space="preserve"> </w:t>
      </w:r>
      <w:r w:rsidRPr="00902CF2">
        <w:t xml:space="preserve">A Liberatore and S </w:t>
      </w:r>
      <w:proofErr w:type="spellStart"/>
      <w:r w:rsidRPr="00902CF2">
        <w:t>Wettstein</w:t>
      </w:r>
      <w:proofErr w:type="spellEnd"/>
      <w:r w:rsidRPr="00902CF2">
        <w:t xml:space="preserve">, 'The OECD-WTO Balanced Trade in Services Database (BPM5 Edition)' (2021) Methodology paper associated with the </w:t>
      </w:r>
      <w:proofErr w:type="spellStart"/>
      <w:r w:rsidRPr="00902CF2">
        <w:t>BaTiS</w:t>
      </w:r>
      <w:proofErr w:type="spellEnd"/>
      <w:r w:rsidRPr="00902CF2">
        <w:t xml:space="preserve"> Database, WTO, Geneva</w:t>
      </w:r>
      <w:r>
        <w:t>.</w:t>
      </w:r>
    </w:p>
  </w:footnote>
  <w:footnote w:id="50">
    <w:p w14:paraId="7D7A2B43" w14:textId="3723B35E" w:rsidR="007F0CBA" w:rsidRPr="007F0CBA" w:rsidRDefault="007F0CBA" w:rsidP="007F0CBA">
      <w:pPr>
        <w:pStyle w:val="FootnoteText"/>
      </w:pPr>
      <w:r>
        <w:rPr>
          <w:rStyle w:val="FootnoteReference"/>
        </w:rPr>
        <w:footnoteRef/>
      </w:r>
      <w:r>
        <w:t xml:space="preserve"> I Borchert et al., 'The International Trade and Production Database for Estimation (ITPD-E)' (2021) 166 International Economics 140-66; I Borchert et al., 'The International Trade and Production Database for Estimation - Release 2 (ITPD-E-R02)' (2022) USITC Working Paper 2022-07-A</w:t>
      </w:r>
      <w:r w:rsidR="009B0372">
        <w:t>.</w:t>
      </w:r>
    </w:p>
  </w:footnote>
  <w:footnote w:id="51">
    <w:p w14:paraId="67FA0CD5" w14:textId="3D37CCBA" w:rsidR="00BF2B17" w:rsidRPr="00BF2B17" w:rsidRDefault="00BF2B17">
      <w:pPr>
        <w:pStyle w:val="FootnoteText"/>
        <w:rPr>
          <w:color w:val="FF0000"/>
          <w:lang w:val="en-US"/>
        </w:rPr>
      </w:pPr>
      <w:r>
        <w:rPr>
          <w:rStyle w:val="FootnoteReference"/>
        </w:rPr>
        <w:footnoteRef/>
      </w:r>
      <w:r>
        <w:t xml:space="preserve"> </w:t>
      </w:r>
      <w:r w:rsidRPr="00D22369">
        <w:t xml:space="preserve">A </w:t>
      </w:r>
      <w:proofErr w:type="spellStart"/>
      <w:r w:rsidRPr="00D22369">
        <w:t>Makulilo</w:t>
      </w:r>
      <w:proofErr w:type="spellEnd"/>
      <w:r w:rsidRPr="00D22369">
        <w:t xml:space="preserve">, </w:t>
      </w:r>
      <w:r w:rsidR="00D22369" w:rsidRPr="007F1F20">
        <w:rPr>
          <w:i/>
          <w:iCs/>
        </w:rPr>
        <w:t>supra</w:t>
      </w:r>
      <w:r w:rsidR="00D22369" w:rsidRPr="007F1F20">
        <w:t xml:space="preserve"> footnote</w:t>
      </w:r>
      <w:r w:rsidR="00D22369">
        <w:t xml:space="preserve"> 2</w:t>
      </w:r>
      <w:r w:rsidR="00455A5D">
        <w:t>4</w:t>
      </w:r>
      <w:r w:rsidR="00D22369">
        <w:t>.</w:t>
      </w:r>
    </w:p>
  </w:footnote>
  <w:footnote w:id="52">
    <w:p w14:paraId="04DDC1D0" w14:textId="25041568" w:rsidR="00743B52" w:rsidRPr="00743B52" w:rsidRDefault="00743B52">
      <w:pPr>
        <w:pStyle w:val="FootnoteText"/>
        <w:rPr>
          <w:lang w:val="en-US"/>
        </w:rPr>
      </w:pPr>
      <w:r>
        <w:rPr>
          <w:rStyle w:val="FootnoteReference"/>
        </w:rPr>
        <w:footnoteRef/>
      </w:r>
      <w:r>
        <w:t xml:space="preserve"> </w:t>
      </w:r>
      <w:r w:rsidRPr="00D22369">
        <w:t xml:space="preserve">C Mannion, </w:t>
      </w:r>
      <w:r w:rsidRPr="00D22369">
        <w:rPr>
          <w:i/>
          <w:iCs/>
          <w:lang w:val="en-US"/>
        </w:rPr>
        <w:t>supra</w:t>
      </w:r>
      <w:r w:rsidRPr="00D22369">
        <w:rPr>
          <w:lang w:val="en-US"/>
        </w:rPr>
        <w:t xml:space="preserve"> footnote 2</w:t>
      </w:r>
      <w:r w:rsidR="00013A9B">
        <w:rPr>
          <w:lang w:val="en-US"/>
        </w:rPr>
        <w:t>4.</w:t>
      </w:r>
    </w:p>
  </w:footnote>
  <w:footnote w:id="53">
    <w:p w14:paraId="569AE642" w14:textId="190CF174" w:rsidR="0049085D" w:rsidRPr="0049085D" w:rsidRDefault="0049085D">
      <w:pPr>
        <w:pStyle w:val="FootnoteText"/>
        <w:rPr>
          <w:lang w:val="en-US"/>
        </w:rPr>
      </w:pPr>
      <w:r>
        <w:rPr>
          <w:rStyle w:val="FootnoteReference"/>
        </w:rPr>
        <w:footnoteRef/>
      </w:r>
      <w:r>
        <w:t xml:space="preserve"> </w:t>
      </w:r>
      <w:r w:rsidR="00013A9B" w:rsidRPr="00863F56">
        <w:t>J Bryant</w:t>
      </w:r>
      <w:r w:rsidR="00593E02" w:rsidRPr="00D22369">
        <w:t xml:space="preserve">, </w:t>
      </w:r>
      <w:r w:rsidR="00D22369" w:rsidRPr="00D22369">
        <w:rPr>
          <w:i/>
          <w:iCs/>
          <w:lang w:val="en-US"/>
        </w:rPr>
        <w:t>supra</w:t>
      </w:r>
      <w:r w:rsidR="00D22369" w:rsidRPr="00D22369">
        <w:rPr>
          <w:lang w:val="en-US"/>
        </w:rPr>
        <w:t xml:space="preserve"> footnote </w:t>
      </w:r>
      <w:r w:rsidR="00013A9B">
        <w:rPr>
          <w:lang w:val="en-US"/>
        </w:rPr>
        <w:t>24</w:t>
      </w:r>
      <w:r w:rsidR="00D22369" w:rsidRPr="00D22369">
        <w:rPr>
          <w:lang w:val="en-US"/>
        </w:rPr>
        <w:t>.</w:t>
      </w:r>
      <w:r w:rsidR="00013A9B">
        <w:rPr>
          <w:lang w:val="en-US"/>
        </w:rPr>
        <w:t xml:space="preserve"> </w:t>
      </w:r>
    </w:p>
  </w:footnote>
  <w:footnote w:id="54">
    <w:p w14:paraId="57717513" w14:textId="17C1CE8C" w:rsidR="003D155C" w:rsidRPr="003D155C" w:rsidRDefault="003D155C">
      <w:pPr>
        <w:pStyle w:val="FootnoteText"/>
      </w:pPr>
      <w:r>
        <w:rPr>
          <w:rStyle w:val="FootnoteReference"/>
        </w:rPr>
        <w:footnoteRef/>
      </w:r>
      <w:r>
        <w:t xml:space="preserve"> </w:t>
      </w:r>
      <w:r w:rsidRPr="003D155C">
        <w:t xml:space="preserve">J Zhang, F </w:t>
      </w:r>
      <w:proofErr w:type="spellStart"/>
      <w:r w:rsidRPr="003D155C">
        <w:t>Hassandoust</w:t>
      </w:r>
      <w:proofErr w:type="spellEnd"/>
      <w:r w:rsidRPr="003D155C">
        <w:t xml:space="preserve">, and J Williams, </w:t>
      </w:r>
      <w:r w:rsidR="00182E15" w:rsidRPr="00182E15">
        <w:rPr>
          <w:i/>
          <w:iCs/>
        </w:rPr>
        <w:t>supra</w:t>
      </w:r>
      <w:r w:rsidR="00182E15" w:rsidRPr="00182E15">
        <w:t xml:space="preserve"> footnote </w:t>
      </w:r>
      <w:r w:rsidR="00182E15">
        <w:t>1</w:t>
      </w:r>
      <w:r w:rsidR="00455A5D">
        <w:t>8</w:t>
      </w:r>
      <w:r>
        <w:t>.</w:t>
      </w:r>
    </w:p>
  </w:footnote>
  <w:footnote w:id="55">
    <w:p w14:paraId="3D66B55F" w14:textId="1D7C7CC4" w:rsidR="00EB0DDE" w:rsidRPr="00EB0DDE" w:rsidRDefault="00EB0DDE">
      <w:pPr>
        <w:pStyle w:val="FootnoteText"/>
      </w:pPr>
      <w:r>
        <w:rPr>
          <w:rStyle w:val="FootnoteReference"/>
        </w:rPr>
        <w:footnoteRef/>
      </w:r>
      <w:r>
        <w:t xml:space="preserve"> </w:t>
      </w:r>
      <w:r w:rsidRPr="00EB0DDE">
        <w:t>PC Bauer et al., 'Did the GDPR Increase Trust in Data Collectors? Evidence from Observational and Experimental Data' (2021) 25(14) Information, Communication &amp; Society 2101-21</w:t>
      </w:r>
      <w:r w:rsidR="009B0372">
        <w:t>.</w:t>
      </w:r>
    </w:p>
  </w:footnote>
  <w:footnote w:id="56">
    <w:p w14:paraId="4B617515" w14:textId="49C7B8F2" w:rsidR="000A2B61" w:rsidRPr="000A2B61" w:rsidRDefault="000A2B61">
      <w:pPr>
        <w:pStyle w:val="FootnoteText"/>
      </w:pPr>
      <w:r>
        <w:rPr>
          <w:rStyle w:val="FootnoteReference"/>
        </w:rPr>
        <w:footnoteRef/>
      </w:r>
      <w:r>
        <w:t xml:space="preserve"> </w:t>
      </w:r>
      <w:r w:rsidRPr="00556861">
        <w:t xml:space="preserve">Ferracane and van der </w:t>
      </w:r>
      <w:proofErr w:type="spellStart"/>
      <w:r w:rsidRPr="00556861">
        <w:t>Marel</w:t>
      </w:r>
      <w:proofErr w:type="spellEnd"/>
      <w:r>
        <w:t xml:space="preserve">, </w:t>
      </w:r>
      <w:r w:rsidRPr="00B43B6D">
        <w:rPr>
          <w:i/>
          <w:iCs/>
        </w:rPr>
        <w:t>supra</w:t>
      </w:r>
      <w:r w:rsidRPr="007F1F20">
        <w:t xml:space="preserve"> footnote</w:t>
      </w:r>
      <w:r>
        <w:t xml:space="preserve"> </w:t>
      </w:r>
      <w:r w:rsidR="00455A5D">
        <w:t>9</w:t>
      </w:r>
      <w:r>
        <w:t xml:space="preserve">; </w:t>
      </w:r>
      <w:r w:rsidRPr="00556861">
        <w:t xml:space="preserve">Ferracane and van der </w:t>
      </w:r>
      <w:proofErr w:type="spellStart"/>
      <w:r w:rsidRPr="00556861">
        <w:t>Marel</w:t>
      </w:r>
      <w:proofErr w:type="spellEnd"/>
      <w:r>
        <w:t xml:space="preserve">, </w:t>
      </w:r>
      <w:r w:rsidRPr="00B43B6D">
        <w:rPr>
          <w:i/>
          <w:iCs/>
        </w:rPr>
        <w:t>supra</w:t>
      </w:r>
      <w:r w:rsidRPr="007F1F20">
        <w:t xml:space="preserve"> footnote</w:t>
      </w:r>
      <w:r>
        <w:t xml:space="preserve"> </w:t>
      </w:r>
      <w:r w:rsidR="00455A5D">
        <w:t>10</w:t>
      </w:r>
      <w:r>
        <w:t>.</w:t>
      </w:r>
    </w:p>
  </w:footnote>
  <w:footnote w:id="57">
    <w:p w14:paraId="000001E4" w14:textId="77777777" w:rsidR="00E51BAE" w:rsidRDefault="00236A55">
      <w:pPr>
        <w:spacing w:line="240" w:lineRule="auto"/>
        <w:rPr>
          <w:sz w:val="20"/>
          <w:szCs w:val="20"/>
        </w:rPr>
      </w:pPr>
      <w:r>
        <w:rPr>
          <w:vertAlign w:val="superscript"/>
        </w:rPr>
        <w:footnoteRef/>
      </w:r>
      <w:r>
        <w:rPr>
          <w:sz w:val="20"/>
          <w:szCs w:val="20"/>
        </w:rPr>
        <w:t xml:space="preserve"> Note that we need to assign a benchmark, as we cannot include all four groupings. Because we expect that sharing a data protection regime is less costly for high-income countries, it seems reasonable to use this as our benchmark. However, Africa only counts three high-income groups, namely Equatorial Guinea, Mauritius, and the Seychelles, which provides few observations. Therefore, we choose to take upper-middle-income countries instead.</w:t>
      </w:r>
    </w:p>
  </w:footnote>
  <w:footnote w:id="58">
    <w:p w14:paraId="144145ED" w14:textId="569EE583" w:rsidR="00455D77" w:rsidRPr="00455D77" w:rsidRDefault="00455D77">
      <w:pPr>
        <w:pStyle w:val="FootnoteText"/>
      </w:pPr>
      <w:r>
        <w:rPr>
          <w:rStyle w:val="FootnoteReference"/>
        </w:rPr>
        <w:footnoteRef/>
      </w:r>
      <w:r>
        <w:t xml:space="preserve"> </w:t>
      </w:r>
      <w:r w:rsidRPr="00556861">
        <w:t xml:space="preserve">Ferracane and van der </w:t>
      </w:r>
      <w:proofErr w:type="spellStart"/>
      <w:r w:rsidRPr="00556861">
        <w:t>Marel</w:t>
      </w:r>
      <w:proofErr w:type="spellEnd"/>
      <w:r>
        <w:t xml:space="preserve">, </w:t>
      </w:r>
      <w:r w:rsidRPr="00B43B6D">
        <w:rPr>
          <w:i/>
          <w:iCs/>
        </w:rPr>
        <w:t>supra</w:t>
      </w:r>
      <w:r w:rsidRPr="007F1F20">
        <w:t xml:space="preserve"> footnote</w:t>
      </w:r>
      <w:r>
        <w:t xml:space="preserve"> </w:t>
      </w:r>
      <w:r w:rsidR="00455A5D">
        <w:t>9</w:t>
      </w:r>
      <w:r>
        <w:t xml:space="preserve">; </w:t>
      </w:r>
      <w:r w:rsidRPr="00556861">
        <w:t xml:space="preserve">Ferracane and van der </w:t>
      </w:r>
      <w:proofErr w:type="spellStart"/>
      <w:r w:rsidRPr="00556861">
        <w:t>Marel</w:t>
      </w:r>
      <w:proofErr w:type="spellEnd"/>
      <w:r>
        <w:t xml:space="preserve">, </w:t>
      </w:r>
      <w:r w:rsidRPr="00B43B6D">
        <w:rPr>
          <w:i/>
          <w:iCs/>
        </w:rPr>
        <w:t>supra</w:t>
      </w:r>
      <w:r w:rsidRPr="007F1F20">
        <w:t xml:space="preserve"> footnote</w:t>
      </w:r>
      <w:r>
        <w:t xml:space="preserve"> </w:t>
      </w:r>
      <w:r w:rsidR="00455A5D">
        <w:t>10</w:t>
      </w:r>
      <w:r>
        <w:t>.</w:t>
      </w:r>
    </w:p>
  </w:footnote>
  <w:footnote w:id="59">
    <w:p w14:paraId="4D4FC7E1" w14:textId="40ACB911" w:rsidR="00455D77" w:rsidRPr="00455D77" w:rsidRDefault="00455D77">
      <w:pPr>
        <w:pStyle w:val="FootnoteText"/>
      </w:pPr>
      <w:r>
        <w:rPr>
          <w:rStyle w:val="FootnoteReference"/>
        </w:rPr>
        <w:footnoteRef/>
      </w:r>
      <w:r>
        <w:t xml:space="preserve"> </w:t>
      </w:r>
      <w:r w:rsidRPr="00556861">
        <w:t xml:space="preserve">Ferracane and van der </w:t>
      </w:r>
      <w:proofErr w:type="spellStart"/>
      <w:r w:rsidRPr="00556861">
        <w:t>Marel</w:t>
      </w:r>
      <w:proofErr w:type="spellEnd"/>
      <w:r>
        <w:t xml:space="preserve">, </w:t>
      </w:r>
      <w:r w:rsidRPr="00B43B6D">
        <w:rPr>
          <w:i/>
          <w:iCs/>
        </w:rPr>
        <w:t>supra</w:t>
      </w:r>
      <w:r w:rsidRPr="007F1F20">
        <w:t xml:space="preserve"> footnote</w:t>
      </w:r>
      <w:r>
        <w:t xml:space="preserve"> </w:t>
      </w:r>
      <w:r w:rsidR="00455A5D">
        <w:t>9</w:t>
      </w:r>
      <w:r>
        <w:t xml:space="preserve">; </w:t>
      </w:r>
      <w:r w:rsidRPr="00556861">
        <w:t xml:space="preserve">Ferracane and van der </w:t>
      </w:r>
      <w:proofErr w:type="spellStart"/>
      <w:r w:rsidRPr="00556861">
        <w:t>Marel</w:t>
      </w:r>
      <w:proofErr w:type="spellEnd"/>
      <w:r>
        <w:t xml:space="preserve">, </w:t>
      </w:r>
      <w:r w:rsidRPr="00B43B6D">
        <w:rPr>
          <w:i/>
          <w:iCs/>
        </w:rPr>
        <w:t>supra</w:t>
      </w:r>
      <w:r w:rsidRPr="007F1F20">
        <w:t xml:space="preserve"> footnote</w:t>
      </w:r>
      <w:r>
        <w:t xml:space="preserve"> </w:t>
      </w:r>
      <w:r w:rsidR="00455A5D">
        <w:t>10</w:t>
      </w:r>
      <w:r>
        <w:t>.</w:t>
      </w:r>
    </w:p>
  </w:footnote>
  <w:footnote w:id="60">
    <w:p w14:paraId="0C112E59" w14:textId="7D8C9FC6" w:rsidR="00CA2144" w:rsidRDefault="00236A55">
      <w:pPr>
        <w:spacing w:line="240" w:lineRule="auto"/>
        <w:rPr>
          <w:sz w:val="20"/>
          <w:szCs w:val="20"/>
        </w:rPr>
      </w:pPr>
      <w:r>
        <w:rPr>
          <w:vertAlign w:val="superscript"/>
        </w:rPr>
        <w:footnoteRef/>
      </w:r>
      <w:r>
        <w:rPr>
          <w:sz w:val="20"/>
          <w:szCs w:val="20"/>
        </w:rPr>
        <w:t xml:space="preserve"> </w:t>
      </w:r>
      <w:r w:rsidR="00CA2144" w:rsidRPr="00CA2144">
        <w:rPr>
          <w:sz w:val="20"/>
          <w:szCs w:val="20"/>
        </w:rPr>
        <w:t xml:space="preserve">African Union, 'African Union Convention on Cyber Security and Personal Data Protection' (2014) </w:t>
      </w:r>
      <w:r w:rsidR="00CA2144" w:rsidRPr="00CA2144">
        <w:rPr>
          <w:color w:val="1155CC"/>
          <w:sz w:val="20"/>
          <w:szCs w:val="20"/>
          <w:u w:val="single"/>
        </w:rPr>
        <w:t>https://au.int/en/treaties/african-union-convention-cyber-security-and-personal-data-protection</w:t>
      </w:r>
      <w:r w:rsidR="00CA2144" w:rsidRPr="00CA2144">
        <w:rPr>
          <w:sz w:val="20"/>
          <w:szCs w:val="20"/>
        </w:rPr>
        <w:t xml:space="preserve"> accessed 27 July 2024</w:t>
      </w:r>
      <w:r w:rsidR="009B0372">
        <w:rPr>
          <w:sz w:val="20"/>
          <w:szCs w:val="20"/>
        </w:rPr>
        <w:t>.</w:t>
      </w:r>
      <w:r w:rsidR="00CA2144" w:rsidRPr="00CA2144">
        <w:rPr>
          <w:sz w:val="20"/>
          <w:szCs w:val="20"/>
        </w:rPr>
        <w:t xml:space="preserve">  </w:t>
      </w:r>
    </w:p>
  </w:footnote>
  <w:footnote w:id="61">
    <w:p w14:paraId="000001DD" w14:textId="61BD4691" w:rsidR="00E51BAE" w:rsidRDefault="00236A55" w:rsidP="00CA6D48">
      <w:pPr>
        <w:spacing w:line="240" w:lineRule="auto"/>
        <w:rPr>
          <w:sz w:val="20"/>
          <w:szCs w:val="20"/>
        </w:rPr>
      </w:pPr>
      <w:r>
        <w:rPr>
          <w:vertAlign w:val="superscript"/>
        </w:rPr>
        <w:footnoteRef/>
      </w:r>
      <w:r w:rsidR="00CA6D48">
        <w:rPr>
          <w:sz w:val="20"/>
          <w:szCs w:val="20"/>
        </w:rPr>
        <w:t xml:space="preserve"> </w:t>
      </w:r>
      <w:r w:rsidR="00CA6D48" w:rsidRPr="00CA6D48">
        <w:rPr>
          <w:sz w:val="20"/>
          <w:szCs w:val="20"/>
        </w:rPr>
        <w:t>This number is derived by taking the expected value: exp (</w:t>
      </w:r>
      <w:proofErr w:type="gramStart"/>
      <w:r w:rsidR="00CA6D48" w:rsidRPr="00CA6D48">
        <w:rPr>
          <w:sz w:val="20"/>
          <w:szCs w:val="20"/>
        </w:rPr>
        <w:t>0.105)−</w:t>
      </w:r>
      <w:proofErr w:type="gramEnd"/>
      <w:r w:rsidR="00CA6D48" w:rsidRPr="00CA6D48">
        <w:rPr>
          <w:sz w:val="20"/>
          <w:szCs w:val="20"/>
        </w:rPr>
        <w:t>1= 11%. The value 0.105 is the average value across the results of the coefficient for the open model.</w:t>
      </w:r>
      <w:r w:rsidR="00CA6D48">
        <w:rPr>
          <w:sz w:val="20"/>
          <w:szCs w:val="20"/>
        </w:rPr>
        <w:t xml:space="preserve"> </w:t>
      </w:r>
    </w:p>
  </w:footnote>
  <w:footnote w:id="62">
    <w:p w14:paraId="000001DC" w14:textId="68A4B47D" w:rsidR="00E51BAE" w:rsidRDefault="00236A55">
      <w:pPr>
        <w:spacing w:line="240" w:lineRule="auto"/>
        <w:rPr>
          <w:sz w:val="20"/>
          <w:szCs w:val="20"/>
        </w:rPr>
      </w:pPr>
      <w:r>
        <w:rPr>
          <w:vertAlign w:val="superscript"/>
        </w:rPr>
        <w:footnoteRef/>
      </w:r>
      <w:r>
        <w:rPr>
          <w:sz w:val="20"/>
          <w:szCs w:val="20"/>
        </w:rPr>
        <w:t xml:space="preserve"> </w:t>
      </w:r>
      <w:proofErr w:type="spellStart"/>
      <w:r w:rsidR="00027101" w:rsidRPr="00027101">
        <w:rPr>
          <w:sz w:val="20"/>
          <w:szCs w:val="20"/>
        </w:rPr>
        <w:t>UNCTADstat</w:t>
      </w:r>
      <w:proofErr w:type="spellEnd"/>
      <w:r w:rsidR="00027101" w:rsidRPr="00027101">
        <w:rPr>
          <w:sz w:val="20"/>
          <w:szCs w:val="20"/>
        </w:rPr>
        <w:t xml:space="preserve">, data for 2022 </w:t>
      </w:r>
      <w:r w:rsidR="00027101" w:rsidRPr="00027101">
        <w:rPr>
          <w:rStyle w:val="Hyperlink"/>
          <w:sz w:val="20"/>
          <w:szCs w:val="20"/>
        </w:rPr>
        <w:t>https://unctadstat.unctad.org/datacentre/dataviewer/US.DigitallyDeliverableServices</w:t>
      </w:r>
      <w:r w:rsidR="00027101" w:rsidRPr="00027101">
        <w:rPr>
          <w:sz w:val="20"/>
          <w:szCs w:val="20"/>
        </w:rPr>
        <w:t xml:space="preserve"> accessed February 2024.</w:t>
      </w:r>
      <w:r>
        <w:rPr>
          <w:sz w:val="20"/>
          <w:szCs w:val="20"/>
        </w:rPr>
        <w:t xml:space="preserve"> </w:t>
      </w:r>
    </w:p>
  </w:footnote>
  <w:footnote w:id="63">
    <w:p w14:paraId="000001DE" w14:textId="77777777" w:rsidR="00E51BAE" w:rsidRDefault="00236A55">
      <w:pPr>
        <w:spacing w:line="240" w:lineRule="auto"/>
        <w:rPr>
          <w:sz w:val="20"/>
          <w:szCs w:val="20"/>
        </w:rPr>
      </w:pPr>
      <w:r>
        <w:rPr>
          <w:vertAlign w:val="superscript"/>
        </w:rPr>
        <w:footnoteRef/>
      </w:r>
      <w:r>
        <w:rPr>
          <w:sz w:val="20"/>
          <w:szCs w:val="20"/>
        </w:rPr>
        <w:t xml:space="preserve"> According to </w:t>
      </w:r>
      <w:proofErr w:type="spellStart"/>
      <w:r>
        <w:rPr>
          <w:sz w:val="20"/>
          <w:szCs w:val="20"/>
        </w:rPr>
        <w:t>BaTiS</w:t>
      </w:r>
      <w:proofErr w:type="spellEnd"/>
      <w:r>
        <w:rPr>
          <w:sz w:val="20"/>
          <w:szCs w:val="20"/>
        </w:rPr>
        <w:t xml:space="preserve"> for which the latest year of trade data is available, based on Dig 3 definition of digital trade, total trade in digital services within Africa was 1209 </w:t>
      </w:r>
      <w:proofErr w:type="spellStart"/>
      <w:r>
        <w:rPr>
          <w:sz w:val="20"/>
          <w:szCs w:val="20"/>
        </w:rPr>
        <w:t>mln</w:t>
      </w:r>
      <w:proofErr w:type="spellEnd"/>
      <w:r>
        <w:rPr>
          <w:sz w:val="20"/>
          <w:szCs w:val="20"/>
        </w:rPr>
        <w:t xml:space="preserve"> USD * 0.11 = 135 </w:t>
      </w:r>
      <w:proofErr w:type="spellStart"/>
      <w:r>
        <w:rPr>
          <w:sz w:val="20"/>
          <w:szCs w:val="20"/>
        </w:rPr>
        <w:t>mln</w:t>
      </w:r>
      <w:proofErr w:type="spellEnd"/>
      <w:r>
        <w:rPr>
          <w:sz w:val="20"/>
          <w:szCs w:val="20"/>
        </w:rPr>
        <w:t xml:space="preserve"> USD. Dig 3 definition of digital services trade excludes IPR, health, education and other personal services. </w:t>
      </w:r>
    </w:p>
  </w:footnote>
  <w:footnote w:id="64">
    <w:p w14:paraId="5864C2F9" w14:textId="70077E92" w:rsidR="00192CE0" w:rsidRPr="00192CE0" w:rsidRDefault="00192CE0">
      <w:pPr>
        <w:pStyle w:val="FootnoteText"/>
      </w:pPr>
      <w:r>
        <w:rPr>
          <w:rStyle w:val="FootnoteReference"/>
        </w:rPr>
        <w:footnoteRef/>
      </w:r>
      <w:r>
        <w:t xml:space="preserve"> </w:t>
      </w:r>
      <w:r w:rsidR="00027101" w:rsidRPr="00027101">
        <w:t xml:space="preserve">Regional Comprehensive Economic Partnership, 1 January 2022 </w:t>
      </w:r>
      <w:hyperlink r:id="rId3" w:tgtFrame="_new" w:history="1">
        <w:r w:rsidR="00027101" w:rsidRPr="00027101">
          <w:rPr>
            <w:rStyle w:val="Hyperlink"/>
          </w:rPr>
          <w:t>https://www.dfat.gov.au/trade/agreements/in-force/rcep/rcep-text</w:t>
        </w:r>
      </w:hyperlink>
      <w:r w:rsidR="00027101" w:rsidRPr="00027101">
        <w:t xml:space="preserve"> accessed</w:t>
      </w:r>
      <w:r w:rsidR="00027101">
        <w:t xml:space="preserve"> 29 July </w:t>
      </w:r>
      <w:r w:rsidR="005077DF">
        <w:t>2024</w:t>
      </w:r>
      <w:r>
        <w:t xml:space="preserve">. </w:t>
      </w:r>
    </w:p>
  </w:footnote>
  <w:footnote w:id="65">
    <w:p w14:paraId="52107B95" w14:textId="16D44943" w:rsidR="008E2E17" w:rsidRPr="008E2E17" w:rsidRDefault="008E2E17">
      <w:pPr>
        <w:pStyle w:val="FootnoteText"/>
      </w:pPr>
      <w:r>
        <w:rPr>
          <w:rStyle w:val="FootnoteReference"/>
        </w:rPr>
        <w:footnoteRef/>
      </w:r>
      <w:r>
        <w:t xml:space="preserve"> </w:t>
      </w:r>
      <w:r w:rsidR="00192CE0" w:rsidRPr="00192CE0">
        <w:rPr>
          <w:i/>
          <w:iCs/>
        </w:rPr>
        <w:t>Id</w:t>
      </w:r>
      <w:r w:rsidR="00192CE0">
        <w:t xml:space="preserve">. </w:t>
      </w:r>
      <w:r w:rsidRPr="008E2E17">
        <w:t>Article 12.14.3(a)</w:t>
      </w:r>
      <w:r>
        <w:t xml:space="preserve">. </w:t>
      </w:r>
      <w:r w:rsidR="00C63E94">
        <w:t>For a comparison about different models of exceptions of the commitments on data flows, see</w:t>
      </w:r>
      <w:r>
        <w:t xml:space="preserve"> </w:t>
      </w:r>
      <w:r w:rsidR="005077DF" w:rsidRPr="005077DF">
        <w:t xml:space="preserve">Mira </w:t>
      </w:r>
      <w:proofErr w:type="spellStart"/>
      <w:r w:rsidR="005077DF" w:rsidRPr="005077DF">
        <w:t>Burri</w:t>
      </w:r>
      <w:proofErr w:type="spellEnd"/>
      <w:r w:rsidR="005077DF" w:rsidRPr="005077DF">
        <w:t>, 'A WTO Agreement on Electronic Commerce: An Inquiry into Its Legal Substance and Viability' (2022) 53 Geo J Intl L 565</w:t>
      </w:r>
      <w:r w:rsidRPr="008E2E17">
        <w:t xml:space="preserve">. </w:t>
      </w:r>
    </w:p>
  </w:footnote>
  <w:footnote w:id="66">
    <w:p w14:paraId="506E46CF" w14:textId="63217516" w:rsidR="00192CE0" w:rsidRPr="00192CE0" w:rsidRDefault="00192CE0">
      <w:pPr>
        <w:pStyle w:val="FootnoteText"/>
      </w:pPr>
      <w:r>
        <w:rPr>
          <w:rStyle w:val="FootnoteReference"/>
        </w:rPr>
        <w:footnoteRef/>
      </w:r>
      <w:r>
        <w:t xml:space="preserve"> </w:t>
      </w:r>
      <w:r w:rsidRPr="00192CE0">
        <w:t xml:space="preserve">RCEP, </w:t>
      </w:r>
      <w:r w:rsidRPr="00192CE0">
        <w:rPr>
          <w:i/>
          <w:iCs/>
        </w:rPr>
        <w:t>supra</w:t>
      </w:r>
      <w:r>
        <w:rPr>
          <w:i/>
          <w:iCs/>
        </w:rPr>
        <w:t xml:space="preserve"> </w:t>
      </w:r>
      <w:r w:rsidRPr="00192CE0">
        <w:t xml:space="preserve">note </w:t>
      </w:r>
      <w:r w:rsidR="005077DF" w:rsidRPr="00A71A59">
        <w:t>6</w:t>
      </w:r>
      <w:r w:rsidR="00A71A59" w:rsidRPr="00A71A59">
        <w:t>3</w:t>
      </w:r>
      <w:r w:rsidRPr="00192CE0">
        <w:t>,</w:t>
      </w:r>
      <w:r>
        <w:t xml:space="preserve"> A</w:t>
      </w:r>
      <w:r w:rsidRPr="00192CE0">
        <w:t>rt. 12.14.3</w:t>
      </w:r>
      <w:r>
        <w:t xml:space="preserve">. </w:t>
      </w:r>
    </w:p>
  </w:footnote>
  <w:footnote w:id="67">
    <w:p w14:paraId="2CE9E353" w14:textId="3F9134C1" w:rsidR="008726CE" w:rsidRPr="008726CE" w:rsidRDefault="008726CE">
      <w:pPr>
        <w:pStyle w:val="FootnoteText"/>
      </w:pPr>
      <w:r>
        <w:rPr>
          <w:rStyle w:val="FootnoteReference"/>
        </w:rPr>
        <w:footnoteRef/>
      </w:r>
      <w:r>
        <w:t xml:space="preserve"> </w:t>
      </w:r>
      <w:r w:rsidR="005077DF" w:rsidRPr="005077DF">
        <w:t>General Agreement on Trade in Services, 15 April 1994, Marrakesh Agreement Establishing the World Trade Organization, Annex 1B, 1869 UNTS 183, 33 ILM 1167 (1994)</w:t>
      </w:r>
      <w:r w:rsidR="005077DF">
        <w:t>.</w:t>
      </w:r>
    </w:p>
  </w:footnote>
  <w:footnote w:id="68">
    <w:p w14:paraId="5AD3246B" w14:textId="17099DF4" w:rsidR="008726CE" w:rsidRPr="00F840F6" w:rsidRDefault="008726CE">
      <w:pPr>
        <w:pStyle w:val="FootnoteText"/>
        <w:rPr>
          <w:lang w:val="it-IT"/>
        </w:rPr>
      </w:pPr>
      <w:r>
        <w:rPr>
          <w:rStyle w:val="FootnoteReference"/>
        </w:rPr>
        <w:footnoteRef/>
      </w:r>
      <w:r w:rsidRPr="00F840F6">
        <w:rPr>
          <w:lang w:val="it-IT"/>
        </w:rPr>
        <w:t xml:space="preserve"> </w:t>
      </w:r>
      <w:proofErr w:type="spellStart"/>
      <w:r w:rsidRPr="00F840F6">
        <w:rPr>
          <w:lang w:val="it-IT"/>
        </w:rPr>
        <w:t>AfCFTA</w:t>
      </w:r>
      <w:proofErr w:type="spellEnd"/>
      <w:r w:rsidRPr="00F840F6">
        <w:rPr>
          <w:lang w:val="it-IT"/>
        </w:rPr>
        <w:t xml:space="preserve"> Digital </w:t>
      </w:r>
      <w:proofErr w:type="spellStart"/>
      <w:r w:rsidRPr="00F840F6">
        <w:rPr>
          <w:lang w:val="it-IT"/>
        </w:rPr>
        <w:t>Protocol</w:t>
      </w:r>
      <w:proofErr w:type="spellEnd"/>
      <w:r w:rsidRPr="00F840F6">
        <w:rPr>
          <w:lang w:val="it-IT"/>
        </w:rPr>
        <w:t xml:space="preserve">, </w:t>
      </w:r>
      <w:proofErr w:type="spellStart"/>
      <w:r w:rsidRPr="00F840F6">
        <w:rPr>
          <w:i/>
          <w:iCs/>
          <w:lang w:val="it-IT"/>
        </w:rPr>
        <w:t>supra</w:t>
      </w:r>
      <w:proofErr w:type="spellEnd"/>
      <w:r w:rsidRPr="00F840F6">
        <w:rPr>
          <w:lang w:val="it-IT"/>
        </w:rPr>
        <w:t xml:space="preserve"> not</w:t>
      </w:r>
      <w:r w:rsidR="00F840F6" w:rsidRPr="00F840F6">
        <w:rPr>
          <w:lang w:val="it-IT"/>
        </w:rPr>
        <w:t>e</w:t>
      </w:r>
      <w:r w:rsidRPr="00F840F6">
        <w:rPr>
          <w:lang w:val="it-IT"/>
        </w:rPr>
        <w:t xml:space="preserve"> </w:t>
      </w:r>
      <w:r w:rsidR="00A71A59">
        <w:rPr>
          <w:lang w:val="it-IT"/>
        </w:rPr>
        <w:t>3</w:t>
      </w:r>
      <w:r w:rsidRPr="00F840F6">
        <w:rPr>
          <w:lang w:val="it-IT"/>
        </w:rPr>
        <w:t>, Art. 20.2.</w:t>
      </w:r>
    </w:p>
  </w:footnote>
  <w:footnote w:id="69">
    <w:p w14:paraId="575C0597" w14:textId="63009100" w:rsidR="00C06F55" w:rsidRPr="00C06F55" w:rsidRDefault="00C06F55">
      <w:pPr>
        <w:pStyle w:val="FootnoteText"/>
      </w:pPr>
      <w:r>
        <w:rPr>
          <w:rStyle w:val="FootnoteReference"/>
        </w:rPr>
        <w:footnoteRef/>
      </w:r>
      <w:r>
        <w:t xml:space="preserve"> </w:t>
      </w:r>
      <w:r w:rsidRPr="00F840F6">
        <w:rPr>
          <w:i/>
          <w:iCs/>
        </w:rPr>
        <w:t xml:space="preserve">Id. </w:t>
      </w:r>
    </w:p>
  </w:footnote>
  <w:footnote w:id="70">
    <w:p w14:paraId="1DC2B345" w14:textId="7AC6874F" w:rsidR="00C06F55" w:rsidRPr="00C06F55" w:rsidRDefault="00C06F55">
      <w:pPr>
        <w:pStyle w:val="FootnoteText"/>
      </w:pPr>
      <w:r>
        <w:rPr>
          <w:rStyle w:val="FootnoteReference"/>
        </w:rPr>
        <w:footnoteRef/>
      </w:r>
      <w:r>
        <w:t xml:space="preserve"> </w:t>
      </w:r>
      <w:r w:rsidR="000D1EB0" w:rsidRPr="000D1EB0">
        <w:t>Comprehensive and Progressive Agreement for Trans-Pacific Partnership, Art 14.11.3, 8 March 2018, ATS 23</w:t>
      </w:r>
      <w:r>
        <w:t xml:space="preserve">. </w:t>
      </w:r>
    </w:p>
  </w:footnote>
  <w:footnote w:id="71">
    <w:p w14:paraId="70537929" w14:textId="5C2BCA8E" w:rsidR="00D4018F" w:rsidRPr="00D4018F" w:rsidRDefault="00D4018F">
      <w:pPr>
        <w:pStyle w:val="FootnoteText"/>
        <w:rPr>
          <w:lang w:val="it-IT"/>
        </w:rPr>
      </w:pPr>
      <w:r>
        <w:rPr>
          <w:rStyle w:val="FootnoteReference"/>
        </w:rPr>
        <w:footnoteRef/>
      </w:r>
      <w:r w:rsidRPr="0016323E">
        <w:rPr>
          <w:lang w:val="es-CL"/>
        </w:rPr>
        <w:t xml:space="preserve"> </w:t>
      </w:r>
      <w:proofErr w:type="spellStart"/>
      <w:r w:rsidRPr="00F840F6">
        <w:rPr>
          <w:lang w:val="it-IT"/>
        </w:rPr>
        <w:t>AfCFTA</w:t>
      </w:r>
      <w:proofErr w:type="spellEnd"/>
      <w:r w:rsidRPr="00F840F6">
        <w:rPr>
          <w:lang w:val="it-IT"/>
        </w:rPr>
        <w:t xml:space="preserve"> Digital </w:t>
      </w:r>
      <w:proofErr w:type="spellStart"/>
      <w:r w:rsidRPr="00F840F6">
        <w:rPr>
          <w:lang w:val="it-IT"/>
        </w:rPr>
        <w:t>Protocol</w:t>
      </w:r>
      <w:proofErr w:type="spellEnd"/>
      <w:r w:rsidRPr="00F840F6">
        <w:rPr>
          <w:lang w:val="it-IT"/>
        </w:rPr>
        <w:t xml:space="preserve">, </w:t>
      </w:r>
      <w:proofErr w:type="spellStart"/>
      <w:r w:rsidRPr="00F840F6">
        <w:rPr>
          <w:i/>
          <w:iCs/>
          <w:lang w:val="it-IT"/>
        </w:rPr>
        <w:t>supra</w:t>
      </w:r>
      <w:proofErr w:type="spellEnd"/>
      <w:r w:rsidRPr="00F840F6">
        <w:rPr>
          <w:lang w:val="it-IT"/>
        </w:rPr>
        <w:t xml:space="preserve"> note </w:t>
      </w:r>
      <w:r w:rsidR="00A71A59">
        <w:rPr>
          <w:lang w:val="it-IT"/>
        </w:rPr>
        <w:t>3</w:t>
      </w:r>
      <w:r w:rsidRPr="00F840F6">
        <w:rPr>
          <w:lang w:val="it-IT"/>
        </w:rPr>
        <w:t>, Art. 2</w:t>
      </w:r>
      <w:r>
        <w:rPr>
          <w:lang w:val="it-IT"/>
        </w:rPr>
        <w:t>2</w:t>
      </w:r>
      <w:r w:rsidRPr="00F840F6">
        <w:rPr>
          <w:lang w:val="it-IT"/>
        </w:rPr>
        <w:t>.</w:t>
      </w:r>
    </w:p>
  </w:footnote>
  <w:footnote w:id="72">
    <w:p w14:paraId="2E9D4779" w14:textId="0D7856E3" w:rsidR="00A71A59" w:rsidRPr="00A71A59" w:rsidRDefault="00A71A59">
      <w:pPr>
        <w:pStyle w:val="FootnoteText"/>
      </w:pPr>
      <w:r>
        <w:rPr>
          <w:rStyle w:val="FootnoteReference"/>
        </w:rPr>
        <w:footnoteRef/>
      </w:r>
      <w:r>
        <w:t xml:space="preserve"> For an examination, see </w:t>
      </w:r>
      <w:r w:rsidRPr="00193E8A">
        <w:t xml:space="preserve">N Rotich, 'Examining Cross-Border Data Flows Provisions in Africa’s Free Trade Agreements' (2023) Strathmore University </w:t>
      </w:r>
      <w:r w:rsidRPr="002B7C44">
        <w:rPr>
          <w:rStyle w:val="Hyperlink"/>
        </w:rPr>
        <w:t>https://cipit.strathmore.edu/examining-cross-border-data-flows-provisions-in-africas-free-trade-agreements/</w:t>
      </w:r>
      <w:r w:rsidRPr="00193E8A">
        <w:t xml:space="preserve"> accessed 27 July 2024</w:t>
      </w:r>
      <w:r>
        <w:t>.</w:t>
      </w:r>
    </w:p>
  </w:footnote>
  <w:footnote w:id="73">
    <w:p w14:paraId="56FA57AB" w14:textId="2D0B5E19" w:rsidR="00FD422E" w:rsidRPr="008E2E17" w:rsidRDefault="00FD422E">
      <w:pPr>
        <w:pStyle w:val="FootnoteText"/>
      </w:pPr>
      <w:r w:rsidRPr="00586D3A">
        <w:rPr>
          <w:rStyle w:val="FootnoteReference"/>
        </w:rPr>
        <w:footnoteRef/>
      </w:r>
      <w:r w:rsidRPr="00586D3A">
        <w:t xml:space="preserve"> </w:t>
      </w:r>
      <w:r w:rsidR="00FD086A" w:rsidRPr="00586D3A">
        <w:t xml:space="preserve">East African Community E-Commerce Strategy, </w:t>
      </w:r>
      <w:r w:rsidR="00586D3A" w:rsidRPr="00586D3A">
        <w:t xml:space="preserve">Measure 5.1.5, 12 July 2022, </w:t>
      </w:r>
      <w:hyperlink r:id="rId4" w:history="1">
        <w:r w:rsidR="00586D3A" w:rsidRPr="00586D3A">
          <w:rPr>
            <w:rStyle w:val="Hyperlink"/>
          </w:rPr>
          <w:t>https://web.archive.org/web/20240714063704/http://repository.eac.int/bitstream/handle/11671/24471/EAC%20E-Commerce%20Strategy%20Adopted%2012th%20July%202022%20(003).pdf?sequence=1</w:t>
        </w:r>
      </w:hyperlink>
      <w:r w:rsidR="00586D3A">
        <w:t xml:space="preserve"> accessed 29 July 2024</w:t>
      </w:r>
    </w:p>
  </w:footnote>
  <w:footnote w:id="74">
    <w:p w14:paraId="3FE1AC3D" w14:textId="11BD1DA0" w:rsidR="00FD422E" w:rsidRPr="00FD422E" w:rsidRDefault="00FD422E">
      <w:pPr>
        <w:pStyle w:val="FootnoteText"/>
      </w:pPr>
      <w:r>
        <w:rPr>
          <w:rStyle w:val="FootnoteReference"/>
        </w:rPr>
        <w:footnoteRef/>
      </w:r>
      <w:r>
        <w:t xml:space="preserve"> </w:t>
      </w:r>
      <w:r w:rsidR="000D1EB0">
        <w:t>S</w:t>
      </w:r>
      <w:r w:rsidR="000D1EB0" w:rsidRPr="000D1EB0">
        <w:t xml:space="preserve">upplementary Act on Personal Data Protection of the Economic Community of West African States, Art 36, 16 February 2010 </w:t>
      </w:r>
      <w:hyperlink r:id="rId5" w:tgtFrame="_new" w:history="1">
        <w:r w:rsidR="000D1EB0" w:rsidRPr="000D1EB0">
          <w:rPr>
            <w:rStyle w:val="Hyperlink"/>
          </w:rPr>
          <w:t>https://ictpolicyafrica.org/en/document/z69cbq7b51?page=1</w:t>
        </w:r>
      </w:hyperlink>
      <w:r w:rsidR="000D1EB0" w:rsidRPr="000D1EB0">
        <w:t xml:space="preserve"> accessed </w:t>
      </w:r>
      <w:r w:rsidR="000D1EB0">
        <w:t>29 July 2024</w:t>
      </w:r>
      <w:r w:rsidRPr="00FD422E">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CC" w14:textId="77777777" w:rsidR="00E51BAE" w:rsidRDefault="00E51BAE">
    <w:pPr>
      <w:pBdr>
        <w:top w:val="nil"/>
        <w:left w:val="nil"/>
        <w:bottom w:val="nil"/>
        <w:right w:val="nil"/>
        <w:between w:val="nil"/>
      </w:pBdr>
      <w:tabs>
        <w:tab w:val="center" w:pos="4680"/>
        <w:tab w:val="right" w:pos="9360"/>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CB" w14:textId="77777777" w:rsidR="00E51BAE" w:rsidRDefault="00E51BA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CD" w14:textId="77777777" w:rsidR="00E51BAE" w:rsidRDefault="00E51BAE">
    <w:pPr>
      <w:pBdr>
        <w:top w:val="nil"/>
        <w:left w:val="nil"/>
        <w:bottom w:val="nil"/>
        <w:right w:val="nil"/>
        <w:between w:val="nil"/>
      </w:pBdr>
      <w:tabs>
        <w:tab w:val="center" w:pos="4680"/>
        <w:tab w:val="right" w:pos="9360"/>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BB51E7"/>
    <w:multiLevelType w:val="hybridMultilevel"/>
    <w:tmpl w:val="CA56D8EC"/>
    <w:lvl w:ilvl="0" w:tplc="CBDEA0F8">
      <w:start w:val="1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CC62B2"/>
    <w:multiLevelType w:val="multilevel"/>
    <w:tmpl w:val="0B68088A"/>
    <w:lvl w:ilvl="0">
      <w:start w:val="2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8AD76F9"/>
    <w:multiLevelType w:val="multilevel"/>
    <w:tmpl w:val="0F465F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644510765">
    <w:abstractNumId w:val="2"/>
  </w:num>
  <w:num w:numId="2" w16cid:durableId="1892114604">
    <w:abstractNumId w:val="0"/>
  </w:num>
  <w:num w:numId="3" w16cid:durableId="19583720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6"/>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BAE"/>
    <w:rsid w:val="00013A9B"/>
    <w:rsid w:val="00024FB5"/>
    <w:rsid w:val="00027101"/>
    <w:rsid w:val="00040A2B"/>
    <w:rsid w:val="00045627"/>
    <w:rsid w:val="00051FBD"/>
    <w:rsid w:val="00053A7D"/>
    <w:rsid w:val="00056907"/>
    <w:rsid w:val="00056A15"/>
    <w:rsid w:val="000639E5"/>
    <w:rsid w:val="00064E5A"/>
    <w:rsid w:val="00070468"/>
    <w:rsid w:val="00094250"/>
    <w:rsid w:val="00095CCD"/>
    <w:rsid w:val="000A2907"/>
    <w:rsid w:val="000A2B61"/>
    <w:rsid w:val="000D0E56"/>
    <w:rsid w:val="000D1EB0"/>
    <w:rsid w:val="000D2B57"/>
    <w:rsid w:val="000D3745"/>
    <w:rsid w:val="000D7862"/>
    <w:rsid w:val="000E38FB"/>
    <w:rsid w:val="000E4E6E"/>
    <w:rsid w:val="00102378"/>
    <w:rsid w:val="00130AFA"/>
    <w:rsid w:val="0013346A"/>
    <w:rsid w:val="00136E3E"/>
    <w:rsid w:val="0014200D"/>
    <w:rsid w:val="001439CE"/>
    <w:rsid w:val="00144B0E"/>
    <w:rsid w:val="00146EBD"/>
    <w:rsid w:val="0015106A"/>
    <w:rsid w:val="001607EC"/>
    <w:rsid w:val="00162543"/>
    <w:rsid w:val="0016323E"/>
    <w:rsid w:val="0017068A"/>
    <w:rsid w:val="001739AC"/>
    <w:rsid w:val="00176A57"/>
    <w:rsid w:val="00182E15"/>
    <w:rsid w:val="00192CE0"/>
    <w:rsid w:val="00193E8A"/>
    <w:rsid w:val="001B7960"/>
    <w:rsid w:val="001C6A75"/>
    <w:rsid w:val="001C6DB4"/>
    <w:rsid w:val="001D21BC"/>
    <w:rsid w:val="001E200D"/>
    <w:rsid w:val="001F536D"/>
    <w:rsid w:val="00210096"/>
    <w:rsid w:val="0021727C"/>
    <w:rsid w:val="00222911"/>
    <w:rsid w:val="00224CBF"/>
    <w:rsid w:val="00227B8D"/>
    <w:rsid w:val="0023034F"/>
    <w:rsid w:val="002369B6"/>
    <w:rsid w:val="00236A55"/>
    <w:rsid w:val="00237AE0"/>
    <w:rsid w:val="0024043F"/>
    <w:rsid w:val="00262016"/>
    <w:rsid w:val="00262783"/>
    <w:rsid w:val="00262FCE"/>
    <w:rsid w:val="002A51DA"/>
    <w:rsid w:val="002B2E9D"/>
    <w:rsid w:val="002B7C44"/>
    <w:rsid w:val="002D4EEB"/>
    <w:rsid w:val="002D5C30"/>
    <w:rsid w:val="002F0440"/>
    <w:rsid w:val="002F3A4D"/>
    <w:rsid w:val="002F41BF"/>
    <w:rsid w:val="002F6FEA"/>
    <w:rsid w:val="00301DED"/>
    <w:rsid w:val="00304309"/>
    <w:rsid w:val="003070DD"/>
    <w:rsid w:val="00307F35"/>
    <w:rsid w:val="0031502D"/>
    <w:rsid w:val="0032719E"/>
    <w:rsid w:val="00331814"/>
    <w:rsid w:val="0033381E"/>
    <w:rsid w:val="00337620"/>
    <w:rsid w:val="00357FF2"/>
    <w:rsid w:val="00362935"/>
    <w:rsid w:val="00364010"/>
    <w:rsid w:val="00375F33"/>
    <w:rsid w:val="003829BC"/>
    <w:rsid w:val="003971E2"/>
    <w:rsid w:val="00397853"/>
    <w:rsid w:val="003B022D"/>
    <w:rsid w:val="003B04B0"/>
    <w:rsid w:val="003B2D6C"/>
    <w:rsid w:val="003B5676"/>
    <w:rsid w:val="003D155C"/>
    <w:rsid w:val="003D40FE"/>
    <w:rsid w:val="003D58C5"/>
    <w:rsid w:val="003E0BF9"/>
    <w:rsid w:val="003E6B2E"/>
    <w:rsid w:val="004030CB"/>
    <w:rsid w:val="00404F07"/>
    <w:rsid w:val="0041143D"/>
    <w:rsid w:val="00413C95"/>
    <w:rsid w:val="00442B56"/>
    <w:rsid w:val="00455A5D"/>
    <w:rsid w:val="00455D77"/>
    <w:rsid w:val="0046684F"/>
    <w:rsid w:val="00475046"/>
    <w:rsid w:val="00484BEF"/>
    <w:rsid w:val="0048562F"/>
    <w:rsid w:val="004875C2"/>
    <w:rsid w:val="00490156"/>
    <w:rsid w:val="0049085D"/>
    <w:rsid w:val="004943D0"/>
    <w:rsid w:val="004A30DE"/>
    <w:rsid w:val="004C561A"/>
    <w:rsid w:val="004D00BE"/>
    <w:rsid w:val="004E4190"/>
    <w:rsid w:val="004F45FA"/>
    <w:rsid w:val="004F5ED5"/>
    <w:rsid w:val="00503AB0"/>
    <w:rsid w:val="005077DF"/>
    <w:rsid w:val="00514B80"/>
    <w:rsid w:val="00531BF3"/>
    <w:rsid w:val="00550C92"/>
    <w:rsid w:val="005536DA"/>
    <w:rsid w:val="00553734"/>
    <w:rsid w:val="00556861"/>
    <w:rsid w:val="00556F9A"/>
    <w:rsid w:val="00586D3A"/>
    <w:rsid w:val="00593E02"/>
    <w:rsid w:val="00596AEE"/>
    <w:rsid w:val="005A7B26"/>
    <w:rsid w:val="005B3B5B"/>
    <w:rsid w:val="005B3CCC"/>
    <w:rsid w:val="005E64C5"/>
    <w:rsid w:val="005E6D85"/>
    <w:rsid w:val="005F4F71"/>
    <w:rsid w:val="005F5873"/>
    <w:rsid w:val="005F60F5"/>
    <w:rsid w:val="00605A9F"/>
    <w:rsid w:val="00614841"/>
    <w:rsid w:val="00616CCA"/>
    <w:rsid w:val="00624A3C"/>
    <w:rsid w:val="0063319C"/>
    <w:rsid w:val="006439BF"/>
    <w:rsid w:val="00651E41"/>
    <w:rsid w:val="00670DE9"/>
    <w:rsid w:val="00681749"/>
    <w:rsid w:val="006A3F67"/>
    <w:rsid w:val="006A7AA8"/>
    <w:rsid w:val="006B3D8C"/>
    <w:rsid w:val="006B3D9F"/>
    <w:rsid w:val="006C791A"/>
    <w:rsid w:val="006E32FE"/>
    <w:rsid w:val="006E54B2"/>
    <w:rsid w:val="006E5B73"/>
    <w:rsid w:val="006E6511"/>
    <w:rsid w:val="006F234F"/>
    <w:rsid w:val="007061F9"/>
    <w:rsid w:val="0070621F"/>
    <w:rsid w:val="007065C9"/>
    <w:rsid w:val="00724D05"/>
    <w:rsid w:val="00727BCE"/>
    <w:rsid w:val="00730D05"/>
    <w:rsid w:val="00730F78"/>
    <w:rsid w:val="00734512"/>
    <w:rsid w:val="00737223"/>
    <w:rsid w:val="0074086A"/>
    <w:rsid w:val="00743B52"/>
    <w:rsid w:val="00764953"/>
    <w:rsid w:val="0077036D"/>
    <w:rsid w:val="00776F68"/>
    <w:rsid w:val="00786AA6"/>
    <w:rsid w:val="007A5389"/>
    <w:rsid w:val="007B6866"/>
    <w:rsid w:val="007F0CBA"/>
    <w:rsid w:val="007F1F20"/>
    <w:rsid w:val="00811C9B"/>
    <w:rsid w:val="00811DE5"/>
    <w:rsid w:val="00816996"/>
    <w:rsid w:val="00831BFB"/>
    <w:rsid w:val="0083431A"/>
    <w:rsid w:val="00857849"/>
    <w:rsid w:val="008635CA"/>
    <w:rsid w:val="00863F56"/>
    <w:rsid w:val="00865614"/>
    <w:rsid w:val="008726CE"/>
    <w:rsid w:val="00877654"/>
    <w:rsid w:val="00895ABB"/>
    <w:rsid w:val="008A37AB"/>
    <w:rsid w:val="008A493D"/>
    <w:rsid w:val="008A7730"/>
    <w:rsid w:val="008B718E"/>
    <w:rsid w:val="008C78F3"/>
    <w:rsid w:val="008E2E17"/>
    <w:rsid w:val="008E2E6E"/>
    <w:rsid w:val="008F2E15"/>
    <w:rsid w:val="008F7AC5"/>
    <w:rsid w:val="00902CF2"/>
    <w:rsid w:val="00904163"/>
    <w:rsid w:val="00915C36"/>
    <w:rsid w:val="00925331"/>
    <w:rsid w:val="009422DD"/>
    <w:rsid w:val="009606AE"/>
    <w:rsid w:val="00967DD2"/>
    <w:rsid w:val="0099290B"/>
    <w:rsid w:val="009A79AD"/>
    <w:rsid w:val="009B0372"/>
    <w:rsid w:val="009E5907"/>
    <w:rsid w:val="009E5CEF"/>
    <w:rsid w:val="009E64D6"/>
    <w:rsid w:val="009F25D2"/>
    <w:rsid w:val="00A05DB9"/>
    <w:rsid w:val="00A154D5"/>
    <w:rsid w:val="00A177EE"/>
    <w:rsid w:val="00A248C0"/>
    <w:rsid w:val="00A36CA4"/>
    <w:rsid w:val="00A3732D"/>
    <w:rsid w:val="00A43942"/>
    <w:rsid w:val="00A51E10"/>
    <w:rsid w:val="00A53C9E"/>
    <w:rsid w:val="00A55B71"/>
    <w:rsid w:val="00A60F1D"/>
    <w:rsid w:val="00A61FE7"/>
    <w:rsid w:val="00A6410A"/>
    <w:rsid w:val="00A71A59"/>
    <w:rsid w:val="00A73B50"/>
    <w:rsid w:val="00A94974"/>
    <w:rsid w:val="00AA1643"/>
    <w:rsid w:val="00AB3636"/>
    <w:rsid w:val="00AB6D48"/>
    <w:rsid w:val="00AC33F4"/>
    <w:rsid w:val="00AD1285"/>
    <w:rsid w:val="00AD20A1"/>
    <w:rsid w:val="00AD2D4F"/>
    <w:rsid w:val="00AE0440"/>
    <w:rsid w:val="00AE17A0"/>
    <w:rsid w:val="00AE6C7C"/>
    <w:rsid w:val="00AF1982"/>
    <w:rsid w:val="00AF25A0"/>
    <w:rsid w:val="00AF573F"/>
    <w:rsid w:val="00B07CC2"/>
    <w:rsid w:val="00B132E1"/>
    <w:rsid w:val="00B138C6"/>
    <w:rsid w:val="00B20FF3"/>
    <w:rsid w:val="00B31F38"/>
    <w:rsid w:val="00B43B6D"/>
    <w:rsid w:val="00B510D4"/>
    <w:rsid w:val="00B57BF6"/>
    <w:rsid w:val="00B67A12"/>
    <w:rsid w:val="00B70256"/>
    <w:rsid w:val="00B761AE"/>
    <w:rsid w:val="00B83619"/>
    <w:rsid w:val="00B9541C"/>
    <w:rsid w:val="00BA061C"/>
    <w:rsid w:val="00BA1114"/>
    <w:rsid w:val="00BA1126"/>
    <w:rsid w:val="00BB0264"/>
    <w:rsid w:val="00BE020D"/>
    <w:rsid w:val="00BF091B"/>
    <w:rsid w:val="00BF1B53"/>
    <w:rsid w:val="00BF2B17"/>
    <w:rsid w:val="00C06F55"/>
    <w:rsid w:val="00C16596"/>
    <w:rsid w:val="00C27C49"/>
    <w:rsid w:val="00C305C6"/>
    <w:rsid w:val="00C333A2"/>
    <w:rsid w:val="00C536D5"/>
    <w:rsid w:val="00C552E7"/>
    <w:rsid w:val="00C56DCA"/>
    <w:rsid w:val="00C63E94"/>
    <w:rsid w:val="00C7677D"/>
    <w:rsid w:val="00C93B28"/>
    <w:rsid w:val="00CA0B57"/>
    <w:rsid w:val="00CA1186"/>
    <w:rsid w:val="00CA2144"/>
    <w:rsid w:val="00CA6D48"/>
    <w:rsid w:val="00CC51C8"/>
    <w:rsid w:val="00CD1AF6"/>
    <w:rsid w:val="00CE4FB0"/>
    <w:rsid w:val="00CE5E7A"/>
    <w:rsid w:val="00CF1ED3"/>
    <w:rsid w:val="00CF2C26"/>
    <w:rsid w:val="00CF3412"/>
    <w:rsid w:val="00CF57E0"/>
    <w:rsid w:val="00D174A7"/>
    <w:rsid w:val="00D17CA0"/>
    <w:rsid w:val="00D20EF4"/>
    <w:rsid w:val="00D22369"/>
    <w:rsid w:val="00D23195"/>
    <w:rsid w:val="00D32FFC"/>
    <w:rsid w:val="00D345F8"/>
    <w:rsid w:val="00D4018F"/>
    <w:rsid w:val="00D43CC9"/>
    <w:rsid w:val="00D55FA7"/>
    <w:rsid w:val="00D56AE5"/>
    <w:rsid w:val="00D62F92"/>
    <w:rsid w:val="00D70C6C"/>
    <w:rsid w:val="00D87A46"/>
    <w:rsid w:val="00D9087D"/>
    <w:rsid w:val="00D9790C"/>
    <w:rsid w:val="00DA2D55"/>
    <w:rsid w:val="00DA364E"/>
    <w:rsid w:val="00DB2ABC"/>
    <w:rsid w:val="00DB6643"/>
    <w:rsid w:val="00DD2D12"/>
    <w:rsid w:val="00DD53F7"/>
    <w:rsid w:val="00DD5980"/>
    <w:rsid w:val="00DE08A8"/>
    <w:rsid w:val="00DE586B"/>
    <w:rsid w:val="00DF1685"/>
    <w:rsid w:val="00DF42B7"/>
    <w:rsid w:val="00E04FE5"/>
    <w:rsid w:val="00E11345"/>
    <w:rsid w:val="00E3080F"/>
    <w:rsid w:val="00E35D1D"/>
    <w:rsid w:val="00E416E1"/>
    <w:rsid w:val="00E475E0"/>
    <w:rsid w:val="00E47DE8"/>
    <w:rsid w:val="00E50FDE"/>
    <w:rsid w:val="00E51BAE"/>
    <w:rsid w:val="00E52A3E"/>
    <w:rsid w:val="00E5526E"/>
    <w:rsid w:val="00E83CA3"/>
    <w:rsid w:val="00E916F3"/>
    <w:rsid w:val="00EB0DDE"/>
    <w:rsid w:val="00EE4A15"/>
    <w:rsid w:val="00F13004"/>
    <w:rsid w:val="00F13FEF"/>
    <w:rsid w:val="00F40713"/>
    <w:rsid w:val="00F434EA"/>
    <w:rsid w:val="00F453DD"/>
    <w:rsid w:val="00F5346A"/>
    <w:rsid w:val="00F64457"/>
    <w:rsid w:val="00F82DE2"/>
    <w:rsid w:val="00F840F6"/>
    <w:rsid w:val="00F90BBB"/>
    <w:rsid w:val="00FA1FFE"/>
    <w:rsid w:val="00FC0E25"/>
    <w:rsid w:val="00FD086A"/>
    <w:rsid w:val="00FD422E"/>
    <w:rsid w:val="00FD6612"/>
    <w:rsid w:val="00FE1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A4CBC9"/>
  <w15:docId w15:val="{7FB53326-9928-514A-81C8-80BC06C67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F94EA3"/>
    <w:pPr>
      <w:tabs>
        <w:tab w:val="center" w:pos="4680"/>
        <w:tab w:val="right" w:pos="9360"/>
      </w:tabs>
      <w:spacing w:line="240" w:lineRule="auto"/>
    </w:pPr>
  </w:style>
  <w:style w:type="character" w:customStyle="1" w:styleId="HeaderChar">
    <w:name w:val="Header Char"/>
    <w:basedOn w:val="DefaultParagraphFont"/>
    <w:link w:val="Header"/>
    <w:uiPriority w:val="99"/>
    <w:rsid w:val="00F94EA3"/>
  </w:style>
  <w:style w:type="paragraph" w:styleId="Footer">
    <w:name w:val="footer"/>
    <w:basedOn w:val="Normal"/>
    <w:link w:val="FooterChar"/>
    <w:uiPriority w:val="99"/>
    <w:unhideWhenUsed/>
    <w:rsid w:val="00F94EA3"/>
    <w:pPr>
      <w:tabs>
        <w:tab w:val="center" w:pos="4680"/>
        <w:tab w:val="right" w:pos="9360"/>
      </w:tabs>
      <w:spacing w:line="240" w:lineRule="auto"/>
    </w:pPr>
  </w:style>
  <w:style w:type="character" w:customStyle="1" w:styleId="FooterChar">
    <w:name w:val="Footer Char"/>
    <w:basedOn w:val="DefaultParagraphFont"/>
    <w:link w:val="Footer"/>
    <w:uiPriority w:val="99"/>
    <w:rsid w:val="00F94EA3"/>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FootnoteText">
    <w:name w:val="footnote text"/>
    <w:basedOn w:val="Normal"/>
    <w:link w:val="FootnoteTextChar"/>
    <w:uiPriority w:val="99"/>
    <w:semiHidden/>
    <w:unhideWhenUsed/>
    <w:rsid w:val="00262783"/>
    <w:pPr>
      <w:spacing w:line="240" w:lineRule="auto"/>
    </w:pPr>
    <w:rPr>
      <w:sz w:val="20"/>
      <w:szCs w:val="20"/>
    </w:rPr>
  </w:style>
  <w:style w:type="character" w:customStyle="1" w:styleId="FootnoteTextChar">
    <w:name w:val="Footnote Text Char"/>
    <w:basedOn w:val="DefaultParagraphFont"/>
    <w:link w:val="FootnoteText"/>
    <w:uiPriority w:val="99"/>
    <w:semiHidden/>
    <w:rsid w:val="00262783"/>
    <w:rPr>
      <w:sz w:val="20"/>
      <w:szCs w:val="20"/>
    </w:rPr>
  </w:style>
  <w:style w:type="character" w:styleId="FootnoteReference">
    <w:name w:val="footnote reference"/>
    <w:basedOn w:val="DefaultParagraphFont"/>
    <w:uiPriority w:val="99"/>
    <w:semiHidden/>
    <w:unhideWhenUsed/>
    <w:rsid w:val="00262783"/>
    <w:rPr>
      <w:vertAlign w:val="superscript"/>
    </w:rPr>
  </w:style>
  <w:style w:type="paragraph" w:styleId="Revision">
    <w:name w:val="Revision"/>
    <w:hidden/>
    <w:uiPriority w:val="99"/>
    <w:semiHidden/>
    <w:rsid w:val="00DD2D12"/>
    <w:pPr>
      <w:spacing w:line="240" w:lineRule="auto"/>
    </w:pPr>
  </w:style>
  <w:style w:type="paragraph" w:styleId="NormalWeb">
    <w:name w:val="Normal (Web)"/>
    <w:basedOn w:val="Normal"/>
    <w:uiPriority w:val="99"/>
    <w:semiHidden/>
    <w:unhideWhenUsed/>
    <w:rsid w:val="00CA0B5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CA0B57"/>
    <w:rPr>
      <w:color w:val="0000FF"/>
      <w:u w:val="single"/>
    </w:rPr>
  </w:style>
  <w:style w:type="character" w:styleId="UnresolvedMention">
    <w:name w:val="Unresolved Mention"/>
    <w:basedOn w:val="DefaultParagraphFont"/>
    <w:uiPriority w:val="99"/>
    <w:semiHidden/>
    <w:unhideWhenUsed/>
    <w:rsid w:val="00967DD2"/>
    <w:rPr>
      <w:color w:val="605E5C"/>
      <w:shd w:val="clear" w:color="auto" w:fill="E1DFDD"/>
    </w:rPr>
  </w:style>
  <w:style w:type="character" w:styleId="FollowedHyperlink">
    <w:name w:val="FollowedHyperlink"/>
    <w:basedOn w:val="DefaultParagraphFont"/>
    <w:uiPriority w:val="99"/>
    <w:semiHidden/>
    <w:unhideWhenUsed/>
    <w:rsid w:val="00967DD2"/>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967DD2"/>
    <w:rPr>
      <w:b/>
      <w:bCs/>
    </w:rPr>
  </w:style>
  <w:style w:type="character" w:customStyle="1" w:styleId="CommentSubjectChar">
    <w:name w:val="Comment Subject Char"/>
    <w:basedOn w:val="CommentTextChar"/>
    <w:link w:val="CommentSubject"/>
    <w:uiPriority w:val="99"/>
    <w:semiHidden/>
    <w:rsid w:val="00967DD2"/>
    <w:rPr>
      <w:b/>
      <w:bCs/>
      <w:sz w:val="20"/>
      <w:szCs w:val="20"/>
    </w:rPr>
  </w:style>
  <w:style w:type="paragraph" w:styleId="ListParagraph">
    <w:name w:val="List Paragraph"/>
    <w:basedOn w:val="Normal"/>
    <w:uiPriority w:val="34"/>
    <w:qFormat/>
    <w:rsid w:val="005536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117863">
      <w:bodyDiv w:val="1"/>
      <w:marLeft w:val="0"/>
      <w:marRight w:val="0"/>
      <w:marTop w:val="0"/>
      <w:marBottom w:val="0"/>
      <w:divBdr>
        <w:top w:val="none" w:sz="0" w:space="0" w:color="auto"/>
        <w:left w:val="none" w:sz="0" w:space="0" w:color="auto"/>
        <w:bottom w:val="none" w:sz="0" w:space="0" w:color="auto"/>
        <w:right w:val="none" w:sz="0" w:space="0" w:color="auto"/>
      </w:divBdr>
      <w:divsChild>
        <w:div w:id="991056401">
          <w:marLeft w:val="0"/>
          <w:marRight w:val="0"/>
          <w:marTop w:val="0"/>
          <w:marBottom w:val="0"/>
          <w:divBdr>
            <w:top w:val="none" w:sz="0" w:space="0" w:color="auto"/>
            <w:left w:val="none" w:sz="0" w:space="0" w:color="auto"/>
            <w:bottom w:val="none" w:sz="0" w:space="0" w:color="auto"/>
            <w:right w:val="none" w:sz="0" w:space="0" w:color="auto"/>
          </w:divBdr>
          <w:divsChild>
            <w:div w:id="837187197">
              <w:marLeft w:val="0"/>
              <w:marRight w:val="0"/>
              <w:marTop w:val="0"/>
              <w:marBottom w:val="0"/>
              <w:divBdr>
                <w:top w:val="none" w:sz="0" w:space="0" w:color="auto"/>
                <w:left w:val="none" w:sz="0" w:space="0" w:color="auto"/>
                <w:bottom w:val="none" w:sz="0" w:space="0" w:color="auto"/>
                <w:right w:val="none" w:sz="0" w:space="0" w:color="auto"/>
              </w:divBdr>
              <w:divsChild>
                <w:div w:id="103940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749428">
      <w:bodyDiv w:val="1"/>
      <w:marLeft w:val="0"/>
      <w:marRight w:val="0"/>
      <w:marTop w:val="0"/>
      <w:marBottom w:val="0"/>
      <w:divBdr>
        <w:top w:val="none" w:sz="0" w:space="0" w:color="auto"/>
        <w:left w:val="none" w:sz="0" w:space="0" w:color="auto"/>
        <w:bottom w:val="none" w:sz="0" w:space="0" w:color="auto"/>
        <w:right w:val="none" w:sz="0" w:space="0" w:color="auto"/>
      </w:divBdr>
    </w:div>
    <w:div w:id="297029853">
      <w:bodyDiv w:val="1"/>
      <w:marLeft w:val="0"/>
      <w:marRight w:val="0"/>
      <w:marTop w:val="0"/>
      <w:marBottom w:val="0"/>
      <w:divBdr>
        <w:top w:val="none" w:sz="0" w:space="0" w:color="auto"/>
        <w:left w:val="none" w:sz="0" w:space="0" w:color="auto"/>
        <w:bottom w:val="none" w:sz="0" w:space="0" w:color="auto"/>
        <w:right w:val="none" w:sz="0" w:space="0" w:color="auto"/>
      </w:divBdr>
      <w:divsChild>
        <w:div w:id="1593589872">
          <w:marLeft w:val="0"/>
          <w:marRight w:val="0"/>
          <w:marTop w:val="0"/>
          <w:marBottom w:val="0"/>
          <w:divBdr>
            <w:top w:val="none" w:sz="0" w:space="0" w:color="auto"/>
            <w:left w:val="none" w:sz="0" w:space="0" w:color="auto"/>
            <w:bottom w:val="none" w:sz="0" w:space="0" w:color="auto"/>
            <w:right w:val="none" w:sz="0" w:space="0" w:color="auto"/>
          </w:divBdr>
          <w:divsChild>
            <w:div w:id="777914695">
              <w:marLeft w:val="0"/>
              <w:marRight w:val="0"/>
              <w:marTop w:val="0"/>
              <w:marBottom w:val="0"/>
              <w:divBdr>
                <w:top w:val="none" w:sz="0" w:space="0" w:color="auto"/>
                <w:left w:val="none" w:sz="0" w:space="0" w:color="auto"/>
                <w:bottom w:val="none" w:sz="0" w:space="0" w:color="auto"/>
                <w:right w:val="none" w:sz="0" w:space="0" w:color="auto"/>
              </w:divBdr>
              <w:divsChild>
                <w:div w:id="850414251">
                  <w:marLeft w:val="0"/>
                  <w:marRight w:val="0"/>
                  <w:marTop w:val="0"/>
                  <w:marBottom w:val="0"/>
                  <w:divBdr>
                    <w:top w:val="none" w:sz="0" w:space="0" w:color="auto"/>
                    <w:left w:val="none" w:sz="0" w:space="0" w:color="auto"/>
                    <w:bottom w:val="none" w:sz="0" w:space="0" w:color="auto"/>
                    <w:right w:val="none" w:sz="0" w:space="0" w:color="auto"/>
                  </w:divBdr>
                </w:div>
              </w:divsChild>
            </w:div>
            <w:div w:id="2099709290">
              <w:marLeft w:val="0"/>
              <w:marRight w:val="0"/>
              <w:marTop w:val="0"/>
              <w:marBottom w:val="0"/>
              <w:divBdr>
                <w:top w:val="none" w:sz="0" w:space="0" w:color="auto"/>
                <w:left w:val="none" w:sz="0" w:space="0" w:color="auto"/>
                <w:bottom w:val="none" w:sz="0" w:space="0" w:color="auto"/>
                <w:right w:val="none" w:sz="0" w:space="0" w:color="auto"/>
              </w:divBdr>
              <w:divsChild>
                <w:div w:id="2130388105">
                  <w:marLeft w:val="0"/>
                  <w:marRight w:val="0"/>
                  <w:marTop w:val="0"/>
                  <w:marBottom w:val="0"/>
                  <w:divBdr>
                    <w:top w:val="none" w:sz="0" w:space="0" w:color="auto"/>
                    <w:left w:val="none" w:sz="0" w:space="0" w:color="auto"/>
                    <w:bottom w:val="none" w:sz="0" w:space="0" w:color="auto"/>
                    <w:right w:val="none" w:sz="0" w:space="0" w:color="auto"/>
                  </w:divBdr>
                </w:div>
                <w:div w:id="1002657364">
                  <w:marLeft w:val="0"/>
                  <w:marRight w:val="0"/>
                  <w:marTop w:val="0"/>
                  <w:marBottom w:val="0"/>
                  <w:divBdr>
                    <w:top w:val="none" w:sz="0" w:space="0" w:color="auto"/>
                    <w:left w:val="none" w:sz="0" w:space="0" w:color="auto"/>
                    <w:bottom w:val="none" w:sz="0" w:space="0" w:color="auto"/>
                    <w:right w:val="none" w:sz="0" w:space="0" w:color="auto"/>
                  </w:divBdr>
                </w:div>
              </w:divsChild>
            </w:div>
            <w:div w:id="1713337661">
              <w:marLeft w:val="0"/>
              <w:marRight w:val="0"/>
              <w:marTop w:val="0"/>
              <w:marBottom w:val="0"/>
              <w:divBdr>
                <w:top w:val="none" w:sz="0" w:space="0" w:color="auto"/>
                <w:left w:val="none" w:sz="0" w:space="0" w:color="auto"/>
                <w:bottom w:val="none" w:sz="0" w:space="0" w:color="auto"/>
                <w:right w:val="none" w:sz="0" w:space="0" w:color="auto"/>
              </w:divBdr>
              <w:divsChild>
                <w:div w:id="99479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826125">
      <w:bodyDiv w:val="1"/>
      <w:marLeft w:val="0"/>
      <w:marRight w:val="0"/>
      <w:marTop w:val="0"/>
      <w:marBottom w:val="0"/>
      <w:divBdr>
        <w:top w:val="none" w:sz="0" w:space="0" w:color="auto"/>
        <w:left w:val="none" w:sz="0" w:space="0" w:color="auto"/>
        <w:bottom w:val="none" w:sz="0" w:space="0" w:color="auto"/>
        <w:right w:val="none" w:sz="0" w:space="0" w:color="auto"/>
      </w:divBdr>
      <w:divsChild>
        <w:div w:id="423036138">
          <w:marLeft w:val="0"/>
          <w:marRight w:val="0"/>
          <w:marTop w:val="0"/>
          <w:marBottom w:val="0"/>
          <w:divBdr>
            <w:top w:val="none" w:sz="0" w:space="0" w:color="auto"/>
            <w:left w:val="none" w:sz="0" w:space="0" w:color="auto"/>
            <w:bottom w:val="none" w:sz="0" w:space="0" w:color="auto"/>
            <w:right w:val="none" w:sz="0" w:space="0" w:color="auto"/>
          </w:divBdr>
          <w:divsChild>
            <w:div w:id="1442346">
              <w:marLeft w:val="0"/>
              <w:marRight w:val="0"/>
              <w:marTop w:val="0"/>
              <w:marBottom w:val="0"/>
              <w:divBdr>
                <w:top w:val="none" w:sz="0" w:space="0" w:color="auto"/>
                <w:left w:val="none" w:sz="0" w:space="0" w:color="auto"/>
                <w:bottom w:val="none" w:sz="0" w:space="0" w:color="auto"/>
                <w:right w:val="none" w:sz="0" w:space="0" w:color="auto"/>
              </w:divBdr>
              <w:divsChild>
                <w:div w:id="61390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556600">
      <w:bodyDiv w:val="1"/>
      <w:marLeft w:val="0"/>
      <w:marRight w:val="0"/>
      <w:marTop w:val="0"/>
      <w:marBottom w:val="0"/>
      <w:divBdr>
        <w:top w:val="none" w:sz="0" w:space="0" w:color="auto"/>
        <w:left w:val="none" w:sz="0" w:space="0" w:color="auto"/>
        <w:bottom w:val="none" w:sz="0" w:space="0" w:color="auto"/>
        <w:right w:val="none" w:sz="0" w:space="0" w:color="auto"/>
      </w:divBdr>
      <w:divsChild>
        <w:div w:id="1672171933">
          <w:marLeft w:val="0"/>
          <w:marRight w:val="0"/>
          <w:marTop w:val="0"/>
          <w:marBottom w:val="0"/>
          <w:divBdr>
            <w:top w:val="none" w:sz="0" w:space="0" w:color="auto"/>
            <w:left w:val="none" w:sz="0" w:space="0" w:color="auto"/>
            <w:bottom w:val="none" w:sz="0" w:space="0" w:color="auto"/>
            <w:right w:val="none" w:sz="0" w:space="0" w:color="auto"/>
          </w:divBdr>
          <w:divsChild>
            <w:div w:id="864752057">
              <w:marLeft w:val="0"/>
              <w:marRight w:val="0"/>
              <w:marTop w:val="0"/>
              <w:marBottom w:val="0"/>
              <w:divBdr>
                <w:top w:val="none" w:sz="0" w:space="0" w:color="auto"/>
                <w:left w:val="none" w:sz="0" w:space="0" w:color="auto"/>
                <w:bottom w:val="none" w:sz="0" w:space="0" w:color="auto"/>
                <w:right w:val="none" w:sz="0" w:space="0" w:color="auto"/>
              </w:divBdr>
              <w:divsChild>
                <w:div w:id="175736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8984">
      <w:bodyDiv w:val="1"/>
      <w:marLeft w:val="0"/>
      <w:marRight w:val="0"/>
      <w:marTop w:val="0"/>
      <w:marBottom w:val="0"/>
      <w:divBdr>
        <w:top w:val="none" w:sz="0" w:space="0" w:color="auto"/>
        <w:left w:val="none" w:sz="0" w:space="0" w:color="auto"/>
        <w:bottom w:val="none" w:sz="0" w:space="0" w:color="auto"/>
        <w:right w:val="none" w:sz="0" w:space="0" w:color="auto"/>
      </w:divBdr>
      <w:divsChild>
        <w:div w:id="85541356">
          <w:marLeft w:val="0"/>
          <w:marRight w:val="0"/>
          <w:marTop w:val="0"/>
          <w:marBottom w:val="0"/>
          <w:divBdr>
            <w:top w:val="none" w:sz="0" w:space="0" w:color="auto"/>
            <w:left w:val="none" w:sz="0" w:space="0" w:color="auto"/>
            <w:bottom w:val="none" w:sz="0" w:space="0" w:color="auto"/>
            <w:right w:val="none" w:sz="0" w:space="0" w:color="auto"/>
          </w:divBdr>
          <w:divsChild>
            <w:div w:id="581718152">
              <w:marLeft w:val="0"/>
              <w:marRight w:val="0"/>
              <w:marTop w:val="0"/>
              <w:marBottom w:val="0"/>
              <w:divBdr>
                <w:top w:val="none" w:sz="0" w:space="0" w:color="auto"/>
                <w:left w:val="none" w:sz="0" w:space="0" w:color="auto"/>
                <w:bottom w:val="none" w:sz="0" w:space="0" w:color="auto"/>
                <w:right w:val="none" w:sz="0" w:space="0" w:color="auto"/>
              </w:divBdr>
              <w:divsChild>
                <w:div w:id="153473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330010">
      <w:bodyDiv w:val="1"/>
      <w:marLeft w:val="0"/>
      <w:marRight w:val="0"/>
      <w:marTop w:val="0"/>
      <w:marBottom w:val="0"/>
      <w:divBdr>
        <w:top w:val="none" w:sz="0" w:space="0" w:color="auto"/>
        <w:left w:val="none" w:sz="0" w:space="0" w:color="auto"/>
        <w:bottom w:val="none" w:sz="0" w:space="0" w:color="auto"/>
        <w:right w:val="none" w:sz="0" w:space="0" w:color="auto"/>
      </w:divBdr>
    </w:div>
    <w:div w:id="813330409">
      <w:bodyDiv w:val="1"/>
      <w:marLeft w:val="0"/>
      <w:marRight w:val="0"/>
      <w:marTop w:val="0"/>
      <w:marBottom w:val="0"/>
      <w:divBdr>
        <w:top w:val="none" w:sz="0" w:space="0" w:color="auto"/>
        <w:left w:val="none" w:sz="0" w:space="0" w:color="auto"/>
        <w:bottom w:val="none" w:sz="0" w:space="0" w:color="auto"/>
        <w:right w:val="none" w:sz="0" w:space="0" w:color="auto"/>
      </w:divBdr>
    </w:div>
    <w:div w:id="820586502">
      <w:bodyDiv w:val="1"/>
      <w:marLeft w:val="0"/>
      <w:marRight w:val="0"/>
      <w:marTop w:val="0"/>
      <w:marBottom w:val="0"/>
      <w:divBdr>
        <w:top w:val="none" w:sz="0" w:space="0" w:color="auto"/>
        <w:left w:val="none" w:sz="0" w:space="0" w:color="auto"/>
        <w:bottom w:val="none" w:sz="0" w:space="0" w:color="auto"/>
        <w:right w:val="none" w:sz="0" w:space="0" w:color="auto"/>
      </w:divBdr>
      <w:divsChild>
        <w:div w:id="1690788745">
          <w:marLeft w:val="-330"/>
          <w:marRight w:val="0"/>
          <w:marTop w:val="0"/>
          <w:marBottom w:val="0"/>
          <w:divBdr>
            <w:top w:val="none" w:sz="0" w:space="0" w:color="auto"/>
            <w:left w:val="none" w:sz="0" w:space="0" w:color="auto"/>
            <w:bottom w:val="none" w:sz="0" w:space="0" w:color="auto"/>
            <w:right w:val="none" w:sz="0" w:space="0" w:color="auto"/>
          </w:divBdr>
        </w:div>
      </w:divsChild>
    </w:div>
    <w:div w:id="843712835">
      <w:bodyDiv w:val="1"/>
      <w:marLeft w:val="0"/>
      <w:marRight w:val="0"/>
      <w:marTop w:val="0"/>
      <w:marBottom w:val="0"/>
      <w:divBdr>
        <w:top w:val="none" w:sz="0" w:space="0" w:color="auto"/>
        <w:left w:val="none" w:sz="0" w:space="0" w:color="auto"/>
        <w:bottom w:val="none" w:sz="0" w:space="0" w:color="auto"/>
        <w:right w:val="none" w:sz="0" w:space="0" w:color="auto"/>
      </w:divBdr>
    </w:div>
    <w:div w:id="876238546">
      <w:bodyDiv w:val="1"/>
      <w:marLeft w:val="0"/>
      <w:marRight w:val="0"/>
      <w:marTop w:val="0"/>
      <w:marBottom w:val="0"/>
      <w:divBdr>
        <w:top w:val="none" w:sz="0" w:space="0" w:color="auto"/>
        <w:left w:val="none" w:sz="0" w:space="0" w:color="auto"/>
        <w:bottom w:val="none" w:sz="0" w:space="0" w:color="auto"/>
        <w:right w:val="none" w:sz="0" w:space="0" w:color="auto"/>
      </w:divBdr>
      <w:divsChild>
        <w:div w:id="1770079435">
          <w:marLeft w:val="0"/>
          <w:marRight w:val="0"/>
          <w:marTop w:val="0"/>
          <w:marBottom w:val="0"/>
          <w:divBdr>
            <w:top w:val="none" w:sz="0" w:space="0" w:color="auto"/>
            <w:left w:val="none" w:sz="0" w:space="0" w:color="auto"/>
            <w:bottom w:val="none" w:sz="0" w:space="0" w:color="auto"/>
            <w:right w:val="none" w:sz="0" w:space="0" w:color="auto"/>
          </w:divBdr>
          <w:divsChild>
            <w:div w:id="1176574690">
              <w:marLeft w:val="0"/>
              <w:marRight w:val="0"/>
              <w:marTop w:val="0"/>
              <w:marBottom w:val="0"/>
              <w:divBdr>
                <w:top w:val="none" w:sz="0" w:space="0" w:color="auto"/>
                <w:left w:val="none" w:sz="0" w:space="0" w:color="auto"/>
                <w:bottom w:val="none" w:sz="0" w:space="0" w:color="auto"/>
                <w:right w:val="none" w:sz="0" w:space="0" w:color="auto"/>
              </w:divBdr>
              <w:divsChild>
                <w:div w:id="202959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106974">
      <w:bodyDiv w:val="1"/>
      <w:marLeft w:val="0"/>
      <w:marRight w:val="0"/>
      <w:marTop w:val="0"/>
      <w:marBottom w:val="0"/>
      <w:divBdr>
        <w:top w:val="none" w:sz="0" w:space="0" w:color="auto"/>
        <w:left w:val="none" w:sz="0" w:space="0" w:color="auto"/>
        <w:bottom w:val="none" w:sz="0" w:space="0" w:color="auto"/>
        <w:right w:val="none" w:sz="0" w:space="0" w:color="auto"/>
      </w:divBdr>
    </w:div>
    <w:div w:id="972712611">
      <w:bodyDiv w:val="1"/>
      <w:marLeft w:val="0"/>
      <w:marRight w:val="0"/>
      <w:marTop w:val="0"/>
      <w:marBottom w:val="0"/>
      <w:divBdr>
        <w:top w:val="none" w:sz="0" w:space="0" w:color="auto"/>
        <w:left w:val="none" w:sz="0" w:space="0" w:color="auto"/>
        <w:bottom w:val="none" w:sz="0" w:space="0" w:color="auto"/>
        <w:right w:val="none" w:sz="0" w:space="0" w:color="auto"/>
      </w:divBdr>
    </w:div>
    <w:div w:id="1060985140">
      <w:bodyDiv w:val="1"/>
      <w:marLeft w:val="0"/>
      <w:marRight w:val="0"/>
      <w:marTop w:val="0"/>
      <w:marBottom w:val="0"/>
      <w:divBdr>
        <w:top w:val="none" w:sz="0" w:space="0" w:color="auto"/>
        <w:left w:val="none" w:sz="0" w:space="0" w:color="auto"/>
        <w:bottom w:val="none" w:sz="0" w:space="0" w:color="auto"/>
        <w:right w:val="none" w:sz="0" w:space="0" w:color="auto"/>
      </w:divBdr>
      <w:divsChild>
        <w:div w:id="1237743149">
          <w:marLeft w:val="0"/>
          <w:marRight w:val="0"/>
          <w:marTop w:val="0"/>
          <w:marBottom w:val="0"/>
          <w:divBdr>
            <w:top w:val="none" w:sz="0" w:space="0" w:color="auto"/>
            <w:left w:val="none" w:sz="0" w:space="0" w:color="auto"/>
            <w:bottom w:val="none" w:sz="0" w:space="0" w:color="auto"/>
            <w:right w:val="none" w:sz="0" w:space="0" w:color="auto"/>
          </w:divBdr>
          <w:divsChild>
            <w:div w:id="1912885549">
              <w:marLeft w:val="0"/>
              <w:marRight w:val="0"/>
              <w:marTop w:val="0"/>
              <w:marBottom w:val="0"/>
              <w:divBdr>
                <w:top w:val="none" w:sz="0" w:space="0" w:color="auto"/>
                <w:left w:val="none" w:sz="0" w:space="0" w:color="auto"/>
                <w:bottom w:val="none" w:sz="0" w:space="0" w:color="auto"/>
                <w:right w:val="none" w:sz="0" w:space="0" w:color="auto"/>
              </w:divBdr>
              <w:divsChild>
                <w:div w:id="122240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315627">
      <w:bodyDiv w:val="1"/>
      <w:marLeft w:val="0"/>
      <w:marRight w:val="0"/>
      <w:marTop w:val="0"/>
      <w:marBottom w:val="0"/>
      <w:divBdr>
        <w:top w:val="none" w:sz="0" w:space="0" w:color="auto"/>
        <w:left w:val="none" w:sz="0" w:space="0" w:color="auto"/>
        <w:bottom w:val="none" w:sz="0" w:space="0" w:color="auto"/>
        <w:right w:val="none" w:sz="0" w:space="0" w:color="auto"/>
      </w:divBdr>
    </w:div>
    <w:div w:id="1327897185">
      <w:bodyDiv w:val="1"/>
      <w:marLeft w:val="0"/>
      <w:marRight w:val="0"/>
      <w:marTop w:val="0"/>
      <w:marBottom w:val="0"/>
      <w:divBdr>
        <w:top w:val="none" w:sz="0" w:space="0" w:color="auto"/>
        <w:left w:val="none" w:sz="0" w:space="0" w:color="auto"/>
        <w:bottom w:val="none" w:sz="0" w:space="0" w:color="auto"/>
        <w:right w:val="none" w:sz="0" w:space="0" w:color="auto"/>
      </w:divBdr>
      <w:divsChild>
        <w:div w:id="19864026">
          <w:marLeft w:val="0"/>
          <w:marRight w:val="0"/>
          <w:marTop w:val="0"/>
          <w:marBottom w:val="0"/>
          <w:divBdr>
            <w:top w:val="none" w:sz="0" w:space="0" w:color="auto"/>
            <w:left w:val="none" w:sz="0" w:space="0" w:color="auto"/>
            <w:bottom w:val="none" w:sz="0" w:space="0" w:color="auto"/>
            <w:right w:val="none" w:sz="0" w:space="0" w:color="auto"/>
          </w:divBdr>
          <w:divsChild>
            <w:div w:id="1913656852">
              <w:marLeft w:val="0"/>
              <w:marRight w:val="0"/>
              <w:marTop w:val="0"/>
              <w:marBottom w:val="0"/>
              <w:divBdr>
                <w:top w:val="none" w:sz="0" w:space="0" w:color="auto"/>
                <w:left w:val="none" w:sz="0" w:space="0" w:color="auto"/>
                <w:bottom w:val="none" w:sz="0" w:space="0" w:color="auto"/>
                <w:right w:val="none" w:sz="0" w:space="0" w:color="auto"/>
              </w:divBdr>
              <w:divsChild>
                <w:div w:id="23416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199822">
      <w:bodyDiv w:val="1"/>
      <w:marLeft w:val="0"/>
      <w:marRight w:val="0"/>
      <w:marTop w:val="0"/>
      <w:marBottom w:val="0"/>
      <w:divBdr>
        <w:top w:val="none" w:sz="0" w:space="0" w:color="auto"/>
        <w:left w:val="none" w:sz="0" w:space="0" w:color="auto"/>
        <w:bottom w:val="none" w:sz="0" w:space="0" w:color="auto"/>
        <w:right w:val="none" w:sz="0" w:space="0" w:color="auto"/>
      </w:divBdr>
      <w:divsChild>
        <w:div w:id="815951408">
          <w:marLeft w:val="0"/>
          <w:marRight w:val="0"/>
          <w:marTop w:val="0"/>
          <w:marBottom w:val="0"/>
          <w:divBdr>
            <w:top w:val="none" w:sz="0" w:space="0" w:color="auto"/>
            <w:left w:val="none" w:sz="0" w:space="0" w:color="auto"/>
            <w:bottom w:val="none" w:sz="0" w:space="0" w:color="auto"/>
            <w:right w:val="none" w:sz="0" w:space="0" w:color="auto"/>
          </w:divBdr>
          <w:divsChild>
            <w:div w:id="2043551063">
              <w:marLeft w:val="0"/>
              <w:marRight w:val="0"/>
              <w:marTop w:val="0"/>
              <w:marBottom w:val="0"/>
              <w:divBdr>
                <w:top w:val="none" w:sz="0" w:space="0" w:color="auto"/>
                <w:left w:val="none" w:sz="0" w:space="0" w:color="auto"/>
                <w:bottom w:val="none" w:sz="0" w:space="0" w:color="auto"/>
                <w:right w:val="none" w:sz="0" w:space="0" w:color="auto"/>
              </w:divBdr>
              <w:divsChild>
                <w:div w:id="134466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70801">
      <w:bodyDiv w:val="1"/>
      <w:marLeft w:val="0"/>
      <w:marRight w:val="0"/>
      <w:marTop w:val="0"/>
      <w:marBottom w:val="0"/>
      <w:divBdr>
        <w:top w:val="none" w:sz="0" w:space="0" w:color="auto"/>
        <w:left w:val="none" w:sz="0" w:space="0" w:color="auto"/>
        <w:bottom w:val="none" w:sz="0" w:space="0" w:color="auto"/>
        <w:right w:val="none" w:sz="0" w:space="0" w:color="auto"/>
      </w:divBdr>
    </w:div>
    <w:div w:id="2143957516">
      <w:bodyDiv w:val="1"/>
      <w:marLeft w:val="0"/>
      <w:marRight w:val="0"/>
      <w:marTop w:val="0"/>
      <w:marBottom w:val="0"/>
      <w:divBdr>
        <w:top w:val="none" w:sz="0" w:space="0" w:color="auto"/>
        <w:left w:val="none" w:sz="0" w:space="0" w:color="auto"/>
        <w:bottom w:val="none" w:sz="0" w:space="0" w:color="auto"/>
        <w:right w:val="none" w:sz="0" w:space="0" w:color="auto"/>
      </w:divBdr>
      <w:divsChild>
        <w:div w:id="1784575761">
          <w:marLeft w:val="0"/>
          <w:marRight w:val="0"/>
          <w:marTop w:val="0"/>
          <w:marBottom w:val="0"/>
          <w:divBdr>
            <w:top w:val="none" w:sz="0" w:space="0" w:color="auto"/>
            <w:left w:val="none" w:sz="0" w:space="0" w:color="auto"/>
            <w:bottom w:val="none" w:sz="0" w:space="0" w:color="auto"/>
            <w:right w:val="none" w:sz="0" w:space="0" w:color="auto"/>
          </w:divBdr>
          <w:divsChild>
            <w:div w:id="1879775250">
              <w:marLeft w:val="0"/>
              <w:marRight w:val="0"/>
              <w:marTop w:val="0"/>
              <w:marBottom w:val="0"/>
              <w:divBdr>
                <w:top w:val="none" w:sz="0" w:space="0" w:color="auto"/>
                <w:left w:val="none" w:sz="0" w:space="0" w:color="auto"/>
                <w:bottom w:val="none" w:sz="0" w:space="0" w:color="auto"/>
                <w:right w:val="none" w:sz="0" w:space="0" w:color="auto"/>
              </w:divBdr>
              <w:divsChild>
                <w:div w:id="139651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1511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dfat.gov.au/trade/agreements/in-force/rcep/rcep-text" TargetMode="External"/><Relationship Id="rId2" Type="http://schemas.openxmlformats.org/officeDocument/2006/relationships/hyperlink" Target="http://www.chinalawinfo.com" TargetMode="External"/><Relationship Id="rId1" Type="http://schemas.openxmlformats.org/officeDocument/2006/relationships/hyperlink" Target="https://www.bilaterals.org/IMG/pdf/afcfta_digital_trade_protocol_-_9_february_2024_draft.pdf" TargetMode="External"/><Relationship Id="rId5" Type="http://schemas.openxmlformats.org/officeDocument/2006/relationships/hyperlink" Target="https://ictpolicyafrica.org/en/document/z69cbq7b51?page=1" TargetMode="External"/><Relationship Id="rId4" Type="http://schemas.openxmlformats.org/officeDocument/2006/relationships/hyperlink" Target="https://web.archive.org/web/20240714063704/http://repository.eac.int/bitstream/handle/11671/24471/EAC%20E-Commerce%20Strategy%20Adopted%2012th%20July%202022%20(003).pdf?sequence=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o17a1Rolzb9KBPOmplhMlRvqtw==">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</go:docsCustomData>
</go:gDocsCustomXmlDataStorage>
</file>

<file path=customXml/itemProps1.xml><?xml version="1.0" encoding="utf-8"?>
<ds:datastoreItem xmlns:ds="http://schemas.openxmlformats.org/officeDocument/2006/customXml" ds:itemID="{F8F9A093-64E9-4DE4-8E7F-764045B2D99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Pages>
  <Words>7083</Words>
  <Characters>39600</Characters>
  <Application>Microsoft Office Word</Application>
  <DocSecurity>0</DocSecurity>
  <Lines>1100</Lines>
  <Paragraphs>524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Ferracane, Martina Francesca</cp:lastModifiedBy>
  <cp:revision>5</cp:revision>
  <cp:lastPrinted>2024-06-25T13:58:00Z</cp:lastPrinted>
  <dcterms:created xsi:type="dcterms:W3CDTF">2024-07-31T08:28:00Z</dcterms:created>
  <dcterms:modified xsi:type="dcterms:W3CDTF">2024-09-04T10:39:00Z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9c4c31bca1b53a2ec13df49f817d755ae7e5440b4fd4c32433e3041a73f4eced</vt:lpwstr>
  </property>
</Properties>
</file>