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4947" w14:textId="22E3348D" w:rsidR="00B05011" w:rsidRPr="0005245B" w:rsidRDefault="00B05011" w:rsidP="009E7A63">
      <w:pPr>
        <w:spacing w:after="0" w:line="360" w:lineRule="auto"/>
        <w:jc w:val="center"/>
        <w:rPr>
          <w:rFonts w:ascii="Arial" w:hAnsi="Arial" w:cs="Arial"/>
          <w:smallCaps/>
          <w:sz w:val="24"/>
          <w:szCs w:val="24"/>
        </w:rPr>
      </w:pPr>
      <w:r w:rsidRPr="0005245B">
        <w:rPr>
          <w:rFonts w:ascii="Arial" w:hAnsi="Arial" w:cs="Arial"/>
          <w:smallCaps/>
          <w:sz w:val="24"/>
          <w:szCs w:val="24"/>
        </w:rPr>
        <w:t>THE LIMITS OF PRIVATE POWERS</w:t>
      </w:r>
      <w:r w:rsidR="00D86444">
        <w:rPr>
          <w:rFonts w:ascii="Arial" w:hAnsi="Arial" w:cs="Arial"/>
          <w:smallCaps/>
          <w:sz w:val="24"/>
          <w:szCs w:val="24"/>
        </w:rPr>
        <w:t xml:space="preserve">: </w:t>
      </w:r>
      <w:r w:rsidRPr="0005245B">
        <w:rPr>
          <w:rFonts w:ascii="Arial" w:hAnsi="Arial" w:cs="Arial"/>
          <w:smallCaps/>
          <w:sz w:val="24"/>
          <w:szCs w:val="24"/>
        </w:rPr>
        <w:t>A LAW AND ECONOMICS FOUNDATION OF THE ITALIAN CASE-LAW ON THE USE OF “GOOD FAITH CLAUSE”</w:t>
      </w:r>
    </w:p>
    <w:p w14:paraId="4B20FB92" w14:textId="77777777" w:rsidR="0005245B" w:rsidRDefault="0005245B" w:rsidP="0005245B">
      <w:pPr>
        <w:spacing w:line="276" w:lineRule="auto"/>
        <w:jc w:val="center"/>
        <w:rPr>
          <w:rFonts w:ascii="Arial" w:hAnsi="Arial" w:cs="Arial"/>
          <w:sz w:val="20"/>
          <w:szCs w:val="20"/>
        </w:rPr>
      </w:pPr>
    </w:p>
    <w:p w14:paraId="710C7152" w14:textId="7DD0B79D" w:rsidR="0005245B" w:rsidRPr="0005245B" w:rsidRDefault="0005245B" w:rsidP="0005245B">
      <w:pPr>
        <w:spacing w:line="276" w:lineRule="auto"/>
        <w:jc w:val="center"/>
        <w:rPr>
          <w:rFonts w:ascii="Arial" w:hAnsi="Arial" w:cs="Arial"/>
          <w:sz w:val="20"/>
          <w:szCs w:val="20"/>
        </w:rPr>
      </w:pPr>
      <w:r w:rsidRPr="0005245B">
        <w:rPr>
          <w:rFonts w:ascii="Arial" w:hAnsi="Arial" w:cs="Arial"/>
          <w:sz w:val="20"/>
          <w:szCs w:val="20"/>
        </w:rPr>
        <w:t xml:space="preserve">Carlo Carrera – PHD Candidate “Law, Ethics and Economics for Sustainable Development” </w:t>
      </w:r>
    </w:p>
    <w:p w14:paraId="77079375" w14:textId="77777777" w:rsidR="009E7A63" w:rsidRDefault="009E7A63" w:rsidP="0005245B">
      <w:pPr>
        <w:spacing w:line="276" w:lineRule="auto"/>
        <w:jc w:val="center"/>
        <w:rPr>
          <w:rFonts w:ascii="Arial" w:hAnsi="Arial" w:cs="Arial"/>
          <w:sz w:val="20"/>
          <w:szCs w:val="20"/>
        </w:rPr>
      </w:pPr>
    </w:p>
    <w:p w14:paraId="7A99229A" w14:textId="48998F17" w:rsidR="0005245B" w:rsidRDefault="009E7A63" w:rsidP="0005245B">
      <w:pPr>
        <w:spacing w:line="276" w:lineRule="auto"/>
        <w:jc w:val="center"/>
        <w:rPr>
          <w:rFonts w:ascii="Arial" w:hAnsi="Arial" w:cs="Arial"/>
          <w:sz w:val="20"/>
          <w:szCs w:val="20"/>
        </w:rPr>
      </w:pPr>
      <w:r>
        <w:rPr>
          <w:rFonts w:ascii="Arial" w:hAnsi="Arial" w:cs="Arial"/>
          <w:sz w:val="20"/>
          <w:szCs w:val="20"/>
        </w:rPr>
        <w:t>U</w:t>
      </w:r>
      <w:r w:rsidR="0005245B" w:rsidRPr="0005245B">
        <w:rPr>
          <w:rFonts w:ascii="Arial" w:hAnsi="Arial" w:cs="Arial"/>
          <w:sz w:val="20"/>
          <w:szCs w:val="20"/>
        </w:rPr>
        <w:t xml:space="preserve">niversity of Milan </w:t>
      </w:r>
    </w:p>
    <w:p w14:paraId="46133D9F" w14:textId="77777777" w:rsidR="009E7A63" w:rsidRPr="0005245B" w:rsidRDefault="009E7A63" w:rsidP="0005245B">
      <w:pPr>
        <w:spacing w:line="276" w:lineRule="auto"/>
        <w:jc w:val="center"/>
        <w:rPr>
          <w:rFonts w:ascii="Arial" w:hAnsi="Arial" w:cs="Arial"/>
          <w:sz w:val="20"/>
          <w:szCs w:val="20"/>
        </w:rPr>
      </w:pPr>
    </w:p>
    <w:p w14:paraId="3F26BCCC" w14:textId="530E1DD2" w:rsidR="00B05011" w:rsidRPr="00671C0C" w:rsidRDefault="00B05011" w:rsidP="00B05011">
      <w:pPr>
        <w:spacing w:line="480" w:lineRule="auto"/>
        <w:jc w:val="both"/>
        <w:rPr>
          <w:rFonts w:ascii="Times New Roman" w:hAnsi="Times New Roman" w:cs="Times New Roman"/>
          <w:b/>
          <w:bCs/>
          <w:sz w:val="24"/>
          <w:szCs w:val="24"/>
        </w:rPr>
      </w:pPr>
      <w:r>
        <w:rPr>
          <w:rFonts w:ascii="Arial" w:hAnsi="Arial" w:cs="Arial"/>
          <w:sz w:val="24"/>
          <w:szCs w:val="24"/>
        </w:rPr>
        <w:tab/>
      </w:r>
      <w:r w:rsidRPr="00671C0C">
        <w:rPr>
          <w:rFonts w:ascii="Times New Roman" w:hAnsi="Times New Roman" w:cs="Times New Roman"/>
          <w:b/>
          <w:bCs/>
          <w:sz w:val="24"/>
          <w:szCs w:val="24"/>
        </w:rPr>
        <w:t>Introduction</w:t>
      </w:r>
    </w:p>
    <w:p w14:paraId="4C25B5B3" w14:textId="77777777" w:rsidR="00B05011" w:rsidRPr="00671C0C" w:rsidRDefault="00B05011" w:rsidP="00B05011">
      <w:pPr>
        <w:spacing w:line="480" w:lineRule="auto"/>
        <w:ind w:firstLine="708"/>
        <w:jc w:val="both"/>
        <w:rPr>
          <w:rFonts w:ascii="Times New Roman" w:hAnsi="Times New Roman" w:cs="Times New Roman"/>
          <w:sz w:val="24"/>
          <w:szCs w:val="24"/>
        </w:rPr>
      </w:pPr>
      <w:r w:rsidRPr="00671C0C">
        <w:rPr>
          <w:rFonts w:ascii="Times New Roman" w:hAnsi="Times New Roman" w:cs="Times New Roman"/>
          <w:sz w:val="24"/>
          <w:szCs w:val="24"/>
        </w:rPr>
        <w:t xml:space="preserve">In the last 20 years the Italian Civil Supreme Court started to use good faith clause to judge the exercise of private powers (the leading case is </w:t>
      </w:r>
      <w:proofErr w:type="spellStart"/>
      <w:r w:rsidRPr="00671C0C">
        <w:rPr>
          <w:rFonts w:ascii="Times New Roman" w:hAnsi="Times New Roman" w:cs="Times New Roman"/>
          <w:sz w:val="24"/>
          <w:szCs w:val="24"/>
        </w:rPr>
        <w:t>Cassazione</w:t>
      </w:r>
      <w:proofErr w:type="spellEnd"/>
      <w:r w:rsidRPr="00671C0C">
        <w:rPr>
          <w:rFonts w:ascii="Times New Roman" w:hAnsi="Times New Roman" w:cs="Times New Roman"/>
          <w:sz w:val="24"/>
          <w:szCs w:val="24"/>
        </w:rPr>
        <w:t xml:space="preserve"> civile sez. III - 8/09/2009, n. 20106). This doctrine has led to a legal discussion on the limit of court’s intervention on private law. Indeed, while judging powers is traditionally common and overall accepted in administrative law, this is not the case for private law (which is conceived as the realm of autonomy). The debate among legal scholars has been carried out mainly by using legal arguments. </w:t>
      </w:r>
    </w:p>
    <w:p w14:paraId="5DB87AD4" w14:textId="3466102B" w:rsidR="00B05011" w:rsidRPr="00671C0C" w:rsidRDefault="00B05011" w:rsidP="00B05011">
      <w:pPr>
        <w:spacing w:line="480" w:lineRule="auto"/>
        <w:ind w:firstLine="708"/>
        <w:jc w:val="both"/>
        <w:rPr>
          <w:rFonts w:ascii="Times New Roman" w:hAnsi="Times New Roman" w:cs="Times New Roman"/>
          <w:sz w:val="24"/>
          <w:szCs w:val="24"/>
        </w:rPr>
      </w:pPr>
      <w:r w:rsidRPr="00671C0C">
        <w:rPr>
          <w:rFonts w:ascii="Times New Roman" w:hAnsi="Times New Roman" w:cs="Times New Roman"/>
          <w:sz w:val="24"/>
          <w:szCs w:val="24"/>
        </w:rPr>
        <w:t xml:space="preserve">Here, we argue that we can find illuminating insights by turning on economics theory. In particular we argue that the control on the exercise of private powers can be explained and grounded on Grossman/Hart/Moore (GMH) theory of the firm and its developments (which heavily rely on incompleteness of contracts). In a nutshell: GHM model explains why firms integrate and to which extent, involving the concept of authority (called “residual right of control”). Applying this concept, L. </w:t>
      </w:r>
      <w:proofErr w:type="spellStart"/>
      <w:r w:rsidRPr="00671C0C">
        <w:rPr>
          <w:rFonts w:ascii="Times New Roman" w:hAnsi="Times New Roman" w:cs="Times New Roman"/>
          <w:sz w:val="24"/>
          <w:szCs w:val="24"/>
        </w:rPr>
        <w:t>Sacconi</w:t>
      </w:r>
      <w:proofErr w:type="spellEnd"/>
      <w:r w:rsidRPr="00671C0C">
        <w:rPr>
          <w:rFonts w:ascii="Times New Roman" w:hAnsi="Times New Roman" w:cs="Times New Roman"/>
          <w:sz w:val="24"/>
          <w:szCs w:val="24"/>
        </w:rPr>
        <w:t xml:space="preserve"> (1999) (who relies on the previous work of D. Kreps) focused on the problem of </w:t>
      </w:r>
      <w:r w:rsidRPr="00671C0C">
        <w:rPr>
          <w:rFonts w:ascii="Times New Roman" w:hAnsi="Times New Roman" w:cs="Times New Roman"/>
          <w:i/>
          <w:iCs/>
          <w:sz w:val="24"/>
          <w:szCs w:val="24"/>
        </w:rPr>
        <w:t>abuse</w:t>
      </w:r>
      <w:r w:rsidRPr="00671C0C">
        <w:rPr>
          <w:rFonts w:ascii="Times New Roman" w:hAnsi="Times New Roman" w:cs="Times New Roman"/>
          <w:sz w:val="24"/>
          <w:szCs w:val="24"/>
        </w:rPr>
        <w:t xml:space="preserve"> of authority, claiming that code of ethics can be a solution.</w:t>
      </w:r>
    </w:p>
    <w:p w14:paraId="094CF8F3" w14:textId="77777777" w:rsidR="00B05011" w:rsidRPr="00671C0C" w:rsidRDefault="00B05011" w:rsidP="00B05011">
      <w:pPr>
        <w:spacing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 xml:space="preserve">This paper tries to expand and apply these theories to the law, finding that legal scholars (in particular some recent adjudications by the Italian Civil Supreme Court) have unconsciously (meaning without reference to economics theories) found a tool to tackle with the same problem economists fought with. This tool is the “good faith clause”. So, at the end, this paper lies in the middle of the bridge between law and economics and tries to give a rational underpinning to juridical </w:t>
      </w:r>
      <w:r w:rsidRPr="00671C0C">
        <w:rPr>
          <w:rFonts w:ascii="Times New Roman" w:hAnsi="Times New Roman" w:cs="Times New Roman"/>
          <w:sz w:val="24"/>
          <w:szCs w:val="24"/>
        </w:rPr>
        <w:lastRenderedPageBreak/>
        <w:t>doctrine, also shedding a light on the role of “good faith” (which sometimes remains obscure or only intuitive).</w:t>
      </w:r>
    </w:p>
    <w:p w14:paraId="68F74543" w14:textId="77777777" w:rsidR="00B05011" w:rsidRPr="00671C0C" w:rsidRDefault="00B05011" w:rsidP="00B05011">
      <w:pPr>
        <w:spacing w:line="480" w:lineRule="auto"/>
        <w:jc w:val="both"/>
        <w:rPr>
          <w:rFonts w:ascii="Times New Roman" w:hAnsi="Times New Roman" w:cs="Times New Roman"/>
          <w:sz w:val="24"/>
          <w:szCs w:val="24"/>
        </w:rPr>
      </w:pPr>
      <w:r w:rsidRPr="00671C0C">
        <w:rPr>
          <w:rFonts w:ascii="Times New Roman" w:hAnsi="Times New Roman" w:cs="Times New Roman"/>
          <w:b/>
          <w:bCs/>
          <w:sz w:val="24"/>
          <w:szCs w:val="24"/>
        </w:rPr>
        <w:t>Building blocks</w:t>
      </w:r>
    </w:p>
    <w:p w14:paraId="71290403" w14:textId="77777777" w:rsidR="00B05011" w:rsidRPr="00671C0C" w:rsidRDefault="00B05011" w:rsidP="00B05011">
      <w:pPr>
        <w:spacing w:after="0"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Building blocks of the present paper are: incomplete contracts, residual rights of control, abuse of residual rights of control.</w:t>
      </w:r>
    </w:p>
    <w:p w14:paraId="4D8BDDC7" w14:textId="5F5AC879" w:rsidR="00B05011" w:rsidRPr="00671C0C" w:rsidRDefault="00B05011" w:rsidP="00B05011">
      <w:pPr>
        <w:spacing w:after="0"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 xml:space="preserve">Since the late ’70 economists (for all, see O. Williamson, 1978) and legal scholars (see </w:t>
      </w:r>
      <w:r w:rsidR="00F01E98" w:rsidRPr="00671C0C">
        <w:rPr>
          <w:rFonts w:ascii="Times New Roman" w:hAnsi="Times New Roman" w:cs="Times New Roman"/>
          <w:sz w:val="24"/>
          <w:szCs w:val="24"/>
        </w:rPr>
        <w:t xml:space="preserve">I. </w:t>
      </w:r>
      <w:proofErr w:type="spellStart"/>
      <w:r w:rsidRPr="00671C0C">
        <w:rPr>
          <w:rFonts w:ascii="Times New Roman" w:hAnsi="Times New Roman" w:cs="Times New Roman"/>
          <w:sz w:val="24"/>
          <w:szCs w:val="24"/>
        </w:rPr>
        <w:t>Mac</w:t>
      </w:r>
      <w:r w:rsidR="00F01E98" w:rsidRPr="00671C0C">
        <w:rPr>
          <w:rFonts w:ascii="Times New Roman" w:hAnsi="Times New Roman" w:cs="Times New Roman"/>
          <w:sz w:val="24"/>
          <w:szCs w:val="24"/>
        </w:rPr>
        <w:t>neil</w:t>
      </w:r>
      <w:proofErr w:type="spellEnd"/>
      <w:r w:rsidR="00F01E98" w:rsidRPr="00671C0C">
        <w:rPr>
          <w:rFonts w:ascii="Times New Roman" w:hAnsi="Times New Roman" w:cs="Times New Roman"/>
          <w:sz w:val="24"/>
          <w:szCs w:val="24"/>
        </w:rPr>
        <w:t>, 1974, on the notion of relational contracts</w:t>
      </w:r>
      <w:r w:rsidRPr="00671C0C">
        <w:rPr>
          <w:rFonts w:ascii="Times New Roman" w:hAnsi="Times New Roman" w:cs="Times New Roman"/>
          <w:sz w:val="24"/>
          <w:szCs w:val="24"/>
        </w:rPr>
        <w:t>) began to criticise the classical assumption of general equilibrium that contracts are complete: indeed, this assumption works only for a specific range of contracts (called “spot-contracts”). Broadly speaking, completeness implies that every contingency is regulated by the contract, while incompleteness means that there are contingencies that are not covered by the terms of the contract (the contract is “silent” for these contingencies). While this definition appears to be clear and unproblematic, there is an ongoing debate about the types of incompleteness and their relative reasons. Here, we distinguish four types of incompleteness: (</w:t>
      </w:r>
      <w:proofErr w:type="spellStart"/>
      <w:r w:rsidRPr="00671C0C">
        <w:rPr>
          <w:rFonts w:ascii="Times New Roman" w:hAnsi="Times New Roman" w:cs="Times New Roman"/>
          <w:sz w:val="24"/>
          <w:szCs w:val="24"/>
        </w:rPr>
        <w:t>i</w:t>
      </w:r>
      <w:proofErr w:type="spellEnd"/>
      <w:r w:rsidRPr="00671C0C">
        <w:rPr>
          <w:rFonts w:ascii="Times New Roman" w:hAnsi="Times New Roman" w:cs="Times New Roman"/>
          <w:sz w:val="24"/>
          <w:szCs w:val="24"/>
        </w:rPr>
        <w:t>) “remoteness”, (ii) “</w:t>
      </w:r>
      <w:proofErr w:type="spellStart"/>
      <w:r w:rsidRPr="00671C0C">
        <w:rPr>
          <w:rFonts w:ascii="Times New Roman" w:hAnsi="Times New Roman" w:cs="Times New Roman"/>
          <w:sz w:val="24"/>
          <w:szCs w:val="24"/>
        </w:rPr>
        <w:t>unforeseeability</w:t>
      </w:r>
      <w:proofErr w:type="spellEnd"/>
      <w:r w:rsidRPr="00671C0C">
        <w:rPr>
          <w:rFonts w:ascii="Times New Roman" w:hAnsi="Times New Roman" w:cs="Times New Roman"/>
          <w:sz w:val="24"/>
          <w:szCs w:val="24"/>
        </w:rPr>
        <w:t>”, (iii) “unverifiability”, (iv) “</w:t>
      </w:r>
      <w:proofErr w:type="spellStart"/>
      <w:r w:rsidR="009E7A63" w:rsidRPr="00671C0C">
        <w:rPr>
          <w:rFonts w:ascii="Times New Roman" w:hAnsi="Times New Roman" w:cs="Times New Roman"/>
          <w:sz w:val="24"/>
          <w:szCs w:val="24"/>
        </w:rPr>
        <w:t>un</w:t>
      </w:r>
      <w:r w:rsidRPr="00671C0C">
        <w:rPr>
          <w:rFonts w:ascii="Times New Roman" w:hAnsi="Times New Roman" w:cs="Times New Roman"/>
          <w:sz w:val="24"/>
          <w:szCs w:val="24"/>
        </w:rPr>
        <w:t>describability</w:t>
      </w:r>
      <w:proofErr w:type="spellEnd"/>
      <w:r w:rsidRPr="00671C0C">
        <w:rPr>
          <w:rFonts w:ascii="Times New Roman" w:hAnsi="Times New Roman" w:cs="Times New Roman"/>
          <w:sz w:val="24"/>
          <w:szCs w:val="24"/>
        </w:rPr>
        <w:t>”.</w:t>
      </w:r>
    </w:p>
    <w:p w14:paraId="09C7EA59" w14:textId="0F6FECC5" w:rsidR="00B05011" w:rsidRPr="00671C0C" w:rsidRDefault="00B05011" w:rsidP="00B05011">
      <w:pPr>
        <w:pStyle w:val="Paragrafoelenco"/>
        <w:numPr>
          <w:ilvl w:val="0"/>
          <w:numId w:val="4"/>
        </w:numPr>
        <w:spacing w:after="0" w:line="480" w:lineRule="auto"/>
        <w:contextualSpacing w:val="0"/>
        <w:jc w:val="both"/>
        <w:rPr>
          <w:rFonts w:ascii="Times New Roman" w:hAnsi="Times New Roman" w:cs="Times New Roman"/>
          <w:sz w:val="24"/>
          <w:szCs w:val="24"/>
        </w:rPr>
      </w:pPr>
      <w:r w:rsidRPr="00671C0C">
        <w:rPr>
          <w:rFonts w:ascii="Times New Roman" w:hAnsi="Times New Roman" w:cs="Times New Roman"/>
          <w:sz w:val="24"/>
          <w:szCs w:val="24"/>
        </w:rPr>
        <w:t xml:space="preserve">there are events that are perfectly foreseeable but are highly likely </w:t>
      </w:r>
      <w:r w:rsidR="00D41B79" w:rsidRPr="00671C0C">
        <w:rPr>
          <w:rFonts w:ascii="Times New Roman" w:hAnsi="Times New Roman" w:cs="Times New Roman"/>
          <w:sz w:val="24"/>
          <w:szCs w:val="24"/>
        </w:rPr>
        <w:t>remote</w:t>
      </w:r>
      <w:r w:rsidRPr="00671C0C">
        <w:rPr>
          <w:rFonts w:ascii="Times New Roman" w:hAnsi="Times New Roman" w:cs="Times New Roman"/>
          <w:sz w:val="24"/>
          <w:szCs w:val="24"/>
        </w:rPr>
        <w:t>. So, the costs of writing them into the contract outweigh the benefits. We call this type</w:t>
      </w:r>
      <w:r w:rsidR="00D41B79" w:rsidRPr="00671C0C">
        <w:rPr>
          <w:rFonts w:ascii="Times New Roman" w:hAnsi="Times New Roman" w:cs="Times New Roman"/>
          <w:sz w:val="24"/>
          <w:szCs w:val="24"/>
        </w:rPr>
        <w:t xml:space="preserve"> “remoteness”</w:t>
      </w:r>
      <w:r w:rsidRPr="00671C0C">
        <w:rPr>
          <w:rFonts w:ascii="Times New Roman" w:hAnsi="Times New Roman" w:cs="Times New Roman"/>
          <w:sz w:val="24"/>
          <w:szCs w:val="24"/>
        </w:rPr>
        <w:t>.</w:t>
      </w:r>
    </w:p>
    <w:p w14:paraId="5575FDA5" w14:textId="5E237A3C" w:rsidR="00B05011" w:rsidRPr="00671C0C" w:rsidRDefault="00B05011" w:rsidP="00B05011">
      <w:pPr>
        <w:pStyle w:val="Paragrafoelenco"/>
        <w:numPr>
          <w:ilvl w:val="0"/>
          <w:numId w:val="4"/>
        </w:numPr>
        <w:spacing w:after="0" w:line="480" w:lineRule="auto"/>
        <w:contextualSpacing w:val="0"/>
        <w:jc w:val="both"/>
        <w:rPr>
          <w:rFonts w:ascii="Times New Roman" w:hAnsi="Times New Roman" w:cs="Times New Roman"/>
          <w:sz w:val="24"/>
          <w:szCs w:val="24"/>
        </w:rPr>
      </w:pPr>
      <w:r w:rsidRPr="00671C0C">
        <w:rPr>
          <w:rFonts w:ascii="Times New Roman" w:hAnsi="Times New Roman" w:cs="Times New Roman"/>
          <w:sz w:val="24"/>
          <w:szCs w:val="24"/>
        </w:rPr>
        <w:t xml:space="preserve">There are events that are not foreseeable due to the lack of actual knowledge or bounded rationality but are perfectly describable and </w:t>
      </w:r>
      <w:r w:rsidR="00C00FA7" w:rsidRPr="00671C0C">
        <w:rPr>
          <w:rFonts w:ascii="Times New Roman" w:hAnsi="Times New Roman" w:cs="Times New Roman"/>
          <w:sz w:val="24"/>
          <w:szCs w:val="24"/>
        </w:rPr>
        <w:t>knowledgeable</w:t>
      </w:r>
      <w:r w:rsidRPr="00671C0C">
        <w:rPr>
          <w:rFonts w:ascii="Times New Roman" w:hAnsi="Times New Roman" w:cs="Times New Roman"/>
          <w:sz w:val="24"/>
          <w:szCs w:val="24"/>
        </w:rPr>
        <w:t>. We call this type “</w:t>
      </w:r>
      <w:proofErr w:type="spellStart"/>
      <w:r w:rsidRPr="00671C0C">
        <w:rPr>
          <w:rFonts w:ascii="Times New Roman" w:hAnsi="Times New Roman" w:cs="Times New Roman"/>
          <w:sz w:val="24"/>
          <w:szCs w:val="24"/>
        </w:rPr>
        <w:t>unforeseeability</w:t>
      </w:r>
      <w:proofErr w:type="spellEnd"/>
      <w:r w:rsidRPr="00671C0C">
        <w:rPr>
          <w:rFonts w:ascii="Times New Roman" w:hAnsi="Times New Roman" w:cs="Times New Roman"/>
          <w:sz w:val="24"/>
          <w:szCs w:val="24"/>
        </w:rPr>
        <w:t>”.</w:t>
      </w:r>
    </w:p>
    <w:p w14:paraId="2A908E51" w14:textId="77777777" w:rsidR="00B05011" w:rsidRPr="00671C0C" w:rsidRDefault="00B05011" w:rsidP="00B05011">
      <w:pPr>
        <w:pStyle w:val="Paragrafoelenco"/>
        <w:numPr>
          <w:ilvl w:val="0"/>
          <w:numId w:val="4"/>
        </w:numPr>
        <w:spacing w:after="0" w:line="480" w:lineRule="auto"/>
        <w:contextualSpacing w:val="0"/>
        <w:jc w:val="both"/>
        <w:rPr>
          <w:rFonts w:ascii="Times New Roman" w:hAnsi="Times New Roman" w:cs="Times New Roman"/>
          <w:sz w:val="24"/>
          <w:szCs w:val="24"/>
        </w:rPr>
      </w:pPr>
      <w:r w:rsidRPr="00671C0C">
        <w:rPr>
          <w:rFonts w:ascii="Times New Roman" w:hAnsi="Times New Roman" w:cs="Times New Roman"/>
          <w:sz w:val="24"/>
          <w:szCs w:val="24"/>
        </w:rPr>
        <w:t>There are events that are foreseeable and describable but cannot be verified by a third party (above all, a court). This type is traditionally called “unverifiability”.</w:t>
      </w:r>
    </w:p>
    <w:p w14:paraId="06B07812" w14:textId="5E21A2E6" w:rsidR="00B05011" w:rsidRPr="00671C0C" w:rsidRDefault="00B05011" w:rsidP="00B05011">
      <w:pPr>
        <w:pStyle w:val="Paragrafoelenco"/>
        <w:numPr>
          <w:ilvl w:val="0"/>
          <w:numId w:val="4"/>
        </w:numPr>
        <w:spacing w:after="0" w:line="480" w:lineRule="auto"/>
        <w:contextualSpacing w:val="0"/>
        <w:jc w:val="both"/>
        <w:rPr>
          <w:rFonts w:ascii="Times New Roman" w:hAnsi="Times New Roman" w:cs="Times New Roman"/>
          <w:sz w:val="24"/>
          <w:szCs w:val="24"/>
        </w:rPr>
      </w:pPr>
      <w:r w:rsidRPr="00671C0C">
        <w:rPr>
          <w:rFonts w:ascii="Times New Roman" w:hAnsi="Times New Roman" w:cs="Times New Roman"/>
          <w:sz w:val="24"/>
          <w:szCs w:val="24"/>
        </w:rPr>
        <w:t>There are events that are not describable, meaning that our language is not so fine-tuned to specifically describe them. We call this type “</w:t>
      </w:r>
      <w:proofErr w:type="spellStart"/>
      <w:r w:rsidR="009E7A63" w:rsidRPr="00671C0C">
        <w:rPr>
          <w:rFonts w:ascii="Times New Roman" w:hAnsi="Times New Roman" w:cs="Times New Roman"/>
          <w:sz w:val="24"/>
          <w:szCs w:val="24"/>
        </w:rPr>
        <w:t>un</w:t>
      </w:r>
      <w:r w:rsidRPr="00671C0C">
        <w:rPr>
          <w:rFonts w:ascii="Times New Roman" w:hAnsi="Times New Roman" w:cs="Times New Roman"/>
          <w:sz w:val="24"/>
          <w:szCs w:val="24"/>
        </w:rPr>
        <w:t>describability</w:t>
      </w:r>
      <w:proofErr w:type="spellEnd"/>
      <w:r w:rsidRPr="00671C0C">
        <w:rPr>
          <w:rFonts w:ascii="Times New Roman" w:hAnsi="Times New Roman" w:cs="Times New Roman"/>
          <w:sz w:val="24"/>
          <w:szCs w:val="24"/>
        </w:rPr>
        <w:t>”.</w:t>
      </w:r>
    </w:p>
    <w:p w14:paraId="3AFAF852" w14:textId="7E3BE920" w:rsidR="00B05011" w:rsidRPr="00671C0C" w:rsidRDefault="00B05011" w:rsidP="00B05011">
      <w:pPr>
        <w:spacing w:after="0" w:line="480" w:lineRule="auto"/>
        <w:jc w:val="both"/>
        <w:rPr>
          <w:rFonts w:ascii="Times New Roman" w:hAnsi="Times New Roman" w:cs="Times New Roman"/>
          <w:sz w:val="24"/>
          <w:szCs w:val="24"/>
        </w:rPr>
      </w:pPr>
      <w:r w:rsidRPr="00671C0C">
        <w:rPr>
          <w:rFonts w:ascii="Times New Roman" w:hAnsi="Times New Roman" w:cs="Times New Roman"/>
          <w:sz w:val="24"/>
          <w:szCs w:val="24"/>
        </w:rPr>
        <w:t xml:space="preserve">This last type is the most interesting and more subtle: indeed, when events are describable although unforeseeable contract law </w:t>
      </w:r>
      <w:r w:rsidR="00F01E98" w:rsidRPr="00671C0C">
        <w:rPr>
          <w:rFonts w:ascii="Times New Roman" w:hAnsi="Times New Roman" w:cs="Times New Roman"/>
          <w:sz w:val="24"/>
          <w:szCs w:val="24"/>
        </w:rPr>
        <w:t xml:space="preserve">provides with the </w:t>
      </w:r>
      <w:r w:rsidR="00F01E98" w:rsidRPr="00671C0C">
        <w:rPr>
          <w:rFonts w:ascii="Times New Roman" w:hAnsi="Times New Roman" w:cs="Times New Roman"/>
          <w:i/>
          <w:iCs/>
          <w:sz w:val="24"/>
          <w:szCs w:val="24"/>
        </w:rPr>
        <w:t>rebus sic stantibus</w:t>
      </w:r>
      <w:r w:rsidR="00F01E98" w:rsidRPr="00671C0C">
        <w:rPr>
          <w:rFonts w:ascii="Times New Roman" w:hAnsi="Times New Roman" w:cs="Times New Roman"/>
          <w:sz w:val="24"/>
          <w:szCs w:val="24"/>
        </w:rPr>
        <w:t xml:space="preserve"> clause. </w:t>
      </w:r>
      <w:r w:rsidRPr="00671C0C">
        <w:rPr>
          <w:rFonts w:ascii="Times New Roman" w:hAnsi="Times New Roman" w:cs="Times New Roman"/>
          <w:sz w:val="24"/>
          <w:szCs w:val="24"/>
        </w:rPr>
        <w:t xml:space="preserve">On the contrary when events </w:t>
      </w:r>
      <w:r w:rsidRPr="00671C0C">
        <w:rPr>
          <w:rFonts w:ascii="Times New Roman" w:hAnsi="Times New Roman" w:cs="Times New Roman"/>
          <w:sz w:val="24"/>
          <w:szCs w:val="24"/>
        </w:rPr>
        <w:lastRenderedPageBreak/>
        <w:t xml:space="preserve">are indescribable the issue of opportunism arises and apparently, properly because their indescribability, there is no solution. Furthermore, this notion is probably the notion evoked by O. Hart in his Nobel Prize Lecture </w:t>
      </w:r>
      <w:r w:rsidR="003701DB">
        <w:rPr>
          <w:rFonts w:ascii="Times New Roman" w:hAnsi="Times New Roman" w:cs="Times New Roman"/>
          <w:sz w:val="24"/>
          <w:szCs w:val="24"/>
        </w:rPr>
        <w:t xml:space="preserve">(2016) </w:t>
      </w:r>
      <w:r w:rsidRPr="00671C0C">
        <w:rPr>
          <w:rFonts w:ascii="Times New Roman" w:hAnsi="Times New Roman" w:cs="Times New Roman"/>
          <w:sz w:val="24"/>
          <w:szCs w:val="24"/>
        </w:rPr>
        <w:t>where he speaks about a contract between a power plant and a coal mine and “</w:t>
      </w:r>
      <w:r w:rsidRPr="00671C0C">
        <w:rPr>
          <w:rFonts w:ascii="Times New Roman" w:hAnsi="Times New Roman" w:cs="Times New Roman"/>
          <w:i/>
          <w:iCs/>
          <w:sz w:val="24"/>
          <w:szCs w:val="24"/>
        </w:rPr>
        <w:t>the power plant needs the coal to be pure but that it is hard to specify in advance what purity means, given that there are many potential impurities</w:t>
      </w:r>
      <w:r w:rsidRPr="00671C0C">
        <w:rPr>
          <w:rFonts w:ascii="Times New Roman" w:hAnsi="Times New Roman" w:cs="Times New Roman"/>
          <w:sz w:val="24"/>
          <w:szCs w:val="24"/>
        </w:rPr>
        <w:t>”.</w:t>
      </w:r>
    </w:p>
    <w:p w14:paraId="49153AF4" w14:textId="71257ABB" w:rsidR="00B05011" w:rsidRPr="00671C0C" w:rsidRDefault="00B05011" w:rsidP="00B05011">
      <w:pPr>
        <w:spacing w:after="0"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Following the example above, one solution to the issue of incompleteness is that the power plant buys the coal mine so that it is not more possible for the coal mine to haggle on the “</w:t>
      </w:r>
      <w:proofErr w:type="spellStart"/>
      <w:r w:rsidR="009E7A63" w:rsidRPr="00671C0C">
        <w:rPr>
          <w:rFonts w:ascii="Times New Roman" w:hAnsi="Times New Roman" w:cs="Times New Roman"/>
          <w:sz w:val="24"/>
          <w:szCs w:val="24"/>
        </w:rPr>
        <w:t>un</w:t>
      </w:r>
      <w:r w:rsidRPr="00671C0C">
        <w:rPr>
          <w:rFonts w:ascii="Times New Roman" w:hAnsi="Times New Roman" w:cs="Times New Roman"/>
          <w:sz w:val="24"/>
          <w:szCs w:val="24"/>
        </w:rPr>
        <w:t>describable</w:t>
      </w:r>
      <w:proofErr w:type="spellEnd"/>
      <w:r w:rsidRPr="00671C0C">
        <w:rPr>
          <w:rFonts w:ascii="Times New Roman" w:hAnsi="Times New Roman" w:cs="Times New Roman"/>
          <w:sz w:val="24"/>
          <w:szCs w:val="24"/>
        </w:rPr>
        <w:t xml:space="preserve">” level of purity. Indeed, the power plant has “residual rights of control” of deciding the level of purity of the ash, without arguing with the coal mine. However, the contribution by GHM is to highlight that integration has also costs and it is not a panacea. In a nutshell, putting aside formalization, there are two costs of integration: one is that the coal-mine underinvests in innovation, the other is that the power plant overinvests in innovation. A simple explanation is that if the coal-mine has an idea for a profitable innovation, she knows that his owner (the power plant) will ask for a half of the surplus generated from the innovation (assuming that the surplus is split according to Nash bargaining solution) and so has less incentive to invest with respect to the case where she can appropriate all the surplus. On the other hand, the power plant can invest </w:t>
      </w:r>
      <w:r w:rsidRPr="00671C0C">
        <w:rPr>
          <w:rFonts w:ascii="Times New Roman" w:hAnsi="Times New Roman" w:cs="Times New Roman"/>
          <w:i/>
          <w:iCs/>
          <w:sz w:val="24"/>
          <w:szCs w:val="24"/>
        </w:rPr>
        <w:t>ad libitum</w:t>
      </w:r>
      <w:r w:rsidRPr="00671C0C">
        <w:rPr>
          <w:rFonts w:ascii="Times New Roman" w:hAnsi="Times New Roman" w:cs="Times New Roman"/>
          <w:sz w:val="24"/>
          <w:szCs w:val="24"/>
        </w:rPr>
        <w:t>: indeed, she can impose to the c</w:t>
      </w:r>
      <w:r w:rsidR="00A13DA4">
        <w:rPr>
          <w:rFonts w:ascii="Times New Roman" w:hAnsi="Times New Roman" w:cs="Times New Roman"/>
          <w:sz w:val="24"/>
          <w:szCs w:val="24"/>
        </w:rPr>
        <w:t xml:space="preserve">oal </w:t>
      </w:r>
      <w:r w:rsidRPr="00671C0C">
        <w:rPr>
          <w:rFonts w:ascii="Times New Roman" w:hAnsi="Times New Roman" w:cs="Times New Roman"/>
          <w:sz w:val="24"/>
          <w:szCs w:val="24"/>
        </w:rPr>
        <w:t>mine to implement an innovation (which is costly for the coal-mine). If the innovation will turn to be, the power plant will gain half of the surplus, otherwise the innovation is nonetheless implemented and the costs is paid only by the coal-mine. Anticipating this result the coal mine will pay a sum to avoid the costly improvement. At the end the power plant can extract a rent from the coal</w:t>
      </w:r>
      <w:r w:rsidR="003701DB">
        <w:rPr>
          <w:rFonts w:ascii="Times New Roman" w:hAnsi="Times New Roman" w:cs="Times New Roman"/>
          <w:sz w:val="24"/>
          <w:szCs w:val="24"/>
        </w:rPr>
        <w:t xml:space="preserve"> </w:t>
      </w:r>
      <w:r w:rsidRPr="00671C0C">
        <w:rPr>
          <w:rFonts w:ascii="Times New Roman" w:hAnsi="Times New Roman" w:cs="Times New Roman"/>
          <w:sz w:val="24"/>
          <w:szCs w:val="24"/>
        </w:rPr>
        <w:t>mine.</w:t>
      </w:r>
    </w:p>
    <w:p w14:paraId="4E838253" w14:textId="1D09E6A4" w:rsidR="00B05011" w:rsidRPr="00671C0C" w:rsidRDefault="00B05011" w:rsidP="00B05011">
      <w:pPr>
        <w:spacing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 xml:space="preserve">The last problem can be conceived more generally as the problem of “abuse of authority”. Indeed, when an authority is </w:t>
      </w:r>
      <w:r w:rsidR="002147C1" w:rsidRPr="00671C0C">
        <w:rPr>
          <w:rFonts w:ascii="Times New Roman" w:hAnsi="Times New Roman" w:cs="Times New Roman"/>
          <w:sz w:val="24"/>
          <w:szCs w:val="24"/>
        </w:rPr>
        <w:t>established,</w:t>
      </w:r>
      <w:r w:rsidRPr="00671C0C">
        <w:rPr>
          <w:rFonts w:ascii="Times New Roman" w:hAnsi="Times New Roman" w:cs="Times New Roman"/>
          <w:sz w:val="24"/>
          <w:szCs w:val="24"/>
        </w:rPr>
        <w:t xml:space="preserve"> we find the same problem of opportunism as in the incomplete contracts: in fact, what can be imposed by the authority is as well indiscernible as the “purity” of the ash. So</w:t>
      </w:r>
      <w:r w:rsidR="00826501" w:rsidRPr="00671C0C">
        <w:rPr>
          <w:rFonts w:ascii="Times New Roman" w:hAnsi="Times New Roman" w:cs="Times New Roman"/>
          <w:sz w:val="24"/>
          <w:szCs w:val="24"/>
        </w:rPr>
        <w:t>,</w:t>
      </w:r>
      <w:r w:rsidRPr="00671C0C">
        <w:rPr>
          <w:rFonts w:ascii="Times New Roman" w:hAnsi="Times New Roman" w:cs="Times New Roman"/>
          <w:sz w:val="24"/>
          <w:szCs w:val="24"/>
        </w:rPr>
        <w:t xml:space="preserve"> incompleteness comes back.</w:t>
      </w:r>
    </w:p>
    <w:p w14:paraId="262B8245" w14:textId="77777777" w:rsidR="00B05011" w:rsidRPr="00671C0C" w:rsidRDefault="00B05011" w:rsidP="00B05011">
      <w:pPr>
        <w:spacing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lastRenderedPageBreak/>
        <w:t xml:space="preserve">L. </w:t>
      </w:r>
      <w:proofErr w:type="spellStart"/>
      <w:r w:rsidRPr="00671C0C">
        <w:rPr>
          <w:rFonts w:ascii="Times New Roman" w:hAnsi="Times New Roman" w:cs="Times New Roman"/>
          <w:sz w:val="24"/>
          <w:szCs w:val="24"/>
        </w:rPr>
        <w:t>Sacconi</w:t>
      </w:r>
      <w:proofErr w:type="spellEnd"/>
      <w:r w:rsidRPr="00671C0C">
        <w:rPr>
          <w:rFonts w:ascii="Times New Roman" w:hAnsi="Times New Roman" w:cs="Times New Roman"/>
          <w:sz w:val="24"/>
          <w:szCs w:val="24"/>
        </w:rPr>
        <w:t xml:space="preserve"> (1999) suggests a feasible solution by resorting to “general and abstract principle” seen as “vague statements that can capture all the possible events (at least to some degree)” and so can detect and prevent the abuse of authority. In particular </w:t>
      </w:r>
      <w:proofErr w:type="spellStart"/>
      <w:r w:rsidRPr="00671C0C">
        <w:rPr>
          <w:rFonts w:ascii="Times New Roman" w:hAnsi="Times New Roman" w:cs="Times New Roman"/>
          <w:sz w:val="24"/>
          <w:szCs w:val="24"/>
        </w:rPr>
        <w:t>Sacconi</w:t>
      </w:r>
      <w:proofErr w:type="spellEnd"/>
      <w:r w:rsidRPr="00671C0C">
        <w:rPr>
          <w:rFonts w:ascii="Times New Roman" w:hAnsi="Times New Roman" w:cs="Times New Roman"/>
          <w:sz w:val="24"/>
          <w:szCs w:val="24"/>
        </w:rPr>
        <w:t xml:space="preserve"> builds a model using fuzzy logic to show how “general and abstract principles” can work. </w:t>
      </w:r>
    </w:p>
    <w:p w14:paraId="6E315BEB" w14:textId="77777777" w:rsidR="00B05011" w:rsidRPr="00671C0C" w:rsidRDefault="00B05011" w:rsidP="00B05011">
      <w:pPr>
        <w:spacing w:after="0" w:line="480" w:lineRule="auto"/>
        <w:jc w:val="both"/>
        <w:rPr>
          <w:rFonts w:ascii="Times New Roman" w:hAnsi="Times New Roman" w:cs="Times New Roman"/>
          <w:b/>
          <w:bCs/>
          <w:sz w:val="24"/>
          <w:szCs w:val="24"/>
        </w:rPr>
      </w:pPr>
      <w:r w:rsidRPr="00671C0C">
        <w:rPr>
          <w:rFonts w:ascii="Times New Roman" w:hAnsi="Times New Roman" w:cs="Times New Roman"/>
          <w:b/>
          <w:bCs/>
          <w:sz w:val="24"/>
          <w:szCs w:val="24"/>
        </w:rPr>
        <w:t>Italian Case-Law</w:t>
      </w:r>
    </w:p>
    <w:p w14:paraId="76A031D1" w14:textId="1DD94B0E" w:rsidR="00B05011" w:rsidRPr="00671C0C" w:rsidRDefault="00B05011" w:rsidP="00B05011">
      <w:pPr>
        <w:spacing w:after="0"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 xml:space="preserve">We argue that the use of the good faith clause made by the Italian Civil Supreme Court concretely parallels the </w:t>
      </w:r>
      <w:proofErr w:type="spellStart"/>
      <w:r w:rsidRPr="00671C0C">
        <w:rPr>
          <w:rFonts w:ascii="Times New Roman" w:hAnsi="Times New Roman" w:cs="Times New Roman"/>
          <w:sz w:val="24"/>
          <w:szCs w:val="24"/>
        </w:rPr>
        <w:t>Sacconi’s</w:t>
      </w:r>
      <w:proofErr w:type="spellEnd"/>
      <w:r w:rsidRPr="00671C0C">
        <w:rPr>
          <w:rFonts w:ascii="Times New Roman" w:hAnsi="Times New Roman" w:cs="Times New Roman"/>
          <w:sz w:val="24"/>
          <w:szCs w:val="24"/>
        </w:rPr>
        <w:t xml:space="preserve"> theory and achieves the same result: preventing the abuse of authority.</w:t>
      </w:r>
    </w:p>
    <w:p w14:paraId="7AA40B0B" w14:textId="05628C51" w:rsidR="00B05011" w:rsidRPr="00671C0C" w:rsidRDefault="00B05011" w:rsidP="00B05011">
      <w:pPr>
        <w:tabs>
          <w:tab w:val="num" w:pos="720"/>
        </w:tabs>
        <w:spacing w:after="0" w:line="480" w:lineRule="auto"/>
        <w:ind w:firstLine="360"/>
        <w:jc w:val="both"/>
        <w:rPr>
          <w:rFonts w:ascii="Times New Roman" w:hAnsi="Times New Roman" w:cs="Times New Roman"/>
          <w:sz w:val="24"/>
          <w:szCs w:val="24"/>
        </w:rPr>
      </w:pPr>
      <w:r w:rsidRPr="00671C0C">
        <w:rPr>
          <w:rFonts w:ascii="Times New Roman" w:hAnsi="Times New Roman" w:cs="Times New Roman"/>
          <w:sz w:val="24"/>
          <w:szCs w:val="24"/>
        </w:rPr>
        <w:t xml:space="preserve">To the extent of this abstract we concentrate only on the leading case issued by the Italian Civil Supreme Court in Renault vs Ass. </w:t>
      </w:r>
      <w:proofErr w:type="spellStart"/>
      <w:r w:rsidRPr="00671C0C">
        <w:rPr>
          <w:rFonts w:ascii="Times New Roman" w:hAnsi="Times New Roman" w:cs="Times New Roman"/>
          <w:sz w:val="24"/>
          <w:szCs w:val="24"/>
        </w:rPr>
        <w:t>Concessionari</w:t>
      </w:r>
      <w:proofErr w:type="spellEnd"/>
      <w:r w:rsidRPr="00671C0C">
        <w:rPr>
          <w:rFonts w:ascii="Times New Roman" w:hAnsi="Times New Roman" w:cs="Times New Roman"/>
          <w:sz w:val="24"/>
          <w:szCs w:val="24"/>
        </w:rPr>
        <w:t xml:space="preserve"> </w:t>
      </w:r>
      <w:proofErr w:type="spellStart"/>
      <w:r w:rsidRPr="00671C0C">
        <w:rPr>
          <w:rFonts w:ascii="Times New Roman" w:hAnsi="Times New Roman" w:cs="Times New Roman"/>
          <w:sz w:val="24"/>
          <w:szCs w:val="24"/>
        </w:rPr>
        <w:t>Revocati</w:t>
      </w:r>
      <w:proofErr w:type="spellEnd"/>
      <w:r w:rsidRPr="00671C0C">
        <w:rPr>
          <w:rFonts w:ascii="Times New Roman" w:hAnsi="Times New Roman" w:cs="Times New Roman"/>
          <w:sz w:val="24"/>
          <w:szCs w:val="24"/>
        </w:rPr>
        <w:t xml:space="preserve"> [Exclusive Sales Dealers] (</w:t>
      </w:r>
      <w:r w:rsidRPr="00671C0C">
        <w:rPr>
          <w:rFonts w:ascii="Times New Roman" w:hAnsi="Times New Roman" w:cs="Times New Roman"/>
          <w:sz w:val="24"/>
          <w:szCs w:val="24"/>
          <w:lang w:val="it-IT"/>
        </w:rPr>
        <w:t xml:space="preserve">Cassazione civile sez. III - 18/09/2009, n. 20106). Dealers of Renault made </w:t>
      </w:r>
      <w:proofErr w:type="spellStart"/>
      <w:r w:rsidRPr="00671C0C">
        <w:rPr>
          <w:rFonts w:ascii="Times New Roman" w:hAnsi="Times New Roman" w:cs="Times New Roman"/>
          <w:sz w:val="24"/>
          <w:szCs w:val="24"/>
          <w:lang w:val="it-IT"/>
        </w:rPr>
        <w:t>specific</w:t>
      </w:r>
      <w:proofErr w:type="spellEnd"/>
      <w:r w:rsidRPr="00671C0C">
        <w:rPr>
          <w:rFonts w:ascii="Times New Roman" w:hAnsi="Times New Roman" w:cs="Times New Roman"/>
          <w:sz w:val="24"/>
          <w:szCs w:val="24"/>
          <w:lang w:val="it-IT"/>
        </w:rPr>
        <w:t xml:space="preserve"> investments </w:t>
      </w:r>
      <w:proofErr w:type="spellStart"/>
      <w:r w:rsidRPr="00671C0C">
        <w:rPr>
          <w:rFonts w:ascii="Times New Roman" w:hAnsi="Times New Roman" w:cs="Times New Roman"/>
          <w:sz w:val="24"/>
          <w:szCs w:val="24"/>
          <w:lang w:val="it-IT"/>
        </w:rPr>
        <w:t>required</w:t>
      </w:r>
      <w:proofErr w:type="spellEnd"/>
      <w:r w:rsidRPr="00671C0C">
        <w:rPr>
          <w:rFonts w:ascii="Times New Roman" w:hAnsi="Times New Roman" w:cs="Times New Roman"/>
          <w:sz w:val="24"/>
          <w:szCs w:val="24"/>
          <w:lang w:val="it-IT"/>
        </w:rPr>
        <w:t xml:space="preserve"> by the </w:t>
      </w:r>
      <w:proofErr w:type="spellStart"/>
      <w:r w:rsidRPr="00671C0C">
        <w:rPr>
          <w:rFonts w:ascii="Times New Roman" w:hAnsi="Times New Roman" w:cs="Times New Roman"/>
          <w:sz w:val="24"/>
          <w:szCs w:val="24"/>
          <w:lang w:val="it-IT"/>
        </w:rPr>
        <w:t>exclusive</w:t>
      </w:r>
      <w:proofErr w:type="spellEnd"/>
      <w:r w:rsidRPr="00671C0C">
        <w:rPr>
          <w:rFonts w:ascii="Times New Roman" w:hAnsi="Times New Roman" w:cs="Times New Roman"/>
          <w:sz w:val="24"/>
          <w:szCs w:val="24"/>
          <w:lang w:val="it-IT"/>
        </w:rPr>
        <w:t xml:space="preserve"> sale–</w:t>
      </w:r>
      <w:proofErr w:type="spellStart"/>
      <w:r w:rsidRPr="00671C0C">
        <w:rPr>
          <w:rFonts w:ascii="Times New Roman" w:hAnsi="Times New Roman" w:cs="Times New Roman"/>
          <w:sz w:val="24"/>
          <w:szCs w:val="24"/>
          <w:lang w:val="it-IT"/>
        </w:rPr>
        <w:t>dealing</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contract</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stipulated</w:t>
      </w:r>
      <w:proofErr w:type="spellEnd"/>
      <w:r w:rsidRPr="00671C0C">
        <w:rPr>
          <w:rFonts w:ascii="Times New Roman" w:hAnsi="Times New Roman" w:cs="Times New Roman"/>
          <w:sz w:val="24"/>
          <w:szCs w:val="24"/>
          <w:lang w:val="it-IT"/>
        </w:rPr>
        <w:t xml:space="preserve"> with Renault, </w:t>
      </w:r>
      <w:proofErr w:type="spellStart"/>
      <w:r w:rsidRPr="00671C0C">
        <w:rPr>
          <w:rFonts w:ascii="Times New Roman" w:hAnsi="Times New Roman" w:cs="Times New Roman"/>
          <w:sz w:val="24"/>
          <w:szCs w:val="24"/>
          <w:lang w:val="it-IT"/>
        </w:rPr>
        <w:t>however</w:t>
      </w:r>
      <w:proofErr w:type="spellEnd"/>
      <w:r w:rsidRPr="00671C0C">
        <w:rPr>
          <w:rFonts w:ascii="Times New Roman" w:hAnsi="Times New Roman" w:cs="Times New Roman"/>
          <w:sz w:val="24"/>
          <w:szCs w:val="24"/>
          <w:lang w:val="it-IT"/>
        </w:rPr>
        <w:t xml:space="preserve"> a </w:t>
      </w:r>
      <w:proofErr w:type="spellStart"/>
      <w:r w:rsidRPr="00671C0C">
        <w:rPr>
          <w:rFonts w:ascii="Times New Roman" w:hAnsi="Times New Roman" w:cs="Times New Roman"/>
          <w:sz w:val="24"/>
          <w:szCs w:val="24"/>
          <w:lang w:val="it-IT"/>
        </w:rPr>
        <w:t>clause</w:t>
      </w:r>
      <w:proofErr w:type="spellEnd"/>
      <w:r w:rsidRPr="00671C0C">
        <w:rPr>
          <w:rFonts w:ascii="Times New Roman" w:hAnsi="Times New Roman" w:cs="Times New Roman"/>
          <w:sz w:val="24"/>
          <w:szCs w:val="24"/>
          <w:lang w:val="it-IT"/>
        </w:rPr>
        <w:t xml:space="preserve"> of the </w:t>
      </w:r>
      <w:proofErr w:type="spellStart"/>
      <w:r w:rsidRPr="00671C0C">
        <w:rPr>
          <w:rFonts w:ascii="Times New Roman" w:hAnsi="Times New Roman" w:cs="Times New Roman"/>
          <w:sz w:val="24"/>
          <w:szCs w:val="24"/>
          <w:lang w:val="it-IT"/>
        </w:rPr>
        <w:t>contract</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appointed</w:t>
      </w:r>
      <w:proofErr w:type="spellEnd"/>
      <w:r w:rsidRPr="00671C0C">
        <w:rPr>
          <w:rFonts w:ascii="Times New Roman" w:hAnsi="Times New Roman" w:cs="Times New Roman"/>
          <w:sz w:val="24"/>
          <w:szCs w:val="24"/>
          <w:lang w:val="it-IT"/>
        </w:rPr>
        <w:t xml:space="preserve"> a </w:t>
      </w:r>
      <w:proofErr w:type="spellStart"/>
      <w:r w:rsidRPr="00671C0C">
        <w:rPr>
          <w:rFonts w:ascii="Times New Roman" w:hAnsi="Times New Roman" w:cs="Times New Roman"/>
          <w:sz w:val="24"/>
          <w:szCs w:val="24"/>
          <w:lang w:val="it-IT"/>
        </w:rPr>
        <w:t>right</w:t>
      </w:r>
      <w:proofErr w:type="spellEnd"/>
      <w:r w:rsidRPr="00671C0C">
        <w:rPr>
          <w:rFonts w:ascii="Times New Roman" w:hAnsi="Times New Roman" w:cs="Times New Roman"/>
          <w:sz w:val="24"/>
          <w:szCs w:val="24"/>
          <w:lang w:val="it-IT"/>
        </w:rPr>
        <w:t xml:space="preserve"> of </w:t>
      </w:r>
      <w:proofErr w:type="spellStart"/>
      <w:r w:rsidRPr="00671C0C">
        <w:rPr>
          <w:rFonts w:ascii="Times New Roman" w:hAnsi="Times New Roman" w:cs="Times New Roman"/>
          <w:sz w:val="24"/>
          <w:szCs w:val="24"/>
          <w:lang w:val="it-IT"/>
        </w:rPr>
        <w:t>withdrawal</w:t>
      </w:r>
      <w:proofErr w:type="spellEnd"/>
      <w:r w:rsidRPr="00671C0C">
        <w:rPr>
          <w:rFonts w:ascii="Times New Roman" w:hAnsi="Times New Roman" w:cs="Times New Roman"/>
          <w:sz w:val="24"/>
          <w:szCs w:val="24"/>
          <w:lang w:val="it-IT"/>
        </w:rPr>
        <w:t xml:space="preserve"> to Renault. Ren</w:t>
      </w:r>
      <w:r w:rsidR="00D76A07">
        <w:rPr>
          <w:rFonts w:ascii="Times New Roman" w:hAnsi="Times New Roman" w:cs="Times New Roman"/>
          <w:sz w:val="24"/>
          <w:szCs w:val="24"/>
          <w:lang w:val="it-IT"/>
        </w:rPr>
        <w:t>au</w:t>
      </w:r>
      <w:r w:rsidRPr="00671C0C">
        <w:rPr>
          <w:rFonts w:ascii="Times New Roman" w:hAnsi="Times New Roman" w:cs="Times New Roman"/>
          <w:sz w:val="24"/>
          <w:szCs w:val="24"/>
          <w:lang w:val="it-IT"/>
        </w:rPr>
        <w:t xml:space="preserve">lt </w:t>
      </w:r>
      <w:proofErr w:type="spellStart"/>
      <w:r w:rsidRPr="00671C0C">
        <w:rPr>
          <w:rFonts w:ascii="Times New Roman" w:hAnsi="Times New Roman" w:cs="Times New Roman"/>
          <w:sz w:val="24"/>
          <w:szCs w:val="24"/>
          <w:lang w:val="it-IT"/>
        </w:rPr>
        <w:t>exercised</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this</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right</w:t>
      </w:r>
      <w:proofErr w:type="spellEnd"/>
      <w:r w:rsidRPr="00671C0C">
        <w:rPr>
          <w:rFonts w:ascii="Times New Roman" w:hAnsi="Times New Roman" w:cs="Times New Roman"/>
          <w:sz w:val="24"/>
          <w:szCs w:val="24"/>
          <w:lang w:val="it-IT"/>
        </w:rPr>
        <w:t xml:space="preserve">. The Court of Appeal </w:t>
      </w:r>
      <w:proofErr w:type="spellStart"/>
      <w:r w:rsidRPr="00671C0C">
        <w:rPr>
          <w:rFonts w:ascii="Times New Roman" w:hAnsi="Times New Roman" w:cs="Times New Roman"/>
          <w:sz w:val="24"/>
          <w:szCs w:val="24"/>
          <w:lang w:val="it-IT"/>
        </w:rPr>
        <w:t>sentenced</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that</w:t>
      </w:r>
      <w:proofErr w:type="spellEnd"/>
      <w:r w:rsidRPr="00671C0C">
        <w:rPr>
          <w:rFonts w:ascii="Times New Roman" w:hAnsi="Times New Roman" w:cs="Times New Roman"/>
          <w:sz w:val="24"/>
          <w:szCs w:val="24"/>
          <w:lang w:val="it-IT"/>
        </w:rPr>
        <w:t xml:space="preserve"> Renault </w:t>
      </w:r>
      <w:proofErr w:type="spellStart"/>
      <w:r w:rsidRPr="00671C0C">
        <w:rPr>
          <w:rFonts w:ascii="Times New Roman" w:hAnsi="Times New Roman" w:cs="Times New Roman"/>
          <w:sz w:val="24"/>
          <w:szCs w:val="24"/>
          <w:lang w:val="it-IT"/>
        </w:rPr>
        <w:t>correctly</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exercised</w:t>
      </w:r>
      <w:proofErr w:type="spellEnd"/>
      <w:r w:rsidRPr="00671C0C">
        <w:rPr>
          <w:rFonts w:ascii="Times New Roman" w:hAnsi="Times New Roman" w:cs="Times New Roman"/>
          <w:sz w:val="24"/>
          <w:szCs w:val="24"/>
          <w:lang w:val="it-IT"/>
        </w:rPr>
        <w:t xml:space="preserve"> the </w:t>
      </w:r>
      <w:proofErr w:type="spellStart"/>
      <w:r w:rsidRPr="00671C0C">
        <w:rPr>
          <w:rFonts w:ascii="Times New Roman" w:hAnsi="Times New Roman" w:cs="Times New Roman"/>
          <w:sz w:val="24"/>
          <w:szCs w:val="24"/>
          <w:lang w:val="it-IT"/>
        </w:rPr>
        <w:t>right</w:t>
      </w:r>
      <w:proofErr w:type="spellEnd"/>
      <w:r w:rsidRPr="00671C0C">
        <w:rPr>
          <w:rFonts w:ascii="Times New Roman" w:hAnsi="Times New Roman" w:cs="Times New Roman"/>
          <w:sz w:val="24"/>
          <w:szCs w:val="24"/>
          <w:lang w:val="it-IT"/>
        </w:rPr>
        <w:t xml:space="preserve"> of </w:t>
      </w:r>
      <w:proofErr w:type="spellStart"/>
      <w:r w:rsidRPr="00671C0C">
        <w:rPr>
          <w:rFonts w:ascii="Times New Roman" w:hAnsi="Times New Roman" w:cs="Times New Roman"/>
          <w:sz w:val="24"/>
          <w:szCs w:val="24"/>
          <w:lang w:val="it-IT"/>
        </w:rPr>
        <w:t>withdrawal</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because</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this</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right</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was</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written</w:t>
      </w:r>
      <w:proofErr w:type="spellEnd"/>
      <w:r w:rsidRPr="00671C0C">
        <w:rPr>
          <w:rFonts w:ascii="Times New Roman" w:hAnsi="Times New Roman" w:cs="Times New Roman"/>
          <w:sz w:val="24"/>
          <w:szCs w:val="24"/>
          <w:lang w:val="it-IT"/>
        </w:rPr>
        <w:t xml:space="preserve"> in the </w:t>
      </w:r>
      <w:proofErr w:type="spellStart"/>
      <w:r w:rsidRPr="00671C0C">
        <w:rPr>
          <w:rFonts w:ascii="Times New Roman" w:hAnsi="Times New Roman" w:cs="Times New Roman"/>
          <w:sz w:val="24"/>
          <w:szCs w:val="24"/>
          <w:lang w:val="it-IT"/>
        </w:rPr>
        <w:t>contract</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because</w:t>
      </w:r>
      <w:proofErr w:type="spellEnd"/>
      <w:r w:rsidRPr="00671C0C">
        <w:rPr>
          <w:rFonts w:ascii="Times New Roman" w:hAnsi="Times New Roman" w:cs="Times New Roman"/>
          <w:sz w:val="24"/>
          <w:szCs w:val="24"/>
          <w:lang w:val="it-IT"/>
        </w:rPr>
        <w:t xml:space="preserve"> the </w:t>
      </w:r>
      <w:proofErr w:type="spellStart"/>
      <w:r w:rsidRPr="00671C0C">
        <w:rPr>
          <w:rFonts w:ascii="Times New Roman" w:hAnsi="Times New Roman" w:cs="Times New Roman"/>
          <w:sz w:val="24"/>
          <w:szCs w:val="24"/>
          <w:lang w:val="it-IT"/>
        </w:rPr>
        <w:t>judge</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cannot</w:t>
      </w:r>
      <w:proofErr w:type="spellEnd"/>
      <w:r w:rsidRPr="00671C0C">
        <w:rPr>
          <w:rFonts w:ascii="Times New Roman" w:hAnsi="Times New Roman" w:cs="Times New Roman"/>
          <w:sz w:val="24"/>
          <w:szCs w:val="24"/>
          <w:lang w:val="it-IT"/>
        </w:rPr>
        <w:t xml:space="preserve"> control the </w:t>
      </w:r>
      <w:proofErr w:type="spellStart"/>
      <w:r w:rsidRPr="00671C0C">
        <w:rPr>
          <w:rFonts w:ascii="Times New Roman" w:hAnsi="Times New Roman" w:cs="Times New Roman"/>
          <w:sz w:val="24"/>
          <w:szCs w:val="24"/>
          <w:lang w:val="it-IT"/>
        </w:rPr>
        <w:t>exercise</w:t>
      </w:r>
      <w:proofErr w:type="spellEnd"/>
      <w:r w:rsidRPr="00671C0C">
        <w:rPr>
          <w:rFonts w:ascii="Times New Roman" w:hAnsi="Times New Roman" w:cs="Times New Roman"/>
          <w:sz w:val="24"/>
          <w:szCs w:val="24"/>
          <w:lang w:val="it-IT"/>
        </w:rPr>
        <w:t xml:space="preserve"> of private </w:t>
      </w:r>
      <w:proofErr w:type="spellStart"/>
      <w:r w:rsidRPr="00671C0C">
        <w:rPr>
          <w:rFonts w:ascii="Times New Roman" w:hAnsi="Times New Roman" w:cs="Times New Roman"/>
          <w:sz w:val="24"/>
          <w:szCs w:val="24"/>
          <w:lang w:val="it-IT"/>
        </w:rPr>
        <w:t>autonomy</w:t>
      </w:r>
      <w:proofErr w:type="spellEnd"/>
      <w:r w:rsidRPr="00671C0C">
        <w:rPr>
          <w:rFonts w:ascii="Times New Roman" w:hAnsi="Times New Roman" w:cs="Times New Roman"/>
          <w:sz w:val="24"/>
          <w:szCs w:val="24"/>
          <w:lang w:val="it-IT"/>
        </w:rPr>
        <w:t xml:space="preserve"> and “</w:t>
      </w:r>
      <w:r w:rsidRPr="00671C0C">
        <w:rPr>
          <w:rFonts w:ascii="Times New Roman" w:hAnsi="Times New Roman" w:cs="Times New Roman"/>
          <w:i/>
          <w:iCs/>
          <w:sz w:val="24"/>
          <w:szCs w:val="24"/>
          <w:lang w:val="it-IT"/>
        </w:rPr>
        <w:t xml:space="preserve">the market </w:t>
      </w:r>
      <w:proofErr w:type="spellStart"/>
      <w:r w:rsidRPr="00671C0C">
        <w:rPr>
          <w:rFonts w:ascii="Times New Roman" w:hAnsi="Times New Roman" w:cs="Times New Roman"/>
          <w:i/>
          <w:iCs/>
          <w:sz w:val="24"/>
          <w:szCs w:val="24"/>
          <w:lang w:val="it-IT"/>
        </w:rPr>
        <w:t>is</w:t>
      </w:r>
      <w:proofErr w:type="spellEnd"/>
      <w:r w:rsidRPr="00671C0C">
        <w:rPr>
          <w:rFonts w:ascii="Times New Roman" w:hAnsi="Times New Roman" w:cs="Times New Roman"/>
          <w:i/>
          <w:iCs/>
          <w:sz w:val="24"/>
          <w:szCs w:val="24"/>
          <w:lang w:val="it-IT"/>
        </w:rPr>
        <w:t xml:space="preserve"> the field of free </w:t>
      </w:r>
      <w:proofErr w:type="spellStart"/>
      <w:r w:rsidRPr="00671C0C">
        <w:rPr>
          <w:rFonts w:ascii="Times New Roman" w:hAnsi="Times New Roman" w:cs="Times New Roman"/>
          <w:i/>
          <w:iCs/>
          <w:sz w:val="24"/>
          <w:szCs w:val="24"/>
          <w:lang w:val="it-IT"/>
        </w:rPr>
        <w:t>economic</w:t>
      </w:r>
      <w:proofErr w:type="spellEnd"/>
      <w:r w:rsidRPr="00671C0C">
        <w:rPr>
          <w:rFonts w:ascii="Times New Roman" w:hAnsi="Times New Roman" w:cs="Times New Roman"/>
          <w:i/>
          <w:iCs/>
          <w:sz w:val="24"/>
          <w:szCs w:val="24"/>
          <w:lang w:val="it-IT"/>
        </w:rPr>
        <w:t xml:space="preserve"> </w:t>
      </w:r>
      <w:proofErr w:type="spellStart"/>
      <w:r w:rsidRPr="00671C0C">
        <w:rPr>
          <w:rFonts w:ascii="Times New Roman" w:hAnsi="Times New Roman" w:cs="Times New Roman"/>
          <w:i/>
          <w:iCs/>
          <w:sz w:val="24"/>
          <w:szCs w:val="24"/>
          <w:lang w:val="it-IT"/>
        </w:rPr>
        <w:t>decision</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However</w:t>
      </w:r>
      <w:proofErr w:type="spellEnd"/>
      <w:r w:rsidRPr="00671C0C">
        <w:rPr>
          <w:rFonts w:ascii="Times New Roman" w:hAnsi="Times New Roman" w:cs="Times New Roman"/>
          <w:sz w:val="24"/>
          <w:szCs w:val="24"/>
          <w:lang w:val="it-IT"/>
        </w:rPr>
        <w:t xml:space="preserve">, The </w:t>
      </w:r>
      <w:proofErr w:type="spellStart"/>
      <w:r w:rsidRPr="00671C0C">
        <w:rPr>
          <w:rFonts w:ascii="Times New Roman" w:hAnsi="Times New Roman" w:cs="Times New Roman"/>
          <w:sz w:val="24"/>
          <w:szCs w:val="24"/>
          <w:lang w:val="it-IT"/>
        </w:rPr>
        <w:t>Civil</w:t>
      </w:r>
      <w:proofErr w:type="spellEnd"/>
      <w:r w:rsidRPr="00671C0C">
        <w:rPr>
          <w:rFonts w:ascii="Times New Roman" w:hAnsi="Times New Roman" w:cs="Times New Roman"/>
          <w:sz w:val="24"/>
          <w:szCs w:val="24"/>
          <w:lang w:val="it-IT"/>
        </w:rPr>
        <w:t xml:space="preserve"> Supreme Court </w:t>
      </w:r>
      <w:proofErr w:type="spellStart"/>
      <w:r w:rsidRPr="00671C0C">
        <w:rPr>
          <w:rFonts w:ascii="Times New Roman" w:hAnsi="Times New Roman" w:cs="Times New Roman"/>
          <w:sz w:val="24"/>
          <w:szCs w:val="24"/>
          <w:lang w:val="it-IT"/>
        </w:rPr>
        <w:t>overruled</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Say</w:t>
      </w:r>
      <w:r w:rsidR="004D0A77">
        <w:rPr>
          <w:rFonts w:ascii="Times New Roman" w:hAnsi="Times New Roman" w:cs="Times New Roman"/>
          <w:sz w:val="24"/>
          <w:szCs w:val="24"/>
          <w:lang w:val="it-IT"/>
        </w:rPr>
        <w:t>i</w:t>
      </w:r>
      <w:r w:rsidRPr="00671C0C">
        <w:rPr>
          <w:rFonts w:ascii="Times New Roman" w:hAnsi="Times New Roman" w:cs="Times New Roman"/>
          <w:sz w:val="24"/>
          <w:szCs w:val="24"/>
          <w:lang w:val="it-IT"/>
        </w:rPr>
        <w:t>ng</w:t>
      </w:r>
      <w:proofErr w:type="spellEnd"/>
      <w:r w:rsidRPr="00671C0C">
        <w:rPr>
          <w:rFonts w:ascii="Times New Roman" w:hAnsi="Times New Roman" w:cs="Times New Roman"/>
          <w:sz w:val="24"/>
          <w:szCs w:val="24"/>
          <w:lang w:val="it-IT"/>
        </w:rPr>
        <w:t xml:space="preserve"> </w:t>
      </w:r>
      <w:proofErr w:type="spellStart"/>
      <w:r w:rsidRPr="00671C0C">
        <w:rPr>
          <w:rFonts w:ascii="Times New Roman" w:hAnsi="Times New Roman" w:cs="Times New Roman"/>
          <w:sz w:val="24"/>
          <w:szCs w:val="24"/>
          <w:lang w:val="it-IT"/>
        </w:rPr>
        <w:t>that</w:t>
      </w:r>
      <w:proofErr w:type="spellEnd"/>
      <w:r w:rsidRPr="00671C0C">
        <w:rPr>
          <w:rFonts w:ascii="Times New Roman" w:hAnsi="Times New Roman" w:cs="Times New Roman"/>
          <w:sz w:val="24"/>
          <w:szCs w:val="24"/>
          <w:lang w:val="it-IT"/>
        </w:rPr>
        <w:t xml:space="preserve"> “</w:t>
      </w:r>
      <w:r w:rsidRPr="00671C0C">
        <w:rPr>
          <w:rFonts w:ascii="Times New Roman" w:hAnsi="Times New Roman" w:cs="Times New Roman"/>
          <w:i/>
          <w:iCs/>
          <w:sz w:val="24"/>
          <w:szCs w:val="24"/>
          <w:lang w:val="it-IT"/>
        </w:rPr>
        <w:t>t</w:t>
      </w:r>
      <w:r w:rsidRPr="00671C0C">
        <w:rPr>
          <w:rFonts w:ascii="Times New Roman" w:hAnsi="Times New Roman" w:cs="Times New Roman"/>
          <w:i/>
          <w:iCs/>
          <w:sz w:val="24"/>
          <w:szCs w:val="24"/>
        </w:rPr>
        <w:t>he contract must be interpreted according to bona fide (considering every circumstance of the relationship) […]</w:t>
      </w:r>
      <w:r w:rsidRPr="00671C0C">
        <w:rPr>
          <w:rFonts w:ascii="Times New Roman" w:hAnsi="Times New Roman" w:cs="Times New Roman"/>
          <w:i/>
          <w:iCs/>
          <w:sz w:val="24"/>
          <w:szCs w:val="24"/>
          <w:lang w:val="it-IT"/>
        </w:rPr>
        <w:t xml:space="preserve"> </w:t>
      </w:r>
      <w:r w:rsidRPr="00671C0C">
        <w:rPr>
          <w:rFonts w:ascii="Times New Roman" w:hAnsi="Times New Roman" w:cs="Times New Roman"/>
          <w:i/>
          <w:iCs/>
          <w:sz w:val="24"/>
          <w:szCs w:val="24"/>
        </w:rPr>
        <w:t>Bona fide clause provides that the Judge can control, also by modifying or integrating the contract, so to provide for the fair equilibrium between parties</w:t>
      </w:r>
      <w:r w:rsidRPr="00671C0C">
        <w:rPr>
          <w:rFonts w:ascii="Times New Roman" w:hAnsi="Times New Roman" w:cs="Times New Roman"/>
          <w:i/>
          <w:iCs/>
          <w:sz w:val="24"/>
          <w:szCs w:val="24"/>
          <w:lang w:val="it-IT"/>
        </w:rPr>
        <w:t xml:space="preserve"> </w:t>
      </w:r>
      <w:r w:rsidRPr="00671C0C">
        <w:rPr>
          <w:rFonts w:ascii="Times New Roman" w:hAnsi="Times New Roman" w:cs="Times New Roman"/>
          <w:i/>
          <w:iCs/>
          <w:sz w:val="24"/>
          <w:szCs w:val="24"/>
        </w:rPr>
        <w:t>So, taking into account all the circumstances, Renault had unjustly exercised the right of withdrawal</w:t>
      </w:r>
      <w:r w:rsidRPr="00671C0C">
        <w:rPr>
          <w:rFonts w:ascii="Times New Roman" w:hAnsi="Times New Roman" w:cs="Times New Roman"/>
          <w:sz w:val="24"/>
          <w:szCs w:val="24"/>
        </w:rPr>
        <w:t>”.</w:t>
      </w:r>
    </w:p>
    <w:p w14:paraId="0248A966" w14:textId="7419232E" w:rsidR="00B05011" w:rsidRPr="00671C0C" w:rsidRDefault="00B05011" w:rsidP="00B05011">
      <w:pPr>
        <w:tabs>
          <w:tab w:val="num" w:pos="720"/>
        </w:tabs>
        <w:spacing w:after="0" w:line="480" w:lineRule="auto"/>
        <w:ind w:firstLine="360"/>
        <w:jc w:val="both"/>
        <w:rPr>
          <w:rFonts w:ascii="Times New Roman" w:hAnsi="Times New Roman" w:cs="Times New Roman"/>
          <w:sz w:val="24"/>
          <w:szCs w:val="24"/>
          <w:lang w:val="it-IT"/>
        </w:rPr>
      </w:pPr>
      <w:r w:rsidRPr="00671C0C">
        <w:rPr>
          <w:rFonts w:ascii="Times New Roman" w:hAnsi="Times New Roman" w:cs="Times New Roman"/>
          <w:sz w:val="24"/>
          <w:szCs w:val="24"/>
        </w:rPr>
        <w:t>To conclude: this paper</w:t>
      </w:r>
      <w:r w:rsidR="000A5003">
        <w:rPr>
          <w:rFonts w:ascii="Times New Roman" w:hAnsi="Times New Roman" w:cs="Times New Roman"/>
          <w:sz w:val="24"/>
          <w:szCs w:val="24"/>
        </w:rPr>
        <w:t xml:space="preserve"> </w:t>
      </w:r>
      <w:r w:rsidRPr="00671C0C">
        <w:rPr>
          <w:rFonts w:ascii="Times New Roman" w:hAnsi="Times New Roman" w:cs="Times New Roman"/>
          <w:sz w:val="24"/>
          <w:szCs w:val="24"/>
        </w:rPr>
        <w:t>shows “parallel convergences” between legal practice (case-law) and economics theory. And here lies its originality. Of course, from this point onward and abstracting from specific legal cases, one can imagine a general theory of abuse of rights with two roots: one in law and one in economics.</w:t>
      </w:r>
    </w:p>
    <w:sectPr w:rsidR="00B05011" w:rsidRPr="00671C0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1038" w14:textId="77777777" w:rsidR="00963E18" w:rsidRDefault="00963E18" w:rsidP="004A384D">
      <w:pPr>
        <w:spacing w:after="0" w:line="240" w:lineRule="auto"/>
      </w:pPr>
      <w:r>
        <w:separator/>
      </w:r>
    </w:p>
  </w:endnote>
  <w:endnote w:type="continuationSeparator" w:id="0">
    <w:p w14:paraId="427B562E" w14:textId="77777777" w:rsidR="00963E18" w:rsidRDefault="00963E18" w:rsidP="004A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402498"/>
      <w:docPartObj>
        <w:docPartGallery w:val="Page Numbers (Bottom of Page)"/>
        <w:docPartUnique/>
      </w:docPartObj>
    </w:sdtPr>
    <w:sdtContent>
      <w:p w14:paraId="64CA34FE" w14:textId="1D1F8560" w:rsidR="004A384D" w:rsidRDefault="004A384D">
        <w:pPr>
          <w:pStyle w:val="Pidipagina"/>
          <w:jc w:val="center"/>
        </w:pPr>
        <w:r>
          <w:fldChar w:fldCharType="begin"/>
        </w:r>
        <w:r>
          <w:instrText>PAGE   \* MERGEFORMAT</w:instrText>
        </w:r>
        <w:r>
          <w:fldChar w:fldCharType="separate"/>
        </w:r>
        <w:r>
          <w:rPr>
            <w:lang w:val="it-IT"/>
          </w:rPr>
          <w:t>2</w:t>
        </w:r>
        <w:r>
          <w:fldChar w:fldCharType="end"/>
        </w:r>
      </w:p>
    </w:sdtContent>
  </w:sdt>
  <w:p w14:paraId="506E9848" w14:textId="77777777" w:rsidR="004A384D" w:rsidRDefault="004A3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0BD7" w14:textId="77777777" w:rsidR="00963E18" w:rsidRDefault="00963E18" w:rsidP="004A384D">
      <w:pPr>
        <w:spacing w:after="0" w:line="240" w:lineRule="auto"/>
      </w:pPr>
      <w:r>
        <w:separator/>
      </w:r>
    </w:p>
  </w:footnote>
  <w:footnote w:type="continuationSeparator" w:id="0">
    <w:p w14:paraId="699272A1" w14:textId="77777777" w:rsidR="00963E18" w:rsidRDefault="00963E18" w:rsidP="004A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4C93"/>
    <w:multiLevelType w:val="multilevel"/>
    <w:tmpl w:val="AB30DB1C"/>
    <w:lvl w:ilvl="0">
      <w:start w:val="1"/>
      <w:numFmt w:val="decimal"/>
      <w:lvlText w:val="%1"/>
      <w:lvlJc w:val="left"/>
      <w:pPr>
        <w:ind w:left="612" w:hanging="612"/>
      </w:pPr>
      <w:rPr>
        <w:rFonts w:hint="default"/>
      </w:rPr>
    </w:lvl>
    <w:lvl w:ilvl="1">
      <w:start w:val="1"/>
      <w:numFmt w:val="decimal"/>
      <w:lvlText w:val="%1.%2"/>
      <w:lvlJc w:val="left"/>
      <w:pPr>
        <w:ind w:left="852" w:hanging="612"/>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 w15:restartNumberingAfterBreak="0">
    <w:nsid w:val="386B22EC"/>
    <w:multiLevelType w:val="multilevel"/>
    <w:tmpl w:val="0DC21E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4C51FBD"/>
    <w:multiLevelType w:val="hybridMultilevel"/>
    <w:tmpl w:val="54F22F60"/>
    <w:lvl w:ilvl="0" w:tplc="3A0423A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FD655F"/>
    <w:multiLevelType w:val="multilevel"/>
    <w:tmpl w:val="684A3CB2"/>
    <w:lvl w:ilvl="0">
      <w:start w:val="1"/>
      <w:numFmt w:val="decimal"/>
      <w:lvlText w:val="%1"/>
      <w:lvlJc w:val="left"/>
      <w:pPr>
        <w:ind w:left="612" w:hanging="612"/>
      </w:pPr>
      <w:rPr>
        <w:rFonts w:hint="default"/>
      </w:rPr>
    </w:lvl>
    <w:lvl w:ilvl="1">
      <w:start w:val="1"/>
      <w:numFmt w:val="decimal"/>
      <w:lvlText w:val="%1.%2"/>
      <w:lvlJc w:val="left"/>
      <w:pPr>
        <w:ind w:left="1092" w:hanging="612"/>
      </w:pPr>
      <w:rPr>
        <w:rFonts w:hint="default"/>
      </w:rPr>
    </w:lvl>
    <w:lvl w:ilvl="2">
      <w:start w:val="1"/>
      <w:numFmt w:val="decimal"/>
      <w:lvlText w:val="%1.%2.%3"/>
      <w:lvlJc w:val="left"/>
      <w:pPr>
        <w:ind w:left="1680" w:hanging="720"/>
      </w:pPr>
      <w:rPr>
        <w:rFonts w:hint="default"/>
      </w:rPr>
    </w:lvl>
    <w:lvl w:ilvl="3">
      <w:start w:val="3"/>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num w:numId="1" w16cid:durableId="846210075">
    <w:abstractNumId w:val="1"/>
  </w:num>
  <w:num w:numId="2" w16cid:durableId="515076420">
    <w:abstractNumId w:val="0"/>
  </w:num>
  <w:num w:numId="3" w16cid:durableId="1974215033">
    <w:abstractNumId w:val="3"/>
  </w:num>
  <w:num w:numId="4" w16cid:durableId="135387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0F"/>
    <w:rsid w:val="0005245B"/>
    <w:rsid w:val="000A5003"/>
    <w:rsid w:val="000E5ED6"/>
    <w:rsid w:val="002147C1"/>
    <w:rsid w:val="00307E5B"/>
    <w:rsid w:val="003701DB"/>
    <w:rsid w:val="004416BB"/>
    <w:rsid w:val="004A384D"/>
    <w:rsid w:val="004D0A77"/>
    <w:rsid w:val="00671C0C"/>
    <w:rsid w:val="006A2B90"/>
    <w:rsid w:val="00826501"/>
    <w:rsid w:val="008C15EF"/>
    <w:rsid w:val="008E41B9"/>
    <w:rsid w:val="00963E18"/>
    <w:rsid w:val="009E7A63"/>
    <w:rsid w:val="00A13DA4"/>
    <w:rsid w:val="00A15CA5"/>
    <w:rsid w:val="00A55FD0"/>
    <w:rsid w:val="00B05011"/>
    <w:rsid w:val="00B26E0F"/>
    <w:rsid w:val="00C00FA7"/>
    <w:rsid w:val="00C704C1"/>
    <w:rsid w:val="00D41B79"/>
    <w:rsid w:val="00D76A07"/>
    <w:rsid w:val="00D86444"/>
    <w:rsid w:val="00F01E98"/>
    <w:rsid w:val="00FD61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2776"/>
  <w15:chartTrackingRefBased/>
  <w15:docId w15:val="{8AE9B27A-C7F1-441B-9161-E0F4E4E3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5011"/>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5ED6"/>
    <w:pPr>
      <w:ind w:left="720"/>
      <w:contextualSpacing/>
    </w:pPr>
  </w:style>
  <w:style w:type="paragraph" w:styleId="Testonotaapidipagina">
    <w:name w:val="footnote text"/>
    <w:basedOn w:val="Normale"/>
    <w:link w:val="TestonotaapidipaginaCarattere"/>
    <w:uiPriority w:val="99"/>
    <w:semiHidden/>
    <w:unhideWhenUsed/>
    <w:rsid w:val="004A38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384D"/>
    <w:rPr>
      <w:sz w:val="20"/>
      <w:szCs w:val="20"/>
      <w:lang w:val="en-GB"/>
    </w:rPr>
  </w:style>
  <w:style w:type="character" w:styleId="Rimandonotaapidipagina">
    <w:name w:val="footnote reference"/>
    <w:basedOn w:val="Carpredefinitoparagrafo"/>
    <w:uiPriority w:val="99"/>
    <w:semiHidden/>
    <w:unhideWhenUsed/>
    <w:rsid w:val="004A384D"/>
    <w:rPr>
      <w:vertAlign w:val="superscript"/>
    </w:rPr>
  </w:style>
  <w:style w:type="paragraph" w:styleId="Intestazione">
    <w:name w:val="header"/>
    <w:basedOn w:val="Normale"/>
    <w:link w:val="IntestazioneCarattere"/>
    <w:uiPriority w:val="99"/>
    <w:unhideWhenUsed/>
    <w:rsid w:val="004A38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384D"/>
    <w:rPr>
      <w:lang w:val="en-GB"/>
    </w:rPr>
  </w:style>
  <w:style w:type="paragraph" w:styleId="Pidipagina">
    <w:name w:val="footer"/>
    <w:basedOn w:val="Normale"/>
    <w:link w:val="PidipaginaCarattere"/>
    <w:uiPriority w:val="99"/>
    <w:unhideWhenUsed/>
    <w:rsid w:val="004A38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38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42BC-CCE2-4E7F-9BA4-A33C07E3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1241</Words>
  <Characters>7078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23</cp:revision>
  <dcterms:created xsi:type="dcterms:W3CDTF">2024-07-25T20:42:00Z</dcterms:created>
  <dcterms:modified xsi:type="dcterms:W3CDTF">2024-08-30T11:10:00Z</dcterms:modified>
</cp:coreProperties>
</file>