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58B4" w:rsidRPr="0088789E" w:rsidRDefault="0077490C" w:rsidP="005458B4">
      <w:pPr>
        <w:spacing w:line="276" w:lineRule="auto"/>
        <w:jc w:val="both"/>
        <w:rPr>
          <w:rFonts w:ascii="Times New Roman" w:hAnsi="Times New Roman" w:cs="Times New Roman"/>
          <w:b/>
          <w:sz w:val="28"/>
          <w:szCs w:val="26"/>
          <w:lang w:val="en-GB"/>
        </w:rPr>
      </w:pPr>
      <w:r w:rsidRPr="0088789E">
        <w:rPr>
          <w:rFonts w:ascii="Times New Roman" w:hAnsi="Times New Roman" w:cs="Times New Roman"/>
          <w:b/>
          <w:sz w:val="28"/>
          <w:szCs w:val="26"/>
          <w:lang w:val="en-GB"/>
        </w:rPr>
        <w:t>European</w:t>
      </w:r>
      <w:r w:rsidR="005A5582" w:rsidRPr="0088789E">
        <w:rPr>
          <w:rFonts w:ascii="Times New Roman" w:hAnsi="Times New Roman" w:cs="Times New Roman"/>
          <w:b/>
          <w:sz w:val="28"/>
          <w:szCs w:val="26"/>
          <w:lang w:val="en-GB"/>
        </w:rPr>
        <w:t xml:space="preserve"> National</w:t>
      </w:r>
      <w:r w:rsidR="00A34B31" w:rsidRPr="0088789E">
        <w:rPr>
          <w:rFonts w:ascii="Times New Roman" w:hAnsi="Times New Roman" w:cs="Times New Roman"/>
          <w:b/>
          <w:sz w:val="28"/>
          <w:szCs w:val="26"/>
          <w:lang w:val="en-GB"/>
        </w:rPr>
        <w:t xml:space="preserve"> Top</w:t>
      </w:r>
      <w:r w:rsidR="0047612C" w:rsidRPr="0088789E">
        <w:rPr>
          <w:rFonts w:ascii="Times New Roman" w:hAnsi="Times New Roman" w:cs="Times New Roman"/>
          <w:b/>
          <w:sz w:val="28"/>
          <w:szCs w:val="26"/>
          <w:lang w:val="en-GB"/>
        </w:rPr>
        <w:t xml:space="preserve"> Football</w:t>
      </w:r>
      <w:r w:rsidR="005A5582" w:rsidRPr="0088789E">
        <w:rPr>
          <w:rFonts w:ascii="Times New Roman" w:hAnsi="Times New Roman" w:cs="Times New Roman"/>
          <w:b/>
          <w:sz w:val="28"/>
          <w:szCs w:val="26"/>
          <w:lang w:val="en-GB"/>
        </w:rPr>
        <w:t xml:space="preserve"> League</w:t>
      </w:r>
      <w:r w:rsidR="0047612C" w:rsidRPr="0088789E">
        <w:rPr>
          <w:rFonts w:ascii="Times New Roman" w:hAnsi="Times New Roman" w:cs="Times New Roman"/>
          <w:b/>
          <w:sz w:val="28"/>
          <w:szCs w:val="26"/>
          <w:lang w:val="en-GB"/>
        </w:rPr>
        <w:t xml:space="preserve"> broadcasting rights </w:t>
      </w:r>
      <w:r w:rsidR="005A5582" w:rsidRPr="0088789E">
        <w:rPr>
          <w:rFonts w:ascii="Times New Roman" w:hAnsi="Times New Roman" w:cs="Times New Roman"/>
          <w:b/>
          <w:sz w:val="28"/>
          <w:szCs w:val="26"/>
          <w:lang w:val="en-GB"/>
        </w:rPr>
        <w:t>sale</w:t>
      </w:r>
      <w:r w:rsidR="0047612C" w:rsidRPr="0088789E">
        <w:rPr>
          <w:rFonts w:ascii="Times New Roman" w:hAnsi="Times New Roman" w:cs="Times New Roman"/>
          <w:b/>
          <w:sz w:val="28"/>
          <w:szCs w:val="26"/>
          <w:lang w:val="en-GB"/>
        </w:rPr>
        <w:t xml:space="preserve">– A </w:t>
      </w:r>
      <w:r w:rsidR="005A5582" w:rsidRPr="0088789E">
        <w:rPr>
          <w:rFonts w:ascii="Times New Roman" w:hAnsi="Times New Roman" w:cs="Times New Roman"/>
          <w:b/>
          <w:sz w:val="28"/>
          <w:szCs w:val="26"/>
          <w:lang w:val="en-GB"/>
        </w:rPr>
        <w:t xml:space="preserve">comparative </w:t>
      </w:r>
      <w:r w:rsidR="0047612C" w:rsidRPr="0088789E">
        <w:rPr>
          <w:rFonts w:ascii="Times New Roman" w:hAnsi="Times New Roman" w:cs="Times New Roman"/>
          <w:b/>
          <w:sz w:val="28"/>
          <w:szCs w:val="26"/>
          <w:lang w:val="en-GB"/>
        </w:rPr>
        <w:t>review of national Member States</w:t>
      </w:r>
      <w:r w:rsidR="007429E0" w:rsidRPr="0088789E">
        <w:rPr>
          <w:rFonts w:ascii="Times New Roman" w:hAnsi="Times New Roman" w:cs="Times New Roman"/>
          <w:b/>
          <w:sz w:val="28"/>
          <w:szCs w:val="26"/>
          <w:lang w:val="en-GB"/>
        </w:rPr>
        <w:t xml:space="preserve"> regulation and competition</w:t>
      </w:r>
      <w:r w:rsidR="0047612C" w:rsidRPr="0088789E">
        <w:rPr>
          <w:rFonts w:ascii="Times New Roman" w:hAnsi="Times New Roman" w:cs="Times New Roman"/>
          <w:b/>
          <w:sz w:val="28"/>
          <w:szCs w:val="26"/>
          <w:lang w:val="en-GB"/>
        </w:rPr>
        <w:t xml:space="preserve"> </w:t>
      </w:r>
      <w:r w:rsidR="00901FBA" w:rsidRPr="0088789E">
        <w:rPr>
          <w:rFonts w:ascii="Times New Roman" w:hAnsi="Times New Roman" w:cs="Times New Roman"/>
          <w:b/>
          <w:sz w:val="28"/>
          <w:szCs w:val="26"/>
          <w:lang w:val="en-GB"/>
        </w:rPr>
        <w:t>decisions</w:t>
      </w:r>
    </w:p>
    <w:p w:rsidR="00A54655" w:rsidRPr="0088789E" w:rsidRDefault="00A54655" w:rsidP="00A54655">
      <w:pPr>
        <w:spacing w:line="276" w:lineRule="auto"/>
        <w:jc w:val="center"/>
        <w:rPr>
          <w:rFonts w:ascii="Times New Roman" w:hAnsi="Times New Roman" w:cs="Times New Roman"/>
          <w:b/>
          <w:sz w:val="28"/>
          <w:szCs w:val="26"/>
          <w:lang w:val="en-GB"/>
        </w:rPr>
      </w:pPr>
      <w:r w:rsidRPr="0088789E">
        <w:rPr>
          <w:rFonts w:ascii="Times New Roman" w:hAnsi="Times New Roman" w:cs="Times New Roman"/>
          <w:sz w:val="28"/>
          <w:szCs w:val="26"/>
          <w:lang w:val="en-GB"/>
        </w:rPr>
        <w:t>Lorenzo Clementi</w:t>
      </w:r>
      <w:r w:rsidR="008D5173" w:rsidRPr="003D48A6">
        <w:rPr>
          <w:rFonts w:ascii="Times New Roman" w:eastAsia="Times New Roman" w:hAnsi="Times New Roman" w:cs="Times New Roman"/>
          <w:iCs/>
          <w:sz w:val="28"/>
          <w:szCs w:val="28"/>
          <w:vertAlign w:val="superscript"/>
          <w:lang w:val="en-GB"/>
        </w:rPr>
        <w:footnoteReference w:customMarkFollows="1" w:id="1"/>
        <w:t>*</w:t>
      </w:r>
    </w:p>
    <w:p w:rsidR="00A54655" w:rsidRPr="003D48A6" w:rsidRDefault="003D48A6" w:rsidP="003D48A6">
      <w:pPr>
        <w:spacing w:line="276" w:lineRule="auto"/>
        <w:jc w:val="center"/>
        <w:rPr>
          <w:rFonts w:ascii="Times New Roman" w:hAnsi="Times New Roman" w:cs="Times New Roman"/>
          <w:b/>
          <w:sz w:val="16"/>
          <w:szCs w:val="26"/>
          <w:lang w:val="en-GB"/>
        </w:rPr>
      </w:pPr>
      <w:r w:rsidRPr="003D48A6">
        <w:rPr>
          <w:rFonts w:ascii="Times New Roman" w:hAnsi="Times New Roman" w:cs="Times New Roman"/>
          <w:b/>
          <w:sz w:val="16"/>
          <w:szCs w:val="26"/>
          <w:lang w:val="en-GB"/>
        </w:rPr>
        <w:t>Latest version: 31 July 2024</w:t>
      </w:r>
    </w:p>
    <w:sdt>
      <w:sdtPr>
        <w:rPr>
          <w:rFonts w:asciiTheme="minorHAnsi" w:eastAsiaTheme="minorHAnsi" w:hAnsiTheme="minorHAnsi" w:cstheme="minorBidi"/>
          <w:color w:val="auto"/>
          <w:sz w:val="22"/>
          <w:szCs w:val="22"/>
          <w:lang w:val="it-IT" w:eastAsia="en-US"/>
        </w:rPr>
        <w:id w:val="148170157"/>
        <w:docPartObj>
          <w:docPartGallery w:val="Table of Contents"/>
          <w:docPartUnique/>
        </w:docPartObj>
      </w:sdtPr>
      <w:sdtEndPr>
        <w:rPr>
          <w:b/>
          <w:bCs/>
        </w:rPr>
      </w:sdtEndPr>
      <w:sdtContent>
        <w:p w:rsidR="00A54655" w:rsidRPr="003D48A6" w:rsidRDefault="00A54655">
          <w:pPr>
            <w:pStyle w:val="Titolosommario"/>
            <w:rPr>
              <w:rFonts w:ascii="Times New Roman" w:hAnsi="Times New Roman" w:cs="Times New Roman"/>
              <w:b/>
              <w:smallCaps/>
              <w:color w:val="auto"/>
              <w:sz w:val="28"/>
              <w:szCs w:val="28"/>
            </w:rPr>
          </w:pPr>
          <w:r w:rsidRPr="003D48A6">
            <w:rPr>
              <w:rFonts w:ascii="Times New Roman" w:hAnsi="Times New Roman" w:cs="Times New Roman"/>
              <w:b/>
              <w:smallCaps/>
              <w:color w:val="auto"/>
              <w:sz w:val="28"/>
              <w:szCs w:val="28"/>
            </w:rPr>
            <w:t>Summary</w:t>
          </w:r>
        </w:p>
        <w:p w:rsidR="007429E0" w:rsidRPr="003D48A6" w:rsidRDefault="007429E0" w:rsidP="007429E0">
          <w:pPr>
            <w:rPr>
              <w:lang w:val="en-GB" w:eastAsia="en-GB"/>
            </w:rPr>
          </w:pPr>
        </w:p>
        <w:p w:rsidR="0088680E" w:rsidRDefault="00A54655">
          <w:pPr>
            <w:pStyle w:val="Sommario1"/>
            <w:tabs>
              <w:tab w:val="right" w:leader="dot" w:pos="8664"/>
            </w:tabs>
            <w:rPr>
              <w:rFonts w:cstheme="minorBidi"/>
              <w:noProof/>
              <w:lang w:val="it-IT" w:eastAsia="it-IT"/>
            </w:rPr>
          </w:pPr>
          <w:r>
            <w:fldChar w:fldCharType="begin"/>
          </w:r>
          <w:r>
            <w:instrText xml:space="preserve"> TOC \o "1-3" \h \z \u </w:instrText>
          </w:r>
          <w:r>
            <w:fldChar w:fldCharType="separate"/>
          </w:r>
          <w:hyperlink w:anchor="_Toc177052139" w:history="1">
            <w:r w:rsidR="0088680E" w:rsidRPr="000151CC">
              <w:rPr>
                <w:rStyle w:val="Collegamentoipertestuale"/>
                <w:rFonts w:ascii="Times New Roman" w:eastAsia="Times New Roman" w:hAnsi="Times New Roman"/>
                <w:b/>
                <w:bCs/>
                <w:smallCaps/>
                <w:noProof/>
                <w:kern w:val="32"/>
                <w:lang w:eastAsia="it-IT"/>
              </w:rPr>
              <w:t>ABSTRACT</w:t>
            </w:r>
            <w:r w:rsidR="0088680E">
              <w:rPr>
                <w:noProof/>
                <w:webHidden/>
              </w:rPr>
              <w:tab/>
            </w:r>
            <w:r w:rsidR="0088680E">
              <w:rPr>
                <w:noProof/>
                <w:webHidden/>
              </w:rPr>
              <w:fldChar w:fldCharType="begin"/>
            </w:r>
            <w:r w:rsidR="0088680E">
              <w:rPr>
                <w:noProof/>
                <w:webHidden/>
              </w:rPr>
              <w:instrText xml:space="preserve"> PAGEREF _Toc177052139 \h </w:instrText>
            </w:r>
            <w:r w:rsidR="0088680E">
              <w:rPr>
                <w:noProof/>
                <w:webHidden/>
              </w:rPr>
            </w:r>
            <w:r w:rsidR="0088680E">
              <w:rPr>
                <w:noProof/>
                <w:webHidden/>
              </w:rPr>
              <w:fldChar w:fldCharType="separate"/>
            </w:r>
            <w:r w:rsidR="0088680E">
              <w:rPr>
                <w:noProof/>
                <w:webHidden/>
              </w:rPr>
              <w:t>2</w:t>
            </w:r>
            <w:r w:rsidR="0088680E">
              <w:rPr>
                <w:noProof/>
                <w:webHidden/>
              </w:rPr>
              <w:fldChar w:fldCharType="end"/>
            </w:r>
          </w:hyperlink>
        </w:p>
        <w:p w:rsidR="0088680E" w:rsidRDefault="007B3A1D">
          <w:pPr>
            <w:pStyle w:val="Sommario1"/>
            <w:tabs>
              <w:tab w:val="right" w:leader="dot" w:pos="8664"/>
            </w:tabs>
            <w:rPr>
              <w:rFonts w:cstheme="minorBidi"/>
              <w:noProof/>
              <w:lang w:val="it-IT" w:eastAsia="it-IT"/>
            </w:rPr>
          </w:pPr>
          <w:hyperlink w:anchor="_Toc177052140" w:history="1">
            <w:r w:rsidR="0088680E" w:rsidRPr="000151CC">
              <w:rPr>
                <w:rStyle w:val="Collegamentoipertestuale"/>
                <w:rFonts w:ascii="Times New Roman" w:eastAsia="Times New Roman" w:hAnsi="Times New Roman"/>
                <w:b/>
                <w:bCs/>
                <w:smallCaps/>
                <w:noProof/>
                <w:kern w:val="32"/>
                <w:lang w:eastAsia="it-IT"/>
              </w:rPr>
              <w:t>Introduction</w:t>
            </w:r>
            <w:r w:rsidR="0088680E">
              <w:rPr>
                <w:noProof/>
                <w:webHidden/>
              </w:rPr>
              <w:tab/>
            </w:r>
            <w:r w:rsidR="0088680E">
              <w:rPr>
                <w:noProof/>
                <w:webHidden/>
              </w:rPr>
              <w:fldChar w:fldCharType="begin"/>
            </w:r>
            <w:r w:rsidR="0088680E">
              <w:rPr>
                <w:noProof/>
                <w:webHidden/>
              </w:rPr>
              <w:instrText xml:space="preserve"> PAGEREF _Toc177052140 \h </w:instrText>
            </w:r>
            <w:r w:rsidR="0088680E">
              <w:rPr>
                <w:noProof/>
                <w:webHidden/>
              </w:rPr>
            </w:r>
            <w:r w:rsidR="0088680E">
              <w:rPr>
                <w:noProof/>
                <w:webHidden/>
              </w:rPr>
              <w:fldChar w:fldCharType="separate"/>
            </w:r>
            <w:r w:rsidR="0088680E">
              <w:rPr>
                <w:noProof/>
                <w:webHidden/>
              </w:rPr>
              <w:t>2</w:t>
            </w:r>
            <w:r w:rsidR="0088680E">
              <w:rPr>
                <w:noProof/>
                <w:webHidden/>
              </w:rPr>
              <w:fldChar w:fldCharType="end"/>
            </w:r>
          </w:hyperlink>
        </w:p>
        <w:p w:rsidR="0088680E" w:rsidRDefault="007B3A1D">
          <w:pPr>
            <w:pStyle w:val="Sommario1"/>
            <w:tabs>
              <w:tab w:val="right" w:leader="dot" w:pos="8664"/>
            </w:tabs>
            <w:rPr>
              <w:rFonts w:cstheme="minorBidi"/>
              <w:noProof/>
              <w:lang w:val="it-IT" w:eastAsia="it-IT"/>
            </w:rPr>
          </w:pPr>
          <w:hyperlink w:anchor="_Toc177052141" w:history="1">
            <w:r w:rsidR="0088680E" w:rsidRPr="000151CC">
              <w:rPr>
                <w:rStyle w:val="Collegamentoipertestuale"/>
                <w:rFonts w:ascii="Times New Roman" w:eastAsia="Times New Roman" w:hAnsi="Times New Roman"/>
                <w:b/>
                <w:bCs/>
                <w:smallCaps/>
                <w:noProof/>
                <w:kern w:val="32"/>
                <w:lang w:eastAsia="it-IT"/>
              </w:rPr>
              <w:t>I. Regulation and competition of joint sale of broadcasting rights in european football</w:t>
            </w:r>
            <w:r w:rsidR="0088680E">
              <w:rPr>
                <w:noProof/>
                <w:webHidden/>
              </w:rPr>
              <w:tab/>
            </w:r>
            <w:r w:rsidR="0088680E">
              <w:rPr>
                <w:noProof/>
                <w:webHidden/>
              </w:rPr>
              <w:fldChar w:fldCharType="begin"/>
            </w:r>
            <w:r w:rsidR="0088680E">
              <w:rPr>
                <w:noProof/>
                <w:webHidden/>
              </w:rPr>
              <w:instrText xml:space="preserve"> PAGEREF _Toc177052141 \h </w:instrText>
            </w:r>
            <w:r w:rsidR="0088680E">
              <w:rPr>
                <w:noProof/>
                <w:webHidden/>
              </w:rPr>
            </w:r>
            <w:r w:rsidR="0088680E">
              <w:rPr>
                <w:noProof/>
                <w:webHidden/>
              </w:rPr>
              <w:fldChar w:fldCharType="separate"/>
            </w:r>
            <w:r w:rsidR="0088680E">
              <w:rPr>
                <w:noProof/>
                <w:webHidden/>
              </w:rPr>
              <w:t>3</w:t>
            </w:r>
            <w:r w:rsidR="0088680E">
              <w:rPr>
                <w:noProof/>
                <w:webHidden/>
              </w:rPr>
              <w:fldChar w:fldCharType="end"/>
            </w:r>
          </w:hyperlink>
        </w:p>
        <w:p w:rsidR="0088680E" w:rsidRDefault="007B3A1D">
          <w:pPr>
            <w:pStyle w:val="Sommario1"/>
            <w:tabs>
              <w:tab w:val="right" w:leader="dot" w:pos="8664"/>
            </w:tabs>
            <w:rPr>
              <w:rFonts w:cstheme="minorBidi"/>
              <w:noProof/>
              <w:lang w:val="it-IT" w:eastAsia="it-IT"/>
            </w:rPr>
          </w:pPr>
          <w:hyperlink w:anchor="_Toc177052142" w:history="1">
            <w:r w:rsidR="0088680E" w:rsidRPr="000151CC">
              <w:rPr>
                <w:rStyle w:val="Collegamentoipertestuale"/>
                <w:rFonts w:ascii="Times New Roman" w:eastAsia="Times New Roman" w:hAnsi="Times New Roman"/>
                <w:b/>
                <w:bCs/>
                <w:smallCaps/>
                <w:noProof/>
                <w:kern w:val="32"/>
                <w:lang w:eastAsia="it-IT"/>
              </w:rPr>
              <w:t>II. The EC commission decisions on collective rights sale</w:t>
            </w:r>
            <w:r w:rsidR="0088680E">
              <w:rPr>
                <w:noProof/>
                <w:webHidden/>
              </w:rPr>
              <w:tab/>
            </w:r>
            <w:r w:rsidR="0088680E">
              <w:rPr>
                <w:noProof/>
                <w:webHidden/>
              </w:rPr>
              <w:fldChar w:fldCharType="begin"/>
            </w:r>
            <w:r w:rsidR="0088680E">
              <w:rPr>
                <w:noProof/>
                <w:webHidden/>
              </w:rPr>
              <w:instrText xml:space="preserve"> PAGEREF _Toc177052142 \h </w:instrText>
            </w:r>
            <w:r w:rsidR="0088680E">
              <w:rPr>
                <w:noProof/>
                <w:webHidden/>
              </w:rPr>
            </w:r>
            <w:r w:rsidR="0088680E">
              <w:rPr>
                <w:noProof/>
                <w:webHidden/>
              </w:rPr>
              <w:fldChar w:fldCharType="separate"/>
            </w:r>
            <w:r w:rsidR="0088680E">
              <w:rPr>
                <w:noProof/>
                <w:webHidden/>
              </w:rPr>
              <w:t>4</w:t>
            </w:r>
            <w:r w:rsidR="0088680E">
              <w:rPr>
                <w:noProof/>
                <w:webHidden/>
              </w:rPr>
              <w:fldChar w:fldCharType="end"/>
            </w:r>
          </w:hyperlink>
        </w:p>
        <w:p w:rsidR="0088680E" w:rsidRDefault="007B3A1D">
          <w:pPr>
            <w:pStyle w:val="Sommario1"/>
            <w:tabs>
              <w:tab w:val="right" w:leader="dot" w:pos="8664"/>
            </w:tabs>
            <w:rPr>
              <w:rFonts w:cstheme="minorBidi"/>
              <w:noProof/>
              <w:lang w:val="it-IT" w:eastAsia="it-IT"/>
            </w:rPr>
          </w:pPr>
          <w:hyperlink w:anchor="_Toc177052143" w:history="1">
            <w:r w:rsidR="0088680E" w:rsidRPr="000151CC">
              <w:rPr>
                <w:rStyle w:val="Collegamentoipertestuale"/>
                <w:rFonts w:ascii="Times New Roman" w:eastAsia="Times New Roman" w:hAnsi="Times New Roman"/>
                <w:b/>
                <w:bCs/>
                <w:smallCaps/>
                <w:noProof/>
                <w:kern w:val="32"/>
                <w:lang w:eastAsia="it-IT"/>
              </w:rPr>
              <w:t>III. Literature review</w:t>
            </w:r>
            <w:r w:rsidR="0088680E">
              <w:rPr>
                <w:noProof/>
                <w:webHidden/>
              </w:rPr>
              <w:tab/>
            </w:r>
            <w:r w:rsidR="0088680E">
              <w:rPr>
                <w:noProof/>
                <w:webHidden/>
              </w:rPr>
              <w:fldChar w:fldCharType="begin"/>
            </w:r>
            <w:r w:rsidR="0088680E">
              <w:rPr>
                <w:noProof/>
                <w:webHidden/>
              </w:rPr>
              <w:instrText xml:space="preserve"> PAGEREF _Toc177052143 \h </w:instrText>
            </w:r>
            <w:r w:rsidR="0088680E">
              <w:rPr>
                <w:noProof/>
                <w:webHidden/>
              </w:rPr>
            </w:r>
            <w:r w:rsidR="0088680E">
              <w:rPr>
                <w:noProof/>
                <w:webHidden/>
              </w:rPr>
              <w:fldChar w:fldCharType="separate"/>
            </w:r>
            <w:r w:rsidR="0088680E">
              <w:rPr>
                <w:noProof/>
                <w:webHidden/>
              </w:rPr>
              <w:t>5</w:t>
            </w:r>
            <w:r w:rsidR="0088680E">
              <w:rPr>
                <w:noProof/>
                <w:webHidden/>
              </w:rPr>
              <w:fldChar w:fldCharType="end"/>
            </w:r>
          </w:hyperlink>
        </w:p>
        <w:p w:rsidR="0088680E" w:rsidRDefault="007B3A1D">
          <w:pPr>
            <w:pStyle w:val="Sommario2"/>
            <w:tabs>
              <w:tab w:val="right" w:leader="dot" w:pos="8664"/>
            </w:tabs>
            <w:rPr>
              <w:rFonts w:cstheme="minorBidi"/>
              <w:noProof/>
              <w:lang w:val="it-IT" w:eastAsia="it-IT"/>
            </w:rPr>
          </w:pPr>
          <w:hyperlink w:anchor="_Toc177052144" w:history="1">
            <w:r w:rsidR="0088680E" w:rsidRPr="000151CC">
              <w:rPr>
                <w:rStyle w:val="Collegamentoipertestuale"/>
                <w:rFonts w:ascii="Times New Roman" w:eastAsia="Times New Roman" w:hAnsi="Times New Roman"/>
                <w:b/>
                <w:bCs/>
                <w:i/>
                <w:iCs/>
                <w:noProof/>
              </w:rPr>
              <w:t>III.1 Comments to the EC decisions</w:t>
            </w:r>
            <w:r w:rsidR="0088680E">
              <w:rPr>
                <w:noProof/>
                <w:webHidden/>
              </w:rPr>
              <w:tab/>
            </w:r>
            <w:r w:rsidR="0088680E">
              <w:rPr>
                <w:noProof/>
                <w:webHidden/>
              </w:rPr>
              <w:fldChar w:fldCharType="begin"/>
            </w:r>
            <w:r w:rsidR="0088680E">
              <w:rPr>
                <w:noProof/>
                <w:webHidden/>
              </w:rPr>
              <w:instrText xml:space="preserve"> PAGEREF _Toc177052144 \h </w:instrText>
            </w:r>
            <w:r w:rsidR="0088680E">
              <w:rPr>
                <w:noProof/>
                <w:webHidden/>
              </w:rPr>
            </w:r>
            <w:r w:rsidR="0088680E">
              <w:rPr>
                <w:noProof/>
                <w:webHidden/>
              </w:rPr>
              <w:fldChar w:fldCharType="separate"/>
            </w:r>
            <w:r w:rsidR="0088680E">
              <w:rPr>
                <w:noProof/>
                <w:webHidden/>
              </w:rPr>
              <w:t>6</w:t>
            </w:r>
            <w:r w:rsidR="0088680E">
              <w:rPr>
                <w:noProof/>
                <w:webHidden/>
              </w:rPr>
              <w:fldChar w:fldCharType="end"/>
            </w:r>
          </w:hyperlink>
        </w:p>
        <w:p w:rsidR="0088680E" w:rsidRDefault="007B3A1D">
          <w:pPr>
            <w:pStyle w:val="Sommario2"/>
            <w:tabs>
              <w:tab w:val="right" w:leader="dot" w:pos="8664"/>
            </w:tabs>
            <w:rPr>
              <w:rFonts w:cstheme="minorBidi"/>
              <w:noProof/>
              <w:lang w:val="it-IT" w:eastAsia="it-IT"/>
            </w:rPr>
          </w:pPr>
          <w:hyperlink w:anchor="_Toc177052145" w:history="1">
            <w:r w:rsidR="0088680E" w:rsidRPr="000151CC">
              <w:rPr>
                <w:rStyle w:val="Collegamentoipertestuale"/>
                <w:rFonts w:ascii="Times New Roman" w:eastAsia="Times New Roman" w:hAnsi="Times New Roman"/>
                <w:b/>
                <w:bCs/>
                <w:i/>
                <w:iCs/>
                <w:noProof/>
              </w:rPr>
              <w:t>III. 2 The legislative approach to joint rights sale</w:t>
            </w:r>
            <w:r w:rsidR="0088680E">
              <w:rPr>
                <w:noProof/>
                <w:webHidden/>
              </w:rPr>
              <w:tab/>
            </w:r>
            <w:r w:rsidR="0088680E">
              <w:rPr>
                <w:noProof/>
                <w:webHidden/>
              </w:rPr>
              <w:fldChar w:fldCharType="begin"/>
            </w:r>
            <w:r w:rsidR="0088680E">
              <w:rPr>
                <w:noProof/>
                <w:webHidden/>
              </w:rPr>
              <w:instrText xml:space="preserve"> PAGEREF _Toc177052145 \h </w:instrText>
            </w:r>
            <w:r w:rsidR="0088680E">
              <w:rPr>
                <w:noProof/>
                <w:webHidden/>
              </w:rPr>
            </w:r>
            <w:r w:rsidR="0088680E">
              <w:rPr>
                <w:noProof/>
                <w:webHidden/>
              </w:rPr>
              <w:fldChar w:fldCharType="separate"/>
            </w:r>
            <w:r w:rsidR="0088680E">
              <w:rPr>
                <w:noProof/>
                <w:webHidden/>
              </w:rPr>
              <w:t>6</w:t>
            </w:r>
            <w:r w:rsidR="0088680E">
              <w:rPr>
                <w:noProof/>
                <w:webHidden/>
              </w:rPr>
              <w:fldChar w:fldCharType="end"/>
            </w:r>
          </w:hyperlink>
        </w:p>
        <w:p w:rsidR="0088680E" w:rsidRDefault="007B3A1D">
          <w:pPr>
            <w:pStyle w:val="Sommario2"/>
            <w:tabs>
              <w:tab w:val="right" w:leader="dot" w:pos="8664"/>
            </w:tabs>
            <w:rPr>
              <w:rFonts w:cstheme="minorBidi"/>
              <w:noProof/>
              <w:lang w:val="it-IT" w:eastAsia="it-IT"/>
            </w:rPr>
          </w:pPr>
          <w:hyperlink w:anchor="_Toc177052146" w:history="1">
            <w:r w:rsidR="0088680E" w:rsidRPr="000151CC">
              <w:rPr>
                <w:rStyle w:val="Collegamentoipertestuale"/>
                <w:rFonts w:ascii="Times New Roman" w:eastAsia="Times New Roman" w:hAnsi="Times New Roman"/>
                <w:b/>
                <w:bCs/>
                <w:i/>
                <w:iCs/>
                <w:noProof/>
              </w:rPr>
              <w:t>III. 3 The economic approach to right sale</w:t>
            </w:r>
            <w:r w:rsidR="0088680E">
              <w:rPr>
                <w:noProof/>
                <w:webHidden/>
              </w:rPr>
              <w:tab/>
            </w:r>
            <w:r w:rsidR="0088680E">
              <w:rPr>
                <w:noProof/>
                <w:webHidden/>
              </w:rPr>
              <w:fldChar w:fldCharType="begin"/>
            </w:r>
            <w:r w:rsidR="0088680E">
              <w:rPr>
                <w:noProof/>
                <w:webHidden/>
              </w:rPr>
              <w:instrText xml:space="preserve"> PAGEREF _Toc177052146 \h </w:instrText>
            </w:r>
            <w:r w:rsidR="0088680E">
              <w:rPr>
                <w:noProof/>
                <w:webHidden/>
              </w:rPr>
            </w:r>
            <w:r w:rsidR="0088680E">
              <w:rPr>
                <w:noProof/>
                <w:webHidden/>
              </w:rPr>
              <w:fldChar w:fldCharType="separate"/>
            </w:r>
            <w:r w:rsidR="0088680E">
              <w:rPr>
                <w:noProof/>
                <w:webHidden/>
              </w:rPr>
              <w:t>7</w:t>
            </w:r>
            <w:r w:rsidR="0088680E">
              <w:rPr>
                <w:noProof/>
                <w:webHidden/>
              </w:rPr>
              <w:fldChar w:fldCharType="end"/>
            </w:r>
          </w:hyperlink>
        </w:p>
        <w:p w:rsidR="0088680E" w:rsidRDefault="007B3A1D">
          <w:pPr>
            <w:pStyle w:val="Sommario2"/>
            <w:tabs>
              <w:tab w:val="right" w:leader="dot" w:pos="8664"/>
            </w:tabs>
            <w:rPr>
              <w:rFonts w:cstheme="minorBidi"/>
              <w:noProof/>
              <w:lang w:val="it-IT" w:eastAsia="it-IT"/>
            </w:rPr>
          </w:pPr>
          <w:hyperlink w:anchor="_Toc177052147" w:history="1">
            <w:r w:rsidR="0088680E" w:rsidRPr="000151CC">
              <w:rPr>
                <w:rStyle w:val="Collegamentoipertestuale"/>
                <w:rFonts w:ascii="Times New Roman" w:eastAsia="Times New Roman" w:hAnsi="Times New Roman"/>
                <w:b/>
                <w:bCs/>
                <w:i/>
                <w:iCs/>
                <w:noProof/>
              </w:rPr>
              <w:t>III. 4 Antitrust and Regulatory Implications</w:t>
            </w:r>
            <w:r w:rsidR="0088680E">
              <w:rPr>
                <w:noProof/>
                <w:webHidden/>
              </w:rPr>
              <w:tab/>
            </w:r>
            <w:r w:rsidR="0088680E">
              <w:rPr>
                <w:noProof/>
                <w:webHidden/>
              </w:rPr>
              <w:fldChar w:fldCharType="begin"/>
            </w:r>
            <w:r w:rsidR="0088680E">
              <w:rPr>
                <w:noProof/>
                <w:webHidden/>
              </w:rPr>
              <w:instrText xml:space="preserve"> PAGEREF _Toc177052147 \h </w:instrText>
            </w:r>
            <w:r w:rsidR="0088680E">
              <w:rPr>
                <w:noProof/>
                <w:webHidden/>
              </w:rPr>
            </w:r>
            <w:r w:rsidR="0088680E">
              <w:rPr>
                <w:noProof/>
                <w:webHidden/>
              </w:rPr>
              <w:fldChar w:fldCharType="separate"/>
            </w:r>
            <w:r w:rsidR="0088680E">
              <w:rPr>
                <w:noProof/>
                <w:webHidden/>
              </w:rPr>
              <w:t>8</w:t>
            </w:r>
            <w:r w:rsidR="0088680E">
              <w:rPr>
                <w:noProof/>
                <w:webHidden/>
              </w:rPr>
              <w:fldChar w:fldCharType="end"/>
            </w:r>
          </w:hyperlink>
        </w:p>
        <w:p w:rsidR="0088680E" w:rsidRDefault="007B3A1D">
          <w:pPr>
            <w:pStyle w:val="Sommario1"/>
            <w:tabs>
              <w:tab w:val="right" w:leader="dot" w:pos="8664"/>
            </w:tabs>
            <w:rPr>
              <w:rFonts w:cstheme="minorBidi"/>
              <w:noProof/>
              <w:lang w:val="it-IT" w:eastAsia="it-IT"/>
            </w:rPr>
          </w:pPr>
          <w:hyperlink w:anchor="_Toc177052148" w:history="1">
            <w:r w:rsidR="0088680E" w:rsidRPr="000151CC">
              <w:rPr>
                <w:rStyle w:val="Collegamentoipertestuale"/>
                <w:rFonts w:ascii="Times New Roman" w:eastAsia="Times New Roman" w:hAnsi="Times New Roman"/>
                <w:b/>
                <w:bCs/>
                <w:smallCaps/>
                <w:noProof/>
                <w:kern w:val="32"/>
                <w:lang w:eastAsia="it-IT"/>
              </w:rPr>
              <w:t>IV. The top European leagues legislation</w:t>
            </w:r>
            <w:r w:rsidR="0088680E">
              <w:rPr>
                <w:noProof/>
                <w:webHidden/>
              </w:rPr>
              <w:tab/>
            </w:r>
            <w:r w:rsidR="0088680E">
              <w:rPr>
                <w:noProof/>
                <w:webHidden/>
              </w:rPr>
              <w:fldChar w:fldCharType="begin"/>
            </w:r>
            <w:r w:rsidR="0088680E">
              <w:rPr>
                <w:noProof/>
                <w:webHidden/>
              </w:rPr>
              <w:instrText xml:space="preserve"> PAGEREF _Toc177052148 \h </w:instrText>
            </w:r>
            <w:r w:rsidR="0088680E">
              <w:rPr>
                <w:noProof/>
                <w:webHidden/>
              </w:rPr>
            </w:r>
            <w:r w:rsidR="0088680E">
              <w:rPr>
                <w:noProof/>
                <w:webHidden/>
              </w:rPr>
              <w:fldChar w:fldCharType="separate"/>
            </w:r>
            <w:r w:rsidR="0088680E">
              <w:rPr>
                <w:noProof/>
                <w:webHidden/>
              </w:rPr>
              <w:t>9</w:t>
            </w:r>
            <w:r w:rsidR="0088680E">
              <w:rPr>
                <w:noProof/>
                <w:webHidden/>
              </w:rPr>
              <w:fldChar w:fldCharType="end"/>
            </w:r>
          </w:hyperlink>
        </w:p>
        <w:p w:rsidR="0088680E" w:rsidRDefault="007B3A1D">
          <w:pPr>
            <w:pStyle w:val="Sommario1"/>
            <w:tabs>
              <w:tab w:val="right" w:leader="dot" w:pos="8664"/>
            </w:tabs>
            <w:rPr>
              <w:rFonts w:cstheme="minorBidi"/>
              <w:noProof/>
              <w:lang w:val="it-IT" w:eastAsia="it-IT"/>
            </w:rPr>
          </w:pPr>
          <w:hyperlink w:anchor="_Toc177052149" w:history="1">
            <w:r w:rsidR="0088680E" w:rsidRPr="000151CC">
              <w:rPr>
                <w:rStyle w:val="Collegamentoipertestuale"/>
                <w:rFonts w:ascii="Times New Roman" w:eastAsia="Times New Roman" w:hAnsi="Times New Roman"/>
                <w:b/>
                <w:bCs/>
                <w:smallCaps/>
                <w:noProof/>
                <w:kern w:val="32"/>
                <w:lang w:eastAsia="it-IT"/>
              </w:rPr>
              <w:t>V. Member States regulation and recent decisions</w:t>
            </w:r>
            <w:r w:rsidR="0088680E">
              <w:rPr>
                <w:noProof/>
                <w:webHidden/>
              </w:rPr>
              <w:tab/>
            </w:r>
            <w:r w:rsidR="0088680E">
              <w:rPr>
                <w:noProof/>
                <w:webHidden/>
              </w:rPr>
              <w:fldChar w:fldCharType="begin"/>
            </w:r>
            <w:r w:rsidR="0088680E">
              <w:rPr>
                <w:noProof/>
                <w:webHidden/>
              </w:rPr>
              <w:instrText xml:space="preserve"> PAGEREF _Toc177052149 \h </w:instrText>
            </w:r>
            <w:r w:rsidR="0088680E">
              <w:rPr>
                <w:noProof/>
                <w:webHidden/>
              </w:rPr>
            </w:r>
            <w:r w:rsidR="0088680E">
              <w:rPr>
                <w:noProof/>
                <w:webHidden/>
              </w:rPr>
              <w:fldChar w:fldCharType="separate"/>
            </w:r>
            <w:r w:rsidR="0088680E">
              <w:rPr>
                <w:noProof/>
                <w:webHidden/>
              </w:rPr>
              <w:t>11</w:t>
            </w:r>
            <w:r w:rsidR="0088680E">
              <w:rPr>
                <w:noProof/>
                <w:webHidden/>
              </w:rPr>
              <w:fldChar w:fldCharType="end"/>
            </w:r>
          </w:hyperlink>
        </w:p>
        <w:p w:rsidR="0088680E" w:rsidRDefault="007B3A1D">
          <w:pPr>
            <w:pStyle w:val="Sommario2"/>
            <w:tabs>
              <w:tab w:val="right" w:leader="dot" w:pos="8664"/>
            </w:tabs>
            <w:rPr>
              <w:rFonts w:cstheme="minorBidi"/>
              <w:noProof/>
              <w:lang w:val="it-IT" w:eastAsia="it-IT"/>
            </w:rPr>
          </w:pPr>
          <w:hyperlink w:anchor="_Toc177052150" w:history="1">
            <w:r w:rsidR="0088680E" w:rsidRPr="000151CC">
              <w:rPr>
                <w:rStyle w:val="Collegamentoipertestuale"/>
                <w:rFonts w:ascii="Times New Roman" w:eastAsia="Times New Roman" w:hAnsi="Times New Roman"/>
                <w:b/>
                <w:bCs/>
                <w:i/>
                <w:iCs/>
                <w:noProof/>
              </w:rPr>
              <w:t>V.1 Austria</w:t>
            </w:r>
            <w:r w:rsidR="0088680E">
              <w:rPr>
                <w:noProof/>
                <w:webHidden/>
              </w:rPr>
              <w:tab/>
            </w:r>
            <w:r w:rsidR="0088680E">
              <w:rPr>
                <w:noProof/>
                <w:webHidden/>
              </w:rPr>
              <w:fldChar w:fldCharType="begin"/>
            </w:r>
            <w:r w:rsidR="0088680E">
              <w:rPr>
                <w:noProof/>
                <w:webHidden/>
              </w:rPr>
              <w:instrText xml:space="preserve"> PAGEREF _Toc177052150 \h </w:instrText>
            </w:r>
            <w:r w:rsidR="0088680E">
              <w:rPr>
                <w:noProof/>
                <w:webHidden/>
              </w:rPr>
            </w:r>
            <w:r w:rsidR="0088680E">
              <w:rPr>
                <w:noProof/>
                <w:webHidden/>
              </w:rPr>
              <w:fldChar w:fldCharType="separate"/>
            </w:r>
            <w:r w:rsidR="0088680E">
              <w:rPr>
                <w:noProof/>
                <w:webHidden/>
              </w:rPr>
              <w:t>11</w:t>
            </w:r>
            <w:r w:rsidR="0088680E">
              <w:rPr>
                <w:noProof/>
                <w:webHidden/>
              </w:rPr>
              <w:fldChar w:fldCharType="end"/>
            </w:r>
          </w:hyperlink>
        </w:p>
        <w:p w:rsidR="0088680E" w:rsidRDefault="007B3A1D">
          <w:pPr>
            <w:pStyle w:val="Sommario2"/>
            <w:tabs>
              <w:tab w:val="right" w:leader="dot" w:pos="8664"/>
            </w:tabs>
            <w:rPr>
              <w:rFonts w:cstheme="minorBidi"/>
              <w:noProof/>
              <w:lang w:val="it-IT" w:eastAsia="it-IT"/>
            </w:rPr>
          </w:pPr>
          <w:hyperlink w:anchor="_Toc177052151" w:history="1">
            <w:r w:rsidR="0088680E" w:rsidRPr="000151CC">
              <w:rPr>
                <w:rStyle w:val="Collegamentoipertestuale"/>
                <w:rFonts w:ascii="Times New Roman" w:eastAsia="Times New Roman" w:hAnsi="Times New Roman"/>
                <w:b/>
                <w:bCs/>
                <w:i/>
                <w:iCs/>
                <w:noProof/>
              </w:rPr>
              <w:t>V.2 Belgium</w:t>
            </w:r>
            <w:r w:rsidR="0088680E">
              <w:rPr>
                <w:noProof/>
                <w:webHidden/>
              </w:rPr>
              <w:tab/>
            </w:r>
            <w:r w:rsidR="0088680E">
              <w:rPr>
                <w:noProof/>
                <w:webHidden/>
              </w:rPr>
              <w:fldChar w:fldCharType="begin"/>
            </w:r>
            <w:r w:rsidR="0088680E">
              <w:rPr>
                <w:noProof/>
                <w:webHidden/>
              </w:rPr>
              <w:instrText xml:space="preserve"> PAGEREF _Toc177052151 \h </w:instrText>
            </w:r>
            <w:r w:rsidR="0088680E">
              <w:rPr>
                <w:noProof/>
                <w:webHidden/>
              </w:rPr>
            </w:r>
            <w:r w:rsidR="0088680E">
              <w:rPr>
                <w:noProof/>
                <w:webHidden/>
              </w:rPr>
              <w:fldChar w:fldCharType="separate"/>
            </w:r>
            <w:r w:rsidR="0088680E">
              <w:rPr>
                <w:noProof/>
                <w:webHidden/>
              </w:rPr>
              <w:t>11</w:t>
            </w:r>
            <w:r w:rsidR="0088680E">
              <w:rPr>
                <w:noProof/>
                <w:webHidden/>
              </w:rPr>
              <w:fldChar w:fldCharType="end"/>
            </w:r>
          </w:hyperlink>
        </w:p>
        <w:p w:rsidR="0088680E" w:rsidRDefault="007B3A1D">
          <w:pPr>
            <w:pStyle w:val="Sommario2"/>
            <w:tabs>
              <w:tab w:val="right" w:leader="dot" w:pos="8664"/>
            </w:tabs>
            <w:rPr>
              <w:rFonts w:cstheme="minorBidi"/>
              <w:noProof/>
              <w:lang w:val="it-IT" w:eastAsia="it-IT"/>
            </w:rPr>
          </w:pPr>
          <w:hyperlink w:anchor="_Toc177052152" w:history="1">
            <w:r w:rsidR="0088680E" w:rsidRPr="000151CC">
              <w:rPr>
                <w:rStyle w:val="Collegamentoipertestuale"/>
                <w:rFonts w:ascii="Times New Roman" w:eastAsia="Times New Roman" w:hAnsi="Times New Roman"/>
                <w:b/>
                <w:bCs/>
                <w:i/>
                <w:iCs/>
                <w:noProof/>
              </w:rPr>
              <w:t>V.3 Bulgaria</w:t>
            </w:r>
            <w:r w:rsidR="0088680E">
              <w:rPr>
                <w:noProof/>
                <w:webHidden/>
              </w:rPr>
              <w:tab/>
            </w:r>
            <w:r w:rsidR="0088680E">
              <w:rPr>
                <w:noProof/>
                <w:webHidden/>
              </w:rPr>
              <w:fldChar w:fldCharType="begin"/>
            </w:r>
            <w:r w:rsidR="0088680E">
              <w:rPr>
                <w:noProof/>
                <w:webHidden/>
              </w:rPr>
              <w:instrText xml:space="preserve"> PAGEREF _Toc177052152 \h </w:instrText>
            </w:r>
            <w:r w:rsidR="0088680E">
              <w:rPr>
                <w:noProof/>
                <w:webHidden/>
              </w:rPr>
            </w:r>
            <w:r w:rsidR="0088680E">
              <w:rPr>
                <w:noProof/>
                <w:webHidden/>
              </w:rPr>
              <w:fldChar w:fldCharType="separate"/>
            </w:r>
            <w:r w:rsidR="0088680E">
              <w:rPr>
                <w:noProof/>
                <w:webHidden/>
              </w:rPr>
              <w:t>12</w:t>
            </w:r>
            <w:r w:rsidR="0088680E">
              <w:rPr>
                <w:noProof/>
                <w:webHidden/>
              </w:rPr>
              <w:fldChar w:fldCharType="end"/>
            </w:r>
          </w:hyperlink>
        </w:p>
        <w:p w:rsidR="0088680E" w:rsidRDefault="007B3A1D">
          <w:pPr>
            <w:pStyle w:val="Sommario2"/>
            <w:tabs>
              <w:tab w:val="right" w:leader="dot" w:pos="8664"/>
            </w:tabs>
            <w:rPr>
              <w:rFonts w:cstheme="minorBidi"/>
              <w:noProof/>
              <w:lang w:val="it-IT" w:eastAsia="it-IT"/>
            </w:rPr>
          </w:pPr>
          <w:hyperlink w:anchor="_Toc177052153" w:history="1">
            <w:r w:rsidR="0088680E" w:rsidRPr="000151CC">
              <w:rPr>
                <w:rStyle w:val="Collegamentoipertestuale"/>
                <w:rFonts w:ascii="Times New Roman" w:eastAsia="Times New Roman" w:hAnsi="Times New Roman"/>
                <w:b/>
                <w:bCs/>
                <w:i/>
                <w:iCs/>
                <w:noProof/>
              </w:rPr>
              <w:t>V.4 Croatia</w:t>
            </w:r>
            <w:r w:rsidR="0088680E">
              <w:rPr>
                <w:noProof/>
                <w:webHidden/>
              </w:rPr>
              <w:tab/>
            </w:r>
            <w:r w:rsidR="0088680E">
              <w:rPr>
                <w:noProof/>
                <w:webHidden/>
              </w:rPr>
              <w:fldChar w:fldCharType="begin"/>
            </w:r>
            <w:r w:rsidR="0088680E">
              <w:rPr>
                <w:noProof/>
                <w:webHidden/>
              </w:rPr>
              <w:instrText xml:space="preserve"> PAGEREF _Toc177052153 \h </w:instrText>
            </w:r>
            <w:r w:rsidR="0088680E">
              <w:rPr>
                <w:noProof/>
                <w:webHidden/>
              </w:rPr>
            </w:r>
            <w:r w:rsidR="0088680E">
              <w:rPr>
                <w:noProof/>
                <w:webHidden/>
              </w:rPr>
              <w:fldChar w:fldCharType="separate"/>
            </w:r>
            <w:r w:rsidR="0088680E">
              <w:rPr>
                <w:noProof/>
                <w:webHidden/>
              </w:rPr>
              <w:t>12</w:t>
            </w:r>
            <w:r w:rsidR="0088680E">
              <w:rPr>
                <w:noProof/>
                <w:webHidden/>
              </w:rPr>
              <w:fldChar w:fldCharType="end"/>
            </w:r>
          </w:hyperlink>
        </w:p>
        <w:p w:rsidR="0088680E" w:rsidRDefault="007B3A1D">
          <w:pPr>
            <w:pStyle w:val="Sommario2"/>
            <w:tabs>
              <w:tab w:val="right" w:leader="dot" w:pos="8664"/>
            </w:tabs>
            <w:rPr>
              <w:rFonts w:cstheme="minorBidi"/>
              <w:noProof/>
              <w:lang w:val="it-IT" w:eastAsia="it-IT"/>
            </w:rPr>
          </w:pPr>
          <w:hyperlink w:anchor="_Toc177052154" w:history="1">
            <w:r w:rsidR="0088680E" w:rsidRPr="000151CC">
              <w:rPr>
                <w:rStyle w:val="Collegamentoipertestuale"/>
                <w:rFonts w:ascii="Times New Roman" w:eastAsia="Times New Roman" w:hAnsi="Times New Roman"/>
                <w:b/>
                <w:bCs/>
                <w:i/>
                <w:iCs/>
                <w:noProof/>
              </w:rPr>
              <w:t>V.5 Czech Republic</w:t>
            </w:r>
            <w:r w:rsidR="0088680E">
              <w:rPr>
                <w:noProof/>
                <w:webHidden/>
              </w:rPr>
              <w:tab/>
            </w:r>
            <w:r w:rsidR="0088680E">
              <w:rPr>
                <w:noProof/>
                <w:webHidden/>
              </w:rPr>
              <w:fldChar w:fldCharType="begin"/>
            </w:r>
            <w:r w:rsidR="0088680E">
              <w:rPr>
                <w:noProof/>
                <w:webHidden/>
              </w:rPr>
              <w:instrText xml:space="preserve"> PAGEREF _Toc177052154 \h </w:instrText>
            </w:r>
            <w:r w:rsidR="0088680E">
              <w:rPr>
                <w:noProof/>
                <w:webHidden/>
              </w:rPr>
            </w:r>
            <w:r w:rsidR="0088680E">
              <w:rPr>
                <w:noProof/>
                <w:webHidden/>
              </w:rPr>
              <w:fldChar w:fldCharType="separate"/>
            </w:r>
            <w:r w:rsidR="0088680E">
              <w:rPr>
                <w:noProof/>
                <w:webHidden/>
              </w:rPr>
              <w:t>12</w:t>
            </w:r>
            <w:r w:rsidR="0088680E">
              <w:rPr>
                <w:noProof/>
                <w:webHidden/>
              </w:rPr>
              <w:fldChar w:fldCharType="end"/>
            </w:r>
          </w:hyperlink>
        </w:p>
        <w:p w:rsidR="0088680E" w:rsidRDefault="007B3A1D">
          <w:pPr>
            <w:pStyle w:val="Sommario2"/>
            <w:tabs>
              <w:tab w:val="right" w:leader="dot" w:pos="8664"/>
            </w:tabs>
            <w:rPr>
              <w:rFonts w:cstheme="minorBidi"/>
              <w:noProof/>
              <w:lang w:val="it-IT" w:eastAsia="it-IT"/>
            </w:rPr>
          </w:pPr>
          <w:hyperlink w:anchor="_Toc177052155" w:history="1">
            <w:r w:rsidR="0088680E" w:rsidRPr="000151CC">
              <w:rPr>
                <w:rStyle w:val="Collegamentoipertestuale"/>
                <w:rFonts w:ascii="Times New Roman" w:eastAsia="Times New Roman" w:hAnsi="Times New Roman"/>
                <w:b/>
                <w:bCs/>
                <w:i/>
                <w:iCs/>
                <w:noProof/>
              </w:rPr>
              <w:t>V.6 Denmark</w:t>
            </w:r>
            <w:r w:rsidR="0088680E">
              <w:rPr>
                <w:noProof/>
                <w:webHidden/>
              </w:rPr>
              <w:tab/>
            </w:r>
            <w:r w:rsidR="0088680E">
              <w:rPr>
                <w:noProof/>
                <w:webHidden/>
              </w:rPr>
              <w:fldChar w:fldCharType="begin"/>
            </w:r>
            <w:r w:rsidR="0088680E">
              <w:rPr>
                <w:noProof/>
                <w:webHidden/>
              </w:rPr>
              <w:instrText xml:space="preserve"> PAGEREF _Toc177052155 \h </w:instrText>
            </w:r>
            <w:r w:rsidR="0088680E">
              <w:rPr>
                <w:noProof/>
                <w:webHidden/>
              </w:rPr>
            </w:r>
            <w:r w:rsidR="0088680E">
              <w:rPr>
                <w:noProof/>
                <w:webHidden/>
              </w:rPr>
              <w:fldChar w:fldCharType="separate"/>
            </w:r>
            <w:r w:rsidR="0088680E">
              <w:rPr>
                <w:noProof/>
                <w:webHidden/>
              </w:rPr>
              <w:t>13</w:t>
            </w:r>
            <w:r w:rsidR="0088680E">
              <w:rPr>
                <w:noProof/>
                <w:webHidden/>
              </w:rPr>
              <w:fldChar w:fldCharType="end"/>
            </w:r>
          </w:hyperlink>
        </w:p>
        <w:p w:rsidR="0088680E" w:rsidRDefault="007B3A1D">
          <w:pPr>
            <w:pStyle w:val="Sommario2"/>
            <w:tabs>
              <w:tab w:val="right" w:leader="dot" w:pos="8664"/>
            </w:tabs>
            <w:rPr>
              <w:rFonts w:cstheme="minorBidi"/>
              <w:noProof/>
              <w:lang w:val="it-IT" w:eastAsia="it-IT"/>
            </w:rPr>
          </w:pPr>
          <w:hyperlink w:anchor="_Toc177052156" w:history="1">
            <w:r w:rsidR="0088680E" w:rsidRPr="000151CC">
              <w:rPr>
                <w:rStyle w:val="Collegamentoipertestuale"/>
                <w:rFonts w:ascii="Times New Roman" w:eastAsia="Times New Roman" w:hAnsi="Times New Roman"/>
                <w:b/>
                <w:bCs/>
                <w:i/>
                <w:iCs/>
                <w:noProof/>
              </w:rPr>
              <w:t>V.7 Estonia</w:t>
            </w:r>
            <w:r w:rsidR="0088680E">
              <w:rPr>
                <w:noProof/>
                <w:webHidden/>
              </w:rPr>
              <w:tab/>
            </w:r>
            <w:r w:rsidR="0088680E">
              <w:rPr>
                <w:noProof/>
                <w:webHidden/>
              </w:rPr>
              <w:fldChar w:fldCharType="begin"/>
            </w:r>
            <w:r w:rsidR="0088680E">
              <w:rPr>
                <w:noProof/>
                <w:webHidden/>
              </w:rPr>
              <w:instrText xml:space="preserve"> PAGEREF _Toc177052156 \h </w:instrText>
            </w:r>
            <w:r w:rsidR="0088680E">
              <w:rPr>
                <w:noProof/>
                <w:webHidden/>
              </w:rPr>
            </w:r>
            <w:r w:rsidR="0088680E">
              <w:rPr>
                <w:noProof/>
                <w:webHidden/>
              </w:rPr>
              <w:fldChar w:fldCharType="separate"/>
            </w:r>
            <w:r w:rsidR="0088680E">
              <w:rPr>
                <w:noProof/>
                <w:webHidden/>
              </w:rPr>
              <w:t>13</w:t>
            </w:r>
            <w:r w:rsidR="0088680E">
              <w:rPr>
                <w:noProof/>
                <w:webHidden/>
              </w:rPr>
              <w:fldChar w:fldCharType="end"/>
            </w:r>
          </w:hyperlink>
        </w:p>
        <w:p w:rsidR="0088680E" w:rsidRDefault="007B3A1D">
          <w:pPr>
            <w:pStyle w:val="Sommario2"/>
            <w:tabs>
              <w:tab w:val="right" w:leader="dot" w:pos="8664"/>
            </w:tabs>
            <w:rPr>
              <w:rFonts w:cstheme="minorBidi"/>
              <w:noProof/>
              <w:lang w:val="it-IT" w:eastAsia="it-IT"/>
            </w:rPr>
          </w:pPr>
          <w:hyperlink w:anchor="_Toc177052157" w:history="1">
            <w:r w:rsidR="0088680E" w:rsidRPr="000151CC">
              <w:rPr>
                <w:rStyle w:val="Collegamentoipertestuale"/>
                <w:rFonts w:ascii="Times New Roman" w:eastAsia="Times New Roman" w:hAnsi="Times New Roman"/>
                <w:b/>
                <w:bCs/>
                <w:i/>
                <w:iCs/>
                <w:noProof/>
              </w:rPr>
              <w:t>V.8 France</w:t>
            </w:r>
            <w:r w:rsidR="0088680E">
              <w:rPr>
                <w:noProof/>
                <w:webHidden/>
              </w:rPr>
              <w:tab/>
            </w:r>
            <w:r w:rsidR="0088680E">
              <w:rPr>
                <w:noProof/>
                <w:webHidden/>
              </w:rPr>
              <w:fldChar w:fldCharType="begin"/>
            </w:r>
            <w:r w:rsidR="0088680E">
              <w:rPr>
                <w:noProof/>
                <w:webHidden/>
              </w:rPr>
              <w:instrText xml:space="preserve"> PAGEREF _Toc177052157 \h </w:instrText>
            </w:r>
            <w:r w:rsidR="0088680E">
              <w:rPr>
                <w:noProof/>
                <w:webHidden/>
              </w:rPr>
            </w:r>
            <w:r w:rsidR="0088680E">
              <w:rPr>
                <w:noProof/>
                <w:webHidden/>
              </w:rPr>
              <w:fldChar w:fldCharType="separate"/>
            </w:r>
            <w:r w:rsidR="0088680E">
              <w:rPr>
                <w:noProof/>
                <w:webHidden/>
              </w:rPr>
              <w:t>14</w:t>
            </w:r>
            <w:r w:rsidR="0088680E">
              <w:rPr>
                <w:noProof/>
                <w:webHidden/>
              </w:rPr>
              <w:fldChar w:fldCharType="end"/>
            </w:r>
          </w:hyperlink>
        </w:p>
        <w:p w:rsidR="0088680E" w:rsidRDefault="007B3A1D">
          <w:pPr>
            <w:pStyle w:val="Sommario2"/>
            <w:tabs>
              <w:tab w:val="right" w:leader="dot" w:pos="8664"/>
            </w:tabs>
            <w:rPr>
              <w:rFonts w:cstheme="minorBidi"/>
              <w:noProof/>
              <w:lang w:val="it-IT" w:eastAsia="it-IT"/>
            </w:rPr>
          </w:pPr>
          <w:hyperlink w:anchor="_Toc177052158" w:history="1">
            <w:r w:rsidR="0088680E" w:rsidRPr="000151CC">
              <w:rPr>
                <w:rStyle w:val="Collegamentoipertestuale"/>
                <w:rFonts w:ascii="Times New Roman" w:eastAsia="Times New Roman" w:hAnsi="Times New Roman"/>
                <w:b/>
                <w:bCs/>
                <w:i/>
                <w:iCs/>
                <w:noProof/>
              </w:rPr>
              <w:t>V.9 Germany</w:t>
            </w:r>
            <w:r w:rsidR="0088680E">
              <w:rPr>
                <w:noProof/>
                <w:webHidden/>
              </w:rPr>
              <w:tab/>
            </w:r>
            <w:r w:rsidR="0088680E">
              <w:rPr>
                <w:noProof/>
                <w:webHidden/>
              </w:rPr>
              <w:fldChar w:fldCharType="begin"/>
            </w:r>
            <w:r w:rsidR="0088680E">
              <w:rPr>
                <w:noProof/>
                <w:webHidden/>
              </w:rPr>
              <w:instrText xml:space="preserve"> PAGEREF _Toc177052158 \h </w:instrText>
            </w:r>
            <w:r w:rsidR="0088680E">
              <w:rPr>
                <w:noProof/>
                <w:webHidden/>
              </w:rPr>
            </w:r>
            <w:r w:rsidR="0088680E">
              <w:rPr>
                <w:noProof/>
                <w:webHidden/>
              </w:rPr>
              <w:fldChar w:fldCharType="separate"/>
            </w:r>
            <w:r w:rsidR="0088680E">
              <w:rPr>
                <w:noProof/>
                <w:webHidden/>
              </w:rPr>
              <w:t>14</w:t>
            </w:r>
            <w:r w:rsidR="0088680E">
              <w:rPr>
                <w:noProof/>
                <w:webHidden/>
              </w:rPr>
              <w:fldChar w:fldCharType="end"/>
            </w:r>
          </w:hyperlink>
        </w:p>
        <w:p w:rsidR="0088680E" w:rsidRDefault="007B3A1D">
          <w:pPr>
            <w:pStyle w:val="Sommario2"/>
            <w:tabs>
              <w:tab w:val="right" w:leader="dot" w:pos="8664"/>
            </w:tabs>
            <w:rPr>
              <w:rFonts w:cstheme="minorBidi"/>
              <w:noProof/>
              <w:lang w:val="it-IT" w:eastAsia="it-IT"/>
            </w:rPr>
          </w:pPr>
          <w:hyperlink w:anchor="_Toc177052159" w:history="1">
            <w:r w:rsidR="0088680E" w:rsidRPr="000151CC">
              <w:rPr>
                <w:rStyle w:val="Collegamentoipertestuale"/>
                <w:rFonts w:ascii="Times New Roman" w:eastAsia="Times New Roman" w:hAnsi="Times New Roman"/>
                <w:b/>
                <w:bCs/>
                <w:i/>
                <w:iCs/>
                <w:noProof/>
              </w:rPr>
              <w:t>V.10 Greece</w:t>
            </w:r>
            <w:r w:rsidR="0088680E">
              <w:rPr>
                <w:noProof/>
                <w:webHidden/>
              </w:rPr>
              <w:tab/>
            </w:r>
            <w:r w:rsidR="0088680E">
              <w:rPr>
                <w:noProof/>
                <w:webHidden/>
              </w:rPr>
              <w:fldChar w:fldCharType="begin"/>
            </w:r>
            <w:r w:rsidR="0088680E">
              <w:rPr>
                <w:noProof/>
                <w:webHidden/>
              </w:rPr>
              <w:instrText xml:space="preserve"> PAGEREF _Toc177052159 \h </w:instrText>
            </w:r>
            <w:r w:rsidR="0088680E">
              <w:rPr>
                <w:noProof/>
                <w:webHidden/>
              </w:rPr>
            </w:r>
            <w:r w:rsidR="0088680E">
              <w:rPr>
                <w:noProof/>
                <w:webHidden/>
              </w:rPr>
              <w:fldChar w:fldCharType="separate"/>
            </w:r>
            <w:r w:rsidR="0088680E">
              <w:rPr>
                <w:noProof/>
                <w:webHidden/>
              </w:rPr>
              <w:t>15</w:t>
            </w:r>
            <w:r w:rsidR="0088680E">
              <w:rPr>
                <w:noProof/>
                <w:webHidden/>
              </w:rPr>
              <w:fldChar w:fldCharType="end"/>
            </w:r>
          </w:hyperlink>
        </w:p>
        <w:p w:rsidR="0088680E" w:rsidRDefault="007B3A1D">
          <w:pPr>
            <w:pStyle w:val="Sommario2"/>
            <w:tabs>
              <w:tab w:val="right" w:leader="dot" w:pos="8664"/>
            </w:tabs>
            <w:rPr>
              <w:rFonts w:cstheme="minorBidi"/>
              <w:noProof/>
              <w:lang w:val="it-IT" w:eastAsia="it-IT"/>
            </w:rPr>
          </w:pPr>
          <w:hyperlink w:anchor="_Toc177052160" w:history="1">
            <w:r w:rsidR="0088680E" w:rsidRPr="000151CC">
              <w:rPr>
                <w:rStyle w:val="Collegamentoipertestuale"/>
                <w:rFonts w:ascii="Times New Roman" w:eastAsia="Times New Roman" w:hAnsi="Times New Roman"/>
                <w:b/>
                <w:bCs/>
                <w:i/>
                <w:iCs/>
                <w:noProof/>
              </w:rPr>
              <w:t>V.11 Hungary</w:t>
            </w:r>
            <w:r w:rsidR="0088680E">
              <w:rPr>
                <w:noProof/>
                <w:webHidden/>
              </w:rPr>
              <w:tab/>
            </w:r>
            <w:r w:rsidR="0088680E">
              <w:rPr>
                <w:noProof/>
                <w:webHidden/>
              </w:rPr>
              <w:fldChar w:fldCharType="begin"/>
            </w:r>
            <w:r w:rsidR="0088680E">
              <w:rPr>
                <w:noProof/>
                <w:webHidden/>
              </w:rPr>
              <w:instrText xml:space="preserve"> PAGEREF _Toc177052160 \h </w:instrText>
            </w:r>
            <w:r w:rsidR="0088680E">
              <w:rPr>
                <w:noProof/>
                <w:webHidden/>
              </w:rPr>
            </w:r>
            <w:r w:rsidR="0088680E">
              <w:rPr>
                <w:noProof/>
                <w:webHidden/>
              </w:rPr>
              <w:fldChar w:fldCharType="separate"/>
            </w:r>
            <w:r w:rsidR="0088680E">
              <w:rPr>
                <w:noProof/>
                <w:webHidden/>
              </w:rPr>
              <w:t>15</w:t>
            </w:r>
            <w:r w:rsidR="0088680E">
              <w:rPr>
                <w:noProof/>
                <w:webHidden/>
              </w:rPr>
              <w:fldChar w:fldCharType="end"/>
            </w:r>
          </w:hyperlink>
        </w:p>
        <w:p w:rsidR="0088680E" w:rsidRDefault="007B3A1D">
          <w:pPr>
            <w:pStyle w:val="Sommario2"/>
            <w:tabs>
              <w:tab w:val="right" w:leader="dot" w:pos="8664"/>
            </w:tabs>
            <w:rPr>
              <w:rFonts w:cstheme="minorBidi"/>
              <w:noProof/>
              <w:lang w:val="it-IT" w:eastAsia="it-IT"/>
            </w:rPr>
          </w:pPr>
          <w:hyperlink w:anchor="_Toc177052161" w:history="1">
            <w:r w:rsidR="0088680E" w:rsidRPr="000151CC">
              <w:rPr>
                <w:rStyle w:val="Collegamentoipertestuale"/>
                <w:rFonts w:ascii="Times New Roman" w:eastAsia="Times New Roman" w:hAnsi="Times New Roman"/>
                <w:b/>
                <w:bCs/>
                <w:i/>
                <w:iCs/>
                <w:noProof/>
              </w:rPr>
              <w:t>V.12 Ireland</w:t>
            </w:r>
            <w:r w:rsidR="0088680E">
              <w:rPr>
                <w:noProof/>
                <w:webHidden/>
              </w:rPr>
              <w:tab/>
            </w:r>
            <w:r w:rsidR="0088680E">
              <w:rPr>
                <w:noProof/>
                <w:webHidden/>
              </w:rPr>
              <w:fldChar w:fldCharType="begin"/>
            </w:r>
            <w:r w:rsidR="0088680E">
              <w:rPr>
                <w:noProof/>
                <w:webHidden/>
              </w:rPr>
              <w:instrText xml:space="preserve"> PAGEREF _Toc177052161 \h </w:instrText>
            </w:r>
            <w:r w:rsidR="0088680E">
              <w:rPr>
                <w:noProof/>
                <w:webHidden/>
              </w:rPr>
            </w:r>
            <w:r w:rsidR="0088680E">
              <w:rPr>
                <w:noProof/>
                <w:webHidden/>
              </w:rPr>
              <w:fldChar w:fldCharType="separate"/>
            </w:r>
            <w:r w:rsidR="0088680E">
              <w:rPr>
                <w:noProof/>
                <w:webHidden/>
              </w:rPr>
              <w:t>16</w:t>
            </w:r>
            <w:r w:rsidR="0088680E">
              <w:rPr>
                <w:noProof/>
                <w:webHidden/>
              </w:rPr>
              <w:fldChar w:fldCharType="end"/>
            </w:r>
          </w:hyperlink>
        </w:p>
        <w:p w:rsidR="0088680E" w:rsidRDefault="007B3A1D">
          <w:pPr>
            <w:pStyle w:val="Sommario2"/>
            <w:tabs>
              <w:tab w:val="right" w:leader="dot" w:pos="8664"/>
            </w:tabs>
            <w:rPr>
              <w:rFonts w:cstheme="minorBidi"/>
              <w:noProof/>
              <w:lang w:val="it-IT" w:eastAsia="it-IT"/>
            </w:rPr>
          </w:pPr>
          <w:hyperlink w:anchor="_Toc177052162" w:history="1">
            <w:r w:rsidR="0088680E" w:rsidRPr="000151CC">
              <w:rPr>
                <w:rStyle w:val="Collegamentoipertestuale"/>
                <w:rFonts w:ascii="Times New Roman" w:eastAsia="Times New Roman" w:hAnsi="Times New Roman"/>
                <w:b/>
                <w:bCs/>
                <w:i/>
                <w:iCs/>
                <w:noProof/>
              </w:rPr>
              <w:t>V.13 Italy</w:t>
            </w:r>
            <w:r w:rsidR="0088680E">
              <w:rPr>
                <w:noProof/>
                <w:webHidden/>
              </w:rPr>
              <w:tab/>
            </w:r>
            <w:r w:rsidR="0088680E">
              <w:rPr>
                <w:noProof/>
                <w:webHidden/>
              </w:rPr>
              <w:fldChar w:fldCharType="begin"/>
            </w:r>
            <w:r w:rsidR="0088680E">
              <w:rPr>
                <w:noProof/>
                <w:webHidden/>
              </w:rPr>
              <w:instrText xml:space="preserve"> PAGEREF _Toc177052162 \h </w:instrText>
            </w:r>
            <w:r w:rsidR="0088680E">
              <w:rPr>
                <w:noProof/>
                <w:webHidden/>
              </w:rPr>
            </w:r>
            <w:r w:rsidR="0088680E">
              <w:rPr>
                <w:noProof/>
                <w:webHidden/>
              </w:rPr>
              <w:fldChar w:fldCharType="separate"/>
            </w:r>
            <w:r w:rsidR="0088680E">
              <w:rPr>
                <w:noProof/>
                <w:webHidden/>
              </w:rPr>
              <w:t>16</w:t>
            </w:r>
            <w:r w:rsidR="0088680E">
              <w:rPr>
                <w:noProof/>
                <w:webHidden/>
              </w:rPr>
              <w:fldChar w:fldCharType="end"/>
            </w:r>
          </w:hyperlink>
        </w:p>
        <w:p w:rsidR="0088680E" w:rsidRDefault="007B3A1D">
          <w:pPr>
            <w:pStyle w:val="Sommario2"/>
            <w:tabs>
              <w:tab w:val="right" w:leader="dot" w:pos="8664"/>
            </w:tabs>
            <w:rPr>
              <w:rFonts w:cstheme="minorBidi"/>
              <w:noProof/>
              <w:lang w:val="it-IT" w:eastAsia="it-IT"/>
            </w:rPr>
          </w:pPr>
          <w:hyperlink w:anchor="_Toc177052163" w:history="1">
            <w:r w:rsidR="0088680E" w:rsidRPr="000151CC">
              <w:rPr>
                <w:rStyle w:val="Collegamentoipertestuale"/>
                <w:rFonts w:ascii="Times New Roman" w:eastAsia="Times New Roman" w:hAnsi="Times New Roman"/>
                <w:b/>
                <w:bCs/>
                <w:i/>
                <w:iCs/>
                <w:noProof/>
              </w:rPr>
              <w:t>V.14 The Netherlands</w:t>
            </w:r>
            <w:r w:rsidR="0088680E">
              <w:rPr>
                <w:noProof/>
                <w:webHidden/>
              </w:rPr>
              <w:tab/>
            </w:r>
            <w:r w:rsidR="0088680E">
              <w:rPr>
                <w:noProof/>
                <w:webHidden/>
              </w:rPr>
              <w:fldChar w:fldCharType="begin"/>
            </w:r>
            <w:r w:rsidR="0088680E">
              <w:rPr>
                <w:noProof/>
                <w:webHidden/>
              </w:rPr>
              <w:instrText xml:space="preserve"> PAGEREF _Toc177052163 \h </w:instrText>
            </w:r>
            <w:r w:rsidR="0088680E">
              <w:rPr>
                <w:noProof/>
                <w:webHidden/>
              </w:rPr>
            </w:r>
            <w:r w:rsidR="0088680E">
              <w:rPr>
                <w:noProof/>
                <w:webHidden/>
              </w:rPr>
              <w:fldChar w:fldCharType="separate"/>
            </w:r>
            <w:r w:rsidR="0088680E">
              <w:rPr>
                <w:noProof/>
                <w:webHidden/>
              </w:rPr>
              <w:t>17</w:t>
            </w:r>
            <w:r w:rsidR="0088680E">
              <w:rPr>
                <w:noProof/>
                <w:webHidden/>
              </w:rPr>
              <w:fldChar w:fldCharType="end"/>
            </w:r>
          </w:hyperlink>
        </w:p>
        <w:p w:rsidR="0088680E" w:rsidRDefault="007B3A1D">
          <w:pPr>
            <w:pStyle w:val="Sommario2"/>
            <w:tabs>
              <w:tab w:val="right" w:leader="dot" w:pos="8664"/>
            </w:tabs>
            <w:rPr>
              <w:rFonts w:cstheme="minorBidi"/>
              <w:noProof/>
              <w:lang w:val="it-IT" w:eastAsia="it-IT"/>
            </w:rPr>
          </w:pPr>
          <w:hyperlink w:anchor="_Toc177052164" w:history="1">
            <w:r w:rsidR="0088680E" w:rsidRPr="000151CC">
              <w:rPr>
                <w:rStyle w:val="Collegamentoipertestuale"/>
                <w:rFonts w:ascii="Times New Roman" w:eastAsia="Times New Roman" w:hAnsi="Times New Roman"/>
                <w:b/>
                <w:bCs/>
                <w:i/>
                <w:iCs/>
                <w:noProof/>
              </w:rPr>
              <w:t>V.15 Portugal</w:t>
            </w:r>
            <w:r w:rsidR="0088680E">
              <w:rPr>
                <w:noProof/>
                <w:webHidden/>
              </w:rPr>
              <w:tab/>
            </w:r>
            <w:r w:rsidR="0088680E">
              <w:rPr>
                <w:noProof/>
                <w:webHidden/>
              </w:rPr>
              <w:fldChar w:fldCharType="begin"/>
            </w:r>
            <w:r w:rsidR="0088680E">
              <w:rPr>
                <w:noProof/>
                <w:webHidden/>
              </w:rPr>
              <w:instrText xml:space="preserve"> PAGEREF _Toc177052164 \h </w:instrText>
            </w:r>
            <w:r w:rsidR="0088680E">
              <w:rPr>
                <w:noProof/>
                <w:webHidden/>
              </w:rPr>
            </w:r>
            <w:r w:rsidR="0088680E">
              <w:rPr>
                <w:noProof/>
                <w:webHidden/>
              </w:rPr>
              <w:fldChar w:fldCharType="separate"/>
            </w:r>
            <w:r w:rsidR="0088680E">
              <w:rPr>
                <w:noProof/>
                <w:webHidden/>
              </w:rPr>
              <w:t>17</w:t>
            </w:r>
            <w:r w:rsidR="0088680E">
              <w:rPr>
                <w:noProof/>
                <w:webHidden/>
              </w:rPr>
              <w:fldChar w:fldCharType="end"/>
            </w:r>
          </w:hyperlink>
        </w:p>
        <w:p w:rsidR="0088680E" w:rsidRDefault="007B3A1D">
          <w:pPr>
            <w:pStyle w:val="Sommario2"/>
            <w:tabs>
              <w:tab w:val="right" w:leader="dot" w:pos="8664"/>
            </w:tabs>
            <w:rPr>
              <w:rFonts w:cstheme="minorBidi"/>
              <w:noProof/>
              <w:lang w:val="it-IT" w:eastAsia="it-IT"/>
            </w:rPr>
          </w:pPr>
          <w:hyperlink w:anchor="_Toc177052165" w:history="1">
            <w:r w:rsidR="0088680E" w:rsidRPr="000151CC">
              <w:rPr>
                <w:rStyle w:val="Collegamentoipertestuale"/>
                <w:rFonts w:ascii="Times New Roman" w:eastAsia="Times New Roman" w:hAnsi="Times New Roman"/>
                <w:b/>
                <w:bCs/>
                <w:i/>
                <w:iCs/>
                <w:noProof/>
              </w:rPr>
              <w:t>V.16 Romania</w:t>
            </w:r>
            <w:r w:rsidR="0088680E">
              <w:rPr>
                <w:noProof/>
                <w:webHidden/>
              </w:rPr>
              <w:tab/>
            </w:r>
            <w:r w:rsidR="0088680E">
              <w:rPr>
                <w:noProof/>
                <w:webHidden/>
              </w:rPr>
              <w:fldChar w:fldCharType="begin"/>
            </w:r>
            <w:r w:rsidR="0088680E">
              <w:rPr>
                <w:noProof/>
                <w:webHidden/>
              </w:rPr>
              <w:instrText xml:space="preserve"> PAGEREF _Toc177052165 \h </w:instrText>
            </w:r>
            <w:r w:rsidR="0088680E">
              <w:rPr>
                <w:noProof/>
                <w:webHidden/>
              </w:rPr>
            </w:r>
            <w:r w:rsidR="0088680E">
              <w:rPr>
                <w:noProof/>
                <w:webHidden/>
              </w:rPr>
              <w:fldChar w:fldCharType="separate"/>
            </w:r>
            <w:r w:rsidR="0088680E">
              <w:rPr>
                <w:noProof/>
                <w:webHidden/>
              </w:rPr>
              <w:t>18</w:t>
            </w:r>
            <w:r w:rsidR="0088680E">
              <w:rPr>
                <w:noProof/>
                <w:webHidden/>
              </w:rPr>
              <w:fldChar w:fldCharType="end"/>
            </w:r>
          </w:hyperlink>
        </w:p>
        <w:p w:rsidR="0088680E" w:rsidRDefault="007B3A1D">
          <w:pPr>
            <w:pStyle w:val="Sommario2"/>
            <w:tabs>
              <w:tab w:val="right" w:leader="dot" w:pos="8664"/>
            </w:tabs>
            <w:rPr>
              <w:rFonts w:cstheme="minorBidi"/>
              <w:noProof/>
              <w:lang w:val="it-IT" w:eastAsia="it-IT"/>
            </w:rPr>
          </w:pPr>
          <w:hyperlink w:anchor="_Toc177052166" w:history="1">
            <w:r w:rsidR="0088680E" w:rsidRPr="000151CC">
              <w:rPr>
                <w:rStyle w:val="Collegamentoipertestuale"/>
                <w:rFonts w:ascii="Times New Roman" w:eastAsia="Times New Roman" w:hAnsi="Times New Roman"/>
                <w:b/>
                <w:bCs/>
                <w:i/>
                <w:iCs/>
                <w:noProof/>
              </w:rPr>
              <w:t>V.17 Spain</w:t>
            </w:r>
            <w:r w:rsidR="0088680E">
              <w:rPr>
                <w:noProof/>
                <w:webHidden/>
              </w:rPr>
              <w:tab/>
            </w:r>
            <w:r w:rsidR="0088680E">
              <w:rPr>
                <w:noProof/>
                <w:webHidden/>
              </w:rPr>
              <w:fldChar w:fldCharType="begin"/>
            </w:r>
            <w:r w:rsidR="0088680E">
              <w:rPr>
                <w:noProof/>
                <w:webHidden/>
              </w:rPr>
              <w:instrText xml:space="preserve"> PAGEREF _Toc177052166 \h </w:instrText>
            </w:r>
            <w:r w:rsidR="0088680E">
              <w:rPr>
                <w:noProof/>
                <w:webHidden/>
              </w:rPr>
            </w:r>
            <w:r w:rsidR="0088680E">
              <w:rPr>
                <w:noProof/>
                <w:webHidden/>
              </w:rPr>
              <w:fldChar w:fldCharType="separate"/>
            </w:r>
            <w:r w:rsidR="0088680E">
              <w:rPr>
                <w:noProof/>
                <w:webHidden/>
              </w:rPr>
              <w:t>18</w:t>
            </w:r>
            <w:r w:rsidR="0088680E">
              <w:rPr>
                <w:noProof/>
                <w:webHidden/>
              </w:rPr>
              <w:fldChar w:fldCharType="end"/>
            </w:r>
          </w:hyperlink>
        </w:p>
        <w:p w:rsidR="0088680E" w:rsidRDefault="007B3A1D">
          <w:pPr>
            <w:pStyle w:val="Sommario2"/>
            <w:tabs>
              <w:tab w:val="right" w:leader="dot" w:pos="8664"/>
            </w:tabs>
            <w:rPr>
              <w:rFonts w:cstheme="minorBidi"/>
              <w:noProof/>
              <w:lang w:val="it-IT" w:eastAsia="it-IT"/>
            </w:rPr>
          </w:pPr>
          <w:hyperlink w:anchor="_Toc177052167" w:history="1">
            <w:r w:rsidR="0088680E" w:rsidRPr="000151CC">
              <w:rPr>
                <w:rStyle w:val="Collegamentoipertestuale"/>
                <w:rFonts w:ascii="Times New Roman" w:eastAsia="Times New Roman" w:hAnsi="Times New Roman"/>
                <w:b/>
                <w:bCs/>
                <w:i/>
                <w:iCs/>
                <w:noProof/>
              </w:rPr>
              <w:t>V.18 The United Kingdom</w:t>
            </w:r>
            <w:r w:rsidR="0088680E">
              <w:rPr>
                <w:noProof/>
                <w:webHidden/>
              </w:rPr>
              <w:tab/>
            </w:r>
            <w:r w:rsidR="0088680E">
              <w:rPr>
                <w:noProof/>
                <w:webHidden/>
              </w:rPr>
              <w:fldChar w:fldCharType="begin"/>
            </w:r>
            <w:r w:rsidR="0088680E">
              <w:rPr>
                <w:noProof/>
                <w:webHidden/>
              </w:rPr>
              <w:instrText xml:space="preserve"> PAGEREF _Toc177052167 \h </w:instrText>
            </w:r>
            <w:r w:rsidR="0088680E">
              <w:rPr>
                <w:noProof/>
                <w:webHidden/>
              </w:rPr>
            </w:r>
            <w:r w:rsidR="0088680E">
              <w:rPr>
                <w:noProof/>
                <w:webHidden/>
              </w:rPr>
              <w:fldChar w:fldCharType="separate"/>
            </w:r>
            <w:r w:rsidR="0088680E">
              <w:rPr>
                <w:noProof/>
                <w:webHidden/>
              </w:rPr>
              <w:t>19</w:t>
            </w:r>
            <w:r w:rsidR="0088680E">
              <w:rPr>
                <w:noProof/>
                <w:webHidden/>
              </w:rPr>
              <w:fldChar w:fldCharType="end"/>
            </w:r>
          </w:hyperlink>
        </w:p>
        <w:p w:rsidR="0088680E" w:rsidRDefault="007B3A1D">
          <w:pPr>
            <w:pStyle w:val="Sommario1"/>
            <w:tabs>
              <w:tab w:val="right" w:leader="dot" w:pos="8664"/>
            </w:tabs>
            <w:rPr>
              <w:rFonts w:cstheme="minorBidi"/>
              <w:noProof/>
              <w:lang w:val="it-IT" w:eastAsia="it-IT"/>
            </w:rPr>
          </w:pPr>
          <w:hyperlink w:anchor="_Toc177052168" w:history="1">
            <w:r w:rsidR="0088680E" w:rsidRPr="000151CC">
              <w:rPr>
                <w:rStyle w:val="Collegamentoipertestuale"/>
                <w:rFonts w:ascii="Times New Roman" w:eastAsia="Times New Roman" w:hAnsi="Times New Roman"/>
                <w:b/>
                <w:bCs/>
                <w:smallCaps/>
                <w:noProof/>
                <w:kern w:val="32"/>
                <w:lang w:eastAsia="it-IT"/>
              </w:rPr>
              <w:t>VI. Conclusions</w:t>
            </w:r>
            <w:r w:rsidR="0088680E">
              <w:rPr>
                <w:noProof/>
                <w:webHidden/>
              </w:rPr>
              <w:tab/>
            </w:r>
            <w:r w:rsidR="0088680E">
              <w:rPr>
                <w:noProof/>
                <w:webHidden/>
              </w:rPr>
              <w:fldChar w:fldCharType="begin"/>
            </w:r>
            <w:r w:rsidR="0088680E">
              <w:rPr>
                <w:noProof/>
                <w:webHidden/>
              </w:rPr>
              <w:instrText xml:space="preserve"> PAGEREF _Toc177052168 \h </w:instrText>
            </w:r>
            <w:r w:rsidR="0088680E">
              <w:rPr>
                <w:noProof/>
                <w:webHidden/>
              </w:rPr>
            </w:r>
            <w:r w:rsidR="0088680E">
              <w:rPr>
                <w:noProof/>
                <w:webHidden/>
              </w:rPr>
              <w:fldChar w:fldCharType="separate"/>
            </w:r>
            <w:r w:rsidR="0088680E">
              <w:rPr>
                <w:noProof/>
                <w:webHidden/>
              </w:rPr>
              <w:t>20</w:t>
            </w:r>
            <w:r w:rsidR="0088680E">
              <w:rPr>
                <w:noProof/>
                <w:webHidden/>
              </w:rPr>
              <w:fldChar w:fldCharType="end"/>
            </w:r>
          </w:hyperlink>
        </w:p>
        <w:p w:rsidR="0088680E" w:rsidRDefault="007B3A1D">
          <w:pPr>
            <w:pStyle w:val="Sommario1"/>
            <w:tabs>
              <w:tab w:val="right" w:leader="dot" w:pos="8664"/>
            </w:tabs>
            <w:rPr>
              <w:rFonts w:cstheme="minorBidi"/>
              <w:noProof/>
              <w:lang w:val="it-IT" w:eastAsia="it-IT"/>
            </w:rPr>
          </w:pPr>
          <w:hyperlink w:anchor="_Toc177052169" w:history="1">
            <w:r w:rsidR="0088680E" w:rsidRPr="000151CC">
              <w:rPr>
                <w:rStyle w:val="Collegamentoipertestuale"/>
                <w:rFonts w:ascii="Times New Roman" w:eastAsia="Times New Roman" w:hAnsi="Times New Roman"/>
                <w:b/>
                <w:bCs/>
                <w:smallCaps/>
                <w:noProof/>
                <w:kern w:val="32"/>
                <w:lang w:eastAsia="it-IT"/>
              </w:rPr>
              <w:t>APPENDIX</w:t>
            </w:r>
            <w:r w:rsidR="0088680E">
              <w:rPr>
                <w:noProof/>
                <w:webHidden/>
              </w:rPr>
              <w:tab/>
            </w:r>
            <w:r w:rsidR="0088680E">
              <w:rPr>
                <w:noProof/>
                <w:webHidden/>
              </w:rPr>
              <w:fldChar w:fldCharType="begin"/>
            </w:r>
            <w:r w:rsidR="0088680E">
              <w:rPr>
                <w:noProof/>
                <w:webHidden/>
              </w:rPr>
              <w:instrText xml:space="preserve"> PAGEREF _Toc177052169 \h </w:instrText>
            </w:r>
            <w:r w:rsidR="0088680E">
              <w:rPr>
                <w:noProof/>
                <w:webHidden/>
              </w:rPr>
            </w:r>
            <w:r w:rsidR="0088680E">
              <w:rPr>
                <w:noProof/>
                <w:webHidden/>
              </w:rPr>
              <w:fldChar w:fldCharType="separate"/>
            </w:r>
            <w:r w:rsidR="0088680E">
              <w:rPr>
                <w:noProof/>
                <w:webHidden/>
              </w:rPr>
              <w:t>22</w:t>
            </w:r>
            <w:r w:rsidR="0088680E">
              <w:rPr>
                <w:noProof/>
                <w:webHidden/>
              </w:rPr>
              <w:fldChar w:fldCharType="end"/>
            </w:r>
          </w:hyperlink>
        </w:p>
        <w:p w:rsidR="00A54655" w:rsidRDefault="00A54655">
          <w:r>
            <w:rPr>
              <w:b/>
              <w:bCs/>
            </w:rPr>
            <w:fldChar w:fldCharType="end"/>
          </w:r>
        </w:p>
      </w:sdtContent>
    </w:sdt>
    <w:p w:rsidR="00E754A6" w:rsidRPr="008926B5" w:rsidRDefault="00E46AA6" w:rsidP="00E754A6">
      <w:pPr>
        <w:keepNext/>
        <w:spacing w:after="0" w:line="240" w:lineRule="auto"/>
        <w:jc w:val="both"/>
        <w:outlineLvl w:val="0"/>
        <w:rPr>
          <w:rFonts w:ascii="Times New Roman" w:eastAsia="Times New Roman" w:hAnsi="Times New Roman" w:cs="Times New Roman"/>
          <w:b/>
          <w:bCs/>
          <w:smallCaps/>
          <w:kern w:val="32"/>
          <w:sz w:val="26"/>
          <w:szCs w:val="26"/>
          <w:lang w:val="en-GB" w:eastAsia="it-IT"/>
        </w:rPr>
      </w:pPr>
      <w:bookmarkStart w:id="0" w:name="_Toc177052139"/>
      <w:r w:rsidRPr="008926B5">
        <w:rPr>
          <w:rFonts w:ascii="Times New Roman" w:eastAsia="Times New Roman" w:hAnsi="Times New Roman" w:cs="Times New Roman"/>
          <w:b/>
          <w:bCs/>
          <w:smallCaps/>
          <w:kern w:val="32"/>
          <w:sz w:val="26"/>
          <w:szCs w:val="26"/>
          <w:lang w:val="en-GB" w:eastAsia="it-IT"/>
        </w:rPr>
        <w:t>ABSTRACT</w:t>
      </w:r>
      <w:bookmarkEnd w:id="0"/>
    </w:p>
    <w:p w:rsidR="00762450" w:rsidRDefault="00762450" w:rsidP="00762450">
      <w:pPr>
        <w:spacing w:after="0" w:line="276" w:lineRule="auto"/>
        <w:jc w:val="both"/>
        <w:rPr>
          <w:rFonts w:ascii="Times New Roman" w:eastAsia="Times New Roman" w:hAnsi="Times New Roman" w:cs="Times New Roman"/>
          <w:sz w:val="26"/>
          <w:szCs w:val="26"/>
          <w:lang w:val="en-GB" w:eastAsia="it-IT"/>
        </w:rPr>
      </w:pPr>
    </w:p>
    <w:p w:rsidR="0088680E" w:rsidRPr="0088680E" w:rsidRDefault="0088680E" w:rsidP="0088680E">
      <w:pPr>
        <w:spacing w:after="0" w:line="276" w:lineRule="auto"/>
        <w:jc w:val="both"/>
        <w:rPr>
          <w:rFonts w:ascii="Times New Roman" w:eastAsia="Times New Roman" w:hAnsi="Times New Roman" w:cs="Times New Roman"/>
          <w:sz w:val="26"/>
          <w:szCs w:val="26"/>
          <w:lang w:val="en-GB" w:eastAsia="it-IT"/>
        </w:rPr>
      </w:pPr>
      <w:r w:rsidRPr="0088680E">
        <w:rPr>
          <w:rFonts w:ascii="Times New Roman" w:eastAsia="Times New Roman" w:hAnsi="Times New Roman" w:cs="Times New Roman"/>
          <w:sz w:val="26"/>
          <w:szCs w:val="26"/>
          <w:lang w:val="en-GB" w:eastAsia="it-IT"/>
        </w:rPr>
        <w:t>The collective sale of football broadcasting rights in Europe has been a critical subject of legal, economic, and antitrust scrutiny. This paper presents a comprehensive analysis of the regulatory frameworks governing the collective sale of broadcasting rights, focusing on the competition decisions and legislative approaches across various European Union Member States. Building on the European Commission's landmark rulings under Article 101(3) TFEU, the study identifies key regulatory measures, such as the "no single buyer" rule, the unbundling of rights into packages, limitations on exclusivity periods, and the requirement for transparent and competitive tendering processes.</w:t>
      </w:r>
    </w:p>
    <w:p w:rsidR="0088680E" w:rsidRPr="0088680E" w:rsidRDefault="0088680E" w:rsidP="0088680E">
      <w:pPr>
        <w:spacing w:after="0" w:line="276" w:lineRule="auto"/>
        <w:jc w:val="both"/>
        <w:rPr>
          <w:rFonts w:ascii="Times New Roman" w:eastAsia="Times New Roman" w:hAnsi="Times New Roman" w:cs="Times New Roman"/>
          <w:sz w:val="26"/>
          <w:szCs w:val="26"/>
          <w:lang w:val="en-GB" w:eastAsia="it-IT"/>
        </w:rPr>
      </w:pPr>
    </w:p>
    <w:p w:rsidR="0088680E" w:rsidRPr="0088680E" w:rsidRDefault="0088680E" w:rsidP="0088680E">
      <w:pPr>
        <w:spacing w:after="0" w:line="276" w:lineRule="auto"/>
        <w:jc w:val="both"/>
        <w:rPr>
          <w:rFonts w:ascii="Times New Roman" w:eastAsia="Times New Roman" w:hAnsi="Times New Roman" w:cs="Times New Roman"/>
          <w:sz w:val="26"/>
          <w:szCs w:val="26"/>
          <w:lang w:val="en-GB" w:eastAsia="it-IT"/>
        </w:rPr>
      </w:pPr>
      <w:r w:rsidRPr="0088680E">
        <w:rPr>
          <w:rFonts w:ascii="Times New Roman" w:eastAsia="Times New Roman" w:hAnsi="Times New Roman" w:cs="Times New Roman"/>
          <w:sz w:val="26"/>
          <w:szCs w:val="26"/>
          <w:lang w:val="en-GB" w:eastAsia="it-IT"/>
        </w:rPr>
        <w:t xml:space="preserve">By comparing </w:t>
      </w:r>
      <w:r w:rsidR="00B75661">
        <w:rPr>
          <w:rFonts w:ascii="Times New Roman" w:eastAsia="Times New Roman" w:hAnsi="Times New Roman" w:cs="Times New Roman"/>
          <w:sz w:val="26"/>
          <w:szCs w:val="26"/>
          <w:lang w:val="en-GB" w:eastAsia="it-IT"/>
        </w:rPr>
        <w:t xml:space="preserve">eighteen </w:t>
      </w:r>
      <w:r w:rsidRPr="0088680E">
        <w:rPr>
          <w:rFonts w:ascii="Times New Roman" w:eastAsia="Times New Roman" w:hAnsi="Times New Roman" w:cs="Times New Roman"/>
          <w:sz w:val="26"/>
          <w:szCs w:val="26"/>
          <w:lang w:val="en-GB" w:eastAsia="it-IT"/>
        </w:rPr>
        <w:t xml:space="preserve">Member States' practices, including those of France, Italy, Germany, and the United Kingdom, the paper uncovers significant variations in how these rules are applied. Particular attention is given to assessing how these regulatory frameworks balance the need for maintaining competitive balance within football leagues while preventing monopolistic </w:t>
      </w:r>
      <w:proofErr w:type="spellStart"/>
      <w:r w:rsidRPr="0088680E">
        <w:rPr>
          <w:rFonts w:ascii="Times New Roman" w:eastAsia="Times New Roman" w:hAnsi="Times New Roman" w:cs="Times New Roman"/>
          <w:sz w:val="26"/>
          <w:szCs w:val="26"/>
          <w:lang w:val="en-GB" w:eastAsia="it-IT"/>
        </w:rPr>
        <w:t>behavior</w:t>
      </w:r>
      <w:proofErr w:type="spellEnd"/>
      <w:r w:rsidRPr="0088680E">
        <w:rPr>
          <w:rFonts w:ascii="Times New Roman" w:eastAsia="Times New Roman" w:hAnsi="Times New Roman" w:cs="Times New Roman"/>
          <w:sz w:val="26"/>
          <w:szCs w:val="26"/>
          <w:lang w:val="en-GB" w:eastAsia="it-IT"/>
        </w:rPr>
        <w:t xml:space="preserve"> in the broadcasting market. The analysis highlights how specific rules—such as rights unbundling, contract duration limits, and no-single buyer provisions—are applied to promote competition and market fairness, tailored to both local market conditions and EU competition law.</w:t>
      </w:r>
    </w:p>
    <w:p w:rsidR="0088680E" w:rsidRPr="0088680E" w:rsidRDefault="0088680E" w:rsidP="0088680E">
      <w:pPr>
        <w:spacing w:after="0" w:line="276" w:lineRule="auto"/>
        <w:jc w:val="both"/>
        <w:rPr>
          <w:rFonts w:ascii="Times New Roman" w:eastAsia="Times New Roman" w:hAnsi="Times New Roman" w:cs="Times New Roman"/>
          <w:sz w:val="26"/>
          <w:szCs w:val="26"/>
          <w:lang w:val="en-GB" w:eastAsia="it-IT"/>
        </w:rPr>
      </w:pPr>
    </w:p>
    <w:p w:rsidR="00BF0825" w:rsidRDefault="0088680E" w:rsidP="0088680E">
      <w:pPr>
        <w:spacing w:after="0" w:line="276" w:lineRule="auto"/>
        <w:jc w:val="both"/>
        <w:rPr>
          <w:rFonts w:ascii="Times New Roman" w:eastAsia="Times New Roman" w:hAnsi="Times New Roman" w:cs="Times New Roman"/>
          <w:sz w:val="26"/>
          <w:szCs w:val="26"/>
          <w:lang w:val="en-GB" w:eastAsia="it-IT"/>
        </w:rPr>
      </w:pPr>
      <w:r w:rsidRPr="0088680E">
        <w:rPr>
          <w:rFonts w:ascii="Times New Roman" w:eastAsia="Times New Roman" w:hAnsi="Times New Roman" w:cs="Times New Roman"/>
          <w:sz w:val="26"/>
          <w:szCs w:val="26"/>
          <w:lang w:val="en-GB" w:eastAsia="it-IT"/>
        </w:rPr>
        <w:t>The paper concludes by discussing the broader implications for policy, emphasizing that while collective selling can enhance market efficiency and support equitable revenue distribution, stringent regulatory oversight is crucial to mitigate anti-competitive risks and ensure a dynamic, competitive broadcasting landscape.</w:t>
      </w:r>
    </w:p>
    <w:p w:rsidR="005E1BEF" w:rsidRDefault="005E1BEF" w:rsidP="0088680E">
      <w:pPr>
        <w:spacing w:after="0" w:line="276" w:lineRule="auto"/>
        <w:jc w:val="both"/>
        <w:rPr>
          <w:rFonts w:ascii="Times New Roman" w:eastAsia="Times New Roman" w:hAnsi="Times New Roman" w:cs="Times New Roman"/>
          <w:sz w:val="26"/>
          <w:szCs w:val="26"/>
          <w:lang w:val="en-GB" w:eastAsia="it-IT"/>
        </w:rPr>
      </w:pPr>
      <w:bookmarkStart w:id="1" w:name="_GoBack"/>
      <w:bookmarkEnd w:id="1"/>
    </w:p>
    <w:p w:rsidR="00E46AA6" w:rsidRPr="00D11C3C" w:rsidRDefault="00A54655" w:rsidP="00A54655">
      <w:pPr>
        <w:spacing w:line="276" w:lineRule="auto"/>
        <w:jc w:val="both"/>
        <w:rPr>
          <w:rFonts w:ascii="Times New Roman" w:eastAsia="Times New Roman" w:hAnsi="Times New Roman" w:cs="Times New Roman"/>
          <w:sz w:val="26"/>
          <w:szCs w:val="26"/>
          <w:lang w:val="en-GB" w:eastAsia="it-IT"/>
        </w:rPr>
      </w:pPr>
      <w:r w:rsidRPr="00D11C3C">
        <w:rPr>
          <w:rFonts w:ascii="Times New Roman" w:eastAsia="Times New Roman" w:hAnsi="Times New Roman" w:cs="Times New Roman"/>
          <w:sz w:val="26"/>
          <w:szCs w:val="26"/>
          <w:lang w:val="en-GB" w:eastAsia="it-IT"/>
        </w:rPr>
        <w:t>Keywords:</w:t>
      </w:r>
      <w:r w:rsidR="008926B5" w:rsidRPr="00D11C3C">
        <w:rPr>
          <w:rFonts w:ascii="Times New Roman" w:eastAsia="Times New Roman" w:hAnsi="Times New Roman" w:cs="Times New Roman"/>
          <w:sz w:val="26"/>
          <w:szCs w:val="26"/>
          <w:lang w:val="en-GB" w:eastAsia="it-IT"/>
        </w:rPr>
        <w:t xml:space="preserve"> </w:t>
      </w:r>
      <w:r w:rsidR="00D11C3C" w:rsidRPr="00D11C3C">
        <w:rPr>
          <w:rFonts w:ascii="Times New Roman" w:eastAsia="Times New Roman" w:hAnsi="Times New Roman" w:cs="Times New Roman"/>
          <w:sz w:val="26"/>
          <w:szCs w:val="26"/>
          <w:lang w:val="en-GB" w:eastAsia="it-IT"/>
        </w:rPr>
        <w:t>collective football rights sale, broadcasting rights, European Union, competition law, antitrust, regulation, sports broadcasting.</w:t>
      </w:r>
    </w:p>
    <w:p w:rsidR="00A54655" w:rsidRDefault="00A54655" w:rsidP="00A54655">
      <w:pPr>
        <w:spacing w:line="276" w:lineRule="auto"/>
        <w:jc w:val="both"/>
        <w:rPr>
          <w:rFonts w:ascii="Times New Roman" w:hAnsi="Times New Roman" w:cs="Times New Roman"/>
          <w:sz w:val="26"/>
          <w:szCs w:val="26"/>
          <w:lang w:val="en-GB"/>
        </w:rPr>
      </w:pPr>
      <w:r w:rsidRPr="00A54655">
        <w:rPr>
          <w:rFonts w:ascii="Times New Roman" w:hAnsi="Times New Roman" w:cs="Times New Roman"/>
          <w:sz w:val="26"/>
          <w:szCs w:val="26"/>
          <w:lang w:val="en-GB"/>
        </w:rPr>
        <w:t xml:space="preserve">JEL Classification: </w:t>
      </w:r>
      <w:r w:rsidR="0088680E" w:rsidRPr="0088680E">
        <w:rPr>
          <w:rFonts w:ascii="Times New Roman" w:hAnsi="Times New Roman" w:cs="Times New Roman"/>
          <w:sz w:val="26"/>
          <w:szCs w:val="26"/>
          <w:lang w:val="en-GB"/>
        </w:rPr>
        <w:t xml:space="preserve">K21 – Antitrust Law, L40 – General Antitrust/Competition Policy, K23 – Regulated Industries and Administrative Law, K12 – Contract Law </w:t>
      </w:r>
    </w:p>
    <w:p w:rsidR="00A54655" w:rsidRPr="008926B5" w:rsidRDefault="00A54655" w:rsidP="00A54655">
      <w:pPr>
        <w:spacing w:after="0" w:line="240" w:lineRule="auto"/>
        <w:jc w:val="both"/>
        <w:rPr>
          <w:rFonts w:ascii="Times New Roman" w:eastAsia="Times New Roman" w:hAnsi="Times New Roman" w:cs="Times New Roman"/>
          <w:sz w:val="26"/>
          <w:szCs w:val="26"/>
          <w:lang w:val="en-GB" w:eastAsia="it-IT"/>
        </w:rPr>
      </w:pPr>
    </w:p>
    <w:p w:rsidR="00901FBA" w:rsidRPr="001A003F" w:rsidRDefault="00901FBA" w:rsidP="00A54655">
      <w:pPr>
        <w:keepNext/>
        <w:spacing w:after="0" w:line="240" w:lineRule="auto"/>
        <w:jc w:val="both"/>
        <w:outlineLvl w:val="0"/>
        <w:rPr>
          <w:rFonts w:ascii="Times New Roman" w:eastAsia="Times New Roman" w:hAnsi="Times New Roman" w:cs="Times New Roman"/>
          <w:smallCaps/>
          <w:sz w:val="26"/>
          <w:szCs w:val="26"/>
          <w:lang w:val="en-GB" w:eastAsia="it-IT"/>
        </w:rPr>
      </w:pPr>
      <w:bookmarkStart w:id="2" w:name="_Toc177052140"/>
      <w:r w:rsidRPr="001A003F">
        <w:rPr>
          <w:rFonts w:ascii="Times New Roman" w:eastAsia="Times New Roman" w:hAnsi="Times New Roman" w:cs="Times New Roman"/>
          <w:b/>
          <w:bCs/>
          <w:smallCaps/>
          <w:kern w:val="32"/>
          <w:sz w:val="26"/>
          <w:szCs w:val="26"/>
          <w:lang w:val="en-GB" w:eastAsia="it-IT"/>
        </w:rPr>
        <w:t>Introduc</w:t>
      </w:r>
      <w:r w:rsidR="00E51202" w:rsidRPr="001A003F">
        <w:rPr>
          <w:rFonts w:ascii="Times New Roman" w:eastAsia="Times New Roman" w:hAnsi="Times New Roman" w:cs="Times New Roman"/>
          <w:b/>
          <w:bCs/>
          <w:smallCaps/>
          <w:kern w:val="32"/>
          <w:sz w:val="26"/>
          <w:szCs w:val="26"/>
          <w:lang w:val="en-GB" w:eastAsia="it-IT"/>
        </w:rPr>
        <w:t>t</w:t>
      </w:r>
      <w:r w:rsidRPr="001A003F">
        <w:rPr>
          <w:rFonts w:ascii="Times New Roman" w:eastAsia="Times New Roman" w:hAnsi="Times New Roman" w:cs="Times New Roman"/>
          <w:b/>
          <w:bCs/>
          <w:smallCaps/>
          <w:kern w:val="32"/>
          <w:sz w:val="26"/>
          <w:szCs w:val="26"/>
          <w:lang w:val="en-GB" w:eastAsia="it-IT"/>
        </w:rPr>
        <w:t>ion</w:t>
      </w:r>
      <w:bookmarkEnd w:id="2"/>
    </w:p>
    <w:p w:rsidR="00A54655" w:rsidRPr="001A003F" w:rsidRDefault="00A54655" w:rsidP="00A54655">
      <w:pPr>
        <w:spacing w:after="0" w:line="240" w:lineRule="auto"/>
        <w:jc w:val="both"/>
        <w:rPr>
          <w:rFonts w:ascii="Times New Roman" w:eastAsia="Times New Roman" w:hAnsi="Times New Roman" w:cs="Times New Roman"/>
          <w:sz w:val="26"/>
          <w:szCs w:val="26"/>
          <w:lang w:val="en-GB" w:eastAsia="it-IT"/>
        </w:rPr>
      </w:pPr>
    </w:p>
    <w:p w:rsidR="00E03567" w:rsidRPr="00A54655" w:rsidRDefault="00645F5B" w:rsidP="00E03567">
      <w:pPr>
        <w:spacing w:line="276" w:lineRule="auto"/>
        <w:jc w:val="both"/>
        <w:rPr>
          <w:rFonts w:ascii="Times New Roman" w:hAnsi="Times New Roman" w:cs="Times New Roman"/>
          <w:sz w:val="26"/>
          <w:szCs w:val="26"/>
          <w:lang w:val="en-GB"/>
        </w:rPr>
      </w:pPr>
      <w:r w:rsidRPr="00A54655">
        <w:rPr>
          <w:rFonts w:ascii="Times New Roman" w:hAnsi="Times New Roman" w:cs="Times New Roman"/>
          <w:sz w:val="26"/>
          <w:szCs w:val="26"/>
          <w:lang w:val="en-GB"/>
        </w:rPr>
        <w:t>After more than 20 years from the landmark European Commission (</w:t>
      </w:r>
      <w:r w:rsidR="0040612E" w:rsidRPr="0040612E">
        <w:rPr>
          <w:rFonts w:ascii="Times New Roman" w:hAnsi="Times New Roman" w:cs="Times New Roman"/>
          <w:sz w:val="26"/>
          <w:szCs w:val="26"/>
          <w:lang w:val="en-GB"/>
        </w:rPr>
        <w:t xml:space="preserve">hereinafter </w:t>
      </w:r>
      <w:r w:rsidRPr="00A54655">
        <w:rPr>
          <w:rFonts w:ascii="Times New Roman" w:hAnsi="Times New Roman" w:cs="Times New Roman"/>
          <w:sz w:val="26"/>
          <w:szCs w:val="26"/>
          <w:lang w:val="en-GB"/>
        </w:rPr>
        <w:t>the “Commission”) decision on the joint sale of football rights</w:t>
      </w:r>
      <w:r w:rsidRPr="00A54655">
        <w:rPr>
          <w:rStyle w:val="Rimandonotaapidipagina"/>
          <w:rFonts w:ascii="Times New Roman" w:hAnsi="Times New Roman" w:cs="Times New Roman"/>
          <w:sz w:val="26"/>
          <w:szCs w:val="26"/>
          <w:lang w:val="en-GB"/>
        </w:rPr>
        <w:footnoteReference w:id="2"/>
      </w:r>
      <w:r w:rsidRPr="00A54655">
        <w:rPr>
          <w:rFonts w:ascii="Times New Roman" w:hAnsi="Times New Roman" w:cs="Times New Roman"/>
          <w:sz w:val="26"/>
          <w:szCs w:val="26"/>
          <w:lang w:val="en-GB"/>
        </w:rPr>
        <w:t>, in which the Commission approved the joint selling arrangement</w:t>
      </w:r>
      <w:r w:rsidR="001A003F">
        <w:rPr>
          <w:rFonts w:ascii="Times New Roman" w:hAnsi="Times New Roman" w:cs="Times New Roman"/>
          <w:sz w:val="26"/>
          <w:szCs w:val="26"/>
          <w:lang w:val="en-GB"/>
        </w:rPr>
        <w:t xml:space="preserve"> under article 101.3 of the Treaty on the Functioning of the European Union (</w:t>
      </w:r>
      <w:r w:rsidR="0040612E" w:rsidRPr="0040612E">
        <w:rPr>
          <w:rFonts w:ascii="Times New Roman" w:hAnsi="Times New Roman" w:cs="Times New Roman"/>
          <w:sz w:val="26"/>
          <w:szCs w:val="26"/>
          <w:lang w:val="en-GB"/>
        </w:rPr>
        <w:t xml:space="preserve">hereinafter </w:t>
      </w:r>
      <w:r w:rsidR="001A003F">
        <w:rPr>
          <w:rFonts w:ascii="Times New Roman" w:hAnsi="Times New Roman" w:cs="Times New Roman"/>
          <w:sz w:val="26"/>
          <w:szCs w:val="26"/>
          <w:lang w:val="en-GB"/>
        </w:rPr>
        <w:t>“TFE</w:t>
      </w:r>
      <w:r w:rsidR="00ED2F1C">
        <w:rPr>
          <w:rFonts w:ascii="Times New Roman" w:hAnsi="Times New Roman" w:cs="Times New Roman"/>
          <w:sz w:val="26"/>
          <w:szCs w:val="26"/>
          <w:lang w:val="en-GB"/>
        </w:rPr>
        <w:t>U</w:t>
      </w:r>
      <w:r w:rsidR="001A003F">
        <w:rPr>
          <w:rFonts w:ascii="Times New Roman" w:hAnsi="Times New Roman" w:cs="Times New Roman"/>
          <w:sz w:val="26"/>
          <w:szCs w:val="26"/>
          <w:lang w:val="en-GB"/>
        </w:rPr>
        <w:t>”)</w:t>
      </w:r>
      <w:r w:rsidRPr="00A54655">
        <w:rPr>
          <w:rFonts w:ascii="Times New Roman" w:hAnsi="Times New Roman" w:cs="Times New Roman"/>
          <w:sz w:val="26"/>
          <w:szCs w:val="26"/>
          <w:lang w:val="en-GB"/>
        </w:rPr>
        <w:t xml:space="preserve">, provided that certain conditions were met to ensure competition and fairness in the market, Member States still face many differences in the regulation and procedures related to </w:t>
      </w:r>
      <w:r w:rsidR="00E03567" w:rsidRPr="00A54655">
        <w:rPr>
          <w:rFonts w:ascii="Times New Roman" w:hAnsi="Times New Roman" w:cs="Times New Roman"/>
          <w:sz w:val="26"/>
          <w:szCs w:val="26"/>
          <w:lang w:val="en-GB"/>
        </w:rPr>
        <w:t>the collective selling of football broadcasting rights.</w:t>
      </w:r>
      <w:r w:rsidR="008926B5">
        <w:rPr>
          <w:rFonts w:ascii="Times New Roman" w:hAnsi="Times New Roman" w:cs="Times New Roman"/>
          <w:sz w:val="26"/>
          <w:szCs w:val="26"/>
          <w:lang w:val="en-GB"/>
        </w:rPr>
        <w:t xml:space="preserve"> Some Member States </w:t>
      </w:r>
      <w:r w:rsidR="008926B5" w:rsidRPr="008926B5">
        <w:rPr>
          <w:rFonts w:ascii="Times New Roman" w:hAnsi="Times New Roman" w:cs="Times New Roman"/>
          <w:sz w:val="26"/>
          <w:szCs w:val="26"/>
          <w:lang w:val="en-GB"/>
        </w:rPr>
        <w:t xml:space="preserve">some member states combine traditional antitrust </w:t>
      </w:r>
      <w:r w:rsidR="008926B5">
        <w:rPr>
          <w:rFonts w:ascii="Times New Roman" w:hAnsi="Times New Roman" w:cs="Times New Roman"/>
          <w:sz w:val="26"/>
          <w:szCs w:val="26"/>
          <w:lang w:val="en-GB"/>
        </w:rPr>
        <w:t>tools</w:t>
      </w:r>
      <w:r w:rsidR="008926B5" w:rsidRPr="008926B5">
        <w:rPr>
          <w:rFonts w:ascii="Times New Roman" w:hAnsi="Times New Roman" w:cs="Times New Roman"/>
          <w:sz w:val="26"/>
          <w:szCs w:val="26"/>
          <w:lang w:val="en-GB"/>
        </w:rPr>
        <w:t xml:space="preserve"> with regulation from primary legislative sources</w:t>
      </w:r>
      <w:r w:rsidR="008926B5">
        <w:rPr>
          <w:rFonts w:ascii="Times New Roman" w:hAnsi="Times New Roman" w:cs="Times New Roman"/>
          <w:sz w:val="26"/>
          <w:szCs w:val="26"/>
          <w:lang w:val="en-GB"/>
        </w:rPr>
        <w:t>, as is the case of France, Italy and Spain.</w:t>
      </w:r>
      <w:r w:rsidR="00E03567" w:rsidRPr="00A54655">
        <w:rPr>
          <w:rFonts w:ascii="Times New Roman" w:hAnsi="Times New Roman" w:cs="Times New Roman"/>
          <w:sz w:val="26"/>
          <w:szCs w:val="26"/>
          <w:lang w:val="en-GB"/>
        </w:rPr>
        <w:t xml:space="preserve"> This paper provides a comprehensive analysis of the competition and regulation of football broadcasting rights sales within the European Union (</w:t>
      </w:r>
      <w:r w:rsidR="00A34B31" w:rsidRPr="00A54655">
        <w:rPr>
          <w:rFonts w:ascii="Times New Roman" w:hAnsi="Times New Roman" w:cs="Times New Roman"/>
          <w:sz w:val="26"/>
          <w:szCs w:val="26"/>
          <w:lang w:val="en-GB"/>
        </w:rPr>
        <w:t>“</w:t>
      </w:r>
      <w:r w:rsidR="00E03567" w:rsidRPr="00A54655">
        <w:rPr>
          <w:rFonts w:ascii="Times New Roman" w:hAnsi="Times New Roman" w:cs="Times New Roman"/>
          <w:sz w:val="26"/>
          <w:szCs w:val="26"/>
          <w:lang w:val="en-GB"/>
        </w:rPr>
        <w:t>EU</w:t>
      </w:r>
      <w:r w:rsidR="00A34B31" w:rsidRPr="00A54655">
        <w:rPr>
          <w:rFonts w:ascii="Times New Roman" w:hAnsi="Times New Roman" w:cs="Times New Roman"/>
          <w:sz w:val="26"/>
          <w:szCs w:val="26"/>
          <w:lang w:val="en-GB"/>
        </w:rPr>
        <w:t>”</w:t>
      </w:r>
      <w:r w:rsidR="00E03567" w:rsidRPr="00A54655">
        <w:rPr>
          <w:rFonts w:ascii="Times New Roman" w:hAnsi="Times New Roman" w:cs="Times New Roman"/>
          <w:sz w:val="26"/>
          <w:szCs w:val="26"/>
          <w:lang w:val="en-GB"/>
        </w:rPr>
        <w:t xml:space="preserve">), examining the legislative frameworks and market dynamics of each </w:t>
      </w:r>
      <w:r w:rsidR="00A34B31" w:rsidRPr="00A54655">
        <w:rPr>
          <w:rFonts w:ascii="Times New Roman" w:hAnsi="Times New Roman" w:cs="Times New Roman"/>
          <w:sz w:val="26"/>
          <w:szCs w:val="26"/>
          <w:lang w:val="en-GB"/>
        </w:rPr>
        <w:t>M</w:t>
      </w:r>
      <w:r w:rsidR="00E03567" w:rsidRPr="00A54655">
        <w:rPr>
          <w:rFonts w:ascii="Times New Roman" w:hAnsi="Times New Roman" w:cs="Times New Roman"/>
          <w:sz w:val="26"/>
          <w:szCs w:val="26"/>
          <w:lang w:val="en-GB"/>
        </w:rPr>
        <w:t xml:space="preserve">ember </w:t>
      </w:r>
      <w:r w:rsidR="00A34B31" w:rsidRPr="00A54655">
        <w:rPr>
          <w:rFonts w:ascii="Times New Roman" w:hAnsi="Times New Roman" w:cs="Times New Roman"/>
          <w:sz w:val="26"/>
          <w:szCs w:val="26"/>
          <w:lang w:val="en-GB"/>
        </w:rPr>
        <w:t>S</w:t>
      </w:r>
      <w:r w:rsidR="00E03567" w:rsidRPr="00A54655">
        <w:rPr>
          <w:rFonts w:ascii="Times New Roman" w:hAnsi="Times New Roman" w:cs="Times New Roman"/>
          <w:sz w:val="26"/>
          <w:szCs w:val="26"/>
          <w:lang w:val="en-GB"/>
        </w:rPr>
        <w:t>tate</w:t>
      </w:r>
      <w:r w:rsidR="00901FBA" w:rsidRPr="00A54655">
        <w:rPr>
          <w:rFonts w:ascii="Times New Roman" w:hAnsi="Times New Roman" w:cs="Times New Roman"/>
          <w:sz w:val="26"/>
          <w:szCs w:val="26"/>
          <w:lang w:val="en-GB"/>
        </w:rPr>
        <w:t xml:space="preserve"> and providing an overview of the national level recent decisions. </w:t>
      </w:r>
    </w:p>
    <w:p w:rsidR="001A003F" w:rsidRPr="006408D4" w:rsidRDefault="0088789E" w:rsidP="006408D4">
      <w:pPr>
        <w:keepNext/>
        <w:spacing w:after="0" w:line="240" w:lineRule="auto"/>
        <w:jc w:val="both"/>
        <w:outlineLvl w:val="0"/>
        <w:rPr>
          <w:rFonts w:ascii="Times New Roman" w:eastAsia="Times New Roman" w:hAnsi="Times New Roman" w:cs="Times New Roman"/>
          <w:b/>
          <w:bCs/>
          <w:smallCaps/>
          <w:kern w:val="32"/>
          <w:sz w:val="26"/>
          <w:szCs w:val="26"/>
          <w:lang w:val="en-GB" w:eastAsia="it-IT"/>
        </w:rPr>
      </w:pPr>
      <w:bookmarkStart w:id="3" w:name="_Toc177052141"/>
      <w:r>
        <w:rPr>
          <w:rFonts w:ascii="Times New Roman" w:eastAsia="Times New Roman" w:hAnsi="Times New Roman" w:cs="Times New Roman"/>
          <w:b/>
          <w:bCs/>
          <w:smallCaps/>
          <w:kern w:val="32"/>
          <w:sz w:val="26"/>
          <w:szCs w:val="26"/>
          <w:lang w:val="en-GB" w:eastAsia="it-IT"/>
        </w:rPr>
        <w:t xml:space="preserve">I. </w:t>
      </w:r>
      <w:r w:rsidR="008926B5">
        <w:rPr>
          <w:rFonts w:ascii="Times New Roman" w:eastAsia="Times New Roman" w:hAnsi="Times New Roman" w:cs="Times New Roman"/>
          <w:b/>
          <w:bCs/>
          <w:smallCaps/>
          <w:kern w:val="32"/>
          <w:sz w:val="26"/>
          <w:szCs w:val="26"/>
          <w:lang w:val="en-GB" w:eastAsia="it-IT"/>
        </w:rPr>
        <w:t>Regulation and competition of joint</w:t>
      </w:r>
      <w:r w:rsidR="001A003F" w:rsidRPr="0088789E">
        <w:rPr>
          <w:rFonts w:ascii="Times New Roman" w:eastAsia="Times New Roman" w:hAnsi="Times New Roman" w:cs="Times New Roman"/>
          <w:b/>
          <w:bCs/>
          <w:smallCaps/>
          <w:kern w:val="32"/>
          <w:sz w:val="26"/>
          <w:szCs w:val="26"/>
          <w:lang w:val="en-GB" w:eastAsia="it-IT"/>
        </w:rPr>
        <w:t xml:space="preserve"> </w:t>
      </w:r>
      <w:r w:rsidR="008926B5">
        <w:rPr>
          <w:rFonts w:ascii="Times New Roman" w:eastAsia="Times New Roman" w:hAnsi="Times New Roman" w:cs="Times New Roman"/>
          <w:b/>
          <w:bCs/>
          <w:smallCaps/>
          <w:kern w:val="32"/>
          <w:sz w:val="26"/>
          <w:szCs w:val="26"/>
          <w:lang w:val="en-GB" w:eastAsia="it-IT"/>
        </w:rPr>
        <w:t>s</w:t>
      </w:r>
      <w:r w:rsidR="001A003F" w:rsidRPr="0088789E">
        <w:rPr>
          <w:rFonts w:ascii="Times New Roman" w:eastAsia="Times New Roman" w:hAnsi="Times New Roman" w:cs="Times New Roman"/>
          <w:b/>
          <w:bCs/>
          <w:smallCaps/>
          <w:kern w:val="32"/>
          <w:sz w:val="26"/>
          <w:szCs w:val="26"/>
          <w:lang w:val="en-GB" w:eastAsia="it-IT"/>
        </w:rPr>
        <w:t xml:space="preserve">ale of </w:t>
      </w:r>
      <w:r w:rsidR="008926B5">
        <w:rPr>
          <w:rFonts w:ascii="Times New Roman" w:eastAsia="Times New Roman" w:hAnsi="Times New Roman" w:cs="Times New Roman"/>
          <w:b/>
          <w:bCs/>
          <w:smallCaps/>
          <w:kern w:val="32"/>
          <w:sz w:val="26"/>
          <w:szCs w:val="26"/>
          <w:lang w:val="en-GB" w:eastAsia="it-IT"/>
        </w:rPr>
        <w:t>b</w:t>
      </w:r>
      <w:r w:rsidR="001A003F" w:rsidRPr="0088789E">
        <w:rPr>
          <w:rFonts w:ascii="Times New Roman" w:eastAsia="Times New Roman" w:hAnsi="Times New Roman" w:cs="Times New Roman"/>
          <w:b/>
          <w:bCs/>
          <w:smallCaps/>
          <w:kern w:val="32"/>
          <w:sz w:val="26"/>
          <w:szCs w:val="26"/>
          <w:lang w:val="en-GB" w:eastAsia="it-IT"/>
        </w:rPr>
        <w:t xml:space="preserve">roadcasting </w:t>
      </w:r>
      <w:r w:rsidR="008926B5">
        <w:rPr>
          <w:rFonts w:ascii="Times New Roman" w:eastAsia="Times New Roman" w:hAnsi="Times New Roman" w:cs="Times New Roman"/>
          <w:b/>
          <w:bCs/>
          <w:smallCaps/>
          <w:kern w:val="32"/>
          <w:sz w:val="26"/>
          <w:szCs w:val="26"/>
          <w:lang w:val="en-GB" w:eastAsia="it-IT"/>
        </w:rPr>
        <w:t>r</w:t>
      </w:r>
      <w:r w:rsidR="001A003F" w:rsidRPr="0088789E">
        <w:rPr>
          <w:rFonts w:ascii="Times New Roman" w:eastAsia="Times New Roman" w:hAnsi="Times New Roman" w:cs="Times New Roman"/>
          <w:b/>
          <w:bCs/>
          <w:smallCaps/>
          <w:kern w:val="32"/>
          <w:sz w:val="26"/>
          <w:szCs w:val="26"/>
          <w:lang w:val="en-GB" w:eastAsia="it-IT"/>
        </w:rPr>
        <w:t xml:space="preserve">ights in </w:t>
      </w:r>
      <w:proofErr w:type="spellStart"/>
      <w:r w:rsidR="008926B5">
        <w:rPr>
          <w:rFonts w:ascii="Times New Roman" w:eastAsia="Times New Roman" w:hAnsi="Times New Roman" w:cs="Times New Roman"/>
          <w:b/>
          <w:bCs/>
          <w:smallCaps/>
          <w:kern w:val="32"/>
          <w:sz w:val="26"/>
          <w:szCs w:val="26"/>
          <w:lang w:val="en-GB" w:eastAsia="it-IT"/>
        </w:rPr>
        <w:t>european</w:t>
      </w:r>
      <w:proofErr w:type="spellEnd"/>
      <w:r w:rsidR="008926B5">
        <w:rPr>
          <w:rFonts w:ascii="Times New Roman" w:eastAsia="Times New Roman" w:hAnsi="Times New Roman" w:cs="Times New Roman"/>
          <w:b/>
          <w:bCs/>
          <w:smallCaps/>
          <w:kern w:val="32"/>
          <w:sz w:val="26"/>
          <w:szCs w:val="26"/>
          <w:lang w:val="en-GB" w:eastAsia="it-IT"/>
        </w:rPr>
        <w:t xml:space="preserve"> football</w:t>
      </w:r>
      <w:bookmarkEnd w:id="3"/>
    </w:p>
    <w:p w:rsidR="00FD02CA" w:rsidRDefault="003C03C8" w:rsidP="006408D4">
      <w:pPr>
        <w:spacing w:before="100" w:beforeAutospacing="1" w:after="100" w:afterAutospacing="1" w:line="276" w:lineRule="auto"/>
        <w:jc w:val="both"/>
        <w:rPr>
          <w:rFonts w:ascii="Times New Roman" w:eastAsia="Times New Roman" w:hAnsi="Times New Roman" w:cs="Times New Roman"/>
          <w:sz w:val="26"/>
          <w:szCs w:val="26"/>
          <w:lang w:val="en-GB" w:eastAsia="en-GB"/>
        </w:rPr>
      </w:pPr>
      <w:r w:rsidRPr="00A54655">
        <w:rPr>
          <w:rFonts w:ascii="Times New Roman" w:eastAsia="Times New Roman" w:hAnsi="Times New Roman" w:cs="Times New Roman"/>
          <w:sz w:val="26"/>
          <w:szCs w:val="26"/>
          <w:lang w:val="en-GB" w:eastAsia="en-GB"/>
        </w:rPr>
        <w:t>The collective sale of broadcasting rights in sports leagues involves a delicate balance between legal, economic, and regulatory considerations</w:t>
      </w:r>
      <w:r w:rsidR="00BD5EF1">
        <w:rPr>
          <w:rFonts w:ascii="Times New Roman" w:eastAsia="Times New Roman" w:hAnsi="Times New Roman" w:cs="Times New Roman"/>
          <w:sz w:val="26"/>
          <w:szCs w:val="26"/>
          <w:lang w:val="en-GB" w:eastAsia="en-GB"/>
        </w:rPr>
        <w:t>:</w:t>
      </w:r>
      <w:r w:rsidRPr="00A54655">
        <w:rPr>
          <w:rFonts w:ascii="Times New Roman" w:eastAsia="Times New Roman" w:hAnsi="Times New Roman" w:cs="Times New Roman"/>
          <w:sz w:val="26"/>
          <w:szCs w:val="26"/>
          <w:lang w:val="en-GB" w:eastAsia="en-GB"/>
        </w:rPr>
        <w:t xml:space="preserve"> </w:t>
      </w:r>
      <w:r w:rsidR="00BD5EF1">
        <w:rPr>
          <w:rFonts w:ascii="Times New Roman" w:eastAsia="Times New Roman" w:hAnsi="Times New Roman" w:cs="Times New Roman"/>
          <w:sz w:val="26"/>
          <w:szCs w:val="26"/>
          <w:lang w:val="en-GB" w:eastAsia="en-GB"/>
        </w:rPr>
        <w:t xml:space="preserve">on the one hand, football </w:t>
      </w:r>
      <w:proofErr w:type="spellStart"/>
      <w:r w:rsidR="00BD5EF1">
        <w:rPr>
          <w:rFonts w:ascii="Times New Roman" w:eastAsia="Times New Roman" w:hAnsi="Times New Roman" w:cs="Times New Roman"/>
          <w:sz w:val="26"/>
          <w:szCs w:val="26"/>
          <w:lang w:val="en-GB" w:eastAsia="en-GB"/>
        </w:rPr>
        <w:t>temas</w:t>
      </w:r>
      <w:proofErr w:type="spellEnd"/>
      <w:r w:rsidR="00BD5EF1">
        <w:rPr>
          <w:rFonts w:ascii="Times New Roman" w:eastAsia="Times New Roman" w:hAnsi="Times New Roman" w:cs="Times New Roman"/>
          <w:sz w:val="26"/>
          <w:szCs w:val="26"/>
          <w:lang w:val="en-GB" w:eastAsia="en-GB"/>
        </w:rPr>
        <w:t xml:space="preserve"> require </w:t>
      </w:r>
      <w:r w:rsidRPr="00A54655">
        <w:rPr>
          <w:rFonts w:ascii="Times New Roman" w:eastAsia="Times New Roman" w:hAnsi="Times New Roman" w:cs="Times New Roman"/>
          <w:sz w:val="26"/>
          <w:szCs w:val="26"/>
          <w:lang w:val="en-GB" w:eastAsia="en-GB"/>
        </w:rPr>
        <w:t>collective s</w:t>
      </w:r>
      <w:r w:rsidR="00BD5EF1">
        <w:rPr>
          <w:rFonts w:ascii="Times New Roman" w:eastAsia="Times New Roman" w:hAnsi="Times New Roman" w:cs="Times New Roman"/>
          <w:sz w:val="26"/>
          <w:szCs w:val="26"/>
          <w:lang w:val="en-GB" w:eastAsia="en-GB"/>
        </w:rPr>
        <w:t>ale of broadcasting rights in order to</w:t>
      </w:r>
      <w:r w:rsidRPr="00A54655">
        <w:rPr>
          <w:rFonts w:ascii="Times New Roman" w:eastAsia="Times New Roman" w:hAnsi="Times New Roman" w:cs="Times New Roman"/>
          <w:sz w:val="26"/>
          <w:szCs w:val="26"/>
          <w:lang w:val="en-GB" w:eastAsia="en-GB"/>
        </w:rPr>
        <w:t xml:space="preserve"> maintain competitive balance and ensure equitable revenue distribution</w:t>
      </w:r>
      <w:r w:rsidR="00BD5EF1">
        <w:rPr>
          <w:rFonts w:ascii="Times New Roman" w:eastAsia="Times New Roman" w:hAnsi="Times New Roman" w:cs="Times New Roman"/>
          <w:sz w:val="26"/>
          <w:szCs w:val="26"/>
          <w:lang w:val="en-GB" w:eastAsia="en-GB"/>
        </w:rPr>
        <w:t xml:space="preserve"> among them; on the other hand, joint rights sale has</w:t>
      </w:r>
      <w:r w:rsidRPr="00A54655">
        <w:rPr>
          <w:rFonts w:ascii="Times New Roman" w:eastAsia="Times New Roman" w:hAnsi="Times New Roman" w:cs="Times New Roman"/>
          <w:sz w:val="26"/>
          <w:szCs w:val="26"/>
          <w:lang w:val="en-GB" w:eastAsia="en-GB"/>
        </w:rPr>
        <w:t xml:space="preserve"> poses</w:t>
      </w:r>
      <w:r w:rsidR="00BD5EF1">
        <w:rPr>
          <w:rFonts w:ascii="Times New Roman" w:eastAsia="Times New Roman" w:hAnsi="Times New Roman" w:cs="Times New Roman"/>
          <w:sz w:val="26"/>
          <w:szCs w:val="26"/>
          <w:lang w:val="en-GB" w:eastAsia="en-GB"/>
        </w:rPr>
        <w:t xml:space="preserve"> – especially in the modern football era – </w:t>
      </w:r>
      <w:r w:rsidRPr="00A54655">
        <w:rPr>
          <w:rFonts w:ascii="Times New Roman" w:eastAsia="Times New Roman" w:hAnsi="Times New Roman" w:cs="Times New Roman"/>
          <w:sz w:val="26"/>
          <w:szCs w:val="26"/>
          <w:lang w:val="en-GB" w:eastAsia="en-GB"/>
        </w:rPr>
        <w:t xml:space="preserve">significant antitrust challenges and can impact consumer welfare. Policymakers must navigate these complexities to design effective regulations that protect competition without undermining the financial stability and competitive integrity of </w:t>
      </w:r>
      <w:r w:rsidR="00BD5EF1">
        <w:rPr>
          <w:rFonts w:ascii="Times New Roman" w:eastAsia="Times New Roman" w:hAnsi="Times New Roman" w:cs="Times New Roman"/>
          <w:sz w:val="26"/>
          <w:szCs w:val="26"/>
          <w:lang w:val="en-GB" w:eastAsia="en-GB"/>
        </w:rPr>
        <w:t>national football</w:t>
      </w:r>
      <w:r w:rsidRPr="00A54655">
        <w:rPr>
          <w:rFonts w:ascii="Times New Roman" w:eastAsia="Times New Roman" w:hAnsi="Times New Roman" w:cs="Times New Roman"/>
          <w:sz w:val="26"/>
          <w:szCs w:val="26"/>
          <w:lang w:val="en-GB" w:eastAsia="en-GB"/>
        </w:rPr>
        <w:t xml:space="preserve"> </w:t>
      </w:r>
      <w:r w:rsidR="00AE619C" w:rsidRPr="00A54655">
        <w:rPr>
          <w:rFonts w:ascii="Times New Roman" w:eastAsia="Times New Roman" w:hAnsi="Times New Roman" w:cs="Times New Roman"/>
          <w:sz w:val="26"/>
          <w:szCs w:val="26"/>
          <w:lang w:val="en-GB" w:eastAsia="en-GB"/>
        </w:rPr>
        <w:t>league’s</w:t>
      </w:r>
      <w:r w:rsidR="00BD5EF1">
        <w:rPr>
          <w:rFonts w:ascii="Times New Roman" w:eastAsia="Times New Roman" w:hAnsi="Times New Roman" w:cs="Times New Roman"/>
          <w:sz w:val="26"/>
          <w:szCs w:val="26"/>
          <w:lang w:val="en-GB" w:eastAsia="en-GB"/>
        </w:rPr>
        <w:t xml:space="preserve"> team </w:t>
      </w:r>
      <w:r w:rsidRPr="00A54655">
        <w:rPr>
          <w:rFonts w:ascii="Times New Roman" w:eastAsia="Times New Roman" w:hAnsi="Times New Roman" w:cs="Times New Roman"/>
          <w:sz w:val="26"/>
          <w:szCs w:val="26"/>
          <w:lang w:val="en-GB" w:eastAsia="en-GB"/>
        </w:rPr>
        <w:t>(</w:t>
      </w:r>
      <w:proofErr w:type="spellStart"/>
      <w:r w:rsidRPr="00A54655">
        <w:rPr>
          <w:rFonts w:ascii="Times New Roman" w:eastAsia="Times New Roman" w:hAnsi="Times New Roman" w:cs="Times New Roman"/>
          <w:sz w:val="26"/>
          <w:szCs w:val="26"/>
          <w:lang w:val="en-GB" w:eastAsia="en-GB"/>
        </w:rPr>
        <w:t>Peeters</w:t>
      </w:r>
      <w:proofErr w:type="spellEnd"/>
      <w:r w:rsidRPr="00A54655">
        <w:rPr>
          <w:rFonts w:ascii="Times New Roman" w:eastAsia="Times New Roman" w:hAnsi="Times New Roman" w:cs="Times New Roman"/>
          <w:sz w:val="26"/>
          <w:szCs w:val="26"/>
          <w:lang w:val="en-GB" w:eastAsia="en-GB"/>
        </w:rPr>
        <w:t>, 2009</w:t>
      </w:r>
      <w:r>
        <w:rPr>
          <w:rStyle w:val="Rimandonotaapidipagina"/>
          <w:rFonts w:ascii="Times New Roman" w:eastAsia="Times New Roman" w:hAnsi="Times New Roman" w:cs="Times New Roman"/>
          <w:sz w:val="26"/>
          <w:szCs w:val="26"/>
          <w:lang w:val="en-GB" w:eastAsia="en-GB"/>
        </w:rPr>
        <w:footnoteReference w:id="3"/>
      </w:r>
      <w:r w:rsidRPr="00A54655">
        <w:rPr>
          <w:rFonts w:ascii="Times New Roman" w:eastAsia="Times New Roman" w:hAnsi="Times New Roman" w:cs="Times New Roman"/>
          <w:sz w:val="26"/>
          <w:szCs w:val="26"/>
          <w:lang w:val="en-GB" w:eastAsia="en-GB"/>
        </w:rPr>
        <w:t xml:space="preserve">; </w:t>
      </w:r>
      <w:proofErr w:type="spellStart"/>
      <w:r w:rsidRPr="00A54655">
        <w:rPr>
          <w:rFonts w:ascii="Times New Roman" w:eastAsia="Times New Roman" w:hAnsi="Times New Roman" w:cs="Times New Roman"/>
          <w:sz w:val="26"/>
          <w:szCs w:val="26"/>
          <w:lang w:val="en-GB" w:eastAsia="en-GB"/>
        </w:rPr>
        <w:t>Budzinski</w:t>
      </w:r>
      <w:proofErr w:type="spellEnd"/>
      <w:r w:rsidRPr="00A54655">
        <w:rPr>
          <w:rFonts w:ascii="Times New Roman" w:eastAsia="Times New Roman" w:hAnsi="Times New Roman" w:cs="Times New Roman"/>
          <w:sz w:val="26"/>
          <w:szCs w:val="26"/>
          <w:lang w:val="en-GB" w:eastAsia="en-GB"/>
        </w:rPr>
        <w:t>, 2006</w:t>
      </w:r>
      <w:r>
        <w:rPr>
          <w:rStyle w:val="Rimandonotaapidipagina"/>
          <w:rFonts w:ascii="Times New Roman" w:eastAsia="Times New Roman" w:hAnsi="Times New Roman" w:cs="Times New Roman"/>
          <w:sz w:val="26"/>
          <w:szCs w:val="26"/>
          <w:lang w:val="en-GB" w:eastAsia="en-GB"/>
        </w:rPr>
        <w:footnoteReference w:id="4"/>
      </w:r>
      <w:r w:rsidRPr="00A54655">
        <w:rPr>
          <w:rFonts w:ascii="Times New Roman" w:eastAsia="Times New Roman" w:hAnsi="Times New Roman" w:cs="Times New Roman"/>
          <w:sz w:val="26"/>
          <w:szCs w:val="26"/>
          <w:lang w:val="en-GB" w:eastAsia="en-GB"/>
        </w:rPr>
        <w:t>).</w:t>
      </w:r>
      <w:r>
        <w:rPr>
          <w:rFonts w:ascii="Times New Roman" w:eastAsia="Times New Roman" w:hAnsi="Times New Roman" w:cs="Times New Roman"/>
          <w:sz w:val="26"/>
          <w:szCs w:val="26"/>
          <w:lang w:val="en-GB" w:eastAsia="en-GB"/>
        </w:rPr>
        <w:t xml:space="preserve"> </w:t>
      </w:r>
      <w:r w:rsidR="001A003F">
        <w:rPr>
          <w:rFonts w:ascii="Times New Roman" w:eastAsia="Times New Roman" w:hAnsi="Times New Roman" w:cs="Times New Roman"/>
          <w:sz w:val="26"/>
          <w:szCs w:val="26"/>
          <w:lang w:val="en-GB" w:eastAsia="en-GB"/>
        </w:rPr>
        <w:t>W</w:t>
      </w:r>
      <w:r w:rsidR="001A003F" w:rsidRPr="00A54655">
        <w:rPr>
          <w:rFonts w:ascii="Times New Roman" w:eastAsia="Times New Roman" w:hAnsi="Times New Roman" w:cs="Times New Roman"/>
          <w:sz w:val="26"/>
          <w:szCs w:val="26"/>
          <w:lang w:val="en-GB" w:eastAsia="en-GB"/>
        </w:rPr>
        <w:t>hile collective selling</w:t>
      </w:r>
      <w:r w:rsidR="001A003F">
        <w:rPr>
          <w:rFonts w:ascii="Times New Roman" w:eastAsia="Times New Roman" w:hAnsi="Times New Roman" w:cs="Times New Roman"/>
          <w:sz w:val="26"/>
          <w:szCs w:val="26"/>
          <w:lang w:val="en-GB" w:eastAsia="en-GB"/>
        </w:rPr>
        <w:t xml:space="preserve"> can usually</w:t>
      </w:r>
      <w:r w:rsidR="001A003F" w:rsidRPr="00A54655">
        <w:rPr>
          <w:rFonts w:ascii="Times New Roman" w:eastAsia="Times New Roman" w:hAnsi="Times New Roman" w:cs="Times New Roman"/>
          <w:sz w:val="26"/>
          <w:szCs w:val="26"/>
          <w:lang w:val="en-GB" w:eastAsia="en-GB"/>
        </w:rPr>
        <w:t xml:space="preserve"> restrict competition,</w:t>
      </w:r>
      <w:r w:rsidR="001A003F">
        <w:rPr>
          <w:rFonts w:ascii="Times New Roman" w:eastAsia="Times New Roman" w:hAnsi="Times New Roman" w:cs="Times New Roman"/>
          <w:sz w:val="26"/>
          <w:szCs w:val="26"/>
          <w:lang w:val="en-GB" w:eastAsia="en-GB"/>
        </w:rPr>
        <w:t xml:space="preserve"> under some condition</w:t>
      </w:r>
      <w:r w:rsidR="001A003F" w:rsidRPr="00A54655">
        <w:rPr>
          <w:rFonts w:ascii="Times New Roman" w:eastAsia="Times New Roman" w:hAnsi="Times New Roman" w:cs="Times New Roman"/>
          <w:sz w:val="26"/>
          <w:szCs w:val="26"/>
          <w:lang w:val="en-GB" w:eastAsia="en-GB"/>
        </w:rPr>
        <w:t xml:space="preserve"> it can yield significant efficiencies, such as reducing transaction costs and creating a unified product. </w:t>
      </w:r>
      <w:r w:rsidR="001A003F">
        <w:rPr>
          <w:rFonts w:ascii="Times New Roman" w:eastAsia="Times New Roman" w:hAnsi="Times New Roman" w:cs="Times New Roman"/>
          <w:sz w:val="26"/>
          <w:szCs w:val="26"/>
          <w:lang w:val="en-GB" w:eastAsia="en-GB"/>
        </w:rPr>
        <w:t>Applied to collective sale of broadcasting rights in football these</w:t>
      </w:r>
      <w:r w:rsidR="001A003F" w:rsidRPr="00A54655">
        <w:rPr>
          <w:rFonts w:ascii="Times New Roman" w:eastAsia="Times New Roman" w:hAnsi="Times New Roman" w:cs="Times New Roman"/>
          <w:sz w:val="26"/>
          <w:szCs w:val="26"/>
          <w:lang w:val="en-GB" w:eastAsia="en-GB"/>
        </w:rPr>
        <w:t xml:space="preserve"> benefits, however, are conditional on practices like partial unbundling, competitive tendering, and limiting exclusive contracts to three years, ensuring that collective sales promote economic progress and consumer welfare (</w:t>
      </w:r>
      <w:proofErr w:type="spellStart"/>
      <w:r w:rsidR="001A003F" w:rsidRPr="00A54655">
        <w:rPr>
          <w:rFonts w:ascii="Times New Roman" w:eastAsia="Times New Roman" w:hAnsi="Times New Roman" w:cs="Times New Roman"/>
          <w:sz w:val="26"/>
          <w:szCs w:val="26"/>
          <w:lang w:val="en-GB" w:eastAsia="en-GB"/>
        </w:rPr>
        <w:t>Pijetlovic</w:t>
      </w:r>
      <w:proofErr w:type="spellEnd"/>
      <w:r w:rsidR="001A003F" w:rsidRPr="00A54655">
        <w:rPr>
          <w:rFonts w:ascii="Times New Roman" w:eastAsia="Times New Roman" w:hAnsi="Times New Roman" w:cs="Times New Roman"/>
          <w:sz w:val="26"/>
          <w:szCs w:val="26"/>
          <w:lang w:val="en-GB" w:eastAsia="en-GB"/>
        </w:rPr>
        <w:t>, 2015</w:t>
      </w:r>
      <w:r>
        <w:rPr>
          <w:rStyle w:val="Rimandonotaapidipagina"/>
          <w:rFonts w:ascii="Times New Roman" w:eastAsia="Times New Roman" w:hAnsi="Times New Roman" w:cs="Times New Roman"/>
          <w:sz w:val="26"/>
          <w:szCs w:val="26"/>
          <w:lang w:val="en-GB" w:eastAsia="en-GB"/>
        </w:rPr>
        <w:footnoteReference w:id="5"/>
      </w:r>
      <w:r w:rsidR="001A003F" w:rsidRPr="00A54655">
        <w:rPr>
          <w:rFonts w:ascii="Times New Roman" w:eastAsia="Times New Roman" w:hAnsi="Times New Roman" w:cs="Times New Roman"/>
          <w:sz w:val="26"/>
          <w:szCs w:val="26"/>
          <w:lang w:val="en-GB" w:eastAsia="en-GB"/>
        </w:rPr>
        <w:t>).</w:t>
      </w:r>
      <w:r>
        <w:rPr>
          <w:rFonts w:ascii="Times New Roman" w:eastAsia="Times New Roman" w:hAnsi="Times New Roman" w:cs="Times New Roman"/>
          <w:sz w:val="26"/>
          <w:szCs w:val="26"/>
          <w:lang w:val="en-GB" w:eastAsia="en-GB"/>
        </w:rPr>
        <w:t xml:space="preserve"> </w:t>
      </w:r>
    </w:p>
    <w:p w:rsidR="006408D4" w:rsidRDefault="001A003F" w:rsidP="006408D4">
      <w:pPr>
        <w:spacing w:before="100" w:beforeAutospacing="1" w:after="100" w:afterAutospacing="1" w:line="276" w:lineRule="auto"/>
        <w:jc w:val="both"/>
        <w:rPr>
          <w:rFonts w:ascii="Times New Roman" w:eastAsia="Times New Roman" w:hAnsi="Times New Roman" w:cs="Times New Roman"/>
          <w:b/>
          <w:bCs/>
          <w:sz w:val="26"/>
          <w:szCs w:val="26"/>
          <w:lang w:val="en-GB" w:eastAsia="en-GB"/>
        </w:rPr>
      </w:pPr>
      <w:r w:rsidRPr="00A54655">
        <w:rPr>
          <w:rFonts w:ascii="Times New Roman" w:eastAsia="Times New Roman" w:hAnsi="Times New Roman" w:cs="Times New Roman"/>
          <w:sz w:val="26"/>
          <w:szCs w:val="26"/>
          <w:lang w:val="en-GB" w:eastAsia="en-GB"/>
        </w:rPr>
        <w:lastRenderedPageBreak/>
        <w:t>To qualify for an exemption under Article 101(3), collective sales must meet conditions that promote competition and consumer welfare. These include partial unbundling of rights to prevent market foreclosure, ensuring no single buyer acquires all significant packages, and maintaining transparency in tendering. For instance, the Premier League's commitments required splitting broadcasting rights into multiple packages and limiting exclusive contracts to three years, preventing British Sky Broadcasting from monopolizing the market (</w:t>
      </w:r>
      <w:proofErr w:type="spellStart"/>
      <w:r w:rsidRPr="00A54655">
        <w:rPr>
          <w:rFonts w:ascii="Times New Roman" w:eastAsia="Times New Roman" w:hAnsi="Times New Roman" w:cs="Times New Roman"/>
          <w:sz w:val="26"/>
          <w:szCs w:val="26"/>
          <w:lang w:val="en-GB" w:eastAsia="en-GB"/>
        </w:rPr>
        <w:t>Pijetlovic</w:t>
      </w:r>
      <w:proofErr w:type="spellEnd"/>
      <w:r w:rsidRPr="00A54655">
        <w:rPr>
          <w:rFonts w:ascii="Times New Roman" w:eastAsia="Times New Roman" w:hAnsi="Times New Roman" w:cs="Times New Roman"/>
          <w:sz w:val="26"/>
          <w:szCs w:val="26"/>
          <w:lang w:val="en-GB" w:eastAsia="en-GB"/>
        </w:rPr>
        <w:t>, 2015</w:t>
      </w:r>
      <w:r w:rsidR="003C03C8">
        <w:rPr>
          <w:rStyle w:val="Rimandonotaapidipagina"/>
          <w:rFonts w:ascii="Times New Roman" w:eastAsia="Times New Roman" w:hAnsi="Times New Roman" w:cs="Times New Roman"/>
          <w:sz w:val="26"/>
          <w:szCs w:val="26"/>
          <w:lang w:val="en-GB" w:eastAsia="en-GB"/>
        </w:rPr>
        <w:footnoteReference w:id="6"/>
      </w:r>
      <w:r w:rsidRPr="00A54655">
        <w:rPr>
          <w:rFonts w:ascii="Times New Roman" w:eastAsia="Times New Roman" w:hAnsi="Times New Roman" w:cs="Times New Roman"/>
          <w:sz w:val="26"/>
          <w:szCs w:val="26"/>
          <w:lang w:val="en-GB" w:eastAsia="en-GB"/>
        </w:rPr>
        <w:t>).</w:t>
      </w:r>
      <w:r w:rsidR="003C03C8">
        <w:rPr>
          <w:rFonts w:ascii="Times New Roman" w:eastAsia="Times New Roman" w:hAnsi="Times New Roman" w:cs="Times New Roman"/>
          <w:sz w:val="26"/>
          <w:szCs w:val="26"/>
          <w:lang w:val="en-GB" w:eastAsia="en-GB"/>
        </w:rPr>
        <w:t xml:space="preserve"> </w:t>
      </w:r>
      <w:r w:rsidRPr="00A54655">
        <w:rPr>
          <w:rFonts w:ascii="Times New Roman" w:eastAsia="Times New Roman" w:hAnsi="Times New Roman" w:cs="Times New Roman"/>
          <w:sz w:val="26"/>
          <w:szCs w:val="26"/>
          <w:lang w:val="en-GB" w:eastAsia="en-GB"/>
        </w:rPr>
        <w:t>Collective selling maximizes revenue through bundled sales, creating a monopoly-like scenario that allows leagues to negotiate higher prices. This revenue is redistributed to support smaller clubs, promoting competitive balance. However, this system can inflate prices and restrict competition, which regulatory bodies aim to mitigate through conditions like unbundling and competitive tendering. The Bundesliga's commitments emphasized unbundling media rights across platforms to ensure participation from various broadcasters, fostering competition and innovation (</w:t>
      </w:r>
      <w:proofErr w:type="spellStart"/>
      <w:r w:rsidRPr="00A54655">
        <w:rPr>
          <w:rFonts w:ascii="Times New Roman" w:eastAsia="Times New Roman" w:hAnsi="Times New Roman" w:cs="Times New Roman"/>
          <w:sz w:val="26"/>
          <w:szCs w:val="26"/>
          <w:lang w:val="en-GB" w:eastAsia="en-GB"/>
        </w:rPr>
        <w:t>Budzinski</w:t>
      </w:r>
      <w:proofErr w:type="spellEnd"/>
      <w:r w:rsidRPr="00A54655">
        <w:rPr>
          <w:rFonts w:ascii="Times New Roman" w:eastAsia="Times New Roman" w:hAnsi="Times New Roman" w:cs="Times New Roman"/>
          <w:sz w:val="26"/>
          <w:szCs w:val="26"/>
          <w:lang w:val="en-GB" w:eastAsia="en-GB"/>
        </w:rPr>
        <w:t xml:space="preserve"> et al., 2022</w:t>
      </w:r>
      <w:r w:rsidR="003C03C8">
        <w:rPr>
          <w:rStyle w:val="Rimandonotaapidipagina"/>
          <w:rFonts w:ascii="Times New Roman" w:eastAsia="Times New Roman" w:hAnsi="Times New Roman" w:cs="Times New Roman"/>
          <w:sz w:val="26"/>
          <w:szCs w:val="26"/>
          <w:lang w:val="en-GB" w:eastAsia="en-GB"/>
        </w:rPr>
        <w:footnoteReference w:id="7"/>
      </w:r>
      <w:r w:rsidRPr="00A54655">
        <w:rPr>
          <w:rFonts w:ascii="Times New Roman" w:eastAsia="Times New Roman" w:hAnsi="Times New Roman" w:cs="Times New Roman"/>
          <w:sz w:val="26"/>
          <w:szCs w:val="26"/>
          <w:lang w:val="en-GB" w:eastAsia="en-GB"/>
        </w:rPr>
        <w:t>).</w:t>
      </w:r>
      <w:r w:rsidR="003C03C8">
        <w:rPr>
          <w:rFonts w:ascii="Times New Roman" w:eastAsia="Times New Roman" w:hAnsi="Times New Roman" w:cs="Times New Roman"/>
          <w:sz w:val="26"/>
          <w:szCs w:val="26"/>
          <w:lang w:val="en-GB" w:eastAsia="en-GB"/>
        </w:rPr>
        <w:t xml:space="preserve"> </w:t>
      </w:r>
      <w:r w:rsidRPr="00A54655">
        <w:rPr>
          <w:rFonts w:ascii="Times New Roman" w:eastAsia="Times New Roman" w:hAnsi="Times New Roman" w:cs="Times New Roman"/>
          <w:sz w:val="26"/>
          <w:szCs w:val="26"/>
          <w:lang w:val="en-GB" w:eastAsia="en-GB"/>
        </w:rPr>
        <w:t xml:space="preserve">The application of regulatory principles can vary based on market conditions. The mature </w:t>
      </w:r>
      <w:proofErr w:type="spellStart"/>
      <w:r w:rsidRPr="00A54655">
        <w:rPr>
          <w:rFonts w:ascii="Times New Roman" w:eastAsia="Times New Roman" w:hAnsi="Times New Roman" w:cs="Times New Roman"/>
          <w:sz w:val="26"/>
          <w:szCs w:val="26"/>
          <w:lang w:val="en-GB" w:eastAsia="en-GB"/>
        </w:rPr>
        <w:t>pay-TV</w:t>
      </w:r>
      <w:proofErr w:type="spellEnd"/>
      <w:r w:rsidRPr="00A54655">
        <w:rPr>
          <w:rFonts w:ascii="Times New Roman" w:eastAsia="Times New Roman" w:hAnsi="Times New Roman" w:cs="Times New Roman"/>
          <w:sz w:val="26"/>
          <w:szCs w:val="26"/>
          <w:lang w:val="en-GB" w:eastAsia="en-GB"/>
        </w:rPr>
        <w:t xml:space="preserve"> market in the UK justified commitments like the no-single-buyer rule for the Premier League, whereas the Bundesliga's commitments focused on unbundling media rights and ensuring competitive participation from different media types, including online platforms. These tailored approaches address unique market dynamics and competitive challenges faced by each league (</w:t>
      </w:r>
      <w:proofErr w:type="spellStart"/>
      <w:r w:rsidRPr="00A54655">
        <w:rPr>
          <w:rFonts w:ascii="Times New Roman" w:eastAsia="Times New Roman" w:hAnsi="Times New Roman" w:cs="Times New Roman"/>
          <w:sz w:val="26"/>
          <w:szCs w:val="26"/>
          <w:lang w:val="en-GB" w:eastAsia="en-GB"/>
        </w:rPr>
        <w:t>Budzinski</w:t>
      </w:r>
      <w:proofErr w:type="spellEnd"/>
      <w:r w:rsidRPr="00A54655">
        <w:rPr>
          <w:rFonts w:ascii="Times New Roman" w:eastAsia="Times New Roman" w:hAnsi="Times New Roman" w:cs="Times New Roman"/>
          <w:sz w:val="26"/>
          <w:szCs w:val="26"/>
          <w:lang w:val="en-GB" w:eastAsia="en-GB"/>
        </w:rPr>
        <w:t xml:space="preserve"> et al., 2022</w:t>
      </w:r>
      <w:r w:rsidR="003C03C8">
        <w:rPr>
          <w:rStyle w:val="Rimandonotaapidipagina"/>
          <w:rFonts w:ascii="Times New Roman" w:eastAsia="Times New Roman" w:hAnsi="Times New Roman" w:cs="Times New Roman"/>
          <w:sz w:val="26"/>
          <w:szCs w:val="26"/>
          <w:lang w:val="en-GB" w:eastAsia="en-GB"/>
        </w:rPr>
        <w:footnoteReference w:id="8"/>
      </w:r>
      <w:r w:rsidRPr="00A54655">
        <w:rPr>
          <w:rFonts w:ascii="Times New Roman" w:eastAsia="Times New Roman" w:hAnsi="Times New Roman" w:cs="Times New Roman"/>
          <w:sz w:val="26"/>
          <w:szCs w:val="26"/>
          <w:lang w:val="en-GB" w:eastAsia="en-GB"/>
        </w:rPr>
        <w:t>).</w:t>
      </w:r>
    </w:p>
    <w:p w:rsidR="003912F1" w:rsidRPr="0082526C" w:rsidRDefault="003912F1" w:rsidP="006408D4">
      <w:pPr>
        <w:keepNext/>
        <w:spacing w:after="0" w:line="240" w:lineRule="auto"/>
        <w:jc w:val="both"/>
        <w:outlineLvl w:val="0"/>
        <w:rPr>
          <w:rFonts w:ascii="Times New Roman" w:eastAsia="Times New Roman" w:hAnsi="Times New Roman" w:cs="Times New Roman"/>
          <w:b/>
          <w:bCs/>
          <w:smallCaps/>
          <w:kern w:val="32"/>
          <w:sz w:val="26"/>
          <w:szCs w:val="26"/>
          <w:lang w:val="en-GB" w:eastAsia="it-IT"/>
        </w:rPr>
      </w:pPr>
      <w:bookmarkStart w:id="4" w:name="_Toc177052142"/>
      <w:r w:rsidRPr="0082526C">
        <w:rPr>
          <w:rFonts w:ascii="Times New Roman" w:eastAsia="Times New Roman" w:hAnsi="Times New Roman" w:cs="Times New Roman"/>
          <w:b/>
          <w:bCs/>
          <w:smallCaps/>
          <w:kern w:val="32"/>
          <w:sz w:val="26"/>
          <w:szCs w:val="26"/>
          <w:lang w:val="en-GB" w:eastAsia="it-IT"/>
        </w:rPr>
        <w:t>I</w:t>
      </w:r>
      <w:r w:rsidR="00B9265B" w:rsidRPr="0082526C">
        <w:rPr>
          <w:rFonts w:ascii="Times New Roman" w:eastAsia="Times New Roman" w:hAnsi="Times New Roman" w:cs="Times New Roman"/>
          <w:b/>
          <w:bCs/>
          <w:smallCaps/>
          <w:kern w:val="32"/>
          <w:sz w:val="26"/>
          <w:szCs w:val="26"/>
          <w:lang w:val="en-GB" w:eastAsia="it-IT"/>
        </w:rPr>
        <w:t>I</w:t>
      </w:r>
      <w:r w:rsidRPr="0082526C">
        <w:rPr>
          <w:rFonts w:ascii="Times New Roman" w:eastAsia="Times New Roman" w:hAnsi="Times New Roman" w:cs="Times New Roman"/>
          <w:b/>
          <w:bCs/>
          <w:smallCaps/>
          <w:kern w:val="32"/>
          <w:sz w:val="26"/>
          <w:szCs w:val="26"/>
          <w:lang w:val="en-GB" w:eastAsia="it-IT"/>
        </w:rPr>
        <w:t xml:space="preserve">. </w:t>
      </w:r>
      <w:r w:rsidR="00901FBA" w:rsidRPr="0082526C">
        <w:rPr>
          <w:rFonts w:ascii="Times New Roman" w:eastAsia="Times New Roman" w:hAnsi="Times New Roman" w:cs="Times New Roman"/>
          <w:b/>
          <w:bCs/>
          <w:smallCaps/>
          <w:kern w:val="32"/>
          <w:sz w:val="26"/>
          <w:szCs w:val="26"/>
          <w:lang w:val="en-GB" w:eastAsia="it-IT"/>
        </w:rPr>
        <w:t xml:space="preserve">The </w:t>
      </w:r>
      <w:r w:rsidRPr="0082526C">
        <w:rPr>
          <w:rFonts w:ascii="Times New Roman" w:eastAsia="Times New Roman" w:hAnsi="Times New Roman" w:cs="Times New Roman"/>
          <w:b/>
          <w:bCs/>
          <w:smallCaps/>
          <w:kern w:val="32"/>
          <w:sz w:val="26"/>
          <w:szCs w:val="26"/>
          <w:lang w:val="en-GB" w:eastAsia="it-IT"/>
        </w:rPr>
        <w:t>EC commission decisions on collective rights sale</w:t>
      </w:r>
      <w:bookmarkEnd w:id="4"/>
    </w:p>
    <w:p w:rsidR="00877464" w:rsidRDefault="00B67F6F" w:rsidP="00B67F6F">
      <w:pPr>
        <w:pStyle w:val="NormaleWeb"/>
        <w:spacing w:line="276" w:lineRule="auto"/>
        <w:jc w:val="both"/>
        <w:rPr>
          <w:sz w:val="26"/>
          <w:szCs w:val="26"/>
        </w:rPr>
      </w:pPr>
      <w:r w:rsidRPr="00A54655">
        <w:rPr>
          <w:sz w:val="26"/>
          <w:szCs w:val="26"/>
        </w:rPr>
        <w:t>In July 2003, the European Commission (EC) made a landmark decision</w:t>
      </w:r>
      <w:r w:rsidRPr="00A54655">
        <w:rPr>
          <w:rStyle w:val="Rimandonotaapidipagina"/>
          <w:sz w:val="26"/>
          <w:szCs w:val="26"/>
        </w:rPr>
        <w:footnoteReference w:id="9"/>
      </w:r>
      <w:r w:rsidRPr="00A54655">
        <w:rPr>
          <w:sz w:val="26"/>
          <w:szCs w:val="26"/>
        </w:rPr>
        <w:t xml:space="preserve"> regarding the joint selling of broadcasting rights for the UEFA Champions League</w:t>
      </w:r>
      <w:r w:rsidR="008D5173">
        <w:rPr>
          <w:sz w:val="26"/>
          <w:szCs w:val="26"/>
        </w:rPr>
        <w:t xml:space="preserve">, approving the </w:t>
      </w:r>
      <w:r w:rsidRPr="00A54655">
        <w:rPr>
          <w:sz w:val="26"/>
          <w:szCs w:val="26"/>
        </w:rPr>
        <w:t>collective selling arrangement provided that specific conditions were met to promote competition</w:t>
      </w:r>
      <w:r w:rsidR="008D5173">
        <w:rPr>
          <w:sz w:val="26"/>
          <w:szCs w:val="26"/>
        </w:rPr>
        <w:t xml:space="preserve"> among broadcasters in order to protect</w:t>
      </w:r>
      <w:r w:rsidRPr="00A54655">
        <w:rPr>
          <w:sz w:val="26"/>
          <w:szCs w:val="26"/>
        </w:rPr>
        <w:t xml:space="preserve"> consumer</w:t>
      </w:r>
      <w:r w:rsidR="008D5173">
        <w:rPr>
          <w:sz w:val="26"/>
          <w:szCs w:val="26"/>
        </w:rPr>
        <w:t>s’</w:t>
      </w:r>
      <w:r w:rsidRPr="00A54655">
        <w:rPr>
          <w:sz w:val="26"/>
          <w:szCs w:val="26"/>
        </w:rPr>
        <w:t xml:space="preserve"> </w:t>
      </w:r>
      <w:r w:rsidR="008D5173">
        <w:rPr>
          <w:sz w:val="26"/>
          <w:szCs w:val="26"/>
        </w:rPr>
        <w:t>welfare</w:t>
      </w:r>
      <w:r w:rsidRPr="00A54655">
        <w:rPr>
          <w:sz w:val="26"/>
          <w:szCs w:val="26"/>
        </w:rPr>
        <w:t xml:space="preserve">. </w:t>
      </w:r>
      <w:r w:rsidR="00560149">
        <w:rPr>
          <w:sz w:val="26"/>
          <w:szCs w:val="26"/>
        </w:rPr>
        <w:t xml:space="preserve">In doing so, </w:t>
      </w:r>
      <w:r w:rsidR="008D5173">
        <w:rPr>
          <w:sz w:val="26"/>
          <w:szCs w:val="26"/>
        </w:rPr>
        <w:t>t</w:t>
      </w:r>
      <w:r w:rsidR="00560149">
        <w:rPr>
          <w:sz w:val="26"/>
          <w:szCs w:val="26"/>
        </w:rPr>
        <w:t>he EC had</w:t>
      </w:r>
      <w:r w:rsidRPr="00A54655">
        <w:rPr>
          <w:sz w:val="26"/>
          <w:szCs w:val="26"/>
        </w:rPr>
        <w:t xml:space="preserve"> to balance the benefits of collective selling</w:t>
      </w:r>
      <w:r w:rsidR="00560149">
        <w:rPr>
          <w:sz w:val="26"/>
          <w:szCs w:val="26"/>
        </w:rPr>
        <w:t xml:space="preserve"> for teams</w:t>
      </w:r>
      <w:r w:rsidRPr="00A54655">
        <w:rPr>
          <w:sz w:val="26"/>
          <w:szCs w:val="26"/>
        </w:rPr>
        <w:t xml:space="preserve">, such as the creation of a cohesive and valuable product </w:t>
      </w:r>
      <w:r w:rsidR="00560149">
        <w:rPr>
          <w:sz w:val="26"/>
          <w:szCs w:val="26"/>
        </w:rPr>
        <w:t>to be acquired by</w:t>
      </w:r>
      <w:r w:rsidRPr="00A54655">
        <w:rPr>
          <w:sz w:val="26"/>
          <w:szCs w:val="26"/>
        </w:rPr>
        <w:t xml:space="preserve"> broadcasters, with the need to maintain competitive market conditions </w:t>
      </w:r>
      <w:r w:rsidR="00560149">
        <w:rPr>
          <w:sz w:val="26"/>
          <w:szCs w:val="26"/>
        </w:rPr>
        <w:t xml:space="preserve">in the broadcasting sector </w:t>
      </w:r>
      <w:r w:rsidRPr="00A54655">
        <w:rPr>
          <w:sz w:val="26"/>
          <w:szCs w:val="26"/>
        </w:rPr>
        <w:t>and consumer protection</w:t>
      </w:r>
      <w:r w:rsidR="00560149">
        <w:rPr>
          <w:sz w:val="26"/>
          <w:szCs w:val="26"/>
        </w:rPr>
        <w:t xml:space="preserve"> in the vision of events</w:t>
      </w:r>
      <w:r w:rsidRPr="00A54655">
        <w:rPr>
          <w:sz w:val="26"/>
          <w:szCs w:val="26"/>
        </w:rPr>
        <w:t>.</w:t>
      </w:r>
      <w:r w:rsidR="00A86235">
        <w:rPr>
          <w:sz w:val="26"/>
          <w:szCs w:val="26"/>
        </w:rPr>
        <w:t xml:space="preserve"> </w:t>
      </w:r>
    </w:p>
    <w:p w:rsidR="004C3AA8" w:rsidRDefault="00877464" w:rsidP="00B67F6F">
      <w:pPr>
        <w:pStyle w:val="NormaleWeb"/>
        <w:spacing w:line="276" w:lineRule="auto"/>
        <w:jc w:val="both"/>
        <w:rPr>
          <w:sz w:val="26"/>
          <w:szCs w:val="26"/>
        </w:rPr>
      </w:pPr>
      <w:r>
        <w:rPr>
          <w:sz w:val="26"/>
          <w:szCs w:val="26"/>
        </w:rPr>
        <w:t>Primarily</w:t>
      </w:r>
      <w:r w:rsidR="00253825" w:rsidRPr="00A54655">
        <w:rPr>
          <w:sz w:val="26"/>
          <w:szCs w:val="26"/>
        </w:rPr>
        <w:t>,</w:t>
      </w:r>
      <w:r w:rsidR="005E4473" w:rsidRPr="00A54655">
        <w:rPr>
          <w:sz w:val="26"/>
          <w:szCs w:val="26"/>
        </w:rPr>
        <w:t xml:space="preserve"> </w:t>
      </w:r>
      <w:r w:rsidR="00B67F6F" w:rsidRPr="00A54655">
        <w:rPr>
          <w:sz w:val="26"/>
          <w:szCs w:val="26"/>
        </w:rPr>
        <w:t xml:space="preserve">UEFA was required to ensure that the bidding process for broadcasting rights was transparent and non-discriminatory. </w:t>
      </w:r>
      <w:r w:rsidR="006F5243">
        <w:rPr>
          <w:sz w:val="26"/>
          <w:szCs w:val="26"/>
        </w:rPr>
        <w:t>F</w:t>
      </w:r>
      <w:r w:rsidR="006F5243" w:rsidRPr="00A54655">
        <w:rPr>
          <w:sz w:val="26"/>
          <w:szCs w:val="26"/>
        </w:rPr>
        <w:t xml:space="preserve">ive major principles and criteria </w:t>
      </w:r>
      <w:r w:rsidR="006F5243">
        <w:rPr>
          <w:sz w:val="26"/>
          <w:szCs w:val="26"/>
        </w:rPr>
        <w:lastRenderedPageBreak/>
        <w:t>have been identified</w:t>
      </w:r>
      <w:r w:rsidR="006F5243" w:rsidRPr="00A54655">
        <w:rPr>
          <w:sz w:val="26"/>
          <w:szCs w:val="26"/>
        </w:rPr>
        <w:t xml:space="preserve">: </w:t>
      </w:r>
      <w:proofErr w:type="spellStart"/>
      <w:r w:rsidR="006F5243" w:rsidRPr="00A54655">
        <w:rPr>
          <w:sz w:val="26"/>
          <w:szCs w:val="26"/>
        </w:rPr>
        <w:t>i</w:t>
      </w:r>
      <w:proofErr w:type="spellEnd"/>
      <w:r w:rsidR="006F5243" w:rsidRPr="00A54655">
        <w:rPr>
          <w:sz w:val="26"/>
          <w:szCs w:val="26"/>
        </w:rPr>
        <w:t>) creation of rights packages; ii) conditions for exclusivity rights; iii) optimal (</w:t>
      </w:r>
      <w:proofErr w:type="spellStart"/>
      <w:r w:rsidR="006F5243" w:rsidRPr="00A86235">
        <w:rPr>
          <w:i/>
          <w:sz w:val="26"/>
          <w:szCs w:val="26"/>
        </w:rPr>
        <w:t>rectius</w:t>
      </w:r>
      <w:proofErr w:type="spellEnd"/>
      <w:r w:rsidR="006F5243" w:rsidRPr="00A54655">
        <w:rPr>
          <w:sz w:val="26"/>
          <w:szCs w:val="26"/>
        </w:rPr>
        <w:t xml:space="preserve">: “suggested”) duration for exclusive rights; iv) “no single buyer” rule; v) competition among technological platforms (and technology neutrality). More in detail, about right sale by package, the Commission mandated the division of broadcasting rights into separate packages to prevent monopolistic control and encourage competitive bidding from multiple broadcasters. This strategy was aimed to ensure broader access to </w:t>
      </w:r>
      <w:r w:rsidR="004C3AA8">
        <w:rPr>
          <w:sz w:val="26"/>
          <w:szCs w:val="26"/>
        </w:rPr>
        <w:t>football</w:t>
      </w:r>
      <w:r w:rsidR="006F5243" w:rsidRPr="00A54655">
        <w:rPr>
          <w:sz w:val="26"/>
          <w:szCs w:val="26"/>
        </w:rPr>
        <w:t xml:space="preserve"> content and fosters a competitive market environment</w:t>
      </w:r>
      <w:r w:rsidR="004C3AA8">
        <w:rPr>
          <w:sz w:val="26"/>
          <w:szCs w:val="26"/>
        </w:rPr>
        <w:t>, also among platforms</w:t>
      </w:r>
      <w:r w:rsidR="006F5243" w:rsidRPr="00A54655">
        <w:rPr>
          <w:sz w:val="26"/>
          <w:szCs w:val="26"/>
        </w:rPr>
        <w:t>.</w:t>
      </w:r>
      <w:r w:rsidR="006F5243">
        <w:rPr>
          <w:sz w:val="26"/>
          <w:szCs w:val="26"/>
        </w:rPr>
        <w:t xml:space="preserve"> </w:t>
      </w:r>
      <w:r w:rsidR="006F5243" w:rsidRPr="00A54655">
        <w:rPr>
          <w:sz w:val="26"/>
          <w:szCs w:val="26"/>
        </w:rPr>
        <w:t xml:space="preserve">While exclusive rights can be sold, their extent and duration are strictly regulated. </w:t>
      </w:r>
      <w:r w:rsidR="004C3AA8">
        <w:rPr>
          <w:sz w:val="26"/>
          <w:szCs w:val="26"/>
        </w:rPr>
        <w:t xml:space="preserve">The sale of exclusive rights can in fact impact platform competition, limiting consumers’ choice to a single, inescapable, broadcaster, </w:t>
      </w:r>
      <w:r w:rsidR="004C3AA8" w:rsidRPr="004C3AA8">
        <w:rPr>
          <w:sz w:val="26"/>
          <w:szCs w:val="26"/>
        </w:rPr>
        <w:t>potentially leading to higher</w:t>
      </w:r>
      <w:r w:rsidR="004C3AA8">
        <w:rPr>
          <w:sz w:val="26"/>
          <w:szCs w:val="26"/>
        </w:rPr>
        <w:t xml:space="preserve"> subscription or consumption</w:t>
      </w:r>
      <w:r w:rsidR="004C3AA8" w:rsidRPr="004C3AA8">
        <w:rPr>
          <w:sz w:val="26"/>
          <w:szCs w:val="26"/>
        </w:rPr>
        <w:t xml:space="preserve"> prices</w:t>
      </w:r>
      <w:r w:rsidR="004C3AA8">
        <w:rPr>
          <w:sz w:val="26"/>
          <w:szCs w:val="26"/>
        </w:rPr>
        <w:t>. With this respect the provision of a “n</w:t>
      </w:r>
      <w:r w:rsidR="004C3AA8" w:rsidRPr="00A54655">
        <w:rPr>
          <w:rStyle w:val="Enfasigrassetto"/>
          <w:b w:val="0"/>
          <w:sz w:val="26"/>
          <w:szCs w:val="26"/>
        </w:rPr>
        <w:t xml:space="preserve">o </w:t>
      </w:r>
      <w:r w:rsidR="004C3AA8">
        <w:rPr>
          <w:rStyle w:val="Enfasigrassetto"/>
          <w:b w:val="0"/>
          <w:sz w:val="26"/>
          <w:szCs w:val="26"/>
        </w:rPr>
        <w:t>s</w:t>
      </w:r>
      <w:r w:rsidR="004C3AA8" w:rsidRPr="00A54655">
        <w:rPr>
          <w:rStyle w:val="Enfasigrassetto"/>
          <w:b w:val="0"/>
          <w:sz w:val="26"/>
          <w:szCs w:val="26"/>
        </w:rPr>
        <w:t xml:space="preserve">ingle </w:t>
      </w:r>
      <w:r w:rsidR="004C3AA8">
        <w:rPr>
          <w:rStyle w:val="Enfasigrassetto"/>
          <w:b w:val="0"/>
          <w:sz w:val="26"/>
          <w:szCs w:val="26"/>
        </w:rPr>
        <w:t>b</w:t>
      </w:r>
      <w:r w:rsidR="004C3AA8" w:rsidRPr="00A54655">
        <w:rPr>
          <w:rStyle w:val="Enfasigrassetto"/>
          <w:b w:val="0"/>
          <w:sz w:val="26"/>
          <w:szCs w:val="26"/>
        </w:rPr>
        <w:t xml:space="preserve">uyer </w:t>
      </w:r>
      <w:r w:rsidR="004C3AA8">
        <w:rPr>
          <w:rStyle w:val="Enfasigrassetto"/>
          <w:b w:val="0"/>
          <w:sz w:val="26"/>
          <w:szCs w:val="26"/>
        </w:rPr>
        <w:t>r</w:t>
      </w:r>
      <w:r w:rsidR="004C3AA8" w:rsidRPr="00A54655">
        <w:rPr>
          <w:rStyle w:val="Enfasigrassetto"/>
          <w:b w:val="0"/>
          <w:sz w:val="26"/>
          <w:szCs w:val="26"/>
        </w:rPr>
        <w:t>ule</w:t>
      </w:r>
      <w:r w:rsidR="004C3AA8">
        <w:rPr>
          <w:rStyle w:val="Enfasigrassetto"/>
          <w:b w:val="0"/>
          <w:sz w:val="26"/>
          <w:szCs w:val="26"/>
        </w:rPr>
        <w:t>”</w:t>
      </w:r>
      <w:r w:rsidR="004C3AA8" w:rsidRPr="00A54655">
        <w:rPr>
          <w:sz w:val="26"/>
          <w:szCs w:val="26"/>
        </w:rPr>
        <w:t xml:space="preserve"> is fundamental to the Commission's approach, ensuring that no single broadcaster can acquire all available rights</w:t>
      </w:r>
      <w:r w:rsidR="004C3AA8">
        <w:rPr>
          <w:sz w:val="26"/>
          <w:szCs w:val="26"/>
        </w:rPr>
        <w:t xml:space="preserve">, in order to maintain </w:t>
      </w:r>
      <w:r w:rsidR="004C3AA8" w:rsidRPr="00A54655">
        <w:rPr>
          <w:sz w:val="26"/>
          <w:szCs w:val="26"/>
        </w:rPr>
        <w:t>a competitive environment where multiple broadcasters have access to premium sports content.</w:t>
      </w:r>
    </w:p>
    <w:p w:rsidR="00A86235" w:rsidRDefault="006F5243" w:rsidP="00B67F6F">
      <w:pPr>
        <w:pStyle w:val="NormaleWeb"/>
        <w:spacing w:line="276" w:lineRule="auto"/>
        <w:jc w:val="both"/>
        <w:rPr>
          <w:sz w:val="26"/>
          <w:szCs w:val="26"/>
        </w:rPr>
      </w:pPr>
      <w:r w:rsidRPr="00A54655">
        <w:rPr>
          <w:sz w:val="26"/>
          <w:szCs w:val="26"/>
        </w:rPr>
        <w:t xml:space="preserve">The Commission's approach </w:t>
      </w:r>
      <w:r w:rsidR="004C3AA8">
        <w:rPr>
          <w:sz w:val="26"/>
          <w:szCs w:val="26"/>
        </w:rPr>
        <w:t xml:space="preserve">aimed to </w:t>
      </w:r>
      <w:r w:rsidRPr="00A54655">
        <w:rPr>
          <w:sz w:val="26"/>
          <w:szCs w:val="26"/>
        </w:rPr>
        <w:t>balance the attractiveness of packages with the need to maintain multiple broadcasters in the market. Moreover,</w:t>
      </w:r>
      <w:r w:rsidR="004C3AA8">
        <w:rPr>
          <w:sz w:val="26"/>
          <w:szCs w:val="26"/>
        </w:rPr>
        <w:t xml:space="preserve"> in order to keep competition alive,</w:t>
      </w:r>
      <w:r w:rsidRPr="00A54655">
        <w:rPr>
          <w:sz w:val="26"/>
          <w:szCs w:val="26"/>
        </w:rPr>
        <w:t xml:space="preserve"> the duration of broadcasting rights agreements was </w:t>
      </w:r>
      <w:r w:rsidR="004C3AA8">
        <w:rPr>
          <w:sz w:val="26"/>
          <w:szCs w:val="26"/>
        </w:rPr>
        <w:t>originally</w:t>
      </w:r>
      <w:r w:rsidRPr="00A54655">
        <w:rPr>
          <w:sz w:val="26"/>
          <w:szCs w:val="26"/>
        </w:rPr>
        <w:t xml:space="preserve"> capped at three years. This limitation prevented long-term monopolies, ensuring that rights are regularly made available to new entrants and competitive bidders, thereby maintaining market dynamism.</w:t>
      </w:r>
      <w:r>
        <w:rPr>
          <w:sz w:val="26"/>
          <w:szCs w:val="26"/>
        </w:rPr>
        <w:t xml:space="preserve"> </w:t>
      </w:r>
    </w:p>
    <w:p w:rsidR="004C3AA8" w:rsidRDefault="00B67F6F" w:rsidP="00B67F6F">
      <w:pPr>
        <w:pStyle w:val="NormaleWeb"/>
        <w:spacing w:line="276" w:lineRule="auto"/>
        <w:jc w:val="both"/>
        <w:rPr>
          <w:sz w:val="26"/>
          <w:szCs w:val="26"/>
        </w:rPr>
      </w:pPr>
      <w:r w:rsidRPr="00A54655">
        <w:rPr>
          <w:sz w:val="26"/>
          <w:szCs w:val="26"/>
        </w:rPr>
        <w:t xml:space="preserve">Following the UEFA </w:t>
      </w:r>
      <w:r w:rsidR="004C3AA8">
        <w:rPr>
          <w:sz w:val="26"/>
          <w:szCs w:val="26"/>
        </w:rPr>
        <w:t xml:space="preserve">Champions League </w:t>
      </w:r>
      <w:r w:rsidRPr="00A54655">
        <w:rPr>
          <w:sz w:val="26"/>
          <w:szCs w:val="26"/>
        </w:rPr>
        <w:t xml:space="preserve">decision, the </w:t>
      </w:r>
      <w:r w:rsidRPr="00A54655">
        <w:rPr>
          <w:rStyle w:val="Enfasigrassetto"/>
          <w:b w:val="0"/>
          <w:sz w:val="26"/>
          <w:szCs w:val="26"/>
        </w:rPr>
        <w:t>2005 German Bundesliga Decision</w:t>
      </w:r>
      <w:r w:rsidRPr="00A54655">
        <w:rPr>
          <w:sz w:val="26"/>
          <w:szCs w:val="26"/>
        </w:rPr>
        <w:t xml:space="preserve"> (COMP/37.214)</w:t>
      </w:r>
      <w:r w:rsidR="00A82A33" w:rsidRPr="00A54655">
        <w:rPr>
          <w:rStyle w:val="Rimandonotaapidipagina"/>
          <w:sz w:val="26"/>
          <w:szCs w:val="26"/>
        </w:rPr>
        <w:footnoteReference w:id="10"/>
      </w:r>
      <w:r w:rsidR="004C3AA8">
        <w:rPr>
          <w:sz w:val="26"/>
          <w:szCs w:val="26"/>
        </w:rPr>
        <w:t xml:space="preserve"> </w:t>
      </w:r>
      <w:r w:rsidRPr="00A54655">
        <w:rPr>
          <w:sz w:val="26"/>
          <w:szCs w:val="26"/>
        </w:rPr>
        <w:t xml:space="preserve">extended </w:t>
      </w:r>
      <w:r w:rsidR="004C3AA8">
        <w:rPr>
          <w:sz w:val="26"/>
          <w:szCs w:val="26"/>
        </w:rPr>
        <w:t>similar</w:t>
      </w:r>
      <w:r w:rsidRPr="00A54655">
        <w:rPr>
          <w:sz w:val="26"/>
          <w:szCs w:val="26"/>
        </w:rPr>
        <w:t xml:space="preserve"> principles to the collective selling of media rights by the German Bundesliga. </w:t>
      </w:r>
      <w:r w:rsidR="004C3AA8">
        <w:rPr>
          <w:sz w:val="26"/>
          <w:szCs w:val="26"/>
        </w:rPr>
        <w:t>In this decision, the</w:t>
      </w:r>
      <w:r w:rsidRPr="00A54655">
        <w:rPr>
          <w:sz w:val="26"/>
          <w:szCs w:val="26"/>
        </w:rPr>
        <w:t xml:space="preserve"> Commission reiterated the importance of multiple packages, regulated exclusivity, and short-term rights agreements to maintain market competition. </w:t>
      </w:r>
    </w:p>
    <w:p w:rsidR="00A86235" w:rsidRDefault="00B67F6F" w:rsidP="00B67F6F">
      <w:pPr>
        <w:pStyle w:val="NormaleWeb"/>
        <w:spacing w:line="276" w:lineRule="auto"/>
        <w:jc w:val="both"/>
        <w:rPr>
          <w:sz w:val="26"/>
          <w:szCs w:val="26"/>
        </w:rPr>
      </w:pPr>
      <w:r w:rsidRPr="00A54655">
        <w:rPr>
          <w:sz w:val="26"/>
          <w:szCs w:val="26"/>
        </w:rPr>
        <w:t xml:space="preserve">In the </w:t>
      </w:r>
      <w:r w:rsidRPr="00A54655">
        <w:rPr>
          <w:rStyle w:val="Enfasigrassetto"/>
          <w:b w:val="0"/>
          <w:sz w:val="26"/>
          <w:szCs w:val="26"/>
        </w:rPr>
        <w:t>2006 FA Premier League Decision</w:t>
      </w:r>
      <w:r w:rsidRPr="00A54655">
        <w:rPr>
          <w:sz w:val="26"/>
          <w:szCs w:val="26"/>
        </w:rPr>
        <w:t xml:space="preserve"> (COMP/38.173)</w:t>
      </w:r>
      <w:r w:rsidR="00A82A33" w:rsidRPr="00A54655">
        <w:rPr>
          <w:rStyle w:val="Rimandonotaapidipagina"/>
          <w:sz w:val="26"/>
          <w:szCs w:val="26"/>
        </w:rPr>
        <w:footnoteReference w:id="11"/>
      </w:r>
      <w:r w:rsidRPr="00A54655">
        <w:rPr>
          <w:sz w:val="26"/>
          <w:szCs w:val="26"/>
        </w:rPr>
        <w:t xml:space="preserve">, the Commission applied the established regulatory principles to one of the most commercially significant football leagues. This decision further solidified the framework by mandating the sale of rights in multiple packages, limiting the duration and exclusivity of these rights, and enforcing the "no single buyer" rule. </w:t>
      </w:r>
      <w:r w:rsidR="00253825" w:rsidRPr="00A54655">
        <w:rPr>
          <w:sz w:val="26"/>
          <w:szCs w:val="26"/>
        </w:rPr>
        <w:t>Again,</w:t>
      </w:r>
      <w:r w:rsidR="00E51202" w:rsidRPr="00A54655">
        <w:rPr>
          <w:sz w:val="26"/>
          <w:szCs w:val="26"/>
        </w:rPr>
        <w:t xml:space="preserve"> the</w:t>
      </w:r>
      <w:r w:rsidRPr="00A54655">
        <w:rPr>
          <w:sz w:val="26"/>
          <w:szCs w:val="26"/>
        </w:rPr>
        <w:t xml:space="preserve"> goal was to prevent market dominance and ensure fair distribution of sports content across various broadcasting platforms.</w:t>
      </w:r>
      <w:r w:rsidR="00A86235">
        <w:rPr>
          <w:sz w:val="26"/>
          <w:szCs w:val="26"/>
        </w:rPr>
        <w:t xml:space="preserve"> </w:t>
      </w:r>
    </w:p>
    <w:p w:rsidR="00253825" w:rsidRPr="00A54655" w:rsidRDefault="004C3AA8" w:rsidP="00B67F6F">
      <w:pPr>
        <w:pStyle w:val="NormaleWeb"/>
        <w:spacing w:line="276" w:lineRule="auto"/>
        <w:jc w:val="both"/>
        <w:rPr>
          <w:sz w:val="26"/>
          <w:szCs w:val="26"/>
        </w:rPr>
      </w:pPr>
      <w:r>
        <w:rPr>
          <w:sz w:val="26"/>
          <w:szCs w:val="26"/>
        </w:rPr>
        <w:lastRenderedPageBreak/>
        <w:t>As technology evolved in time</w:t>
      </w:r>
      <w:r w:rsidR="00A82A33" w:rsidRPr="00A54655">
        <w:rPr>
          <w:sz w:val="26"/>
          <w:szCs w:val="26"/>
        </w:rPr>
        <w:t xml:space="preserve">, the Commission encouraged competition among different types of broadcasting platforms, including terrestrial, satellite, cable, and new media such as online streaming. </w:t>
      </w:r>
      <w:r>
        <w:rPr>
          <w:sz w:val="26"/>
          <w:szCs w:val="26"/>
        </w:rPr>
        <w:t xml:space="preserve">Rights packages had the requirement to be technology neutral, allowing </w:t>
      </w:r>
      <w:r w:rsidR="00A82A33" w:rsidRPr="00A54655">
        <w:rPr>
          <w:sz w:val="26"/>
          <w:szCs w:val="26"/>
        </w:rPr>
        <w:t xml:space="preserve">consumers </w:t>
      </w:r>
      <w:r w:rsidR="008D21D9">
        <w:rPr>
          <w:sz w:val="26"/>
          <w:szCs w:val="26"/>
        </w:rPr>
        <w:t>to</w:t>
      </w:r>
      <w:r w:rsidR="00A82A33" w:rsidRPr="00A54655">
        <w:rPr>
          <w:sz w:val="26"/>
          <w:szCs w:val="26"/>
        </w:rPr>
        <w:t xml:space="preserve"> access </w:t>
      </w:r>
      <w:r w:rsidR="008D21D9">
        <w:rPr>
          <w:sz w:val="26"/>
          <w:szCs w:val="26"/>
        </w:rPr>
        <w:t>football</w:t>
      </w:r>
      <w:r w:rsidR="00A82A33" w:rsidRPr="00A54655">
        <w:rPr>
          <w:sz w:val="26"/>
          <w:szCs w:val="26"/>
        </w:rPr>
        <w:t xml:space="preserve"> content through various channels, fostering innovation and competition in the broadcasting market.</w:t>
      </w:r>
    </w:p>
    <w:p w:rsidR="00B9265B" w:rsidRDefault="003912F1" w:rsidP="00B9265B">
      <w:pPr>
        <w:keepNext/>
        <w:spacing w:after="0" w:line="240" w:lineRule="auto"/>
        <w:jc w:val="both"/>
        <w:outlineLvl w:val="0"/>
        <w:rPr>
          <w:rFonts w:ascii="Times New Roman" w:eastAsia="Times New Roman" w:hAnsi="Times New Roman" w:cs="Times New Roman"/>
          <w:b/>
          <w:bCs/>
          <w:smallCaps/>
          <w:kern w:val="32"/>
          <w:sz w:val="26"/>
          <w:szCs w:val="26"/>
          <w:lang w:val="en-GB" w:eastAsia="it-IT"/>
        </w:rPr>
      </w:pPr>
      <w:bookmarkStart w:id="5" w:name="_Toc177052143"/>
      <w:r w:rsidRPr="008164A1">
        <w:rPr>
          <w:rFonts w:ascii="Times New Roman" w:eastAsia="Times New Roman" w:hAnsi="Times New Roman" w:cs="Times New Roman"/>
          <w:b/>
          <w:bCs/>
          <w:smallCaps/>
          <w:kern w:val="32"/>
          <w:sz w:val="26"/>
          <w:szCs w:val="26"/>
          <w:lang w:val="en-GB" w:eastAsia="it-IT"/>
        </w:rPr>
        <w:t>II</w:t>
      </w:r>
      <w:r w:rsidR="00B9265B">
        <w:rPr>
          <w:rFonts w:ascii="Times New Roman" w:eastAsia="Times New Roman" w:hAnsi="Times New Roman" w:cs="Times New Roman"/>
          <w:b/>
          <w:bCs/>
          <w:smallCaps/>
          <w:kern w:val="32"/>
          <w:sz w:val="26"/>
          <w:szCs w:val="26"/>
          <w:lang w:val="en-GB" w:eastAsia="it-IT"/>
        </w:rPr>
        <w:t>I</w:t>
      </w:r>
      <w:r w:rsidRPr="008164A1">
        <w:rPr>
          <w:rFonts w:ascii="Times New Roman" w:eastAsia="Times New Roman" w:hAnsi="Times New Roman" w:cs="Times New Roman"/>
          <w:b/>
          <w:bCs/>
          <w:smallCaps/>
          <w:kern w:val="32"/>
          <w:sz w:val="26"/>
          <w:szCs w:val="26"/>
          <w:lang w:val="en-GB" w:eastAsia="it-IT"/>
        </w:rPr>
        <w:t xml:space="preserve">. </w:t>
      </w:r>
      <w:r w:rsidR="00A82A33" w:rsidRPr="008164A1">
        <w:rPr>
          <w:rFonts w:ascii="Times New Roman" w:eastAsia="Times New Roman" w:hAnsi="Times New Roman" w:cs="Times New Roman"/>
          <w:b/>
          <w:bCs/>
          <w:smallCaps/>
          <w:kern w:val="32"/>
          <w:sz w:val="26"/>
          <w:szCs w:val="26"/>
          <w:lang w:val="en-GB" w:eastAsia="it-IT"/>
        </w:rPr>
        <w:t>Literature review</w:t>
      </w:r>
      <w:bookmarkEnd w:id="5"/>
    </w:p>
    <w:p w:rsidR="00B9265B" w:rsidRPr="008849DE" w:rsidRDefault="008849DE" w:rsidP="008849DE">
      <w:pPr>
        <w:spacing w:before="100" w:beforeAutospacing="1" w:after="100" w:afterAutospacing="1" w:line="276" w:lineRule="auto"/>
        <w:jc w:val="both"/>
        <w:rPr>
          <w:rFonts w:ascii="Times New Roman" w:eastAsia="Times New Roman" w:hAnsi="Times New Roman" w:cs="Times New Roman"/>
          <w:sz w:val="26"/>
          <w:szCs w:val="26"/>
          <w:lang w:val="en-GB" w:eastAsia="en-GB"/>
        </w:rPr>
      </w:pPr>
      <w:r w:rsidRPr="00A54655">
        <w:rPr>
          <w:rFonts w:ascii="Times New Roman" w:eastAsia="Times New Roman" w:hAnsi="Times New Roman" w:cs="Times New Roman"/>
          <w:sz w:val="26"/>
          <w:szCs w:val="26"/>
          <w:lang w:val="en-GB" w:eastAsia="en-GB"/>
        </w:rPr>
        <w:t>The collective sale of broadcasting rights in football has been extensively studied in academic literature, with researchers investigating its legislative and economic implications.</w:t>
      </w:r>
      <w:r>
        <w:rPr>
          <w:rFonts w:ascii="Times New Roman" w:eastAsia="Times New Roman" w:hAnsi="Times New Roman" w:cs="Times New Roman"/>
          <w:sz w:val="26"/>
          <w:szCs w:val="26"/>
          <w:lang w:val="en-GB" w:eastAsia="en-GB"/>
        </w:rPr>
        <w:t xml:space="preserve"> The literature review is organized </w:t>
      </w:r>
      <w:r w:rsidR="001D5933" w:rsidRPr="008849DE">
        <w:rPr>
          <w:rFonts w:ascii="Times New Roman" w:eastAsia="Times New Roman" w:hAnsi="Times New Roman" w:cs="Times New Roman"/>
          <w:sz w:val="26"/>
          <w:szCs w:val="26"/>
          <w:lang w:val="en-GB" w:eastAsia="en-GB"/>
        </w:rPr>
        <w:t xml:space="preserve">according to </w:t>
      </w:r>
      <w:r w:rsidR="00877464" w:rsidRPr="008849DE">
        <w:rPr>
          <w:rFonts w:ascii="Times New Roman" w:eastAsia="Times New Roman" w:hAnsi="Times New Roman" w:cs="Times New Roman"/>
          <w:sz w:val="26"/>
          <w:szCs w:val="26"/>
          <w:lang w:val="en-GB" w:eastAsia="en-GB"/>
        </w:rPr>
        <w:t>four main directives</w:t>
      </w:r>
      <w:r w:rsidR="001D5933" w:rsidRPr="008849DE">
        <w:rPr>
          <w:rFonts w:ascii="Times New Roman" w:eastAsia="Times New Roman" w:hAnsi="Times New Roman" w:cs="Times New Roman"/>
          <w:sz w:val="26"/>
          <w:szCs w:val="26"/>
          <w:lang w:val="en-GB" w:eastAsia="en-GB"/>
        </w:rPr>
        <w:t xml:space="preserve">: 1) comments to the EC Decision; 2) literature on the </w:t>
      </w:r>
      <w:r w:rsidR="00537BCE" w:rsidRPr="008849DE">
        <w:rPr>
          <w:rFonts w:ascii="Times New Roman" w:eastAsia="Times New Roman" w:hAnsi="Times New Roman" w:cs="Times New Roman"/>
          <w:sz w:val="26"/>
          <w:szCs w:val="26"/>
          <w:lang w:val="en-GB" w:eastAsia="en-GB"/>
        </w:rPr>
        <w:t xml:space="preserve">legislative approach and on 3) the economic approach of collective football rights sales and, finally, </w:t>
      </w:r>
      <w:r w:rsidR="00A86235" w:rsidRPr="008849DE">
        <w:rPr>
          <w:rFonts w:ascii="Times New Roman" w:eastAsia="Times New Roman" w:hAnsi="Times New Roman" w:cs="Times New Roman"/>
          <w:sz w:val="26"/>
          <w:szCs w:val="26"/>
          <w:lang w:val="en-GB" w:eastAsia="en-GB"/>
        </w:rPr>
        <w:t xml:space="preserve">4) </w:t>
      </w:r>
      <w:r w:rsidR="00537BCE" w:rsidRPr="008849DE">
        <w:rPr>
          <w:rFonts w:ascii="Times New Roman" w:eastAsia="Times New Roman" w:hAnsi="Times New Roman" w:cs="Times New Roman"/>
          <w:sz w:val="26"/>
          <w:szCs w:val="26"/>
          <w:lang w:val="en-GB" w:eastAsia="en-GB"/>
        </w:rPr>
        <w:t>papers which</w:t>
      </w:r>
      <w:r w:rsidR="00A86235" w:rsidRPr="008849DE">
        <w:rPr>
          <w:rFonts w:ascii="Times New Roman" w:eastAsia="Times New Roman" w:hAnsi="Times New Roman" w:cs="Times New Roman"/>
          <w:sz w:val="26"/>
          <w:szCs w:val="26"/>
          <w:lang w:val="en-GB" w:eastAsia="en-GB"/>
        </w:rPr>
        <w:t xml:space="preserve"> mainly</w:t>
      </w:r>
      <w:r w:rsidR="00537BCE" w:rsidRPr="008849DE">
        <w:rPr>
          <w:rFonts w:ascii="Times New Roman" w:eastAsia="Times New Roman" w:hAnsi="Times New Roman" w:cs="Times New Roman"/>
          <w:sz w:val="26"/>
          <w:szCs w:val="26"/>
          <w:lang w:val="en-GB" w:eastAsia="en-GB"/>
        </w:rPr>
        <w:t xml:space="preserve"> focus on antitrust and regulation implications. </w:t>
      </w:r>
    </w:p>
    <w:p w:rsidR="008164A1" w:rsidRPr="008164A1" w:rsidRDefault="008164A1" w:rsidP="008164A1">
      <w:pPr>
        <w:pStyle w:val="Titolo2"/>
        <w:keepLines w:val="0"/>
        <w:spacing w:before="0" w:line="240" w:lineRule="auto"/>
        <w:rPr>
          <w:rFonts w:ascii="Times New Roman" w:eastAsia="Times New Roman" w:hAnsi="Times New Roman" w:cs="Times New Roman"/>
          <w:b/>
          <w:bCs/>
          <w:i/>
          <w:iCs/>
          <w:color w:val="auto"/>
          <w:lang w:val="en-GB"/>
        </w:rPr>
      </w:pPr>
      <w:bookmarkStart w:id="6" w:name="_Toc177052144"/>
      <w:r w:rsidRPr="008164A1">
        <w:rPr>
          <w:rFonts w:ascii="Times New Roman" w:eastAsia="Times New Roman" w:hAnsi="Times New Roman" w:cs="Times New Roman"/>
          <w:b/>
          <w:bCs/>
          <w:i/>
          <w:iCs/>
          <w:color w:val="auto"/>
          <w:lang w:val="en-GB"/>
        </w:rPr>
        <w:t>II</w:t>
      </w:r>
      <w:r w:rsidR="00B9265B">
        <w:rPr>
          <w:rFonts w:ascii="Times New Roman" w:eastAsia="Times New Roman" w:hAnsi="Times New Roman" w:cs="Times New Roman"/>
          <w:b/>
          <w:bCs/>
          <w:i/>
          <w:iCs/>
          <w:color w:val="auto"/>
          <w:lang w:val="en-GB"/>
        </w:rPr>
        <w:t>I</w:t>
      </w:r>
      <w:r w:rsidRPr="008164A1">
        <w:rPr>
          <w:rFonts w:ascii="Times New Roman" w:eastAsia="Times New Roman" w:hAnsi="Times New Roman" w:cs="Times New Roman"/>
          <w:b/>
          <w:bCs/>
          <w:i/>
          <w:iCs/>
          <w:color w:val="auto"/>
          <w:lang w:val="en-GB"/>
        </w:rPr>
        <w:t xml:space="preserve">.1 </w:t>
      </w:r>
      <w:r w:rsidR="003C03C8">
        <w:rPr>
          <w:rFonts w:ascii="Times New Roman" w:eastAsia="Times New Roman" w:hAnsi="Times New Roman" w:cs="Times New Roman"/>
          <w:b/>
          <w:bCs/>
          <w:i/>
          <w:iCs/>
          <w:color w:val="auto"/>
          <w:lang w:val="en-GB"/>
        </w:rPr>
        <w:t>C</w:t>
      </w:r>
      <w:r w:rsidR="003B02FC">
        <w:rPr>
          <w:rFonts w:ascii="Times New Roman" w:eastAsia="Times New Roman" w:hAnsi="Times New Roman" w:cs="Times New Roman"/>
          <w:b/>
          <w:bCs/>
          <w:i/>
          <w:iCs/>
          <w:color w:val="auto"/>
          <w:lang w:val="en-GB"/>
        </w:rPr>
        <w:t>omments to the</w:t>
      </w:r>
      <w:r>
        <w:rPr>
          <w:rFonts w:ascii="Times New Roman" w:eastAsia="Times New Roman" w:hAnsi="Times New Roman" w:cs="Times New Roman"/>
          <w:b/>
          <w:bCs/>
          <w:i/>
          <w:iCs/>
          <w:color w:val="auto"/>
          <w:lang w:val="en-GB"/>
        </w:rPr>
        <w:t xml:space="preserve"> EC decisions</w:t>
      </w:r>
      <w:bookmarkEnd w:id="6"/>
    </w:p>
    <w:p w:rsidR="00107163" w:rsidRPr="00A54655" w:rsidRDefault="00107163" w:rsidP="008164A1">
      <w:pPr>
        <w:pStyle w:val="NormaleWeb"/>
        <w:spacing w:line="276" w:lineRule="auto"/>
        <w:jc w:val="both"/>
        <w:rPr>
          <w:sz w:val="26"/>
          <w:szCs w:val="26"/>
        </w:rPr>
      </w:pPr>
      <w:bookmarkStart w:id="7" w:name="_Hlk173333912"/>
      <w:r w:rsidRPr="00A54655">
        <w:rPr>
          <w:sz w:val="26"/>
          <w:szCs w:val="26"/>
        </w:rPr>
        <w:t xml:space="preserve">The European Commission’s decision has been widely </w:t>
      </w:r>
      <w:r w:rsidR="00B9265B" w:rsidRPr="00A54655">
        <w:rPr>
          <w:sz w:val="26"/>
          <w:szCs w:val="26"/>
        </w:rPr>
        <w:t>analysed</w:t>
      </w:r>
      <w:r w:rsidRPr="00A54655">
        <w:rPr>
          <w:sz w:val="26"/>
          <w:szCs w:val="26"/>
        </w:rPr>
        <w:t xml:space="preserve"> and discussed in academic </w:t>
      </w:r>
      <w:bookmarkEnd w:id="7"/>
      <w:r w:rsidRPr="00A54655">
        <w:rPr>
          <w:sz w:val="26"/>
          <w:szCs w:val="26"/>
        </w:rPr>
        <w:t xml:space="preserve">literature, highlighting its implications for sports broadcasting and competition law in Europe. </w:t>
      </w:r>
      <w:r w:rsidR="008164A1">
        <w:rPr>
          <w:sz w:val="26"/>
          <w:szCs w:val="26"/>
        </w:rPr>
        <w:t>Preliminary</w:t>
      </w:r>
      <w:r w:rsidR="008164A1" w:rsidRPr="00A54655">
        <w:rPr>
          <w:sz w:val="26"/>
          <w:szCs w:val="26"/>
        </w:rPr>
        <w:t>, Richard Parrish (2003) provide</w:t>
      </w:r>
      <w:r w:rsidR="00E036A5">
        <w:rPr>
          <w:sz w:val="26"/>
          <w:szCs w:val="26"/>
        </w:rPr>
        <w:t>d</w:t>
      </w:r>
      <w:r w:rsidR="008164A1" w:rsidRPr="00A54655">
        <w:rPr>
          <w:sz w:val="26"/>
          <w:szCs w:val="26"/>
        </w:rPr>
        <w:t xml:space="preserve"> a comprehensive overview of sports law and policy in the EU, with a specific focus on the regulation of broadcasting rights and a detailed discussion of the EC’s decision on the Champions League</w:t>
      </w:r>
      <w:r w:rsidR="008164A1">
        <w:rPr>
          <w:rStyle w:val="Rimandonotaapidipagina"/>
          <w:sz w:val="26"/>
          <w:szCs w:val="26"/>
        </w:rPr>
        <w:footnoteReference w:id="12"/>
      </w:r>
      <w:r w:rsidR="008164A1" w:rsidRPr="00A54655">
        <w:rPr>
          <w:sz w:val="26"/>
          <w:szCs w:val="26"/>
        </w:rPr>
        <w:t>.</w:t>
      </w:r>
      <w:r w:rsidRPr="00A54655">
        <w:rPr>
          <w:sz w:val="26"/>
          <w:szCs w:val="26"/>
        </w:rPr>
        <w:t xml:space="preserve"> </w:t>
      </w:r>
      <w:r w:rsidR="008164A1">
        <w:rPr>
          <w:sz w:val="26"/>
          <w:szCs w:val="26"/>
        </w:rPr>
        <w:t xml:space="preserve">Colucci </w:t>
      </w:r>
      <w:r w:rsidRPr="00A54655">
        <w:rPr>
          <w:sz w:val="26"/>
          <w:szCs w:val="26"/>
        </w:rPr>
        <w:t>(2004) discuss</w:t>
      </w:r>
      <w:r w:rsidR="00FD0C16">
        <w:rPr>
          <w:sz w:val="26"/>
          <w:szCs w:val="26"/>
        </w:rPr>
        <w:t>ed</w:t>
      </w:r>
      <w:r w:rsidRPr="00A54655">
        <w:rPr>
          <w:sz w:val="26"/>
          <w:szCs w:val="26"/>
        </w:rPr>
        <w:t xml:space="preserve"> </w:t>
      </w:r>
      <w:r w:rsidR="00FD0C16">
        <w:rPr>
          <w:sz w:val="26"/>
          <w:szCs w:val="26"/>
        </w:rPr>
        <w:t>the</w:t>
      </w:r>
      <w:r w:rsidRPr="00A54655">
        <w:rPr>
          <w:sz w:val="26"/>
          <w:szCs w:val="26"/>
        </w:rPr>
        <w:t xml:space="preserve"> impact</w:t>
      </w:r>
      <w:r w:rsidR="00FD0C16">
        <w:rPr>
          <w:sz w:val="26"/>
          <w:szCs w:val="26"/>
        </w:rPr>
        <w:t xml:space="preserve"> of the UEFA Champions League decision</w:t>
      </w:r>
      <w:r w:rsidRPr="00A54655">
        <w:rPr>
          <w:sz w:val="26"/>
          <w:szCs w:val="26"/>
        </w:rPr>
        <w:t xml:space="preserve"> on the sports broadcasting market and its broader implications for competition law in the EU</w:t>
      </w:r>
      <w:r w:rsidR="008164A1">
        <w:rPr>
          <w:rStyle w:val="Rimandonotaapidipagina"/>
          <w:sz w:val="26"/>
          <w:szCs w:val="26"/>
        </w:rPr>
        <w:footnoteReference w:id="13"/>
      </w:r>
      <w:r w:rsidRPr="00A54655">
        <w:rPr>
          <w:sz w:val="26"/>
          <w:szCs w:val="26"/>
        </w:rPr>
        <w:t xml:space="preserve">. </w:t>
      </w:r>
      <w:r w:rsidR="00FD0C16">
        <w:rPr>
          <w:sz w:val="26"/>
          <w:szCs w:val="26"/>
        </w:rPr>
        <w:t>Differently, t</w:t>
      </w:r>
      <w:r w:rsidRPr="00A54655">
        <w:rPr>
          <w:sz w:val="26"/>
          <w:szCs w:val="26"/>
        </w:rPr>
        <w:t>he regulatory frameworks governing sports broadcasting in various jurisdictions</w:t>
      </w:r>
      <w:r w:rsidR="00FD0C16" w:rsidRPr="00A54655">
        <w:rPr>
          <w:sz w:val="26"/>
          <w:szCs w:val="26"/>
        </w:rPr>
        <w:t xml:space="preserve">, including the EU, </w:t>
      </w:r>
      <w:r w:rsidR="00FD0C16">
        <w:rPr>
          <w:sz w:val="26"/>
          <w:szCs w:val="26"/>
        </w:rPr>
        <w:t xml:space="preserve">has been focused by </w:t>
      </w:r>
      <w:r w:rsidR="00FD0C16" w:rsidRPr="00A54655">
        <w:rPr>
          <w:sz w:val="26"/>
          <w:szCs w:val="26"/>
        </w:rPr>
        <w:t>García and Bernstein (2009)</w:t>
      </w:r>
      <w:r w:rsidR="00FD0C16">
        <w:rPr>
          <w:sz w:val="26"/>
          <w:szCs w:val="26"/>
        </w:rPr>
        <w:t xml:space="preserve">. They also </w:t>
      </w:r>
      <w:r w:rsidR="009F53AD" w:rsidRPr="00A54655">
        <w:rPr>
          <w:sz w:val="26"/>
          <w:szCs w:val="26"/>
        </w:rPr>
        <w:t>discuss</w:t>
      </w:r>
      <w:r w:rsidRPr="00A54655">
        <w:rPr>
          <w:sz w:val="26"/>
          <w:szCs w:val="26"/>
        </w:rPr>
        <w:t xml:space="preserve"> the EC’s decision on the Champions League as a case study, highlighting its role in promoting fair competition and protecting consumer interests</w:t>
      </w:r>
      <w:r w:rsidR="008164A1">
        <w:rPr>
          <w:rStyle w:val="Rimandonotaapidipagina"/>
          <w:sz w:val="26"/>
          <w:szCs w:val="26"/>
        </w:rPr>
        <w:footnoteReference w:id="14"/>
      </w:r>
      <w:r w:rsidRPr="00A54655">
        <w:rPr>
          <w:sz w:val="26"/>
          <w:szCs w:val="26"/>
        </w:rPr>
        <w:t>.</w:t>
      </w:r>
      <w:r w:rsidR="008164A1">
        <w:rPr>
          <w:sz w:val="26"/>
          <w:szCs w:val="26"/>
        </w:rPr>
        <w:t xml:space="preserve"> </w:t>
      </w:r>
      <w:proofErr w:type="spellStart"/>
      <w:r w:rsidRPr="00A54655">
        <w:rPr>
          <w:sz w:val="26"/>
          <w:szCs w:val="26"/>
        </w:rPr>
        <w:t>Bogusz</w:t>
      </w:r>
      <w:proofErr w:type="spellEnd"/>
      <w:r w:rsidRPr="00A54655">
        <w:rPr>
          <w:sz w:val="26"/>
          <w:szCs w:val="26"/>
        </w:rPr>
        <w:t xml:space="preserve">, </w:t>
      </w:r>
      <w:proofErr w:type="spellStart"/>
      <w:r w:rsidRPr="00A54655">
        <w:rPr>
          <w:sz w:val="26"/>
          <w:szCs w:val="26"/>
        </w:rPr>
        <w:t>Cygan</w:t>
      </w:r>
      <w:proofErr w:type="spellEnd"/>
      <w:r w:rsidRPr="00A54655">
        <w:rPr>
          <w:sz w:val="26"/>
          <w:szCs w:val="26"/>
        </w:rPr>
        <w:t xml:space="preserve">, and </w:t>
      </w:r>
      <w:proofErr w:type="spellStart"/>
      <w:r w:rsidRPr="00A54655">
        <w:rPr>
          <w:sz w:val="26"/>
          <w:szCs w:val="26"/>
        </w:rPr>
        <w:t>Szyszczak</w:t>
      </w:r>
      <w:proofErr w:type="spellEnd"/>
      <w:r w:rsidRPr="00A54655">
        <w:rPr>
          <w:sz w:val="26"/>
          <w:szCs w:val="26"/>
        </w:rPr>
        <w:t xml:space="preserve"> (2007), include</w:t>
      </w:r>
      <w:r w:rsidR="00E036A5">
        <w:rPr>
          <w:sz w:val="26"/>
          <w:szCs w:val="26"/>
        </w:rPr>
        <w:t>d</w:t>
      </w:r>
      <w:r w:rsidRPr="00A54655">
        <w:rPr>
          <w:sz w:val="26"/>
          <w:szCs w:val="26"/>
        </w:rPr>
        <w:t xml:space="preserve"> a chapter on the regulation of sports broadcasting rights, providing a detailed analysis of the EC’s decision</w:t>
      </w:r>
      <w:r w:rsidR="008164A1">
        <w:rPr>
          <w:rStyle w:val="Rimandonotaapidipagina"/>
          <w:sz w:val="26"/>
          <w:szCs w:val="26"/>
        </w:rPr>
        <w:footnoteReference w:id="15"/>
      </w:r>
      <w:r w:rsidRPr="00A54655">
        <w:rPr>
          <w:sz w:val="26"/>
          <w:szCs w:val="26"/>
        </w:rPr>
        <w:t xml:space="preserve">. It discusses the legal and economic rationale behind the conditions imposed by the EC and their impact on the broadcasting market. </w:t>
      </w:r>
    </w:p>
    <w:p w:rsidR="003B02FC" w:rsidRPr="003B02FC" w:rsidRDefault="003B02FC" w:rsidP="003B02FC">
      <w:pPr>
        <w:pStyle w:val="Titolo2"/>
        <w:keepLines w:val="0"/>
        <w:spacing w:before="0" w:line="240" w:lineRule="auto"/>
        <w:rPr>
          <w:rFonts w:ascii="Times New Roman" w:eastAsia="Times New Roman" w:hAnsi="Times New Roman" w:cs="Times New Roman"/>
          <w:b/>
          <w:bCs/>
          <w:i/>
          <w:iCs/>
          <w:color w:val="auto"/>
          <w:lang w:val="en-GB"/>
        </w:rPr>
      </w:pPr>
      <w:bookmarkStart w:id="8" w:name="_Toc177052145"/>
      <w:r>
        <w:rPr>
          <w:rFonts w:ascii="Times New Roman" w:eastAsia="Times New Roman" w:hAnsi="Times New Roman" w:cs="Times New Roman"/>
          <w:b/>
          <w:bCs/>
          <w:i/>
          <w:iCs/>
          <w:color w:val="auto"/>
          <w:lang w:val="en-GB"/>
        </w:rPr>
        <w:lastRenderedPageBreak/>
        <w:t>I</w:t>
      </w:r>
      <w:r w:rsidR="00B9265B">
        <w:rPr>
          <w:rFonts w:ascii="Times New Roman" w:eastAsia="Times New Roman" w:hAnsi="Times New Roman" w:cs="Times New Roman"/>
          <w:b/>
          <w:bCs/>
          <w:i/>
          <w:iCs/>
          <w:color w:val="auto"/>
          <w:lang w:val="en-GB"/>
        </w:rPr>
        <w:t>I</w:t>
      </w:r>
      <w:r>
        <w:rPr>
          <w:rFonts w:ascii="Times New Roman" w:eastAsia="Times New Roman" w:hAnsi="Times New Roman" w:cs="Times New Roman"/>
          <w:b/>
          <w:bCs/>
          <w:i/>
          <w:iCs/>
          <w:color w:val="auto"/>
          <w:lang w:val="en-GB"/>
        </w:rPr>
        <w:t>I. 2 The l</w:t>
      </w:r>
      <w:r w:rsidRPr="003B02FC">
        <w:rPr>
          <w:rFonts w:ascii="Times New Roman" w:eastAsia="Times New Roman" w:hAnsi="Times New Roman" w:cs="Times New Roman"/>
          <w:b/>
          <w:bCs/>
          <w:i/>
          <w:iCs/>
          <w:color w:val="auto"/>
          <w:lang w:val="en-GB"/>
        </w:rPr>
        <w:t xml:space="preserve">egislative </w:t>
      </w:r>
      <w:r>
        <w:rPr>
          <w:rFonts w:ascii="Times New Roman" w:eastAsia="Times New Roman" w:hAnsi="Times New Roman" w:cs="Times New Roman"/>
          <w:b/>
          <w:bCs/>
          <w:i/>
          <w:iCs/>
          <w:color w:val="auto"/>
          <w:lang w:val="en-GB"/>
        </w:rPr>
        <w:t>a</w:t>
      </w:r>
      <w:r w:rsidRPr="003B02FC">
        <w:rPr>
          <w:rFonts w:ascii="Times New Roman" w:eastAsia="Times New Roman" w:hAnsi="Times New Roman" w:cs="Times New Roman"/>
          <w:b/>
          <w:bCs/>
          <w:i/>
          <w:iCs/>
          <w:color w:val="auto"/>
          <w:lang w:val="en-GB"/>
        </w:rPr>
        <w:t>pproach</w:t>
      </w:r>
      <w:r>
        <w:rPr>
          <w:rFonts w:ascii="Times New Roman" w:eastAsia="Times New Roman" w:hAnsi="Times New Roman" w:cs="Times New Roman"/>
          <w:b/>
          <w:bCs/>
          <w:i/>
          <w:iCs/>
          <w:color w:val="auto"/>
          <w:lang w:val="en-GB"/>
        </w:rPr>
        <w:t xml:space="preserve"> to joint rights sale</w:t>
      </w:r>
      <w:bookmarkEnd w:id="8"/>
    </w:p>
    <w:p w:rsidR="003B02FC" w:rsidRPr="00A54655" w:rsidRDefault="003B02FC" w:rsidP="003B02FC">
      <w:pPr>
        <w:spacing w:before="100" w:beforeAutospacing="1" w:after="100" w:afterAutospacing="1" w:line="276" w:lineRule="auto"/>
        <w:jc w:val="both"/>
        <w:rPr>
          <w:rFonts w:ascii="Times New Roman" w:eastAsia="Times New Roman" w:hAnsi="Times New Roman" w:cs="Times New Roman"/>
          <w:sz w:val="26"/>
          <w:szCs w:val="26"/>
          <w:lang w:val="en-GB" w:eastAsia="en-GB"/>
        </w:rPr>
      </w:pPr>
      <w:r w:rsidRPr="003B02FC">
        <w:rPr>
          <w:rFonts w:ascii="Times New Roman" w:eastAsia="Times New Roman" w:hAnsi="Times New Roman" w:cs="Times New Roman"/>
          <w:sz w:val="26"/>
          <w:szCs w:val="26"/>
          <w:lang w:val="en-GB" w:eastAsia="en-GB"/>
        </w:rPr>
        <w:t xml:space="preserve">Historically, the collective sale of broadcasting rights has been a contentious issue, often scrutinized under antitrust laws. In the United States, the landmark decision by the Supreme Court in 1953 ruled that the collective selling of broadcasting rights by the National Football League (NFL) was illegal, viewing it as cartel-like </w:t>
      </w:r>
      <w:proofErr w:type="spellStart"/>
      <w:r w:rsidRPr="003B02FC">
        <w:rPr>
          <w:rFonts w:ascii="Times New Roman" w:eastAsia="Times New Roman" w:hAnsi="Times New Roman" w:cs="Times New Roman"/>
          <w:sz w:val="26"/>
          <w:szCs w:val="26"/>
          <w:lang w:val="en-GB" w:eastAsia="en-GB"/>
        </w:rPr>
        <w:t>behavior</w:t>
      </w:r>
      <w:proofErr w:type="spellEnd"/>
      <w:r w:rsidRPr="003B02FC">
        <w:rPr>
          <w:rFonts w:ascii="Times New Roman" w:eastAsia="Times New Roman" w:hAnsi="Times New Roman" w:cs="Times New Roman"/>
          <w:sz w:val="26"/>
          <w:szCs w:val="26"/>
          <w:lang w:val="en-GB" w:eastAsia="en-GB"/>
        </w:rPr>
        <w:t>. This decision was later mitigated by the 1961 Sports Broadcasting Act, which granted an antitrust exemption to allow collective selling under certain conditions (Szymanski, 2006)</w:t>
      </w:r>
      <w:r w:rsidR="00DC3C3E">
        <w:rPr>
          <w:rStyle w:val="Rimandonotaapidipagina"/>
          <w:rFonts w:ascii="Times New Roman" w:eastAsia="Times New Roman" w:hAnsi="Times New Roman" w:cs="Times New Roman"/>
          <w:sz w:val="26"/>
          <w:szCs w:val="26"/>
          <w:lang w:val="en-GB" w:eastAsia="en-GB"/>
        </w:rPr>
        <w:footnoteReference w:id="16"/>
      </w:r>
      <w:r w:rsidRPr="003B02FC">
        <w:rPr>
          <w:rFonts w:ascii="Times New Roman" w:eastAsia="Times New Roman" w:hAnsi="Times New Roman" w:cs="Times New Roman"/>
          <w:sz w:val="26"/>
          <w:szCs w:val="26"/>
          <w:lang w:val="en-GB" w:eastAsia="en-GB"/>
        </w:rPr>
        <w:t xml:space="preserve">. Similarly, in Europe, collective selling faced legal challenges. </w:t>
      </w:r>
      <w:r w:rsidRPr="00A54655">
        <w:rPr>
          <w:rFonts w:ascii="Times New Roman" w:eastAsia="Times New Roman" w:hAnsi="Times New Roman" w:cs="Times New Roman"/>
          <w:sz w:val="26"/>
          <w:szCs w:val="26"/>
          <w:lang w:val="en-GB" w:eastAsia="en-GB"/>
        </w:rPr>
        <w:t>For instance, the German courts initially ruled collective selling illegal, although the Bundesliga subsequently received an antitrust exemption from the German parliament (</w:t>
      </w:r>
      <w:proofErr w:type="spellStart"/>
      <w:r w:rsidRPr="00A54655">
        <w:rPr>
          <w:rFonts w:ascii="Times New Roman" w:eastAsia="Times New Roman" w:hAnsi="Times New Roman" w:cs="Times New Roman"/>
          <w:sz w:val="26"/>
          <w:szCs w:val="26"/>
          <w:lang w:val="en-GB" w:eastAsia="en-GB"/>
        </w:rPr>
        <w:t>Peeters</w:t>
      </w:r>
      <w:proofErr w:type="spellEnd"/>
      <w:r w:rsidRPr="00A54655">
        <w:rPr>
          <w:rFonts w:ascii="Times New Roman" w:eastAsia="Times New Roman" w:hAnsi="Times New Roman" w:cs="Times New Roman"/>
          <w:sz w:val="26"/>
          <w:szCs w:val="26"/>
          <w:lang w:val="en-GB" w:eastAsia="en-GB"/>
        </w:rPr>
        <w:t>, 2009)</w:t>
      </w:r>
      <w:r>
        <w:rPr>
          <w:rStyle w:val="Rimandonotaapidipagina"/>
          <w:rFonts w:ascii="Times New Roman" w:eastAsia="Times New Roman" w:hAnsi="Times New Roman" w:cs="Times New Roman"/>
          <w:sz w:val="26"/>
          <w:szCs w:val="26"/>
          <w:lang w:val="en-GB" w:eastAsia="en-GB"/>
        </w:rPr>
        <w:footnoteReference w:id="17"/>
      </w:r>
      <w:r w:rsidRPr="00A54655">
        <w:rPr>
          <w:rFonts w:ascii="Times New Roman" w:eastAsia="Times New Roman" w:hAnsi="Times New Roman" w:cs="Times New Roman"/>
          <w:sz w:val="26"/>
          <w:szCs w:val="26"/>
          <w:lang w:val="en-GB" w:eastAsia="en-GB"/>
        </w:rPr>
        <w:t>. In contrast, the English Premier League (EPL) successfully defended its right to sell broadcasting rights collectively in 1999 (</w:t>
      </w:r>
      <w:proofErr w:type="spellStart"/>
      <w:r w:rsidRPr="00A54655">
        <w:rPr>
          <w:rFonts w:ascii="Times New Roman" w:eastAsia="Times New Roman" w:hAnsi="Times New Roman" w:cs="Times New Roman"/>
          <w:sz w:val="26"/>
          <w:szCs w:val="26"/>
          <w:lang w:val="en-GB" w:eastAsia="en-GB"/>
        </w:rPr>
        <w:t>Geradin</w:t>
      </w:r>
      <w:proofErr w:type="spellEnd"/>
      <w:r w:rsidRPr="00A54655">
        <w:rPr>
          <w:rFonts w:ascii="Times New Roman" w:eastAsia="Times New Roman" w:hAnsi="Times New Roman" w:cs="Times New Roman"/>
          <w:sz w:val="26"/>
          <w:szCs w:val="26"/>
          <w:lang w:val="en-GB" w:eastAsia="en-GB"/>
        </w:rPr>
        <w:t>, 2005)</w:t>
      </w:r>
      <w:r w:rsidR="00E036A5">
        <w:rPr>
          <w:rStyle w:val="Rimandonotaapidipagina"/>
          <w:rFonts w:ascii="Times New Roman" w:eastAsia="Times New Roman" w:hAnsi="Times New Roman" w:cs="Times New Roman"/>
          <w:sz w:val="26"/>
          <w:szCs w:val="26"/>
          <w:lang w:val="en-GB" w:eastAsia="en-GB"/>
        </w:rPr>
        <w:footnoteReference w:id="18"/>
      </w:r>
      <w:r w:rsidRPr="00A54655">
        <w:rPr>
          <w:rFonts w:ascii="Times New Roman" w:eastAsia="Times New Roman" w:hAnsi="Times New Roman" w:cs="Times New Roman"/>
          <w:sz w:val="26"/>
          <w:szCs w:val="26"/>
          <w:lang w:val="en-GB" w:eastAsia="en-GB"/>
        </w:rPr>
        <w:t>.</w:t>
      </w:r>
    </w:p>
    <w:p w:rsidR="00AD0747" w:rsidRPr="00A54655" w:rsidRDefault="003B02FC" w:rsidP="003B02FC">
      <w:pPr>
        <w:spacing w:before="100" w:beforeAutospacing="1" w:after="100" w:afterAutospacing="1" w:line="276" w:lineRule="auto"/>
        <w:jc w:val="both"/>
        <w:rPr>
          <w:rFonts w:ascii="Times New Roman" w:eastAsia="Times New Roman" w:hAnsi="Times New Roman" w:cs="Times New Roman"/>
          <w:sz w:val="26"/>
          <w:szCs w:val="26"/>
          <w:lang w:val="en-GB" w:eastAsia="en-GB"/>
        </w:rPr>
      </w:pPr>
      <w:r w:rsidRPr="00A54655">
        <w:rPr>
          <w:rFonts w:ascii="Times New Roman" w:eastAsia="Times New Roman" w:hAnsi="Times New Roman" w:cs="Times New Roman"/>
          <w:sz w:val="26"/>
          <w:szCs w:val="26"/>
          <w:lang w:val="en-GB" w:eastAsia="en-GB"/>
        </w:rPr>
        <w:t>The European Commission's stance, as articulated in its 2007 White Paper on Sports, acknowledge</w:t>
      </w:r>
      <w:r w:rsidR="00E036A5">
        <w:rPr>
          <w:rFonts w:ascii="Times New Roman" w:eastAsia="Times New Roman" w:hAnsi="Times New Roman" w:cs="Times New Roman"/>
          <w:sz w:val="26"/>
          <w:szCs w:val="26"/>
          <w:lang w:val="en-GB" w:eastAsia="en-GB"/>
        </w:rPr>
        <w:t>d</w:t>
      </w:r>
      <w:r w:rsidRPr="00A54655">
        <w:rPr>
          <w:rFonts w:ascii="Times New Roman" w:eastAsia="Times New Roman" w:hAnsi="Times New Roman" w:cs="Times New Roman"/>
          <w:sz w:val="26"/>
          <w:szCs w:val="26"/>
          <w:lang w:val="en-GB" w:eastAsia="en-GB"/>
        </w:rPr>
        <w:t xml:space="preserve"> the potential competition concerns posed by collective selling but also recognize</w:t>
      </w:r>
      <w:r w:rsidR="00E036A5">
        <w:rPr>
          <w:rFonts w:ascii="Times New Roman" w:eastAsia="Times New Roman" w:hAnsi="Times New Roman" w:cs="Times New Roman"/>
          <w:sz w:val="26"/>
          <w:szCs w:val="26"/>
          <w:lang w:val="en-GB" w:eastAsia="en-GB"/>
        </w:rPr>
        <w:t>d</w:t>
      </w:r>
      <w:r w:rsidRPr="00A54655">
        <w:rPr>
          <w:rFonts w:ascii="Times New Roman" w:eastAsia="Times New Roman" w:hAnsi="Times New Roman" w:cs="Times New Roman"/>
          <w:sz w:val="26"/>
          <w:szCs w:val="26"/>
          <w:lang w:val="en-GB" w:eastAsia="en-GB"/>
        </w:rPr>
        <w:t xml:space="preserve"> its importance for income redistribution and maintaining competitive balance within sports leagues. The Commission has thus accepted collective selling under specific conditions, such as ensuring open and transparent tender procedures and limiting the duration of broadcasting contracts to three years</w:t>
      </w:r>
      <w:r w:rsidR="00E036A5">
        <w:rPr>
          <w:rStyle w:val="Rimandonotaapidipagina"/>
          <w:rFonts w:ascii="Times New Roman" w:eastAsia="Times New Roman" w:hAnsi="Times New Roman" w:cs="Times New Roman"/>
          <w:sz w:val="26"/>
          <w:szCs w:val="26"/>
          <w:lang w:val="en-GB" w:eastAsia="en-GB"/>
        </w:rPr>
        <w:footnoteReference w:id="19"/>
      </w:r>
      <w:r w:rsidRPr="00A54655">
        <w:rPr>
          <w:rFonts w:ascii="Times New Roman" w:eastAsia="Times New Roman" w:hAnsi="Times New Roman" w:cs="Times New Roman"/>
          <w:sz w:val="26"/>
          <w:szCs w:val="26"/>
          <w:lang w:val="en-GB" w:eastAsia="en-GB"/>
        </w:rPr>
        <w:t>)</w:t>
      </w:r>
      <w:r w:rsidR="00AD0747" w:rsidRPr="00AD0747">
        <w:rPr>
          <w:rFonts w:ascii="Times New Roman" w:eastAsia="Times New Roman" w:hAnsi="Times New Roman" w:cs="Times New Roman"/>
          <w:sz w:val="26"/>
          <w:szCs w:val="26"/>
          <w:lang w:val="en-GB" w:eastAsia="en-GB"/>
        </w:rPr>
        <w:t>.</w:t>
      </w:r>
    </w:p>
    <w:p w:rsidR="003B02FC" w:rsidRPr="003B02FC" w:rsidRDefault="003B02FC" w:rsidP="003B02FC">
      <w:pPr>
        <w:pStyle w:val="Titolo2"/>
        <w:keepLines w:val="0"/>
        <w:spacing w:before="0" w:line="240" w:lineRule="auto"/>
        <w:rPr>
          <w:rFonts w:ascii="Times New Roman" w:eastAsia="Times New Roman" w:hAnsi="Times New Roman" w:cs="Times New Roman"/>
          <w:b/>
          <w:bCs/>
          <w:i/>
          <w:iCs/>
          <w:color w:val="auto"/>
          <w:lang w:val="en-GB"/>
        </w:rPr>
      </w:pPr>
      <w:bookmarkStart w:id="9" w:name="_Toc177052146"/>
      <w:r>
        <w:rPr>
          <w:rFonts w:ascii="Times New Roman" w:eastAsia="Times New Roman" w:hAnsi="Times New Roman" w:cs="Times New Roman"/>
          <w:b/>
          <w:bCs/>
          <w:i/>
          <w:iCs/>
          <w:color w:val="auto"/>
          <w:lang w:val="en-GB"/>
        </w:rPr>
        <w:t>I</w:t>
      </w:r>
      <w:r w:rsidR="00B9265B">
        <w:rPr>
          <w:rFonts w:ascii="Times New Roman" w:eastAsia="Times New Roman" w:hAnsi="Times New Roman" w:cs="Times New Roman"/>
          <w:b/>
          <w:bCs/>
          <w:i/>
          <w:iCs/>
          <w:color w:val="auto"/>
          <w:lang w:val="en-GB"/>
        </w:rPr>
        <w:t>I</w:t>
      </w:r>
      <w:r>
        <w:rPr>
          <w:rFonts w:ascii="Times New Roman" w:eastAsia="Times New Roman" w:hAnsi="Times New Roman" w:cs="Times New Roman"/>
          <w:b/>
          <w:bCs/>
          <w:i/>
          <w:iCs/>
          <w:color w:val="auto"/>
          <w:lang w:val="en-GB"/>
        </w:rPr>
        <w:t>I. 3 The economic a</w:t>
      </w:r>
      <w:r w:rsidRPr="003B02FC">
        <w:rPr>
          <w:rFonts w:ascii="Times New Roman" w:eastAsia="Times New Roman" w:hAnsi="Times New Roman" w:cs="Times New Roman"/>
          <w:b/>
          <w:bCs/>
          <w:i/>
          <w:iCs/>
          <w:color w:val="auto"/>
          <w:lang w:val="en-GB"/>
        </w:rPr>
        <w:t>pproach</w:t>
      </w:r>
      <w:r>
        <w:rPr>
          <w:rFonts w:ascii="Times New Roman" w:eastAsia="Times New Roman" w:hAnsi="Times New Roman" w:cs="Times New Roman"/>
          <w:b/>
          <w:bCs/>
          <w:i/>
          <w:iCs/>
          <w:color w:val="auto"/>
          <w:lang w:val="en-GB"/>
        </w:rPr>
        <w:t xml:space="preserve"> to right sale</w:t>
      </w:r>
      <w:bookmarkEnd w:id="9"/>
    </w:p>
    <w:p w:rsidR="008B60DC" w:rsidRPr="00A54655" w:rsidRDefault="003B02FC" w:rsidP="003B02FC">
      <w:pPr>
        <w:spacing w:before="100" w:beforeAutospacing="1" w:after="100" w:afterAutospacing="1" w:line="276" w:lineRule="auto"/>
        <w:jc w:val="both"/>
        <w:rPr>
          <w:rFonts w:ascii="Times New Roman" w:eastAsia="Times New Roman" w:hAnsi="Times New Roman" w:cs="Times New Roman"/>
          <w:sz w:val="26"/>
          <w:szCs w:val="26"/>
          <w:lang w:val="en-GB" w:eastAsia="en-GB"/>
        </w:rPr>
      </w:pPr>
      <w:r w:rsidRPr="00A54655">
        <w:rPr>
          <w:rFonts w:ascii="Times New Roman" w:eastAsia="Times New Roman" w:hAnsi="Times New Roman" w:cs="Times New Roman"/>
          <w:sz w:val="26"/>
          <w:szCs w:val="26"/>
          <w:lang w:val="en-GB" w:eastAsia="en-GB"/>
        </w:rPr>
        <w:t>Economically, the collective sale of broadcasting rights is often justified on the grounds of maintaining competitive balance within leagues.</w:t>
      </w:r>
      <w:r w:rsidR="009E3D9E">
        <w:rPr>
          <w:rFonts w:ascii="Times New Roman" w:eastAsia="Times New Roman" w:hAnsi="Times New Roman" w:cs="Times New Roman"/>
          <w:sz w:val="26"/>
          <w:szCs w:val="26"/>
          <w:lang w:val="en-GB" w:eastAsia="en-GB"/>
        </w:rPr>
        <w:t xml:space="preserve"> Football teams benefit from this primary source of revenue and</w:t>
      </w:r>
      <w:r w:rsidRPr="00A54655">
        <w:rPr>
          <w:rFonts w:ascii="Times New Roman" w:eastAsia="Times New Roman" w:hAnsi="Times New Roman" w:cs="Times New Roman"/>
          <w:sz w:val="26"/>
          <w:szCs w:val="26"/>
          <w:lang w:val="en-GB" w:eastAsia="en-GB"/>
        </w:rPr>
        <w:t xml:space="preserve"> </w:t>
      </w:r>
      <w:r w:rsidR="009E3D9E">
        <w:rPr>
          <w:rFonts w:ascii="Times New Roman" w:eastAsia="Times New Roman" w:hAnsi="Times New Roman" w:cs="Times New Roman"/>
          <w:sz w:val="26"/>
          <w:szCs w:val="26"/>
          <w:lang w:val="en-GB" w:eastAsia="en-GB"/>
        </w:rPr>
        <w:t>rights pooling</w:t>
      </w:r>
      <w:r w:rsidRPr="00A54655">
        <w:rPr>
          <w:rFonts w:ascii="Times New Roman" w:eastAsia="Times New Roman" w:hAnsi="Times New Roman" w:cs="Times New Roman"/>
          <w:sz w:val="26"/>
          <w:szCs w:val="26"/>
          <w:lang w:val="en-GB" w:eastAsia="en-GB"/>
        </w:rPr>
        <w:t xml:space="preserve"> allows for a more equitable distribution of revenues among clubs, </w:t>
      </w:r>
      <w:r w:rsidR="009E3D9E">
        <w:rPr>
          <w:rFonts w:ascii="Times New Roman" w:eastAsia="Times New Roman" w:hAnsi="Times New Roman" w:cs="Times New Roman"/>
          <w:sz w:val="26"/>
          <w:szCs w:val="26"/>
          <w:lang w:val="en-GB" w:eastAsia="en-GB"/>
        </w:rPr>
        <w:t>helping</w:t>
      </w:r>
      <w:r w:rsidRPr="00A54655">
        <w:rPr>
          <w:rFonts w:ascii="Times New Roman" w:eastAsia="Times New Roman" w:hAnsi="Times New Roman" w:cs="Times New Roman"/>
          <w:sz w:val="26"/>
          <w:szCs w:val="26"/>
          <w:lang w:val="en-GB" w:eastAsia="en-GB"/>
        </w:rPr>
        <w:t xml:space="preserve"> smaller clubs</w:t>
      </w:r>
      <w:r w:rsidR="009E3D9E">
        <w:rPr>
          <w:rFonts w:ascii="Times New Roman" w:eastAsia="Times New Roman" w:hAnsi="Times New Roman" w:cs="Times New Roman"/>
          <w:sz w:val="26"/>
          <w:szCs w:val="26"/>
          <w:lang w:val="en-GB" w:eastAsia="en-GB"/>
        </w:rPr>
        <w:t xml:space="preserve"> to</w:t>
      </w:r>
      <w:r w:rsidRPr="00A54655">
        <w:rPr>
          <w:rFonts w:ascii="Times New Roman" w:eastAsia="Times New Roman" w:hAnsi="Times New Roman" w:cs="Times New Roman"/>
          <w:sz w:val="26"/>
          <w:szCs w:val="26"/>
          <w:lang w:val="en-GB" w:eastAsia="en-GB"/>
        </w:rPr>
        <w:t xml:space="preserve"> compete with </w:t>
      </w:r>
      <w:r w:rsidR="009E3D9E">
        <w:rPr>
          <w:rFonts w:ascii="Times New Roman" w:eastAsia="Times New Roman" w:hAnsi="Times New Roman" w:cs="Times New Roman"/>
          <w:sz w:val="26"/>
          <w:szCs w:val="26"/>
          <w:lang w:val="en-GB" w:eastAsia="en-GB"/>
        </w:rPr>
        <w:t>richer</w:t>
      </w:r>
      <w:r w:rsidRPr="00A54655">
        <w:rPr>
          <w:rFonts w:ascii="Times New Roman" w:eastAsia="Times New Roman" w:hAnsi="Times New Roman" w:cs="Times New Roman"/>
          <w:sz w:val="26"/>
          <w:szCs w:val="26"/>
          <w:lang w:val="en-GB" w:eastAsia="en-GB"/>
        </w:rPr>
        <w:t xml:space="preserve"> ones, thus </w:t>
      </w:r>
      <w:r w:rsidR="009E3D9E">
        <w:rPr>
          <w:rFonts w:ascii="Times New Roman" w:eastAsia="Times New Roman" w:hAnsi="Times New Roman" w:cs="Times New Roman"/>
          <w:sz w:val="26"/>
          <w:szCs w:val="26"/>
          <w:lang w:val="en-GB" w:eastAsia="en-GB"/>
        </w:rPr>
        <w:t>fostering</w:t>
      </w:r>
      <w:r w:rsidRPr="00A54655">
        <w:rPr>
          <w:rFonts w:ascii="Times New Roman" w:eastAsia="Times New Roman" w:hAnsi="Times New Roman" w:cs="Times New Roman"/>
          <w:sz w:val="26"/>
          <w:szCs w:val="26"/>
          <w:lang w:val="en-GB" w:eastAsia="en-GB"/>
        </w:rPr>
        <w:t xml:space="preserve"> a more balanced and competitive league (</w:t>
      </w:r>
      <w:proofErr w:type="spellStart"/>
      <w:r w:rsidRPr="00A54655">
        <w:rPr>
          <w:rFonts w:ascii="Times New Roman" w:eastAsia="Times New Roman" w:hAnsi="Times New Roman" w:cs="Times New Roman"/>
          <w:sz w:val="26"/>
          <w:szCs w:val="26"/>
          <w:lang w:val="en-GB" w:eastAsia="en-GB"/>
        </w:rPr>
        <w:t>Budzinski</w:t>
      </w:r>
      <w:proofErr w:type="spellEnd"/>
      <w:r w:rsidRPr="00A54655">
        <w:rPr>
          <w:rFonts w:ascii="Times New Roman" w:eastAsia="Times New Roman" w:hAnsi="Times New Roman" w:cs="Times New Roman"/>
          <w:sz w:val="26"/>
          <w:szCs w:val="26"/>
          <w:lang w:val="en-GB" w:eastAsia="en-GB"/>
        </w:rPr>
        <w:t>, 2006)</w:t>
      </w:r>
      <w:r w:rsidR="00E036A5">
        <w:rPr>
          <w:rStyle w:val="Rimandonotaapidipagina"/>
          <w:rFonts w:ascii="Times New Roman" w:eastAsia="Times New Roman" w:hAnsi="Times New Roman" w:cs="Times New Roman"/>
          <w:sz w:val="26"/>
          <w:szCs w:val="26"/>
          <w:lang w:val="en-GB" w:eastAsia="en-GB"/>
        </w:rPr>
        <w:footnoteReference w:id="20"/>
      </w:r>
      <w:r w:rsidRPr="00A54655">
        <w:rPr>
          <w:rFonts w:ascii="Times New Roman" w:eastAsia="Times New Roman" w:hAnsi="Times New Roman" w:cs="Times New Roman"/>
          <w:sz w:val="26"/>
          <w:szCs w:val="26"/>
          <w:lang w:val="en-GB" w:eastAsia="en-GB"/>
        </w:rPr>
        <w:t xml:space="preserve">. This rationale is particularly emphasized in the context of European </w:t>
      </w:r>
      <w:r w:rsidR="00E036A5">
        <w:rPr>
          <w:rFonts w:ascii="Times New Roman" w:eastAsia="Times New Roman" w:hAnsi="Times New Roman" w:cs="Times New Roman"/>
          <w:sz w:val="26"/>
          <w:szCs w:val="26"/>
          <w:lang w:val="en-GB" w:eastAsia="en-GB"/>
        </w:rPr>
        <w:t>football</w:t>
      </w:r>
      <w:r w:rsidRPr="00A54655">
        <w:rPr>
          <w:rFonts w:ascii="Times New Roman" w:eastAsia="Times New Roman" w:hAnsi="Times New Roman" w:cs="Times New Roman"/>
          <w:sz w:val="26"/>
          <w:szCs w:val="26"/>
          <w:lang w:val="en-GB" w:eastAsia="en-GB"/>
        </w:rPr>
        <w:t xml:space="preserve">, where disparities in club revenues can be </w:t>
      </w:r>
      <w:r w:rsidR="009E3D9E">
        <w:rPr>
          <w:rFonts w:ascii="Times New Roman" w:eastAsia="Times New Roman" w:hAnsi="Times New Roman" w:cs="Times New Roman"/>
          <w:sz w:val="26"/>
          <w:szCs w:val="26"/>
          <w:lang w:val="en-GB" w:eastAsia="en-GB"/>
        </w:rPr>
        <w:t xml:space="preserve">highly </w:t>
      </w:r>
      <w:r w:rsidR="009E3D9E" w:rsidRPr="009E3D9E">
        <w:rPr>
          <w:rFonts w:ascii="Times New Roman" w:eastAsia="Times New Roman" w:hAnsi="Times New Roman" w:cs="Times New Roman"/>
          <w:sz w:val="26"/>
          <w:szCs w:val="26"/>
          <w:lang w:val="en-GB" w:eastAsia="en-GB"/>
        </w:rPr>
        <w:t xml:space="preserve">disproportionate </w:t>
      </w:r>
      <w:r w:rsidRPr="00A54655">
        <w:rPr>
          <w:rFonts w:ascii="Times New Roman" w:eastAsia="Times New Roman" w:hAnsi="Times New Roman" w:cs="Times New Roman"/>
          <w:sz w:val="26"/>
          <w:szCs w:val="26"/>
          <w:lang w:val="en-GB" w:eastAsia="en-GB"/>
        </w:rPr>
        <w:t>(</w:t>
      </w:r>
      <w:proofErr w:type="spellStart"/>
      <w:r w:rsidRPr="00A54655">
        <w:rPr>
          <w:rFonts w:ascii="Times New Roman" w:eastAsia="Times New Roman" w:hAnsi="Times New Roman" w:cs="Times New Roman"/>
          <w:sz w:val="26"/>
          <w:szCs w:val="26"/>
          <w:lang w:val="en-GB" w:eastAsia="en-GB"/>
        </w:rPr>
        <w:t>Peeters</w:t>
      </w:r>
      <w:proofErr w:type="spellEnd"/>
      <w:r w:rsidRPr="00A54655">
        <w:rPr>
          <w:rFonts w:ascii="Times New Roman" w:eastAsia="Times New Roman" w:hAnsi="Times New Roman" w:cs="Times New Roman"/>
          <w:sz w:val="26"/>
          <w:szCs w:val="26"/>
          <w:lang w:val="en-GB" w:eastAsia="en-GB"/>
        </w:rPr>
        <w:t>, 2009)</w:t>
      </w:r>
      <w:r w:rsidR="00E036A5">
        <w:rPr>
          <w:rStyle w:val="Rimandonotaapidipagina"/>
          <w:rFonts w:ascii="Times New Roman" w:eastAsia="Times New Roman" w:hAnsi="Times New Roman" w:cs="Times New Roman"/>
          <w:sz w:val="26"/>
          <w:szCs w:val="26"/>
          <w:lang w:val="en-GB" w:eastAsia="en-GB"/>
        </w:rPr>
        <w:footnoteReference w:id="21"/>
      </w:r>
      <w:r w:rsidRPr="00A54655">
        <w:rPr>
          <w:rFonts w:ascii="Times New Roman" w:eastAsia="Times New Roman" w:hAnsi="Times New Roman" w:cs="Times New Roman"/>
          <w:sz w:val="26"/>
          <w:szCs w:val="26"/>
          <w:lang w:val="en-GB" w:eastAsia="en-GB"/>
        </w:rPr>
        <w:t>.</w:t>
      </w:r>
      <w:r w:rsidR="00DC3C3E">
        <w:rPr>
          <w:rFonts w:ascii="Times New Roman" w:eastAsia="Times New Roman" w:hAnsi="Times New Roman" w:cs="Times New Roman"/>
          <w:sz w:val="26"/>
          <w:szCs w:val="26"/>
          <w:lang w:val="en-GB" w:eastAsia="en-GB"/>
        </w:rPr>
        <w:t xml:space="preserve"> </w:t>
      </w:r>
      <w:r w:rsidRPr="00A54655">
        <w:rPr>
          <w:rFonts w:ascii="Times New Roman" w:eastAsia="Times New Roman" w:hAnsi="Times New Roman" w:cs="Times New Roman"/>
          <w:sz w:val="26"/>
          <w:szCs w:val="26"/>
          <w:lang w:val="en-GB" w:eastAsia="en-GB"/>
        </w:rPr>
        <w:t xml:space="preserve">However, empirical studies provide mixed evidence on the effectiveness of </w:t>
      </w:r>
      <w:r w:rsidRPr="00A54655">
        <w:rPr>
          <w:rFonts w:ascii="Times New Roman" w:eastAsia="Times New Roman" w:hAnsi="Times New Roman" w:cs="Times New Roman"/>
          <w:sz w:val="26"/>
          <w:szCs w:val="26"/>
          <w:lang w:val="en-GB" w:eastAsia="en-GB"/>
        </w:rPr>
        <w:lastRenderedPageBreak/>
        <w:t xml:space="preserve">collective selling in enhancing competitive balance. Thomas </w:t>
      </w:r>
      <w:proofErr w:type="spellStart"/>
      <w:r w:rsidRPr="00A54655">
        <w:rPr>
          <w:rFonts w:ascii="Times New Roman" w:eastAsia="Times New Roman" w:hAnsi="Times New Roman" w:cs="Times New Roman"/>
          <w:sz w:val="26"/>
          <w:szCs w:val="26"/>
          <w:lang w:val="en-GB" w:eastAsia="en-GB"/>
        </w:rPr>
        <w:t>Peeters</w:t>
      </w:r>
      <w:proofErr w:type="spellEnd"/>
      <w:r w:rsidRPr="00A54655">
        <w:rPr>
          <w:rFonts w:ascii="Times New Roman" w:eastAsia="Times New Roman" w:hAnsi="Times New Roman" w:cs="Times New Roman"/>
          <w:sz w:val="26"/>
          <w:szCs w:val="26"/>
          <w:lang w:val="en-GB" w:eastAsia="en-GB"/>
        </w:rPr>
        <w:t xml:space="preserve"> argues that in European soccer, collective sales do not necessarily increase competitive balance compared to individual sales (</w:t>
      </w:r>
      <w:proofErr w:type="spellStart"/>
      <w:r w:rsidRPr="00A54655">
        <w:rPr>
          <w:rFonts w:ascii="Times New Roman" w:eastAsia="Times New Roman" w:hAnsi="Times New Roman" w:cs="Times New Roman"/>
          <w:sz w:val="26"/>
          <w:szCs w:val="26"/>
          <w:lang w:val="en-GB" w:eastAsia="en-GB"/>
        </w:rPr>
        <w:t>Peeters</w:t>
      </w:r>
      <w:proofErr w:type="spellEnd"/>
      <w:r w:rsidRPr="00A54655">
        <w:rPr>
          <w:rFonts w:ascii="Times New Roman" w:eastAsia="Times New Roman" w:hAnsi="Times New Roman" w:cs="Times New Roman"/>
          <w:sz w:val="26"/>
          <w:szCs w:val="26"/>
          <w:lang w:val="en-GB" w:eastAsia="en-GB"/>
        </w:rPr>
        <w:t>, 2009)</w:t>
      </w:r>
      <w:r w:rsidR="00E036A5">
        <w:rPr>
          <w:rStyle w:val="Rimandonotaapidipagina"/>
          <w:rFonts w:ascii="Times New Roman" w:eastAsia="Times New Roman" w:hAnsi="Times New Roman" w:cs="Times New Roman"/>
          <w:sz w:val="26"/>
          <w:szCs w:val="26"/>
          <w:lang w:val="en-GB" w:eastAsia="en-GB"/>
        </w:rPr>
        <w:footnoteReference w:id="22"/>
      </w:r>
      <w:r w:rsidRPr="00A54655">
        <w:rPr>
          <w:rFonts w:ascii="Times New Roman" w:eastAsia="Times New Roman" w:hAnsi="Times New Roman" w:cs="Times New Roman"/>
          <w:sz w:val="26"/>
          <w:szCs w:val="26"/>
          <w:lang w:val="en-GB" w:eastAsia="en-GB"/>
        </w:rPr>
        <w:t>. Moreover, the significant financial rewards from competitions like the UEFA Champions League have been shown to exacerbate competitive imbalances at the national level, as successful clubs accumulate disproportionate revenues from these events (</w:t>
      </w:r>
      <w:proofErr w:type="spellStart"/>
      <w:r w:rsidRPr="00A54655">
        <w:rPr>
          <w:rFonts w:ascii="Times New Roman" w:eastAsia="Times New Roman" w:hAnsi="Times New Roman" w:cs="Times New Roman"/>
          <w:sz w:val="26"/>
          <w:szCs w:val="26"/>
          <w:lang w:val="en-GB" w:eastAsia="en-GB"/>
        </w:rPr>
        <w:t>Peeters</w:t>
      </w:r>
      <w:proofErr w:type="spellEnd"/>
      <w:r w:rsidRPr="00A54655">
        <w:rPr>
          <w:rFonts w:ascii="Times New Roman" w:eastAsia="Times New Roman" w:hAnsi="Times New Roman" w:cs="Times New Roman"/>
          <w:sz w:val="26"/>
          <w:szCs w:val="26"/>
          <w:lang w:val="en-GB" w:eastAsia="en-GB"/>
        </w:rPr>
        <w:t>, 2009)</w:t>
      </w:r>
      <w:r w:rsidR="00E036A5">
        <w:rPr>
          <w:rStyle w:val="Rimandonotaapidipagina"/>
          <w:rFonts w:ascii="Times New Roman" w:eastAsia="Times New Roman" w:hAnsi="Times New Roman" w:cs="Times New Roman"/>
          <w:sz w:val="26"/>
          <w:szCs w:val="26"/>
          <w:lang w:val="en-GB" w:eastAsia="en-GB"/>
        </w:rPr>
        <w:footnoteReference w:id="23"/>
      </w:r>
      <w:r w:rsidRPr="00A54655">
        <w:rPr>
          <w:rFonts w:ascii="Times New Roman" w:eastAsia="Times New Roman" w:hAnsi="Times New Roman" w:cs="Times New Roman"/>
          <w:sz w:val="26"/>
          <w:szCs w:val="26"/>
          <w:lang w:val="en-GB" w:eastAsia="en-GB"/>
        </w:rPr>
        <w:t>.</w:t>
      </w:r>
      <w:r w:rsidR="00AD0747">
        <w:rPr>
          <w:rFonts w:ascii="Times New Roman" w:eastAsia="Times New Roman" w:hAnsi="Times New Roman" w:cs="Times New Roman"/>
          <w:sz w:val="26"/>
          <w:szCs w:val="26"/>
          <w:lang w:val="en-GB" w:eastAsia="en-GB"/>
        </w:rPr>
        <w:t xml:space="preserve"> </w:t>
      </w:r>
      <w:r w:rsidRPr="00A54655">
        <w:rPr>
          <w:rFonts w:ascii="Times New Roman" w:eastAsia="Times New Roman" w:hAnsi="Times New Roman" w:cs="Times New Roman"/>
          <w:sz w:val="26"/>
          <w:szCs w:val="26"/>
          <w:lang w:val="en-GB" w:eastAsia="en-GB"/>
        </w:rPr>
        <w:t xml:space="preserve">The economic theory underpinning collective selling </w:t>
      </w:r>
      <w:r w:rsidR="0019750B" w:rsidRPr="00A54655">
        <w:rPr>
          <w:rFonts w:ascii="Times New Roman" w:eastAsia="Times New Roman" w:hAnsi="Times New Roman" w:cs="Times New Roman"/>
          <w:sz w:val="26"/>
          <w:szCs w:val="26"/>
          <w:lang w:val="en-GB" w:eastAsia="en-GB"/>
        </w:rPr>
        <w:t>advises</w:t>
      </w:r>
      <w:r w:rsidRPr="00A54655">
        <w:rPr>
          <w:rFonts w:ascii="Times New Roman" w:eastAsia="Times New Roman" w:hAnsi="Times New Roman" w:cs="Times New Roman"/>
          <w:sz w:val="26"/>
          <w:szCs w:val="26"/>
          <w:lang w:val="en-GB" w:eastAsia="en-GB"/>
        </w:rPr>
        <w:t xml:space="preserve"> that </w:t>
      </w:r>
      <w:r w:rsidR="0019750B">
        <w:rPr>
          <w:rFonts w:ascii="Times New Roman" w:eastAsia="Times New Roman" w:hAnsi="Times New Roman" w:cs="Times New Roman"/>
          <w:sz w:val="26"/>
          <w:szCs w:val="26"/>
          <w:lang w:val="en-GB" w:eastAsia="en-GB"/>
        </w:rPr>
        <w:t>such practice</w:t>
      </w:r>
      <w:r w:rsidR="00180DB2">
        <w:rPr>
          <w:rFonts w:ascii="Times New Roman" w:eastAsia="Times New Roman" w:hAnsi="Times New Roman" w:cs="Times New Roman"/>
          <w:sz w:val="26"/>
          <w:szCs w:val="26"/>
          <w:lang w:val="en-GB" w:eastAsia="en-GB"/>
        </w:rPr>
        <w:t xml:space="preserve"> of gathering all clubs’ rights together</w:t>
      </w:r>
      <w:r w:rsidRPr="00A54655">
        <w:rPr>
          <w:rFonts w:ascii="Times New Roman" w:eastAsia="Times New Roman" w:hAnsi="Times New Roman" w:cs="Times New Roman"/>
          <w:sz w:val="26"/>
          <w:szCs w:val="26"/>
          <w:lang w:val="en-GB" w:eastAsia="en-GB"/>
        </w:rPr>
        <w:t xml:space="preserve"> can create a form of monopoly, where the </w:t>
      </w:r>
      <w:r w:rsidR="00180DB2">
        <w:rPr>
          <w:rFonts w:ascii="Times New Roman" w:eastAsia="Times New Roman" w:hAnsi="Times New Roman" w:cs="Times New Roman"/>
          <w:sz w:val="26"/>
          <w:szCs w:val="26"/>
          <w:lang w:val="en-GB" w:eastAsia="en-GB"/>
        </w:rPr>
        <w:t xml:space="preserve">clubs’ </w:t>
      </w:r>
      <w:r w:rsidRPr="00A54655">
        <w:rPr>
          <w:rFonts w:ascii="Times New Roman" w:eastAsia="Times New Roman" w:hAnsi="Times New Roman" w:cs="Times New Roman"/>
          <w:sz w:val="26"/>
          <w:szCs w:val="26"/>
          <w:lang w:val="en-GB" w:eastAsia="en-GB"/>
        </w:rPr>
        <w:t>league</w:t>
      </w:r>
      <w:r w:rsidR="00180DB2">
        <w:rPr>
          <w:rFonts w:ascii="Times New Roman" w:eastAsia="Times New Roman" w:hAnsi="Times New Roman" w:cs="Times New Roman"/>
          <w:sz w:val="26"/>
          <w:szCs w:val="26"/>
          <w:lang w:val="en-GB" w:eastAsia="en-GB"/>
        </w:rPr>
        <w:t xml:space="preserve">, </w:t>
      </w:r>
      <w:r w:rsidRPr="00A54655">
        <w:rPr>
          <w:rFonts w:ascii="Times New Roman" w:eastAsia="Times New Roman" w:hAnsi="Times New Roman" w:cs="Times New Roman"/>
          <w:sz w:val="26"/>
          <w:szCs w:val="26"/>
          <w:lang w:val="en-GB" w:eastAsia="en-GB"/>
        </w:rPr>
        <w:t>act</w:t>
      </w:r>
      <w:r w:rsidR="00180DB2">
        <w:rPr>
          <w:rFonts w:ascii="Times New Roman" w:eastAsia="Times New Roman" w:hAnsi="Times New Roman" w:cs="Times New Roman"/>
          <w:sz w:val="26"/>
          <w:szCs w:val="26"/>
          <w:lang w:val="en-GB" w:eastAsia="en-GB"/>
        </w:rPr>
        <w:t>ing</w:t>
      </w:r>
      <w:r w:rsidRPr="00A54655">
        <w:rPr>
          <w:rFonts w:ascii="Times New Roman" w:eastAsia="Times New Roman" w:hAnsi="Times New Roman" w:cs="Times New Roman"/>
          <w:sz w:val="26"/>
          <w:szCs w:val="26"/>
          <w:lang w:val="en-GB" w:eastAsia="en-GB"/>
        </w:rPr>
        <w:t xml:space="preserve"> as a single seller of broadcasting rights,</w:t>
      </w:r>
      <w:r w:rsidR="00180DB2">
        <w:rPr>
          <w:rFonts w:ascii="Times New Roman" w:eastAsia="Times New Roman" w:hAnsi="Times New Roman" w:cs="Times New Roman"/>
          <w:sz w:val="26"/>
          <w:szCs w:val="26"/>
          <w:lang w:val="en-GB" w:eastAsia="en-GB"/>
        </w:rPr>
        <w:t xml:space="preserve"> enjoys its market power,</w:t>
      </w:r>
      <w:r w:rsidRPr="00A54655">
        <w:rPr>
          <w:rFonts w:ascii="Times New Roman" w:eastAsia="Times New Roman" w:hAnsi="Times New Roman" w:cs="Times New Roman"/>
          <w:sz w:val="26"/>
          <w:szCs w:val="26"/>
          <w:lang w:val="en-GB" w:eastAsia="en-GB"/>
        </w:rPr>
        <w:t xml:space="preserve"> potentially driving up prices and limiting output to maximize joint profits. This can have adverse effects on consumer welfare, particularly </w:t>
      </w:r>
      <w:r w:rsidR="00180DB2">
        <w:rPr>
          <w:rFonts w:ascii="Times New Roman" w:eastAsia="Times New Roman" w:hAnsi="Times New Roman" w:cs="Times New Roman"/>
          <w:sz w:val="26"/>
          <w:szCs w:val="26"/>
          <w:lang w:val="en-GB" w:eastAsia="en-GB"/>
        </w:rPr>
        <w:t>leading</w:t>
      </w:r>
      <w:r w:rsidRPr="00A54655">
        <w:rPr>
          <w:rFonts w:ascii="Times New Roman" w:eastAsia="Times New Roman" w:hAnsi="Times New Roman" w:cs="Times New Roman"/>
          <w:sz w:val="26"/>
          <w:szCs w:val="26"/>
          <w:lang w:val="en-GB" w:eastAsia="en-GB"/>
        </w:rPr>
        <w:t xml:space="preserve"> to higher prices for broadcast subscriptions or reduced access to sports content (</w:t>
      </w:r>
      <w:proofErr w:type="spellStart"/>
      <w:r w:rsidRPr="00A54655">
        <w:rPr>
          <w:rFonts w:ascii="Times New Roman" w:eastAsia="Times New Roman" w:hAnsi="Times New Roman" w:cs="Times New Roman"/>
          <w:sz w:val="26"/>
          <w:szCs w:val="26"/>
          <w:lang w:val="en-GB" w:eastAsia="en-GB"/>
        </w:rPr>
        <w:t>Geradin</w:t>
      </w:r>
      <w:proofErr w:type="spellEnd"/>
      <w:r w:rsidRPr="00A54655">
        <w:rPr>
          <w:rFonts w:ascii="Times New Roman" w:eastAsia="Times New Roman" w:hAnsi="Times New Roman" w:cs="Times New Roman"/>
          <w:sz w:val="26"/>
          <w:szCs w:val="26"/>
          <w:lang w:val="en-GB" w:eastAsia="en-GB"/>
        </w:rPr>
        <w:t>, 2005)</w:t>
      </w:r>
      <w:r w:rsidR="003C03C8">
        <w:rPr>
          <w:rStyle w:val="Rimandonotaapidipagina"/>
          <w:rFonts w:ascii="Times New Roman" w:eastAsia="Times New Roman" w:hAnsi="Times New Roman" w:cs="Times New Roman"/>
          <w:sz w:val="26"/>
          <w:szCs w:val="26"/>
          <w:lang w:val="en-GB" w:eastAsia="en-GB"/>
        </w:rPr>
        <w:footnoteReference w:id="24"/>
      </w:r>
      <w:r w:rsidRPr="00A54655">
        <w:rPr>
          <w:rFonts w:ascii="Times New Roman" w:eastAsia="Times New Roman" w:hAnsi="Times New Roman" w:cs="Times New Roman"/>
          <w:sz w:val="26"/>
          <w:szCs w:val="26"/>
          <w:lang w:val="en-GB" w:eastAsia="en-GB"/>
        </w:rPr>
        <w:t>.</w:t>
      </w:r>
      <w:r w:rsidR="00AD0747">
        <w:rPr>
          <w:rFonts w:ascii="Times New Roman" w:eastAsia="Times New Roman" w:hAnsi="Times New Roman" w:cs="Times New Roman"/>
          <w:sz w:val="26"/>
          <w:szCs w:val="26"/>
          <w:lang w:val="en-GB" w:eastAsia="en-GB"/>
        </w:rPr>
        <w:t xml:space="preserve"> </w:t>
      </w:r>
      <w:r w:rsidR="003C03C8" w:rsidRPr="00A54655">
        <w:rPr>
          <w:rFonts w:ascii="Times New Roman" w:eastAsia="Times New Roman" w:hAnsi="Times New Roman" w:cs="Times New Roman"/>
          <w:sz w:val="26"/>
          <w:szCs w:val="26"/>
          <w:lang w:val="en-GB" w:eastAsia="en-GB"/>
        </w:rPr>
        <w:t>Brand and Niemann explore the economic benefits of collective sales of broadcasting rights. They argue that bundling these rights allows leagues to negotiate higher revenues, which can be redistributed to maintain competitive balance within the league. This centralized approach contrasts with individual sales, which could fragment the market and reduce overall revenues (Brand &amp; Niemann, 2008)</w:t>
      </w:r>
      <w:r w:rsidR="003C03C8">
        <w:rPr>
          <w:rStyle w:val="Rimandonotaapidipagina"/>
          <w:rFonts w:ascii="Times New Roman" w:eastAsia="Times New Roman" w:hAnsi="Times New Roman" w:cs="Times New Roman"/>
          <w:sz w:val="26"/>
          <w:szCs w:val="26"/>
          <w:lang w:val="en-GB" w:eastAsia="en-GB"/>
        </w:rPr>
        <w:footnoteReference w:id="25"/>
      </w:r>
      <w:r w:rsidR="003C03C8" w:rsidRPr="00A54655">
        <w:rPr>
          <w:rFonts w:ascii="Times New Roman" w:eastAsia="Times New Roman" w:hAnsi="Times New Roman" w:cs="Times New Roman"/>
          <w:sz w:val="26"/>
          <w:szCs w:val="26"/>
          <w:lang w:val="en-GB" w:eastAsia="en-GB"/>
        </w:rPr>
        <w:t>.</w:t>
      </w:r>
      <w:r w:rsidR="00AD0747">
        <w:rPr>
          <w:rFonts w:ascii="Times New Roman" w:eastAsia="Times New Roman" w:hAnsi="Times New Roman" w:cs="Times New Roman"/>
          <w:sz w:val="26"/>
          <w:szCs w:val="26"/>
          <w:lang w:val="en-GB" w:eastAsia="en-GB"/>
        </w:rPr>
        <w:t xml:space="preserve"> </w:t>
      </w:r>
      <w:r w:rsidR="003B3E87">
        <w:rPr>
          <w:rFonts w:ascii="Times New Roman" w:eastAsia="Times New Roman" w:hAnsi="Times New Roman" w:cs="Times New Roman"/>
          <w:sz w:val="26"/>
          <w:szCs w:val="26"/>
          <w:lang w:val="en-GB" w:eastAsia="en-GB"/>
        </w:rPr>
        <w:t xml:space="preserve">Finally, </w:t>
      </w:r>
      <w:r w:rsidR="00AD0747" w:rsidRPr="008B60DC">
        <w:rPr>
          <w:rFonts w:ascii="Times New Roman" w:eastAsia="Times New Roman" w:hAnsi="Times New Roman" w:cs="Times New Roman"/>
          <w:sz w:val="26"/>
          <w:szCs w:val="26"/>
          <w:lang w:val="en-GB" w:eastAsia="en-GB"/>
        </w:rPr>
        <w:t xml:space="preserve">Smith </w:t>
      </w:r>
      <w:r w:rsidR="00AD0747">
        <w:rPr>
          <w:rFonts w:ascii="Times New Roman" w:eastAsia="Times New Roman" w:hAnsi="Times New Roman" w:cs="Times New Roman"/>
          <w:sz w:val="26"/>
          <w:szCs w:val="26"/>
          <w:lang w:val="en-GB" w:eastAsia="en-GB"/>
        </w:rPr>
        <w:t>(</w:t>
      </w:r>
      <w:r w:rsidR="00AD0747" w:rsidRPr="008B60DC">
        <w:rPr>
          <w:rFonts w:ascii="Times New Roman" w:eastAsia="Times New Roman" w:hAnsi="Times New Roman" w:cs="Times New Roman"/>
          <w:sz w:val="26"/>
          <w:szCs w:val="26"/>
          <w:lang w:val="en-GB" w:eastAsia="en-GB"/>
        </w:rPr>
        <w:t>2020)</w:t>
      </w:r>
      <w:r w:rsidR="00AD0747">
        <w:rPr>
          <w:rFonts w:ascii="Times New Roman" w:eastAsia="Times New Roman" w:hAnsi="Times New Roman" w:cs="Times New Roman"/>
          <w:sz w:val="26"/>
          <w:szCs w:val="26"/>
          <w:lang w:val="en-GB" w:eastAsia="en-GB"/>
        </w:rPr>
        <w:t xml:space="preserve"> </w:t>
      </w:r>
      <w:r w:rsidR="008B60DC" w:rsidRPr="008B60DC">
        <w:rPr>
          <w:rFonts w:ascii="Times New Roman" w:eastAsia="Times New Roman" w:hAnsi="Times New Roman" w:cs="Times New Roman"/>
          <w:sz w:val="26"/>
          <w:szCs w:val="26"/>
          <w:lang w:val="en-GB" w:eastAsia="en-GB"/>
        </w:rPr>
        <w:t>focuses on the economic aspects of sports broadcasting, including revenue maximization strategies and market efficiency</w:t>
      </w:r>
      <w:r w:rsidR="003B3E87">
        <w:rPr>
          <w:rFonts w:ascii="Times New Roman" w:eastAsia="Times New Roman" w:hAnsi="Times New Roman" w:cs="Times New Roman"/>
          <w:sz w:val="26"/>
          <w:szCs w:val="26"/>
          <w:lang w:val="en-GB" w:eastAsia="en-GB"/>
        </w:rPr>
        <w:t>, highlighting</w:t>
      </w:r>
      <w:r w:rsidR="008B60DC" w:rsidRPr="008B60DC">
        <w:rPr>
          <w:rFonts w:ascii="Times New Roman" w:eastAsia="Times New Roman" w:hAnsi="Times New Roman" w:cs="Times New Roman"/>
          <w:sz w:val="26"/>
          <w:szCs w:val="26"/>
          <w:lang w:val="en-GB" w:eastAsia="en-GB"/>
        </w:rPr>
        <w:t xml:space="preserve"> the tension between exclusive broadcasting rights and competition law, arguing for regulatory frameworks that balance these competing interests</w:t>
      </w:r>
      <w:r w:rsidR="00AD0747">
        <w:rPr>
          <w:rStyle w:val="Rimandonotaapidipagina"/>
          <w:rFonts w:ascii="Times New Roman" w:eastAsia="Times New Roman" w:hAnsi="Times New Roman" w:cs="Times New Roman"/>
          <w:sz w:val="26"/>
          <w:szCs w:val="26"/>
          <w:lang w:val="en-GB" w:eastAsia="en-GB"/>
        </w:rPr>
        <w:footnoteReference w:id="26"/>
      </w:r>
      <w:r w:rsidR="008B60DC" w:rsidRPr="008B60DC">
        <w:rPr>
          <w:rFonts w:ascii="Times New Roman" w:eastAsia="Times New Roman" w:hAnsi="Times New Roman" w:cs="Times New Roman"/>
          <w:sz w:val="26"/>
          <w:szCs w:val="26"/>
          <w:lang w:val="en-GB" w:eastAsia="en-GB"/>
        </w:rPr>
        <w:t>.</w:t>
      </w:r>
    </w:p>
    <w:p w:rsidR="003B02FC" w:rsidRPr="003B02FC" w:rsidRDefault="003B02FC" w:rsidP="003B02FC">
      <w:pPr>
        <w:pStyle w:val="Titolo2"/>
        <w:keepLines w:val="0"/>
        <w:spacing w:before="0" w:line="240" w:lineRule="auto"/>
        <w:rPr>
          <w:rFonts w:ascii="Times New Roman" w:eastAsia="Times New Roman" w:hAnsi="Times New Roman" w:cs="Times New Roman"/>
          <w:b/>
          <w:bCs/>
          <w:i/>
          <w:iCs/>
          <w:color w:val="auto"/>
          <w:lang w:val="en-GB"/>
        </w:rPr>
      </w:pPr>
      <w:bookmarkStart w:id="10" w:name="_Toc177052147"/>
      <w:r>
        <w:rPr>
          <w:rFonts w:ascii="Times New Roman" w:eastAsia="Times New Roman" w:hAnsi="Times New Roman" w:cs="Times New Roman"/>
          <w:b/>
          <w:bCs/>
          <w:i/>
          <w:iCs/>
          <w:color w:val="auto"/>
          <w:lang w:val="en-GB"/>
        </w:rPr>
        <w:t>I</w:t>
      </w:r>
      <w:r w:rsidR="00B9265B">
        <w:rPr>
          <w:rFonts w:ascii="Times New Roman" w:eastAsia="Times New Roman" w:hAnsi="Times New Roman" w:cs="Times New Roman"/>
          <w:b/>
          <w:bCs/>
          <w:i/>
          <w:iCs/>
          <w:color w:val="auto"/>
          <w:lang w:val="en-GB"/>
        </w:rPr>
        <w:t>I</w:t>
      </w:r>
      <w:r>
        <w:rPr>
          <w:rFonts w:ascii="Times New Roman" w:eastAsia="Times New Roman" w:hAnsi="Times New Roman" w:cs="Times New Roman"/>
          <w:b/>
          <w:bCs/>
          <w:i/>
          <w:iCs/>
          <w:color w:val="auto"/>
          <w:lang w:val="en-GB"/>
        </w:rPr>
        <w:t xml:space="preserve">I. 4 </w:t>
      </w:r>
      <w:r w:rsidRPr="003B02FC">
        <w:rPr>
          <w:rFonts w:ascii="Times New Roman" w:eastAsia="Times New Roman" w:hAnsi="Times New Roman" w:cs="Times New Roman"/>
          <w:b/>
          <w:bCs/>
          <w:i/>
          <w:iCs/>
          <w:color w:val="auto"/>
          <w:lang w:val="en-GB"/>
        </w:rPr>
        <w:t>Antitrust and Regulatory Implications</w:t>
      </w:r>
      <w:bookmarkEnd w:id="10"/>
    </w:p>
    <w:p w:rsidR="00C84D91" w:rsidRPr="00A54655" w:rsidRDefault="003B02FC" w:rsidP="00C84D91">
      <w:pPr>
        <w:spacing w:before="100" w:beforeAutospacing="1" w:after="100" w:afterAutospacing="1" w:line="276" w:lineRule="auto"/>
        <w:jc w:val="both"/>
        <w:rPr>
          <w:rFonts w:ascii="Times New Roman" w:eastAsia="Times New Roman" w:hAnsi="Times New Roman" w:cs="Times New Roman"/>
          <w:sz w:val="26"/>
          <w:szCs w:val="26"/>
          <w:lang w:val="en-GB" w:eastAsia="en-GB"/>
        </w:rPr>
      </w:pPr>
      <w:r w:rsidRPr="00A54655">
        <w:rPr>
          <w:rFonts w:ascii="Times New Roman" w:eastAsia="Times New Roman" w:hAnsi="Times New Roman" w:cs="Times New Roman"/>
          <w:sz w:val="26"/>
          <w:szCs w:val="26"/>
          <w:lang w:val="en-GB" w:eastAsia="en-GB"/>
        </w:rPr>
        <w:t xml:space="preserve">The antitrust implications of collective selling are significant. Competition authorities have been concerned that collective selling agreements may limit competition by creating monopolistic conditions that can harm consumers. </w:t>
      </w:r>
      <w:proofErr w:type="spellStart"/>
      <w:r w:rsidR="003C03C8" w:rsidRPr="00A54655">
        <w:rPr>
          <w:rFonts w:ascii="Times New Roman" w:eastAsia="Times New Roman" w:hAnsi="Times New Roman" w:cs="Times New Roman"/>
          <w:sz w:val="26"/>
          <w:szCs w:val="26"/>
          <w:lang w:val="en-GB" w:eastAsia="en-GB"/>
        </w:rPr>
        <w:t>Geradin</w:t>
      </w:r>
      <w:proofErr w:type="spellEnd"/>
      <w:r w:rsidR="003C03C8" w:rsidRPr="00A54655">
        <w:rPr>
          <w:rFonts w:ascii="Times New Roman" w:eastAsia="Times New Roman" w:hAnsi="Times New Roman" w:cs="Times New Roman"/>
          <w:sz w:val="26"/>
          <w:szCs w:val="26"/>
          <w:lang w:val="en-GB" w:eastAsia="en-GB"/>
        </w:rPr>
        <w:t xml:space="preserve"> also highlights regulatory remedies like partial unbundling and no-single buyer rules, aimed at fostering competition among broadcasters (</w:t>
      </w:r>
      <w:proofErr w:type="spellStart"/>
      <w:r w:rsidR="003C03C8" w:rsidRPr="00A54655">
        <w:rPr>
          <w:rFonts w:ascii="Times New Roman" w:eastAsia="Times New Roman" w:hAnsi="Times New Roman" w:cs="Times New Roman"/>
          <w:sz w:val="26"/>
          <w:szCs w:val="26"/>
          <w:lang w:val="en-GB" w:eastAsia="en-GB"/>
        </w:rPr>
        <w:t>Geradin</w:t>
      </w:r>
      <w:proofErr w:type="spellEnd"/>
      <w:r w:rsidR="003C03C8" w:rsidRPr="00A54655">
        <w:rPr>
          <w:rFonts w:ascii="Times New Roman" w:eastAsia="Times New Roman" w:hAnsi="Times New Roman" w:cs="Times New Roman"/>
          <w:sz w:val="26"/>
          <w:szCs w:val="26"/>
          <w:lang w:val="en-GB" w:eastAsia="en-GB"/>
        </w:rPr>
        <w:t>, 2005)</w:t>
      </w:r>
      <w:r w:rsidR="00E036A5">
        <w:rPr>
          <w:rStyle w:val="Rimandonotaapidipagina"/>
          <w:rFonts w:ascii="Times New Roman" w:eastAsia="Times New Roman" w:hAnsi="Times New Roman" w:cs="Times New Roman"/>
          <w:sz w:val="26"/>
          <w:szCs w:val="26"/>
          <w:lang w:val="en-GB" w:eastAsia="en-GB"/>
        </w:rPr>
        <w:footnoteReference w:id="27"/>
      </w:r>
      <w:r w:rsidR="003C03C8" w:rsidRPr="00A54655">
        <w:rPr>
          <w:rFonts w:ascii="Times New Roman" w:eastAsia="Times New Roman" w:hAnsi="Times New Roman" w:cs="Times New Roman"/>
          <w:sz w:val="26"/>
          <w:szCs w:val="26"/>
          <w:lang w:val="en-GB" w:eastAsia="en-GB"/>
        </w:rPr>
        <w:t>.</w:t>
      </w:r>
      <w:r w:rsidR="003C03C8">
        <w:rPr>
          <w:rFonts w:ascii="Times New Roman" w:eastAsia="Times New Roman" w:hAnsi="Times New Roman" w:cs="Times New Roman"/>
          <w:sz w:val="26"/>
          <w:szCs w:val="26"/>
          <w:lang w:val="en-GB" w:eastAsia="en-GB"/>
        </w:rPr>
        <w:t xml:space="preserve"> </w:t>
      </w:r>
      <w:r w:rsidR="00406566">
        <w:rPr>
          <w:rFonts w:ascii="Times New Roman" w:eastAsia="Times New Roman" w:hAnsi="Times New Roman" w:cs="Times New Roman"/>
          <w:sz w:val="26"/>
          <w:szCs w:val="26"/>
          <w:lang w:val="en-GB" w:eastAsia="en-GB"/>
        </w:rPr>
        <w:t xml:space="preserve">However, </w:t>
      </w:r>
      <w:r w:rsidRPr="00A54655">
        <w:rPr>
          <w:rFonts w:ascii="Times New Roman" w:eastAsia="Times New Roman" w:hAnsi="Times New Roman" w:cs="Times New Roman"/>
          <w:sz w:val="26"/>
          <w:szCs w:val="26"/>
          <w:lang w:val="en-GB" w:eastAsia="en-GB"/>
        </w:rPr>
        <w:t>remedies can have complex effects</w:t>
      </w:r>
      <w:r w:rsidR="00406566">
        <w:rPr>
          <w:rFonts w:ascii="Times New Roman" w:eastAsia="Times New Roman" w:hAnsi="Times New Roman" w:cs="Times New Roman"/>
          <w:sz w:val="26"/>
          <w:szCs w:val="26"/>
          <w:lang w:val="en-GB" w:eastAsia="en-GB"/>
        </w:rPr>
        <w:t>, since</w:t>
      </w:r>
      <w:r w:rsidRPr="00A54655">
        <w:rPr>
          <w:rFonts w:ascii="Times New Roman" w:eastAsia="Times New Roman" w:hAnsi="Times New Roman" w:cs="Times New Roman"/>
          <w:sz w:val="26"/>
          <w:szCs w:val="26"/>
          <w:lang w:val="en-GB" w:eastAsia="en-GB"/>
        </w:rPr>
        <w:t xml:space="preserve">, while they may foster competition among broadcasters, they can also increase transaction costs for </w:t>
      </w:r>
      <w:r w:rsidRPr="00A54655">
        <w:rPr>
          <w:rFonts w:ascii="Times New Roman" w:eastAsia="Times New Roman" w:hAnsi="Times New Roman" w:cs="Times New Roman"/>
          <w:sz w:val="26"/>
          <w:szCs w:val="26"/>
          <w:lang w:val="en-GB" w:eastAsia="en-GB"/>
        </w:rPr>
        <w:lastRenderedPageBreak/>
        <w:t>consumers, who might need to subscribe to multiple services to access all desired content. This complexity suggests that regulators need to carefully balance the benefits of increased competition with the potential downsides of fragmented rights and higher consumer costs (</w:t>
      </w:r>
      <w:proofErr w:type="spellStart"/>
      <w:r w:rsidRPr="00A54655">
        <w:rPr>
          <w:rFonts w:ascii="Times New Roman" w:eastAsia="Times New Roman" w:hAnsi="Times New Roman" w:cs="Times New Roman"/>
          <w:sz w:val="26"/>
          <w:szCs w:val="26"/>
          <w:lang w:val="en-GB" w:eastAsia="en-GB"/>
        </w:rPr>
        <w:t>Budzinski</w:t>
      </w:r>
      <w:proofErr w:type="spellEnd"/>
      <w:r w:rsidRPr="00A54655">
        <w:rPr>
          <w:rFonts w:ascii="Times New Roman" w:eastAsia="Times New Roman" w:hAnsi="Times New Roman" w:cs="Times New Roman"/>
          <w:sz w:val="26"/>
          <w:szCs w:val="26"/>
          <w:lang w:val="en-GB" w:eastAsia="en-GB"/>
        </w:rPr>
        <w:t>, 2006)</w:t>
      </w:r>
      <w:r w:rsidR="00E036A5" w:rsidRPr="00E036A5">
        <w:rPr>
          <w:rStyle w:val="Rimandonotaapidipagina"/>
          <w:rFonts w:ascii="Times New Roman" w:eastAsia="Times New Roman" w:hAnsi="Times New Roman" w:cs="Times New Roman"/>
          <w:sz w:val="26"/>
          <w:szCs w:val="26"/>
          <w:lang w:val="en-GB" w:eastAsia="en-GB"/>
        </w:rPr>
        <w:t xml:space="preserve"> </w:t>
      </w:r>
      <w:r w:rsidR="00E036A5">
        <w:rPr>
          <w:rStyle w:val="Rimandonotaapidipagina"/>
          <w:rFonts w:ascii="Times New Roman" w:eastAsia="Times New Roman" w:hAnsi="Times New Roman" w:cs="Times New Roman"/>
          <w:sz w:val="26"/>
          <w:szCs w:val="26"/>
          <w:lang w:val="en-GB" w:eastAsia="en-GB"/>
        </w:rPr>
        <w:footnoteReference w:id="28"/>
      </w:r>
      <w:r w:rsidRPr="00A54655">
        <w:rPr>
          <w:rFonts w:ascii="Times New Roman" w:eastAsia="Times New Roman" w:hAnsi="Times New Roman" w:cs="Times New Roman"/>
          <w:sz w:val="26"/>
          <w:szCs w:val="26"/>
          <w:lang w:val="en-GB" w:eastAsia="en-GB"/>
        </w:rPr>
        <w:t>.</w:t>
      </w:r>
      <w:r w:rsidR="00E036A5">
        <w:rPr>
          <w:rFonts w:ascii="Times New Roman" w:eastAsia="Times New Roman" w:hAnsi="Times New Roman" w:cs="Times New Roman"/>
          <w:sz w:val="26"/>
          <w:szCs w:val="26"/>
          <w:lang w:val="en-GB" w:eastAsia="en-GB"/>
        </w:rPr>
        <w:t xml:space="preserve"> </w:t>
      </w:r>
      <w:r w:rsidR="00A86235">
        <w:rPr>
          <w:rFonts w:ascii="Times New Roman" w:eastAsia="Times New Roman" w:hAnsi="Times New Roman" w:cs="Times New Roman"/>
          <w:sz w:val="26"/>
          <w:szCs w:val="26"/>
          <w:lang w:val="en-GB" w:eastAsia="en-GB"/>
        </w:rPr>
        <w:t>Also,</w:t>
      </w:r>
      <w:r w:rsidR="00E036A5">
        <w:rPr>
          <w:rFonts w:ascii="Times New Roman" w:eastAsia="Times New Roman" w:hAnsi="Times New Roman" w:cs="Times New Roman"/>
          <w:sz w:val="26"/>
          <w:szCs w:val="26"/>
          <w:lang w:val="en-GB" w:eastAsia="en-GB"/>
        </w:rPr>
        <w:t xml:space="preserve"> </w:t>
      </w:r>
      <w:r w:rsidR="00C84D91" w:rsidRPr="00A54655">
        <w:rPr>
          <w:rFonts w:ascii="Times New Roman" w:eastAsia="Times New Roman" w:hAnsi="Times New Roman" w:cs="Times New Roman"/>
          <w:sz w:val="26"/>
          <w:szCs w:val="26"/>
          <w:lang w:val="en-GB" w:eastAsia="en-GB"/>
        </w:rPr>
        <w:t>Smith and his colleagues discuss the antitrust implications of collective selling of broadcasting rights. They highlight the tension between maintaining competitive balance in leagues through revenue sharing and fostering a competitive broadcasting market. The paper argues for careful regulation to prevent anti-competitive outcomes while recognizing the potential benefits of collective selling (Smith et al., 2016)</w:t>
      </w:r>
      <w:r w:rsidR="00E036A5">
        <w:rPr>
          <w:rStyle w:val="Rimandonotaapidipagina"/>
          <w:rFonts w:ascii="Times New Roman" w:eastAsia="Times New Roman" w:hAnsi="Times New Roman" w:cs="Times New Roman"/>
          <w:sz w:val="26"/>
          <w:szCs w:val="26"/>
          <w:lang w:val="en-GB" w:eastAsia="en-GB"/>
        </w:rPr>
        <w:footnoteReference w:id="29"/>
      </w:r>
      <w:r w:rsidR="00C84D91" w:rsidRPr="00A54655">
        <w:rPr>
          <w:rFonts w:ascii="Times New Roman" w:eastAsia="Times New Roman" w:hAnsi="Times New Roman" w:cs="Times New Roman"/>
          <w:sz w:val="26"/>
          <w:szCs w:val="26"/>
          <w:lang w:val="en-GB" w:eastAsia="en-GB"/>
        </w:rPr>
        <w:t>.</w:t>
      </w:r>
      <w:r w:rsidR="00AD0747">
        <w:rPr>
          <w:rFonts w:ascii="Times New Roman" w:eastAsia="Times New Roman" w:hAnsi="Times New Roman" w:cs="Times New Roman"/>
          <w:sz w:val="26"/>
          <w:szCs w:val="26"/>
          <w:lang w:val="en-GB" w:eastAsia="en-GB"/>
        </w:rPr>
        <w:t xml:space="preserve"> </w:t>
      </w:r>
      <w:r w:rsidR="00AD0747" w:rsidRPr="00AD0747">
        <w:rPr>
          <w:rFonts w:ascii="Times New Roman" w:eastAsia="Times New Roman" w:hAnsi="Times New Roman" w:cs="Times New Roman"/>
          <w:sz w:val="26"/>
          <w:szCs w:val="26"/>
          <w:lang w:val="en-GB" w:eastAsia="en-GB"/>
        </w:rPr>
        <w:t>Lopez</w:t>
      </w:r>
      <w:r w:rsidR="00AD0747">
        <w:rPr>
          <w:rFonts w:ascii="Times New Roman" w:eastAsia="Times New Roman" w:hAnsi="Times New Roman" w:cs="Times New Roman"/>
          <w:sz w:val="26"/>
          <w:szCs w:val="26"/>
          <w:lang w:val="en-GB" w:eastAsia="en-GB"/>
        </w:rPr>
        <w:t xml:space="preserve"> </w:t>
      </w:r>
      <w:r w:rsidR="00AD0747" w:rsidRPr="00AD0747">
        <w:rPr>
          <w:rFonts w:ascii="Times New Roman" w:eastAsia="Times New Roman" w:hAnsi="Times New Roman" w:cs="Times New Roman"/>
          <w:sz w:val="26"/>
          <w:szCs w:val="26"/>
          <w:lang w:val="en-GB" w:eastAsia="en-GB"/>
        </w:rPr>
        <w:t>explores the regulation of broadcasting rights in Spain, focusing on La Liga</w:t>
      </w:r>
      <w:r w:rsidR="00A86235">
        <w:rPr>
          <w:rFonts w:ascii="Times New Roman" w:eastAsia="Times New Roman" w:hAnsi="Times New Roman" w:cs="Times New Roman"/>
          <w:sz w:val="26"/>
          <w:szCs w:val="26"/>
          <w:lang w:val="en-GB" w:eastAsia="en-GB"/>
        </w:rPr>
        <w:t xml:space="preserve">, </w:t>
      </w:r>
      <w:r w:rsidR="00AD0747" w:rsidRPr="00AD0747">
        <w:rPr>
          <w:rFonts w:ascii="Times New Roman" w:eastAsia="Times New Roman" w:hAnsi="Times New Roman" w:cs="Times New Roman"/>
          <w:sz w:val="26"/>
          <w:szCs w:val="26"/>
          <w:lang w:val="en-GB" w:eastAsia="en-GB"/>
        </w:rPr>
        <w:t>discuss</w:t>
      </w:r>
      <w:r w:rsidR="00A86235">
        <w:rPr>
          <w:rFonts w:ascii="Times New Roman" w:eastAsia="Times New Roman" w:hAnsi="Times New Roman" w:cs="Times New Roman"/>
          <w:sz w:val="26"/>
          <w:szCs w:val="26"/>
          <w:lang w:val="en-GB" w:eastAsia="en-GB"/>
        </w:rPr>
        <w:t>ing</w:t>
      </w:r>
      <w:r w:rsidR="00AD0747" w:rsidRPr="00AD0747">
        <w:rPr>
          <w:rFonts w:ascii="Times New Roman" w:eastAsia="Times New Roman" w:hAnsi="Times New Roman" w:cs="Times New Roman"/>
          <w:sz w:val="26"/>
          <w:szCs w:val="26"/>
          <w:lang w:val="en-GB" w:eastAsia="en-GB"/>
        </w:rPr>
        <w:t xml:space="preserve"> the impact of the CNMC's oversight and the reforms in revenue distribution that aim to ensure a more equitable allocation of funds among clubs (Lopez, 2017)</w:t>
      </w:r>
      <w:r w:rsidR="00AD0747">
        <w:rPr>
          <w:rStyle w:val="Rimandonotaapidipagina"/>
          <w:rFonts w:ascii="Times New Roman" w:eastAsia="Times New Roman" w:hAnsi="Times New Roman" w:cs="Times New Roman"/>
          <w:sz w:val="26"/>
          <w:szCs w:val="26"/>
          <w:lang w:val="en-GB" w:eastAsia="en-GB"/>
        </w:rPr>
        <w:footnoteReference w:id="30"/>
      </w:r>
      <w:r w:rsidR="00DC3C3E" w:rsidRPr="00DC3C3E">
        <w:rPr>
          <w:rFonts w:ascii="Times New Roman" w:eastAsia="Times New Roman" w:hAnsi="Times New Roman" w:cs="Times New Roman"/>
          <w:sz w:val="26"/>
          <w:szCs w:val="26"/>
          <w:lang w:val="en-GB" w:eastAsia="en-GB"/>
        </w:rPr>
        <w:t>.</w:t>
      </w:r>
      <w:r w:rsidR="00DC3C3E">
        <w:rPr>
          <w:rFonts w:ascii="Times New Roman" w:eastAsia="Times New Roman" w:hAnsi="Times New Roman" w:cs="Times New Roman"/>
          <w:sz w:val="26"/>
          <w:szCs w:val="26"/>
          <w:lang w:val="en-GB" w:eastAsia="en-GB"/>
        </w:rPr>
        <w:t xml:space="preserve"> </w:t>
      </w:r>
    </w:p>
    <w:p w:rsidR="003912F1" w:rsidRPr="003912F1" w:rsidRDefault="003912F1" w:rsidP="003912F1">
      <w:pPr>
        <w:keepNext/>
        <w:spacing w:after="0" w:line="240" w:lineRule="auto"/>
        <w:jc w:val="both"/>
        <w:outlineLvl w:val="0"/>
        <w:rPr>
          <w:rFonts w:ascii="Times New Roman" w:eastAsia="Times New Roman" w:hAnsi="Times New Roman" w:cs="Times New Roman"/>
          <w:b/>
          <w:bCs/>
          <w:smallCaps/>
          <w:kern w:val="32"/>
          <w:sz w:val="26"/>
          <w:szCs w:val="26"/>
          <w:lang w:val="en-GB" w:eastAsia="it-IT"/>
        </w:rPr>
      </w:pPr>
      <w:bookmarkStart w:id="11" w:name="_Toc177052148"/>
      <w:r w:rsidRPr="003912F1">
        <w:rPr>
          <w:rFonts w:ascii="Times New Roman" w:eastAsia="Times New Roman" w:hAnsi="Times New Roman" w:cs="Times New Roman"/>
          <w:b/>
          <w:bCs/>
          <w:smallCaps/>
          <w:kern w:val="32"/>
          <w:sz w:val="26"/>
          <w:szCs w:val="26"/>
          <w:lang w:val="en-GB" w:eastAsia="it-IT"/>
        </w:rPr>
        <w:t>I</w:t>
      </w:r>
      <w:r w:rsidR="00B9265B">
        <w:rPr>
          <w:rFonts w:ascii="Times New Roman" w:eastAsia="Times New Roman" w:hAnsi="Times New Roman" w:cs="Times New Roman"/>
          <w:b/>
          <w:bCs/>
          <w:smallCaps/>
          <w:kern w:val="32"/>
          <w:sz w:val="26"/>
          <w:szCs w:val="26"/>
          <w:lang w:val="en-GB" w:eastAsia="it-IT"/>
        </w:rPr>
        <w:t>V</w:t>
      </w:r>
      <w:r w:rsidRPr="003912F1">
        <w:rPr>
          <w:rFonts w:ascii="Times New Roman" w:eastAsia="Times New Roman" w:hAnsi="Times New Roman" w:cs="Times New Roman"/>
          <w:b/>
          <w:bCs/>
          <w:smallCaps/>
          <w:kern w:val="32"/>
          <w:sz w:val="26"/>
          <w:szCs w:val="26"/>
          <w:lang w:val="en-GB" w:eastAsia="it-IT"/>
        </w:rPr>
        <w:t xml:space="preserve">. </w:t>
      </w:r>
      <w:r w:rsidR="0068524C" w:rsidRPr="003912F1">
        <w:rPr>
          <w:rFonts w:ascii="Times New Roman" w:eastAsia="Times New Roman" w:hAnsi="Times New Roman" w:cs="Times New Roman"/>
          <w:b/>
          <w:bCs/>
          <w:smallCaps/>
          <w:kern w:val="32"/>
          <w:sz w:val="26"/>
          <w:szCs w:val="26"/>
          <w:lang w:val="en-GB" w:eastAsia="it-IT"/>
        </w:rPr>
        <w:t xml:space="preserve">The </w:t>
      </w:r>
      <w:r w:rsidR="006215A6">
        <w:rPr>
          <w:rFonts w:ascii="Times New Roman" w:eastAsia="Times New Roman" w:hAnsi="Times New Roman" w:cs="Times New Roman"/>
          <w:b/>
          <w:bCs/>
          <w:smallCaps/>
          <w:kern w:val="32"/>
          <w:sz w:val="26"/>
          <w:szCs w:val="26"/>
          <w:lang w:val="en-GB" w:eastAsia="it-IT"/>
        </w:rPr>
        <w:t xml:space="preserve">top </w:t>
      </w:r>
      <w:r w:rsidR="00557B61">
        <w:rPr>
          <w:rFonts w:ascii="Times New Roman" w:eastAsia="Times New Roman" w:hAnsi="Times New Roman" w:cs="Times New Roman"/>
          <w:b/>
          <w:bCs/>
          <w:smallCaps/>
          <w:kern w:val="32"/>
          <w:sz w:val="26"/>
          <w:szCs w:val="26"/>
          <w:lang w:val="en-GB" w:eastAsia="it-IT"/>
        </w:rPr>
        <w:t>European</w:t>
      </w:r>
      <w:r w:rsidR="006215A6">
        <w:rPr>
          <w:rFonts w:ascii="Times New Roman" w:eastAsia="Times New Roman" w:hAnsi="Times New Roman" w:cs="Times New Roman"/>
          <w:b/>
          <w:bCs/>
          <w:smallCaps/>
          <w:kern w:val="32"/>
          <w:sz w:val="26"/>
          <w:szCs w:val="26"/>
          <w:lang w:val="en-GB" w:eastAsia="it-IT"/>
        </w:rPr>
        <w:t xml:space="preserve"> league</w:t>
      </w:r>
      <w:r w:rsidR="00557B61">
        <w:rPr>
          <w:rFonts w:ascii="Times New Roman" w:eastAsia="Times New Roman" w:hAnsi="Times New Roman" w:cs="Times New Roman"/>
          <w:b/>
          <w:bCs/>
          <w:smallCaps/>
          <w:kern w:val="32"/>
          <w:sz w:val="26"/>
          <w:szCs w:val="26"/>
          <w:lang w:val="en-GB" w:eastAsia="it-IT"/>
        </w:rPr>
        <w:t>s</w:t>
      </w:r>
      <w:r w:rsidR="006215A6">
        <w:rPr>
          <w:rFonts w:ascii="Times New Roman" w:eastAsia="Times New Roman" w:hAnsi="Times New Roman" w:cs="Times New Roman"/>
          <w:b/>
          <w:bCs/>
          <w:smallCaps/>
          <w:kern w:val="32"/>
          <w:sz w:val="26"/>
          <w:szCs w:val="26"/>
          <w:lang w:val="en-GB" w:eastAsia="it-IT"/>
        </w:rPr>
        <w:t xml:space="preserve"> legislation</w:t>
      </w:r>
      <w:bookmarkEnd w:id="11"/>
    </w:p>
    <w:p w:rsidR="00051C3F" w:rsidRPr="00A54655" w:rsidRDefault="00051C3F" w:rsidP="0085437C">
      <w:pPr>
        <w:pStyle w:val="NormaleWeb"/>
        <w:spacing w:line="276" w:lineRule="auto"/>
        <w:jc w:val="both"/>
        <w:rPr>
          <w:sz w:val="26"/>
          <w:szCs w:val="26"/>
        </w:rPr>
      </w:pPr>
      <w:r w:rsidRPr="00A54655">
        <w:rPr>
          <w:sz w:val="26"/>
          <w:szCs w:val="26"/>
        </w:rPr>
        <w:t>The United Kingdom implemented the principles of the European Commission’s decision in 2006. The UK’s Office of Fair Trading (now the Competition and Markets Authority) closely followed the decision, applying similar principles to scrutinize domestic broadcasting rights agreements, particularly concerning the Premier League (Smith, 2007)</w:t>
      </w:r>
      <w:r w:rsidR="00A51C7F">
        <w:rPr>
          <w:rStyle w:val="Rimandonotaapidipagina"/>
          <w:sz w:val="26"/>
          <w:szCs w:val="26"/>
        </w:rPr>
        <w:footnoteReference w:id="31"/>
      </w:r>
      <w:r w:rsidRPr="00A54655">
        <w:rPr>
          <w:sz w:val="26"/>
          <w:szCs w:val="26"/>
        </w:rPr>
        <w:t>. In response to the European Commission’s decision, the Premier League restructured its broadcasting rights sales to offer multiple packages and conducted transparent bidding processes to ensure competitive fairness (Jones, 2008)</w:t>
      </w:r>
      <w:r w:rsidR="00A51C7F">
        <w:rPr>
          <w:rStyle w:val="Rimandonotaapidipagina"/>
          <w:sz w:val="26"/>
          <w:szCs w:val="26"/>
        </w:rPr>
        <w:footnoteReference w:id="32"/>
      </w:r>
      <w:r w:rsidRPr="00A54655">
        <w:rPr>
          <w:sz w:val="26"/>
          <w:szCs w:val="26"/>
        </w:rPr>
        <w:t>.</w:t>
      </w:r>
    </w:p>
    <w:p w:rsidR="00051C3F" w:rsidRPr="00A54655" w:rsidRDefault="00051C3F" w:rsidP="0085437C">
      <w:pPr>
        <w:pStyle w:val="NormaleWeb"/>
        <w:spacing w:line="276" w:lineRule="auto"/>
        <w:jc w:val="both"/>
        <w:rPr>
          <w:sz w:val="26"/>
          <w:szCs w:val="26"/>
        </w:rPr>
      </w:pPr>
      <w:r w:rsidRPr="00A54655">
        <w:rPr>
          <w:sz w:val="26"/>
          <w:szCs w:val="26"/>
        </w:rPr>
        <w:t xml:space="preserve">Germany aligned with the European Commission’s decision in 2005. The </w:t>
      </w:r>
      <w:proofErr w:type="spellStart"/>
      <w:r w:rsidRPr="00A54655">
        <w:rPr>
          <w:sz w:val="26"/>
          <w:szCs w:val="26"/>
        </w:rPr>
        <w:t>Bundeskartellamt</w:t>
      </w:r>
      <w:proofErr w:type="spellEnd"/>
      <w:r w:rsidRPr="00A54655">
        <w:rPr>
          <w:sz w:val="26"/>
          <w:szCs w:val="26"/>
        </w:rPr>
        <w:t xml:space="preserve"> (Federal Cartel Office), Germany's competition authority, monitored and reviewed the collective selling practices of the Bundesliga, the country’s top football league (Müller, 2006)</w:t>
      </w:r>
      <w:r w:rsidR="00A51C7F">
        <w:rPr>
          <w:rStyle w:val="Rimandonotaapidipagina"/>
          <w:sz w:val="26"/>
          <w:szCs w:val="26"/>
        </w:rPr>
        <w:footnoteReference w:id="33"/>
      </w:r>
      <w:r w:rsidRPr="00A54655">
        <w:rPr>
          <w:sz w:val="26"/>
          <w:szCs w:val="26"/>
        </w:rPr>
        <w:t>. The Bundesliga introduced changes to its rights sales process, dividing rights into multiple packages and ensuring transparent and non-discriminatory bidding procedures (Schmidt, 2007).</w:t>
      </w:r>
      <w:r w:rsidR="00C84D91">
        <w:rPr>
          <w:sz w:val="26"/>
          <w:szCs w:val="26"/>
        </w:rPr>
        <w:t xml:space="preserve"> </w:t>
      </w:r>
    </w:p>
    <w:p w:rsidR="00E036A5" w:rsidRDefault="00051C3F" w:rsidP="00E036A5">
      <w:pPr>
        <w:pStyle w:val="NormaleWeb"/>
        <w:spacing w:line="276" w:lineRule="auto"/>
        <w:jc w:val="both"/>
        <w:rPr>
          <w:sz w:val="26"/>
          <w:szCs w:val="26"/>
        </w:rPr>
      </w:pPr>
      <w:r w:rsidRPr="00A54655">
        <w:rPr>
          <w:sz w:val="26"/>
          <w:szCs w:val="26"/>
        </w:rPr>
        <w:lastRenderedPageBreak/>
        <w:t xml:space="preserve">France followed suit in 2004. The </w:t>
      </w:r>
      <w:proofErr w:type="spellStart"/>
      <w:r w:rsidRPr="00A86235">
        <w:rPr>
          <w:i/>
          <w:sz w:val="26"/>
          <w:szCs w:val="26"/>
        </w:rPr>
        <w:t>Autorité</w:t>
      </w:r>
      <w:proofErr w:type="spellEnd"/>
      <w:r w:rsidRPr="00A86235">
        <w:rPr>
          <w:i/>
          <w:sz w:val="26"/>
          <w:szCs w:val="26"/>
        </w:rPr>
        <w:t xml:space="preserve"> de la concurrence</w:t>
      </w:r>
      <w:r w:rsidRPr="00A54655">
        <w:rPr>
          <w:sz w:val="26"/>
          <w:szCs w:val="26"/>
        </w:rPr>
        <w:t xml:space="preserve"> (Competition Authority) applied similar scrutiny to the sale of broadcasting rights for Ligue 1, France’s premier football league (Dubois, 2005)</w:t>
      </w:r>
      <w:r w:rsidR="00A51C7F">
        <w:rPr>
          <w:rStyle w:val="Rimandonotaapidipagina"/>
          <w:sz w:val="26"/>
          <w:szCs w:val="26"/>
        </w:rPr>
        <w:footnoteReference w:id="34"/>
      </w:r>
      <w:r w:rsidRPr="00A54655">
        <w:rPr>
          <w:sz w:val="26"/>
          <w:szCs w:val="26"/>
        </w:rPr>
        <w:t xml:space="preserve">. The Ligue de Football </w:t>
      </w:r>
      <w:proofErr w:type="spellStart"/>
      <w:r w:rsidRPr="00A54655">
        <w:rPr>
          <w:sz w:val="26"/>
          <w:szCs w:val="26"/>
        </w:rPr>
        <w:t>Professionnel</w:t>
      </w:r>
      <w:proofErr w:type="spellEnd"/>
      <w:r w:rsidRPr="00A54655">
        <w:rPr>
          <w:sz w:val="26"/>
          <w:szCs w:val="26"/>
        </w:rPr>
        <w:t xml:space="preserve"> (LFP) implemented conditions to comply with the European Commission’s decision, ensuring that multiple broadcasters could acquire rights through competitive bidding processes (Lefebvre, 2006)</w:t>
      </w:r>
      <w:r w:rsidR="00A51C7F">
        <w:rPr>
          <w:rStyle w:val="Rimandonotaapidipagina"/>
          <w:sz w:val="26"/>
          <w:szCs w:val="26"/>
        </w:rPr>
        <w:footnoteReference w:id="35"/>
      </w:r>
      <w:r w:rsidRPr="00A54655">
        <w:rPr>
          <w:sz w:val="26"/>
          <w:szCs w:val="26"/>
        </w:rPr>
        <w:t xml:space="preserve">. This regulatory framework is part of the French </w:t>
      </w:r>
      <w:r w:rsidRPr="00A51C7F">
        <w:rPr>
          <w:i/>
          <w:sz w:val="26"/>
          <w:szCs w:val="26"/>
        </w:rPr>
        <w:t>Code du Sport</w:t>
      </w:r>
      <w:r w:rsidR="00A51C7F">
        <w:rPr>
          <w:sz w:val="26"/>
          <w:szCs w:val="26"/>
        </w:rPr>
        <w:t xml:space="preserve"> (the Sport Code)</w:t>
      </w:r>
      <w:r w:rsidRPr="00A54655">
        <w:rPr>
          <w:sz w:val="26"/>
          <w:szCs w:val="26"/>
        </w:rPr>
        <w:t>, which mandates the centralized selling of broadcasting rights by professional leagues and sets principles for fair revenue distribution, transparency, and competition</w:t>
      </w:r>
      <w:r w:rsidR="00A51C7F">
        <w:rPr>
          <w:rStyle w:val="Rimandonotaapidipagina"/>
          <w:sz w:val="26"/>
          <w:szCs w:val="26"/>
        </w:rPr>
        <w:footnoteReference w:id="36"/>
      </w:r>
      <w:r w:rsidRPr="00A54655">
        <w:rPr>
          <w:sz w:val="26"/>
          <w:szCs w:val="26"/>
        </w:rPr>
        <w:t>.</w:t>
      </w:r>
      <w:r w:rsidR="00E036A5">
        <w:rPr>
          <w:sz w:val="26"/>
          <w:szCs w:val="26"/>
        </w:rPr>
        <w:t xml:space="preserve"> </w:t>
      </w:r>
    </w:p>
    <w:p w:rsidR="00C84D91" w:rsidRPr="00E036A5" w:rsidRDefault="00051C3F" w:rsidP="00E036A5">
      <w:pPr>
        <w:pStyle w:val="NormaleWeb"/>
        <w:spacing w:line="276" w:lineRule="auto"/>
        <w:jc w:val="both"/>
        <w:rPr>
          <w:sz w:val="26"/>
          <w:szCs w:val="26"/>
        </w:rPr>
      </w:pPr>
      <w:r w:rsidRPr="00E036A5">
        <w:rPr>
          <w:sz w:val="26"/>
          <w:szCs w:val="26"/>
        </w:rPr>
        <w:t xml:space="preserve">Italy implemented changes in 2008. The </w:t>
      </w:r>
      <w:proofErr w:type="spellStart"/>
      <w:r w:rsidRPr="00A86235">
        <w:rPr>
          <w:i/>
          <w:sz w:val="26"/>
          <w:szCs w:val="26"/>
        </w:rPr>
        <w:t>Autorità</w:t>
      </w:r>
      <w:proofErr w:type="spellEnd"/>
      <w:r w:rsidRPr="00A86235">
        <w:rPr>
          <w:i/>
          <w:sz w:val="26"/>
          <w:szCs w:val="26"/>
        </w:rPr>
        <w:t xml:space="preserve"> </w:t>
      </w:r>
      <w:proofErr w:type="spellStart"/>
      <w:r w:rsidRPr="00A86235">
        <w:rPr>
          <w:i/>
          <w:sz w:val="26"/>
          <w:szCs w:val="26"/>
        </w:rPr>
        <w:t>Garante</w:t>
      </w:r>
      <w:proofErr w:type="spellEnd"/>
      <w:r w:rsidRPr="00A86235">
        <w:rPr>
          <w:i/>
          <w:sz w:val="26"/>
          <w:szCs w:val="26"/>
        </w:rPr>
        <w:t xml:space="preserve"> </w:t>
      </w:r>
      <w:proofErr w:type="spellStart"/>
      <w:r w:rsidRPr="00A86235">
        <w:rPr>
          <w:i/>
          <w:sz w:val="26"/>
          <w:szCs w:val="26"/>
        </w:rPr>
        <w:t>della</w:t>
      </w:r>
      <w:proofErr w:type="spellEnd"/>
      <w:r w:rsidRPr="00A86235">
        <w:rPr>
          <w:i/>
          <w:sz w:val="26"/>
          <w:szCs w:val="26"/>
        </w:rPr>
        <w:t xml:space="preserve"> </w:t>
      </w:r>
      <w:proofErr w:type="spellStart"/>
      <w:r w:rsidRPr="00A86235">
        <w:rPr>
          <w:i/>
          <w:sz w:val="26"/>
          <w:szCs w:val="26"/>
        </w:rPr>
        <w:t>Concorrenza</w:t>
      </w:r>
      <w:proofErr w:type="spellEnd"/>
      <w:r w:rsidRPr="00A86235">
        <w:rPr>
          <w:i/>
          <w:sz w:val="26"/>
          <w:szCs w:val="26"/>
        </w:rPr>
        <w:t xml:space="preserve"> e del Mercato</w:t>
      </w:r>
      <w:r w:rsidRPr="00E036A5">
        <w:rPr>
          <w:sz w:val="26"/>
          <w:szCs w:val="26"/>
        </w:rPr>
        <w:t xml:space="preserve"> (AGCM), Italy's competition authority, review</w:t>
      </w:r>
      <w:r w:rsidR="00A86235">
        <w:rPr>
          <w:sz w:val="26"/>
          <w:szCs w:val="26"/>
        </w:rPr>
        <w:t>s</w:t>
      </w:r>
      <w:r w:rsidRPr="00E036A5">
        <w:rPr>
          <w:sz w:val="26"/>
          <w:szCs w:val="26"/>
        </w:rPr>
        <w:t xml:space="preserve"> the collective selling practices of Serie A, the country’s top football league (Rossi, 2009)</w:t>
      </w:r>
      <w:r w:rsidR="003B02FC" w:rsidRPr="00E036A5">
        <w:rPr>
          <w:rStyle w:val="Rimandonotaapidipagina"/>
          <w:sz w:val="26"/>
          <w:szCs w:val="26"/>
        </w:rPr>
        <w:footnoteReference w:id="37"/>
      </w:r>
      <w:r w:rsidRPr="00E036A5">
        <w:rPr>
          <w:sz w:val="26"/>
          <w:szCs w:val="26"/>
        </w:rPr>
        <w:t>. Serie A restructured its broadcasting rights sales to align with the European Commission’s guidelines, promoting competition among broadcasters and preventing monopolistic practices (Bianchi, 2010)</w:t>
      </w:r>
      <w:r w:rsidR="00A51C7F" w:rsidRPr="00E036A5">
        <w:rPr>
          <w:rStyle w:val="Rimandonotaapidipagina"/>
          <w:sz w:val="26"/>
          <w:szCs w:val="26"/>
        </w:rPr>
        <w:footnoteReference w:id="38"/>
      </w:r>
      <w:r w:rsidRPr="00E036A5">
        <w:rPr>
          <w:sz w:val="26"/>
          <w:szCs w:val="26"/>
        </w:rPr>
        <w:t>. These changes were codified in the "</w:t>
      </w:r>
      <w:proofErr w:type="spellStart"/>
      <w:r w:rsidRPr="00E036A5">
        <w:rPr>
          <w:sz w:val="26"/>
          <w:szCs w:val="26"/>
        </w:rPr>
        <w:t>Decreto</w:t>
      </w:r>
      <w:proofErr w:type="spellEnd"/>
      <w:r w:rsidRPr="00E036A5">
        <w:rPr>
          <w:sz w:val="26"/>
          <w:szCs w:val="26"/>
        </w:rPr>
        <w:t xml:space="preserve"> </w:t>
      </w:r>
      <w:proofErr w:type="spellStart"/>
      <w:r w:rsidRPr="00E036A5">
        <w:rPr>
          <w:sz w:val="26"/>
          <w:szCs w:val="26"/>
        </w:rPr>
        <w:t>Melandri</w:t>
      </w:r>
      <w:proofErr w:type="spellEnd"/>
      <w:r w:rsidRPr="00E036A5">
        <w:rPr>
          <w:sz w:val="26"/>
          <w:szCs w:val="26"/>
        </w:rPr>
        <w:t>"</w:t>
      </w:r>
      <w:r w:rsidR="00F97BE6" w:rsidRPr="00E036A5">
        <w:rPr>
          <w:rStyle w:val="Rimandonotaapidipagina"/>
          <w:sz w:val="26"/>
          <w:szCs w:val="26"/>
        </w:rPr>
        <w:footnoteReference w:id="39"/>
      </w:r>
      <w:r w:rsidRPr="00E036A5">
        <w:rPr>
          <w:sz w:val="26"/>
          <w:szCs w:val="26"/>
        </w:rPr>
        <w:t>. The decree mandates the centralized selling of broadcasting rights, sets criteria for fair revenue distribution among clubs, and ensures transparency and competitive fairness in the bidding process.</w:t>
      </w:r>
      <w:r w:rsidR="00C84D91" w:rsidRPr="003D2121">
        <w:rPr>
          <w:rStyle w:val="Rimandonotaapidipagina"/>
          <w:sz w:val="26"/>
          <w:szCs w:val="26"/>
        </w:rPr>
        <w:footnoteReference w:id="40"/>
      </w:r>
      <w:r w:rsidR="00C84D91" w:rsidRPr="003D2121">
        <w:rPr>
          <w:sz w:val="26"/>
          <w:szCs w:val="26"/>
        </w:rPr>
        <w:t>.</w:t>
      </w:r>
      <w:r w:rsidR="003D2121" w:rsidRPr="003D2121">
        <w:rPr>
          <w:sz w:val="26"/>
          <w:szCs w:val="26"/>
        </w:rPr>
        <w:t xml:space="preserve"> </w:t>
      </w:r>
      <w:r w:rsidR="00725071">
        <w:rPr>
          <w:sz w:val="26"/>
          <w:szCs w:val="26"/>
        </w:rPr>
        <w:t>Originally,</w:t>
      </w:r>
      <w:r w:rsidR="003D2121" w:rsidRPr="00A54655">
        <w:rPr>
          <w:sz w:val="26"/>
          <w:szCs w:val="26"/>
        </w:rPr>
        <w:t xml:space="preserve"> the maximum duration of licensing contracts </w:t>
      </w:r>
      <w:r w:rsidR="00725071">
        <w:rPr>
          <w:sz w:val="26"/>
          <w:szCs w:val="26"/>
        </w:rPr>
        <w:t>was</w:t>
      </w:r>
      <w:r w:rsidR="003D2121" w:rsidRPr="00A54655">
        <w:rPr>
          <w:sz w:val="26"/>
          <w:szCs w:val="26"/>
        </w:rPr>
        <w:t xml:space="preserve"> three</w:t>
      </w:r>
      <w:r w:rsidR="00725071">
        <w:rPr>
          <w:sz w:val="26"/>
          <w:szCs w:val="26"/>
        </w:rPr>
        <w:t xml:space="preserve"> years. Recent changes in legislation allowed for</w:t>
      </w:r>
      <w:r w:rsidR="003D2121" w:rsidRPr="00A54655">
        <w:rPr>
          <w:sz w:val="26"/>
          <w:szCs w:val="26"/>
        </w:rPr>
        <w:t xml:space="preserve"> </w:t>
      </w:r>
      <w:r w:rsidR="00725071">
        <w:rPr>
          <w:sz w:val="26"/>
          <w:szCs w:val="26"/>
        </w:rPr>
        <w:t>up-to-</w:t>
      </w:r>
      <w:r w:rsidR="003D2121" w:rsidRPr="00A54655">
        <w:rPr>
          <w:sz w:val="26"/>
          <w:szCs w:val="26"/>
        </w:rPr>
        <w:t>five years</w:t>
      </w:r>
      <w:r w:rsidR="00725071">
        <w:rPr>
          <w:sz w:val="26"/>
          <w:szCs w:val="26"/>
        </w:rPr>
        <w:t xml:space="preserve"> contracts</w:t>
      </w:r>
      <w:r w:rsidR="003D2121">
        <w:rPr>
          <w:sz w:val="26"/>
          <w:szCs w:val="26"/>
        </w:rPr>
        <w:t>.</w:t>
      </w:r>
    </w:p>
    <w:p w:rsidR="00051C3F" w:rsidRPr="00A54655" w:rsidRDefault="00051C3F" w:rsidP="0085437C">
      <w:pPr>
        <w:pStyle w:val="NormaleWeb"/>
        <w:spacing w:line="276" w:lineRule="auto"/>
        <w:jc w:val="both"/>
        <w:rPr>
          <w:sz w:val="26"/>
          <w:szCs w:val="26"/>
        </w:rPr>
      </w:pPr>
      <w:r w:rsidRPr="00A54655">
        <w:rPr>
          <w:sz w:val="26"/>
          <w:szCs w:val="26"/>
        </w:rPr>
        <w:t>Spain adapted its practices in 2006.</w:t>
      </w:r>
      <w:r w:rsidR="003D2121">
        <w:rPr>
          <w:sz w:val="26"/>
          <w:szCs w:val="26"/>
        </w:rPr>
        <w:t xml:space="preserve"> The</w:t>
      </w:r>
      <w:r w:rsidR="003D2121" w:rsidRPr="00A54655">
        <w:rPr>
          <w:sz w:val="26"/>
          <w:szCs w:val="26"/>
        </w:rPr>
        <w:t xml:space="preserve"> centralized system for selling broadcasting rights is managed by </w:t>
      </w:r>
      <w:proofErr w:type="spellStart"/>
      <w:r w:rsidR="003D2121" w:rsidRPr="00A54655">
        <w:rPr>
          <w:sz w:val="26"/>
          <w:szCs w:val="26"/>
        </w:rPr>
        <w:t>LaLiga</w:t>
      </w:r>
      <w:proofErr w:type="spellEnd"/>
      <w:r w:rsidR="003D2121" w:rsidRPr="00A54655">
        <w:rPr>
          <w:sz w:val="26"/>
          <w:szCs w:val="26"/>
        </w:rPr>
        <w:t xml:space="preserve"> following Royal Decree-Law 5/2015</w:t>
      </w:r>
      <w:r w:rsidR="002D0944">
        <w:rPr>
          <w:rStyle w:val="Rimandonotaapidipagina"/>
          <w:sz w:val="26"/>
          <w:szCs w:val="26"/>
        </w:rPr>
        <w:footnoteReference w:id="41"/>
      </w:r>
      <w:r w:rsidR="003D2121" w:rsidRPr="00A54655">
        <w:rPr>
          <w:sz w:val="26"/>
          <w:szCs w:val="26"/>
        </w:rPr>
        <w:t>. This law mandates collective selling of rights by the league, ensuring a competitive and balanced distribution of revenues among clubs.</w:t>
      </w:r>
      <w:r w:rsidRPr="00A54655">
        <w:rPr>
          <w:sz w:val="26"/>
          <w:szCs w:val="26"/>
        </w:rPr>
        <w:t xml:space="preserve"> The </w:t>
      </w:r>
      <w:proofErr w:type="spellStart"/>
      <w:r w:rsidRPr="00A86235">
        <w:rPr>
          <w:i/>
          <w:sz w:val="26"/>
          <w:szCs w:val="26"/>
        </w:rPr>
        <w:t>Comisión</w:t>
      </w:r>
      <w:proofErr w:type="spellEnd"/>
      <w:r w:rsidRPr="00A86235">
        <w:rPr>
          <w:i/>
          <w:sz w:val="26"/>
          <w:szCs w:val="26"/>
        </w:rPr>
        <w:t xml:space="preserve"> Nacional de los </w:t>
      </w:r>
      <w:proofErr w:type="spellStart"/>
      <w:r w:rsidRPr="00A86235">
        <w:rPr>
          <w:i/>
          <w:sz w:val="26"/>
          <w:szCs w:val="26"/>
        </w:rPr>
        <w:t>Mercados</w:t>
      </w:r>
      <w:proofErr w:type="spellEnd"/>
      <w:r w:rsidRPr="00A86235">
        <w:rPr>
          <w:i/>
          <w:sz w:val="26"/>
          <w:szCs w:val="26"/>
        </w:rPr>
        <w:t xml:space="preserve"> y la </w:t>
      </w:r>
      <w:proofErr w:type="spellStart"/>
      <w:r w:rsidRPr="00A86235">
        <w:rPr>
          <w:i/>
          <w:sz w:val="26"/>
          <w:szCs w:val="26"/>
        </w:rPr>
        <w:t>Competencia</w:t>
      </w:r>
      <w:proofErr w:type="spellEnd"/>
      <w:r w:rsidRPr="00A54655">
        <w:rPr>
          <w:sz w:val="26"/>
          <w:szCs w:val="26"/>
        </w:rPr>
        <w:t xml:space="preserve"> (CNMC), Spain’s competition authority, took the </w:t>
      </w:r>
      <w:r w:rsidRPr="00A54655">
        <w:rPr>
          <w:sz w:val="26"/>
          <w:szCs w:val="26"/>
        </w:rPr>
        <w:lastRenderedPageBreak/>
        <w:t>European Commission’s decision into account when reviewing the broadcasting rights arrangements for La Liga (García, 2007)</w:t>
      </w:r>
      <w:r w:rsidR="00A51C7F">
        <w:rPr>
          <w:rStyle w:val="Rimandonotaapidipagina"/>
          <w:sz w:val="26"/>
          <w:szCs w:val="26"/>
        </w:rPr>
        <w:footnoteReference w:id="42"/>
      </w:r>
      <w:r w:rsidRPr="00A54655">
        <w:rPr>
          <w:sz w:val="26"/>
          <w:szCs w:val="26"/>
        </w:rPr>
        <w:t>. La Liga adjusted its sales practices to ensure compliance, offering multiple rights packages and ensuring transparent bidding processes (Fernández, 2008)</w:t>
      </w:r>
      <w:r w:rsidR="00A51C7F">
        <w:rPr>
          <w:rStyle w:val="Rimandonotaapidipagina"/>
          <w:sz w:val="26"/>
          <w:szCs w:val="26"/>
        </w:rPr>
        <w:footnoteReference w:id="43"/>
      </w:r>
      <w:r w:rsidRPr="00A54655">
        <w:rPr>
          <w:sz w:val="26"/>
          <w:szCs w:val="26"/>
        </w:rPr>
        <w:t>.</w:t>
      </w:r>
      <w:r w:rsidR="00C84D91">
        <w:rPr>
          <w:sz w:val="26"/>
          <w:szCs w:val="26"/>
        </w:rPr>
        <w:t xml:space="preserve"> </w:t>
      </w:r>
      <w:r w:rsidR="00C84D91" w:rsidRPr="00C84D91">
        <w:rPr>
          <w:sz w:val="26"/>
          <w:szCs w:val="26"/>
        </w:rPr>
        <w:t>Perez et al. (2015)</w:t>
      </w:r>
      <w:r w:rsidR="00C84D91">
        <w:rPr>
          <w:sz w:val="26"/>
          <w:szCs w:val="26"/>
        </w:rPr>
        <w:t xml:space="preserve"> </w:t>
      </w:r>
      <w:r w:rsidR="00C84D91" w:rsidRPr="00C84D91">
        <w:rPr>
          <w:sz w:val="26"/>
          <w:szCs w:val="26"/>
        </w:rPr>
        <w:t>examine</w:t>
      </w:r>
      <w:r w:rsidR="00C84D91">
        <w:rPr>
          <w:sz w:val="26"/>
          <w:szCs w:val="26"/>
        </w:rPr>
        <w:t>d</w:t>
      </w:r>
      <w:r w:rsidR="00C84D91" w:rsidRPr="00C84D91">
        <w:rPr>
          <w:sz w:val="26"/>
          <w:szCs w:val="26"/>
        </w:rPr>
        <w:t xml:space="preserve"> the legislative impact of mandating certain sports broadcasts to be free-to-air. Their findings suggest that while some matches attract nationwide interest, most viewership is driven by local team involvement, challenging the notion of general interest broadcasts</w:t>
      </w:r>
      <w:r w:rsidR="00C84D91">
        <w:rPr>
          <w:rStyle w:val="Rimandonotaapidipagina"/>
          <w:sz w:val="26"/>
          <w:szCs w:val="26"/>
        </w:rPr>
        <w:footnoteReference w:id="44"/>
      </w:r>
      <w:r w:rsidR="00C84D91" w:rsidRPr="00C84D91">
        <w:rPr>
          <w:sz w:val="26"/>
          <w:szCs w:val="26"/>
        </w:rPr>
        <w:t>.</w:t>
      </w:r>
    </w:p>
    <w:p w:rsidR="00107163" w:rsidRPr="00A54655" w:rsidRDefault="00107163" w:rsidP="005458B4">
      <w:pPr>
        <w:spacing w:line="276" w:lineRule="auto"/>
        <w:jc w:val="both"/>
        <w:rPr>
          <w:rFonts w:ascii="Times New Roman" w:hAnsi="Times New Roman" w:cs="Times New Roman"/>
          <w:sz w:val="26"/>
          <w:szCs w:val="26"/>
          <w:lang w:val="en-GB"/>
        </w:rPr>
      </w:pPr>
    </w:p>
    <w:p w:rsidR="00EE2E19" w:rsidRPr="00EE2E19" w:rsidRDefault="001E7EAD" w:rsidP="00EE2E19">
      <w:pPr>
        <w:keepNext/>
        <w:spacing w:after="0" w:line="240" w:lineRule="auto"/>
        <w:jc w:val="both"/>
        <w:outlineLvl w:val="0"/>
        <w:rPr>
          <w:rFonts w:ascii="Times New Roman" w:eastAsia="Times New Roman" w:hAnsi="Times New Roman" w:cs="Times New Roman"/>
          <w:b/>
          <w:bCs/>
          <w:smallCaps/>
          <w:kern w:val="32"/>
          <w:sz w:val="26"/>
          <w:szCs w:val="26"/>
          <w:lang w:val="en-GB" w:eastAsia="it-IT"/>
        </w:rPr>
      </w:pPr>
      <w:bookmarkStart w:id="12" w:name="_Toc177052149"/>
      <w:r>
        <w:rPr>
          <w:rFonts w:ascii="Times New Roman" w:eastAsia="Times New Roman" w:hAnsi="Times New Roman" w:cs="Times New Roman"/>
          <w:b/>
          <w:bCs/>
          <w:smallCaps/>
          <w:kern w:val="32"/>
          <w:sz w:val="26"/>
          <w:szCs w:val="26"/>
          <w:lang w:val="en-GB" w:eastAsia="it-IT"/>
        </w:rPr>
        <w:t xml:space="preserve">V. </w:t>
      </w:r>
      <w:r w:rsidR="00EE2E19" w:rsidRPr="00EE2E19">
        <w:rPr>
          <w:rFonts w:ascii="Times New Roman" w:eastAsia="Times New Roman" w:hAnsi="Times New Roman" w:cs="Times New Roman"/>
          <w:b/>
          <w:bCs/>
          <w:smallCaps/>
          <w:kern w:val="32"/>
          <w:sz w:val="26"/>
          <w:szCs w:val="26"/>
          <w:lang w:val="en-GB" w:eastAsia="it-IT"/>
        </w:rPr>
        <w:t>Member States regulation and recent decisions</w:t>
      </w:r>
      <w:bookmarkEnd w:id="12"/>
    </w:p>
    <w:p w:rsidR="00EE2E19" w:rsidRDefault="00EE2E19" w:rsidP="000D2DDE">
      <w:pPr>
        <w:spacing w:line="276" w:lineRule="auto"/>
        <w:jc w:val="both"/>
        <w:rPr>
          <w:rFonts w:ascii="Times New Roman" w:hAnsi="Times New Roman" w:cs="Times New Roman"/>
          <w:sz w:val="26"/>
          <w:szCs w:val="26"/>
          <w:lang w:val="en-GB"/>
        </w:rPr>
      </w:pPr>
    </w:p>
    <w:p w:rsidR="00EE2E19" w:rsidRDefault="00EE2E19" w:rsidP="000D2DDE">
      <w:pPr>
        <w:spacing w:line="276" w:lineRule="auto"/>
        <w:jc w:val="both"/>
        <w:rPr>
          <w:rFonts w:ascii="Times New Roman" w:hAnsi="Times New Roman" w:cs="Times New Roman"/>
          <w:sz w:val="26"/>
          <w:szCs w:val="26"/>
          <w:lang w:val="en-GB"/>
        </w:rPr>
      </w:pPr>
      <w:r>
        <w:rPr>
          <w:rFonts w:ascii="Times New Roman" w:hAnsi="Times New Roman" w:cs="Times New Roman"/>
          <w:sz w:val="26"/>
          <w:szCs w:val="26"/>
          <w:lang w:val="en-GB"/>
        </w:rPr>
        <w:t xml:space="preserve">This section summarizes the major experiences of </w:t>
      </w:r>
      <w:r w:rsidR="006215A6">
        <w:rPr>
          <w:rFonts w:ascii="Times New Roman" w:hAnsi="Times New Roman" w:cs="Times New Roman"/>
          <w:sz w:val="26"/>
          <w:szCs w:val="26"/>
          <w:lang w:val="en-GB"/>
        </w:rPr>
        <w:t xml:space="preserve">most of the Member States (plus the United </w:t>
      </w:r>
      <w:proofErr w:type="spellStart"/>
      <w:r w:rsidR="006215A6">
        <w:rPr>
          <w:rFonts w:ascii="Times New Roman" w:hAnsi="Times New Roman" w:cs="Times New Roman"/>
          <w:sz w:val="26"/>
          <w:szCs w:val="26"/>
          <w:lang w:val="en-GB"/>
        </w:rPr>
        <w:t>Kindgom</w:t>
      </w:r>
      <w:proofErr w:type="spellEnd"/>
      <w:r w:rsidR="006215A6">
        <w:rPr>
          <w:rFonts w:ascii="Times New Roman" w:hAnsi="Times New Roman" w:cs="Times New Roman"/>
          <w:sz w:val="26"/>
          <w:szCs w:val="26"/>
          <w:lang w:val="en-GB"/>
        </w:rPr>
        <w:t xml:space="preserve">) in assessing the collective sale of football broadcasting rights. A comparative table of each Member State principle implementation is provided at the end of the paper, in </w:t>
      </w:r>
      <w:r w:rsidR="00175849">
        <w:rPr>
          <w:rFonts w:ascii="Times New Roman" w:hAnsi="Times New Roman" w:cs="Times New Roman"/>
          <w:sz w:val="26"/>
          <w:szCs w:val="26"/>
          <w:lang w:val="en-GB"/>
        </w:rPr>
        <w:t>A</w:t>
      </w:r>
      <w:r w:rsidR="006215A6">
        <w:rPr>
          <w:rFonts w:ascii="Times New Roman" w:hAnsi="Times New Roman" w:cs="Times New Roman"/>
          <w:sz w:val="26"/>
          <w:szCs w:val="26"/>
          <w:lang w:val="en-GB"/>
        </w:rPr>
        <w:t>ppendix.</w:t>
      </w:r>
    </w:p>
    <w:p w:rsidR="00A37BEC" w:rsidRPr="00EE2E19" w:rsidRDefault="001E7EAD" w:rsidP="003912F1">
      <w:pPr>
        <w:pStyle w:val="Titolo2"/>
        <w:keepLines w:val="0"/>
        <w:spacing w:before="0" w:line="240" w:lineRule="auto"/>
        <w:rPr>
          <w:rFonts w:ascii="Times New Roman" w:eastAsia="Times New Roman" w:hAnsi="Times New Roman" w:cs="Times New Roman"/>
          <w:b/>
          <w:bCs/>
          <w:i/>
          <w:iCs/>
          <w:color w:val="auto"/>
          <w:lang w:val="en-GB"/>
        </w:rPr>
      </w:pPr>
      <w:bookmarkStart w:id="13" w:name="_Toc177052150"/>
      <w:r>
        <w:rPr>
          <w:rFonts w:ascii="Times New Roman" w:eastAsia="Times New Roman" w:hAnsi="Times New Roman" w:cs="Times New Roman"/>
          <w:b/>
          <w:bCs/>
          <w:i/>
          <w:iCs/>
          <w:color w:val="auto"/>
          <w:lang w:val="en-GB"/>
        </w:rPr>
        <w:t xml:space="preserve">V.1 </w:t>
      </w:r>
      <w:r w:rsidR="00A37BEC" w:rsidRPr="00EE2E19">
        <w:rPr>
          <w:rFonts w:ascii="Times New Roman" w:eastAsia="Times New Roman" w:hAnsi="Times New Roman" w:cs="Times New Roman"/>
          <w:b/>
          <w:bCs/>
          <w:i/>
          <w:iCs/>
          <w:color w:val="auto"/>
          <w:lang w:val="en-GB"/>
        </w:rPr>
        <w:t>Austria</w:t>
      </w:r>
      <w:bookmarkEnd w:id="13"/>
    </w:p>
    <w:p w:rsidR="00A37BEC" w:rsidRPr="00A54655" w:rsidRDefault="00A37BEC" w:rsidP="00D80DA4">
      <w:pPr>
        <w:pStyle w:val="NormaleWeb"/>
        <w:spacing w:line="276" w:lineRule="auto"/>
        <w:jc w:val="both"/>
        <w:rPr>
          <w:sz w:val="26"/>
          <w:szCs w:val="26"/>
        </w:rPr>
      </w:pPr>
      <w:bookmarkStart w:id="14" w:name="_Hlk173336997"/>
      <w:bookmarkStart w:id="15" w:name="_Hlk173337050"/>
      <w:r w:rsidRPr="00A54655">
        <w:rPr>
          <w:sz w:val="26"/>
          <w:szCs w:val="26"/>
        </w:rPr>
        <w:t xml:space="preserve">Austria does not have a specific legislative regime for the sale of broadcasting rights of football leagues. The sale is </w:t>
      </w:r>
      <w:bookmarkEnd w:id="14"/>
      <w:r w:rsidRPr="00A54655">
        <w:rPr>
          <w:sz w:val="26"/>
          <w:szCs w:val="26"/>
        </w:rPr>
        <w:t>governed by the "</w:t>
      </w:r>
      <w:proofErr w:type="spellStart"/>
      <w:r w:rsidRPr="00A54655">
        <w:rPr>
          <w:sz w:val="26"/>
          <w:szCs w:val="26"/>
        </w:rPr>
        <w:t>Fernseh-Exklusivrechtegesetz</w:t>
      </w:r>
      <w:proofErr w:type="spellEnd"/>
      <w:r w:rsidRPr="00A54655">
        <w:rPr>
          <w:sz w:val="26"/>
          <w:szCs w:val="26"/>
        </w:rPr>
        <w:t>"</w:t>
      </w:r>
      <w:r w:rsidR="00E036A5">
        <w:rPr>
          <w:rStyle w:val="Rimandonotaapidipagina"/>
          <w:sz w:val="26"/>
          <w:szCs w:val="26"/>
        </w:rPr>
        <w:footnoteReference w:id="45"/>
      </w:r>
      <w:r w:rsidRPr="00A54655">
        <w:rPr>
          <w:sz w:val="26"/>
          <w:szCs w:val="26"/>
        </w:rPr>
        <w:t xml:space="preserve"> which ensures access to content regarding </w:t>
      </w:r>
      <w:bookmarkEnd w:id="15"/>
      <w:r w:rsidRPr="00A54655">
        <w:rPr>
          <w:sz w:val="26"/>
          <w:szCs w:val="26"/>
        </w:rPr>
        <w:t>events of major importance for society. The National Football League live broadcasting and premium rights are not split into different rights packages. The broadcasting rights for the Austrian Bundesliga have been exclusively licensed to Sky Austria for four seasons with an option for renewal, which was exercised in 2022. Four games per season and a highlights package must be sub-licensed to a free TV carrier (currently ORF)</w:t>
      </w:r>
      <w:r w:rsidR="00D80DA4">
        <w:rPr>
          <w:sz w:val="26"/>
          <w:szCs w:val="26"/>
        </w:rPr>
        <w:t>.</w:t>
      </w:r>
    </w:p>
    <w:p w:rsidR="00A37BEC" w:rsidRPr="00D80DA4" w:rsidRDefault="001E7EAD" w:rsidP="003912F1">
      <w:pPr>
        <w:pStyle w:val="Titolo2"/>
        <w:keepLines w:val="0"/>
        <w:spacing w:before="0" w:line="240" w:lineRule="auto"/>
        <w:rPr>
          <w:rFonts w:ascii="Times New Roman" w:eastAsia="Times New Roman" w:hAnsi="Times New Roman" w:cs="Times New Roman"/>
          <w:b/>
          <w:bCs/>
          <w:i/>
          <w:iCs/>
          <w:color w:val="auto"/>
          <w:lang w:val="en-GB"/>
        </w:rPr>
      </w:pPr>
      <w:bookmarkStart w:id="16" w:name="_Toc177052151"/>
      <w:r>
        <w:rPr>
          <w:rFonts w:ascii="Times New Roman" w:eastAsia="Times New Roman" w:hAnsi="Times New Roman" w:cs="Times New Roman"/>
          <w:b/>
          <w:bCs/>
          <w:i/>
          <w:iCs/>
          <w:color w:val="auto"/>
          <w:lang w:val="en-GB"/>
        </w:rPr>
        <w:t xml:space="preserve">V.2 </w:t>
      </w:r>
      <w:r w:rsidR="00A37BEC" w:rsidRPr="00D80DA4">
        <w:rPr>
          <w:rFonts w:ascii="Times New Roman" w:eastAsia="Times New Roman" w:hAnsi="Times New Roman" w:cs="Times New Roman"/>
          <w:b/>
          <w:bCs/>
          <w:i/>
          <w:iCs/>
          <w:color w:val="auto"/>
          <w:lang w:val="en-GB"/>
        </w:rPr>
        <w:t>Belgium</w:t>
      </w:r>
      <w:bookmarkEnd w:id="16"/>
    </w:p>
    <w:p w:rsidR="00A37BEC" w:rsidRPr="00A54655" w:rsidRDefault="00A37BEC" w:rsidP="00D80DA4">
      <w:pPr>
        <w:pStyle w:val="NormaleWeb"/>
        <w:spacing w:line="276" w:lineRule="auto"/>
        <w:jc w:val="both"/>
        <w:rPr>
          <w:sz w:val="26"/>
          <w:szCs w:val="26"/>
        </w:rPr>
      </w:pPr>
      <w:r w:rsidRPr="00A54655">
        <w:rPr>
          <w:sz w:val="26"/>
          <w:szCs w:val="26"/>
        </w:rPr>
        <w:t xml:space="preserve">The collective sale of the broadcasting rights to </w:t>
      </w:r>
      <w:proofErr w:type="spellStart"/>
      <w:r w:rsidRPr="00A54655">
        <w:rPr>
          <w:sz w:val="26"/>
          <w:szCs w:val="26"/>
        </w:rPr>
        <w:t>Jupiler</w:t>
      </w:r>
      <w:proofErr w:type="spellEnd"/>
      <w:r w:rsidRPr="00A54655">
        <w:rPr>
          <w:sz w:val="26"/>
          <w:szCs w:val="26"/>
        </w:rPr>
        <w:t xml:space="preserve"> Pro League matches was authorized by the Competition Council in 2005</w:t>
      </w:r>
      <w:r w:rsidR="00D80DA4">
        <w:rPr>
          <w:rStyle w:val="Rimandonotaapidipagina"/>
          <w:sz w:val="26"/>
          <w:szCs w:val="26"/>
        </w:rPr>
        <w:footnoteReference w:id="46"/>
      </w:r>
      <w:r w:rsidRPr="00A54655">
        <w:rPr>
          <w:sz w:val="26"/>
          <w:szCs w:val="26"/>
        </w:rPr>
        <w:t xml:space="preserve">. The sale is subject to strict conditions regarding content, procedure, and duration, confirmed by the Brussels </w:t>
      </w:r>
      <w:r w:rsidRPr="00A54655">
        <w:rPr>
          <w:sz w:val="26"/>
          <w:szCs w:val="26"/>
        </w:rPr>
        <w:lastRenderedPageBreak/>
        <w:t>Court of Appeal</w:t>
      </w:r>
      <w:r w:rsidR="00235C99">
        <w:rPr>
          <w:rStyle w:val="Rimandonotaapidipagina"/>
          <w:sz w:val="26"/>
          <w:szCs w:val="26"/>
        </w:rPr>
        <w:footnoteReference w:id="47"/>
      </w:r>
      <w:r w:rsidRPr="00A54655">
        <w:rPr>
          <w:sz w:val="26"/>
          <w:szCs w:val="26"/>
        </w:rPr>
        <w:t>. Rights are split into various packages by language (Dutch and French) and by type (live, delayed, highlights, magazines). Packages are sold by both product and platform type. Exclusive rights packages exist, with the possibility for channels to acquire rights exclusively or non-exclusively. Where a broadcaster is a telecommunications platform, rights are granted on a non-exclusive basis. A no single buyer rule is enforced, preventing acquisition of all rights packages by one entity.</w:t>
      </w:r>
      <w:r w:rsidR="00235C99">
        <w:rPr>
          <w:sz w:val="26"/>
          <w:szCs w:val="26"/>
        </w:rPr>
        <w:t xml:space="preserve"> </w:t>
      </w:r>
      <w:r w:rsidR="00235C99" w:rsidRPr="00235C99">
        <w:rPr>
          <w:sz w:val="26"/>
          <w:szCs w:val="26"/>
        </w:rPr>
        <w:t>When the rights are obtained by a channel, then the duration can be 5 years (with an extension of 1 year). When the rights are obtained by a platform, then duration will be 3 years (</w:t>
      </w:r>
      <w:r w:rsidR="00235C99">
        <w:rPr>
          <w:sz w:val="26"/>
          <w:szCs w:val="26"/>
        </w:rPr>
        <w:t>plus an additional</w:t>
      </w:r>
      <w:r w:rsidR="00235C99" w:rsidRPr="00235C99">
        <w:rPr>
          <w:sz w:val="26"/>
          <w:szCs w:val="26"/>
        </w:rPr>
        <w:t xml:space="preserve"> </w:t>
      </w:r>
      <w:r w:rsidR="00235C99">
        <w:rPr>
          <w:sz w:val="26"/>
          <w:szCs w:val="26"/>
        </w:rPr>
        <w:t>one</w:t>
      </w:r>
      <w:r w:rsidR="00235C99" w:rsidRPr="00235C99">
        <w:rPr>
          <w:sz w:val="26"/>
          <w:szCs w:val="26"/>
        </w:rPr>
        <w:t>).</w:t>
      </w:r>
    </w:p>
    <w:p w:rsidR="00A37BEC" w:rsidRPr="008926B5" w:rsidRDefault="001E7EAD" w:rsidP="003912F1">
      <w:pPr>
        <w:pStyle w:val="Titolo2"/>
        <w:keepLines w:val="0"/>
        <w:spacing w:before="0" w:line="240" w:lineRule="auto"/>
        <w:rPr>
          <w:rFonts w:ascii="Times New Roman" w:eastAsia="Times New Roman" w:hAnsi="Times New Roman" w:cs="Times New Roman"/>
          <w:b/>
          <w:bCs/>
          <w:i/>
          <w:iCs/>
          <w:color w:val="auto"/>
          <w:lang w:val="en-GB"/>
        </w:rPr>
      </w:pPr>
      <w:bookmarkStart w:id="17" w:name="_Toc177052152"/>
      <w:r w:rsidRPr="008926B5">
        <w:rPr>
          <w:rFonts w:ascii="Times New Roman" w:eastAsia="Times New Roman" w:hAnsi="Times New Roman" w:cs="Times New Roman"/>
          <w:b/>
          <w:bCs/>
          <w:i/>
          <w:iCs/>
          <w:color w:val="auto"/>
          <w:lang w:val="en-GB"/>
        </w:rPr>
        <w:t xml:space="preserve">V.3 </w:t>
      </w:r>
      <w:r w:rsidR="00A37BEC" w:rsidRPr="008926B5">
        <w:rPr>
          <w:rFonts w:ascii="Times New Roman" w:eastAsia="Times New Roman" w:hAnsi="Times New Roman" w:cs="Times New Roman"/>
          <w:b/>
          <w:bCs/>
          <w:i/>
          <w:iCs/>
          <w:color w:val="auto"/>
          <w:lang w:val="en-GB"/>
        </w:rPr>
        <w:t>Bulgaria</w:t>
      </w:r>
      <w:bookmarkEnd w:id="17"/>
    </w:p>
    <w:p w:rsidR="00A37BEC" w:rsidRPr="00A54655" w:rsidRDefault="00A37BEC" w:rsidP="00D80DA4">
      <w:pPr>
        <w:pStyle w:val="NormaleWeb"/>
        <w:spacing w:line="276" w:lineRule="auto"/>
        <w:jc w:val="both"/>
        <w:rPr>
          <w:sz w:val="26"/>
          <w:szCs w:val="26"/>
        </w:rPr>
      </w:pPr>
      <w:r w:rsidRPr="00A54655">
        <w:rPr>
          <w:sz w:val="26"/>
          <w:szCs w:val="26"/>
        </w:rPr>
        <w:t>The Bulgarian legislation grants the licensed sports federation exclusive rights for advertising, radio, and television broadcasting of all sports competitions it organizes. The Bulgarian Competition Council (CPC) has not</w:t>
      </w:r>
      <w:r w:rsidR="00427AD5">
        <w:rPr>
          <w:sz w:val="26"/>
          <w:szCs w:val="26"/>
        </w:rPr>
        <w:t xml:space="preserve"> yet</w:t>
      </w:r>
      <w:r w:rsidRPr="00A54655">
        <w:rPr>
          <w:sz w:val="26"/>
          <w:szCs w:val="26"/>
        </w:rPr>
        <w:t xml:space="preserve"> </w:t>
      </w:r>
      <w:r w:rsidR="00427AD5" w:rsidRPr="00A54655">
        <w:rPr>
          <w:sz w:val="26"/>
          <w:szCs w:val="26"/>
        </w:rPr>
        <w:t>analysed</w:t>
      </w:r>
      <w:r w:rsidRPr="00A54655">
        <w:rPr>
          <w:sz w:val="26"/>
          <w:szCs w:val="26"/>
        </w:rPr>
        <w:t xml:space="preserve"> the sale of audio-visual rights of football events. The TV rights for Bulgaria's top Football League consist of a single package, including both TV and internet broadcasting of First League, Second League, and the Cup of Bulgaria. The rights package provides exclusive rights and a “no single buyer” rule is not applied. </w:t>
      </w:r>
      <w:r w:rsidR="00235C99" w:rsidRPr="00235C99">
        <w:rPr>
          <w:sz w:val="26"/>
          <w:szCs w:val="26"/>
        </w:rPr>
        <w:t>The current contract for the television rights for the Bulgarian football championship (Bulgaria’s top Football League) was concluded for a period of 6 years (until 2026)</w:t>
      </w:r>
      <w:r w:rsidR="00235C99">
        <w:rPr>
          <w:sz w:val="26"/>
          <w:szCs w:val="26"/>
        </w:rPr>
        <w:t xml:space="preserve"> and t</w:t>
      </w:r>
      <w:r w:rsidRPr="00A54655">
        <w:rPr>
          <w:sz w:val="26"/>
          <w:szCs w:val="26"/>
        </w:rPr>
        <w:t>he rights are currently held by Nova Broadcasting Group.</w:t>
      </w:r>
    </w:p>
    <w:p w:rsidR="00A37BEC" w:rsidRPr="00427AD5" w:rsidRDefault="00427AD5" w:rsidP="003912F1">
      <w:pPr>
        <w:pStyle w:val="Titolo2"/>
        <w:keepLines w:val="0"/>
        <w:spacing w:before="0" w:line="240" w:lineRule="auto"/>
        <w:rPr>
          <w:rFonts w:ascii="Times New Roman" w:eastAsia="Times New Roman" w:hAnsi="Times New Roman" w:cs="Times New Roman"/>
          <w:b/>
          <w:bCs/>
          <w:i/>
          <w:iCs/>
          <w:color w:val="auto"/>
          <w:lang w:val="en-GB"/>
        </w:rPr>
      </w:pPr>
      <w:bookmarkStart w:id="18" w:name="_Toc177052153"/>
      <w:r w:rsidRPr="00427AD5">
        <w:rPr>
          <w:rFonts w:ascii="Times New Roman" w:eastAsia="Times New Roman" w:hAnsi="Times New Roman" w:cs="Times New Roman"/>
          <w:b/>
          <w:bCs/>
          <w:i/>
          <w:iCs/>
          <w:color w:val="auto"/>
          <w:lang w:val="en-GB"/>
        </w:rPr>
        <w:t xml:space="preserve">V.4 </w:t>
      </w:r>
      <w:r w:rsidR="00A37BEC" w:rsidRPr="00427AD5">
        <w:rPr>
          <w:rFonts w:ascii="Times New Roman" w:eastAsia="Times New Roman" w:hAnsi="Times New Roman" w:cs="Times New Roman"/>
          <w:b/>
          <w:bCs/>
          <w:i/>
          <w:iCs/>
          <w:color w:val="auto"/>
          <w:lang w:val="en-GB"/>
        </w:rPr>
        <w:t>Croatia</w:t>
      </w:r>
      <w:bookmarkEnd w:id="18"/>
    </w:p>
    <w:p w:rsidR="00A37BEC" w:rsidRPr="00A54655" w:rsidRDefault="00235C99" w:rsidP="00D80DA4">
      <w:pPr>
        <w:pStyle w:val="NormaleWeb"/>
        <w:spacing w:line="276" w:lineRule="auto"/>
        <w:jc w:val="both"/>
        <w:rPr>
          <w:sz w:val="26"/>
          <w:szCs w:val="26"/>
        </w:rPr>
      </w:pPr>
      <w:r>
        <w:rPr>
          <w:sz w:val="26"/>
          <w:szCs w:val="26"/>
        </w:rPr>
        <w:t>In2020 the</w:t>
      </w:r>
      <w:r w:rsidR="00A37BEC" w:rsidRPr="00A54655">
        <w:rPr>
          <w:sz w:val="26"/>
          <w:szCs w:val="26"/>
        </w:rPr>
        <w:t xml:space="preserve"> Croatian Competition </w:t>
      </w:r>
      <w:r>
        <w:rPr>
          <w:sz w:val="26"/>
          <w:szCs w:val="26"/>
        </w:rPr>
        <w:t>Authority</w:t>
      </w:r>
      <w:r w:rsidR="00A37BEC" w:rsidRPr="00A54655">
        <w:rPr>
          <w:sz w:val="26"/>
          <w:szCs w:val="26"/>
        </w:rPr>
        <w:t xml:space="preserve"> </w:t>
      </w:r>
      <w:r w:rsidR="002E709C" w:rsidRPr="00A54655">
        <w:rPr>
          <w:sz w:val="26"/>
          <w:szCs w:val="26"/>
        </w:rPr>
        <w:t>analysed</w:t>
      </w:r>
      <w:r w:rsidR="00A37BEC" w:rsidRPr="00A54655">
        <w:rPr>
          <w:sz w:val="26"/>
          <w:szCs w:val="26"/>
        </w:rPr>
        <w:t xml:space="preserve"> the joint sale of television and related media rights by the Croatian Football Association for seven years</w:t>
      </w:r>
      <w:r>
        <w:rPr>
          <w:sz w:val="26"/>
          <w:szCs w:val="26"/>
        </w:rPr>
        <w:t xml:space="preserve"> (from season 2022/2023 to season 2028/2029</w:t>
      </w:r>
      <w:r w:rsidR="00A37BEC" w:rsidRPr="00A54655">
        <w:rPr>
          <w:sz w:val="26"/>
          <w:szCs w:val="26"/>
        </w:rPr>
        <w:t xml:space="preserve">, considering EU competition criteria. </w:t>
      </w:r>
      <w:r w:rsidR="0019703B">
        <w:rPr>
          <w:sz w:val="26"/>
          <w:szCs w:val="26"/>
        </w:rPr>
        <w:t>The case concluded with a non-violation of competition rules</w:t>
      </w:r>
      <w:r w:rsidR="0019703B">
        <w:rPr>
          <w:rStyle w:val="Rimandonotaapidipagina"/>
          <w:sz w:val="26"/>
          <w:szCs w:val="26"/>
        </w:rPr>
        <w:footnoteReference w:id="48"/>
      </w:r>
      <w:r w:rsidR="0019703B">
        <w:rPr>
          <w:sz w:val="26"/>
          <w:szCs w:val="26"/>
        </w:rPr>
        <w:t xml:space="preserve">. </w:t>
      </w:r>
      <w:r w:rsidR="00A37BEC" w:rsidRPr="00A54655">
        <w:rPr>
          <w:sz w:val="26"/>
          <w:szCs w:val="26"/>
        </w:rPr>
        <w:t xml:space="preserve">The rights for the First Croatian Football League are sold as a single package including various competitions. The rights were initially sold to Endorphin </w:t>
      </w:r>
      <w:proofErr w:type="spellStart"/>
      <w:r w:rsidR="00A37BEC" w:rsidRPr="00A54655">
        <w:rPr>
          <w:sz w:val="26"/>
          <w:szCs w:val="26"/>
        </w:rPr>
        <w:t>Magine</w:t>
      </w:r>
      <w:proofErr w:type="spellEnd"/>
      <w:r w:rsidR="00A37BEC" w:rsidRPr="00A54655">
        <w:rPr>
          <w:sz w:val="26"/>
          <w:szCs w:val="26"/>
        </w:rPr>
        <w:t xml:space="preserve"> LTD but</w:t>
      </w:r>
      <w:r>
        <w:rPr>
          <w:sz w:val="26"/>
          <w:szCs w:val="26"/>
        </w:rPr>
        <w:t xml:space="preserve"> then</w:t>
      </w:r>
      <w:r w:rsidR="00A37BEC" w:rsidRPr="00A54655">
        <w:rPr>
          <w:sz w:val="26"/>
          <w:szCs w:val="26"/>
        </w:rPr>
        <w:t xml:space="preserve"> transferred to </w:t>
      </w:r>
      <w:proofErr w:type="spellStart"/>
      <w:r w:rsidR="00A37BEC" w:rsidRPr="00A54655">
        <w:rPr>
          <w:sz w:val="26"/>
          <w:szCs w:val="26"/>
        </w:rPr>
        <w:t>Hrvatski</w:t>
      </w:r>
      <w:proofErr w:type="spellEnd"/>
      <w:r w:rsidR="00A37BEC" w:rsidRPr="00A54655">
        <w:rPr>
          <w:sz w:val="26"/>
          <w:szCs w:val="26"/>
        </w:rPr>
        <w:t xml:space="preserve"> Telekom after non-payment</w:t>
      </w:r>
      <w:r>
        <w:rPr>
          <w:sz w:val="26"/>
          <w:szCs w:val="26"/>
        </w:rPr>
        <w:t xml:space="preserve"> of the rights</w:t>
      </w:r>
      <w:r w:rsidR="00A37BEC" w:rsidRPr="00A54655">
        <w:rPr>
          <w:sz w:val="26"/>
          <w:szCs w:val="26"/>
        </w:rPr>
        <w:t>. There is no explicit no single buyer rule mentioned, but transparency and non-discriminatory bidding processes are emphasized</w:t>
      </w:r>
      <w:r w:rsidR="00B12C23">
        <w:rPr>
          <w:rStyle w:val="Rimandonotaapidipagina"/>
          <w:sz w:val="26"/>
          <w:szCs w:val="26"/>
        </w:rPr>
        <w:footnoteReference w:id="49"/>
      </w:r>
      <w:r w:rsidR="00A37BEC" w:rsidRPr="00A54655">
        <w:rPr>
          <w:sz w:val="26"/>
          <w:szCs w:val="26"/>
        </w:rPr>
        <w:t>.</w:t>
      </w:r>
      <w:r>
        <w:rPr>
          <w:sz w:val="26"/>
          <w:szCs w:val="26"/>
        </w:rPr>
        <w:t xml:space="preserve"> </w:t>
      </w:r>
      <w:r w:rsidRPr="00235C99">
        <w:rPr>
          <w:sz w:val="26"/>
          <w:szCs w:val="26"/>
        </w:rPr>
        <w:t xml:space="preserve">An agreement was concluded between </w:t>
      </w:r>
      <w:proofErr w:type="spellStart"/>
      <w:r w:rsidRPr="00235C99">
        <w:rPr>
          <w:sz w:val="26"/>
          <w:szCs w:val="26"/>
        </w:rPr>
        <w:t>Hrvatski</w:t>
      </w:r>
      <w:proofErr w:type="spellEnd"/>
      <w:r w:rsidRPr="00235C99">
        <w:rPr>
          <w:sz w:val="26"/>
          <w:szCs w:val="26"/>
        </w:rPr>
        <w:t xml:space="preserve"> Telekom and Croatian </w:t>
      </w:r>
      <w:proofErr w:type="spellStart"/>
      <w:r w:rsidRPr="00235C99">
        <w:rPr>
          <w:sz w:val="26"/>
          <w:szCs w:val="26"/>
        </w:rPr>
        <w:t>Radiotelevision</w:t>
      </w:r>
      <w:proofErr w:type="spellEnd"/>
      <w:r w:rsidRPr="00235C99">
        <w:rPr>
          <w:sz w:val="26"/>
          <w:szCs w:val="26"/>
        </w:rPr>
        <w:t xml:space="preserve"> according to which one match of each round will be broadcast on national television</w:t>
      </w:r>
      <w:r>
        <w:rPr>
          <w:sz w:val="26"/>
          <w:szCs w:val="26"/>
        </w:rPr>
        <w:t>.</w:t>
      </w:r>
    </w:p>
    <w:p w:rsidR="00A37BEC" w:rsidRPr="00B12C23" w:rsidRDefault="00427AD5" w:rsidP="003912F1">
      <w:pPr>
        <w:pStyle w:val="Titolo2"/>
        <w:keepLines w:val="0"/>
        <w:spacing w:before="0" w:line="240" w:lineRule="auto"/>
        <w:rPr>
          <w:rFonts w:ascii="Times New Roman" w:eastAsia="Times New Roman" w:hAnsi="Times New Roman" w:cs="Times New Roman"/>
          <w:b/>
          <w:bCs/>
          <w:i/>
          <w:iCs/>
          <w:color w:val="auto"/>
          <w:lang w:val="en-GB"/>
        </w:rPr>
      </w:pPr>
      <w:bookmarkStart w:id="19" w:name="_Toc177052154"/>
      <w:r>
        <w:rPr>
          <w:rFonts w:ascii="Times New Roman" w:eastAsia="Times New Roman" w:hAnsi="Times New Roman" w:cs="Times New Roman"/>
          <w:b/>
          <w:bCs/>
          <w:i/>
          <w:iCs/>
          <w:color w:val="auto"/>
          <w:lang w:val="en-GB"/>
        </w:rPr>
        <w:lastRenderedPageBreak/>
        <w:t xml:space="preserve">V.5 </w:t>
      </w:r>
      <w:r w:rsidR="00A37BEC" w:rsidRPr="00B12C23">
        <w:rPr>
          <w:rFonts w:ascii="Times New Roman" w:eastAsia="Times New Roman" w:hAnsi="Times New Roman" w:cs="Times New Roman"/>
          <w:b/>
          <w:bCs/>
          <w:i/>
          <w:iCs/>
          <w:color w:val="auto"/>
          <w:lang w:val="en-GB"/>
        </w:rPr>
        <w:t>Czech Republic</w:t>
      </w:r>
      <w:bookmarkEnd w:id="19"/>
    </w:p>
    <w:p w:rsidR="00A37BEC" w:rsidRPr="00A54655" w:rsidRDefault="00A37BEC" w:rsidP="00A814A1">
      <w:pPr>
        <w:pStyle w:val="NormaleWeb"/>
        <w:spacing w:line="276" w:lineRule="auto"/>
        <w:jc w:val="both"/>
        <w:rPr>
          <w:sz w:val="26"/>
          <w:szCs w:val="26"/>
        </w:rPr>
      </w:pPr>
      <w:r w:rsidRPr="00A54655">
        <w:rPr>
          <w:sz w:val="26"/>
          <w:szCs w:val="26"/>
        </w:rPr>
        <w:t>The sale of broadcasting rights is regulated by general laws</w:t>
      </w:r>
      <w:r w:rsidR="00B12C23">
        <w:rPr>
          <w:sz w:val="26"/>
          <w:szCs w:val="26"/>
        </w:rPr>
        <w:t>, with no specific legislation</w:t>
      </w:r>
      <w:r w:rsidR="00B12C23">
        <w:rPr>
          <w:rStyle w:val="Rimandonotaapidipagina"/>
          <w:sz w:val="26"/>
          <w:szCs w:val="26"/>
        </w:rPr>
        <w:footnoteReference w:id="50"/>
      </w:r>
      <w:r w:rsidRPr="00A54655">
        <w:rPr>
          <w:sz w:val="26"/>
          <w:szCs w:val="26"/>
        </w:rPr>
        <w:t xml:space="preserve">. The Czech </w:t>
      </w:r>
      <w:r w:rsidR="00B12C23">
        <w:rPr>
          <w:sz w:val="26"/>
          <w:szCs w:val="26"/>
        </w:rPr>
        <w:t>national competition authority</w:t>
      </w:r>
      <w:r w:rsidR="00B12C23">
        <w:rPr>
          <w:rStyle w:val="Rimandonotaapidipagina"/>
          <w:sz w:val="26"/>
          <w:szCs w:val="26"/>
        </w:rPr>
        <w:footnoteReference w:id="51"/>
      </w:r>
      <w:r w:rsidRPr="00A54655">
        <w:rPr>
          <w:sz w:val="26"/>
          <w:szCs w:val="26"/>
        </w:rPr>
        <w:t xml:space="preserve"> </w:t>
      </w:r>
      <w:r w:rsidR="0019703B">
        <w:rPr>
          <w:sz w:val="26"/>
          <w:szCs w:val="26"/>
        </w:rPr>
        <w:t xml:space="preserve">on 2022 </w:t>
      </w:r>
      <w:r w:rsidRPr="00A54655">
        <w:rPr>
          <w:sz w:val="26"/>
          <w:szCs w:val="26"/>
        </w:rPr>
        <w:t xml:space="preserve">investigated exclusive cooperation in </w:t>
      </w:r>
      <w:r w:rsidR="0019703B">
        <w:rPr>
          <w:sz w:val="26"/>
          <w:szCs w:val="26"/>
        </w:rPr>
        <w:t xml:space="preserve">the sale of </w:t>
      </w:r>
      <w:r w:rsidR="0019703B" w:rsidRPr="00A54655">
        <w:rPr>
          <w:sz w:val="26"/>
          <w:szCs w:val="26"/>
        </w:rPr>
        <w:t>audio-visual</w:t>
      </w:r>
      <w:r w:rsidRPr="00A54655">
        <w:rPr>
          <w:sz w:val="26"/>
          <w:szCs w:val="26"/>
        </w:rPr>
        <w:t xml:space="preserve"> rights and emphasized the need for transparent, open tender procedures. Current rights are held exclusively by </w:t>
      </w:r>
      <w:proofErr w:type="spellStart"/>
      <w:r w:rsidRPr="00A54655">
        <w:rPr>
          <w:sz w:val="26"/>
          <w:szCs w:val="26"/>
        </w:rPr>
        <w:t>Pragosport</w:t>
      </w:r>
      <w:proofErr w:type="spellEnd"/>
      <w:r w:rsidR="007B7FE3">
        <w:rPr>
          <w:sz w:val="26"/>
          <w:szCs w:val="26"/>
        </w:rPr>
        <w:t>, for a maximum duration of four years</w:t>
      </w:r>
      <w:r w:rsidRPr="00A54655">
        <w:rPr>
          <w:sz w:val="26"/>
          <w:szCs w:val="26"/>
        </w:rPr>
        <w:t>.</w:t>
      </w:r>
    </w:p>
    <w:p w:rsidR="00A37BEC" w:rsidRPr="008926B5" w:rsidRDefault="00427AD5" w:rsidP="003912F1">
      <w:pPr>
        <w:pStyle w:val="Titolo2"/>
        <w:keepLines w:val="0"/>
        <w:spacing w:before="0" w:line="240" w:lineRule="auto"/>
        <w:rPr>
          <w:rFonts w:ascii="Times New Roman" w:eastAsia="Times New Roman" w:hAnsi="Times New Roman" w:cs="Times New Roman"/>
          <w:b/>
          <w:bCs/>
          <w:i/>
          <w:iCs/>
          <w:color w:val="auto"/>
          <w:lang w:val="en-GB"/>
        </w:rPr>
      </w:pPr>
      <w:bookmarkStart w:id="20" w:name="_Toc177052155"/>
      <w:r w:rsidRPr="008926B5">
        <w:rPr>
          <w:rFonts w:ascii="Times New Roman" w:eastAsia="Times New Roman" w:hAnsi="Times New Roman" w:cs="Times New Roman"/>
          <w:b/>
          <w:bCs/>
          <w:i/>
          <w:iCs/>
          <w:color w:val="auto"/>
          <w:lang w:val="en-GB"/>
        </w:rPr>
        <w:t xml:space="preserve">V.6 </w:t>
      </w:r>
      <w:r w:rsidR="00A37BEC" w:rsidRPr="008926B5">
        <w:rPr>
          <w:rFonts w:ascii="Times New Roman" w:eastAsia="Times New Roman" w:hAnsi="Times New Roman" w:cs="Times New Roman"/>
          <w:b/>
          <w:bCs/>
          <w:i/>
          <w:iCs/>
          <w:color w:val="auto"/>
          <w:lang w:val="en-GB"/>
        </w:rPr>
        <w:t>Denmark</w:t>
      </w:r>
      <w:bookmarkEnd w:id="20"/>
    </w:p>
    <w:p w:rsidR="00A37BEC" w:rsidRPr="00A54655" w:rsidRDefault="00A37BEC" w:rsidP="00A814A1">
      <w:pPr>
        <w:pStyle w:val="NormaleWeb"/>
        <w:spacing w:line="276" w:lineRule="auto"/>
        <w:jc w:val="both"/>
        <w:rPr>
          <w:sz w:val="26"/>
          <w:szCs w:val="26"/>
        </w:rPr>
      </w:pPr>
      <w:r w:rsidRPr="00A54655">
        <w:rPr>
          <w:sz w:val="26"/>
          <w:szCs w:val="26"/>
        </w:rPr>
        <w:t xml:space="preserve">The sale of media rights to the Danish Superliga has been regulated </w:t>
      </w:r>
      <w:r w:rsidR="007B7FE3">
        <w:rPr>
          <w:sz w:val="26"/>
          <w:szCs w:val="26"/>
        </w:rPr>
        <w:t xml:space="preserve">since 2007 </w:t>
      </w:r>
      <w:r w:rsidRPr="00A54655">
        <w:rPr>
          <w:sz w:val="26"/>
          <w:szCs w:val="26"/>
        </w:rPr>
        <w:t xml:space="preserve">by commitments offered by the Association of Danish League Clubs (ADLC) </w:t>
      </w:r>
      <w:r w:rsidR="007B7FE3" w:rsidRPr="007B7FE3">
        <w:rPr>
          <w:sz w:val="26"/>
          <w:szCs w:val="26"/>
        </w:rPr>
        <w:t>On ADLC’s initiative the Danish Competition Council accepted revised commitments which are still in function in 2014. The commitments include a “no single buyer”-clause which entails that the media rights cannot be sold exclusively to one broadcaster/distributor/streaming service</w:t>
      </w:r>
      <w:r w:rsidRPr="00A54655">
        <w:rPr>
          <w:sz w:val="26"/>
          <w:szCs w:val="26"/>
        </w:rPr>
        <w:t>. Media rights are divided into several packages, including minimum packages for exclusive live TV rights, non-exclusive TV rights to highlight clips, and radio rights. In 2019, rights were divided into three packages</w:t>
      </w:r>
      <w:r w:rsidR="007B7FE3">
        <w:rPr>
          <w:sz w:val="26"/>
          <w:szCs w:val="26"/>
        </w:rPr>
        <w:t>, each one containing pick choice of two matches each</w:t>
      </w:r>
      <w:r w:rsidRPr="00A54655">
        <w:rPr>
          <w:sz w:val="26"/>
          <w:szCs w:val="26"/>
        </w:rPr>
        <w:t>. A "no single buyer" clause prevents the acquisition of all rights by a single entity. The duration for exclusive rights is up to six years</w:t>
      </w:r>
      <w:r w:rsidR="007B7FE3">
        <w:rPr>
          <w:sz w:val="26"/>
          <w:szCs w:val="26"/>
        </w:rPr>
        <w:t xml:space="preserve">. </w:t>
      </w:r>
      <w:r w:rsidRPr="00A54655">
        <w:rPr>
          <w:sz w:val="26"/>
          <w:szCs w:val="26"/>
        </w:rPr>
        <w:t xml:space="preserve"> </w:t>
      </w:r>
      <w:r w:rsidR="007B7FE3" w:rsidRPr="007B7FE3">
        <w:rPr>
          <w:sz w:val="26"/>
          <w:szCs w:val="26"/>
        </w:rPr>
        <w:t>In 2022, the Danish Competition and Consumer Authority investigated the market and in December 2022, the Danish Competition Council granted a temporary and partial dispensation from the current commitments. This temporary dispensation entails that the media rights can be sold exclusively to one broadcaster/distributor/streaming service for a period of 4 years (2024-2028)</w:t>
      </w:r>
      <w:r w:rsidRPr="00A54655">
        <w:rPr>
          <w:sz w:val="26"/>
          <w:szCs w:val="26"/>
        </w:rPr>
        <w:t>.</w:t>
      </w:r>
      <w:r w:rsidR="007B7FE3">
        <w:rPr>
          <w:sz w:val="26"/>
          <w:szCs w:val="26"/>
        </w:rPr>
        <w:t xml:space="preserve"> </w:t>
      </w:r>
      <w:r w:rsidR="007B7FE3" w:rsidRPr="007B7FE3">
        <w:rPr>
          <w:sz w:val="26"/>
          <w:szCs w:val="26"/>
        </w:rPr>
        <w:t>The commitments do not expire but there is a renegotiation-clause. The Danish Competition and Consumer Authority is required to investigate whether the commitments are necessary to ensure the competition if the seller of the media rights meet the conditions set out in the renegotiation-clause</w:t>
      </w:r>
      <w:r w:rsidR="007B7FE3">
        <w:rPr>
          <w:sz w:val="26"/>
          <w:szCs w:val="26"/>
        </w:rPr>
        <w:t xml:space="preserve">, meaning </w:t>
      </w:r>
      <w:r w:rsidR="007B7FE3" w:rsidRPr="007B7FE3">
        <w:rPr>
          <w:sz w:val="26"/>
          <w:szCs w:val="26"/>
        </w:rPr>
        <w:t>a significant change in the competitive conditions in the market</w:t>
      </w:r>
      <w:r w:rsidR="007B7FE3">
        <w:rPr>
          <w:sz w:val="26"/>
          <w:szCs w:val="26"/>
        </w:rPr>
        <w:t>.</w:t>
      </w:r>
    </w:p>
    <w:p w:rsidR="00A37BEC" w:rsidRPr="008926B5" w:rsidRDefault="00427AD5" w:rsidP="003912F1">
      <w:pPr>
        <w:pStyle w:val="Titolo2"/>
        <w:keepLines w:val="0"/>
        <w:spacing w:before="0" w:line="240" w:lineRule="auto"/>
        <w:rPr>
          <w:rFonts w:ascii="Times New Roman" w:eastAsia="Times New Roman" w:hAnsi="Times New Roman" w:cs="Times New Roman"/>
          <w:b/>
          <w:bCs/>
          <w:i/>
          <w:iCs/>
          <w:color w:val="auto"/>
          <w:lang w:val="en-GB"/>
        </w:rPr>
      </w:pPr>
      <w:bookmarkStart w:id="21" w:name="_Toc177052156"/>
      <w:r w:rsidRPr="008926B5">
        <w:rPr>
          <w:rFonts w:ascii="Times New Roman" w:eastAsia="Times New Roman" w:hAnsi="Times New Roman" w:cs="Times New Roman"/>
          <w:b/>
          <w:bCs/>
          <w:i/>
          <w:iCs/>
          <w:color w:val="auto"/>
          <w:lang w:val="en-GB"/>
        </w:rPr>
        <w:t xml:space="preserve">V.7 </w:t>
      </w:r>
      <w:r w:rsidR="00A37BEC" w:rsidRPr="008926B5">
        <w:rPr>
          <w:rFonts w:ascii="Times New Roman" w:eastAsia="Times New Roman" w:hAnsi="Times New Roman" w:cs="Times New Roman"/>
          <w:b/>
          <w:bCs/>
          <w:i/>
          <w:iCs/>
          <w:color w:val="auto"/>
          <w:lang w:val="en-GB"/>
        </w:rPr>
        <w:t>Estonia</w:t>
      </w:r>
      <w:bookmarkEnd w:id="21"/>
    </w:p>
    <w:p w:rsidR="00A37BEC" w:rsidRPr="00A54655" w:rsidRDefault="00A37BEC" w:rsidP="00A814A1">
      <w:pPr>
        <w:pStyle w:val="NormaleWeb"/>
        <w:spacing w:line="276" w:lineRule="auto"/>
        <w:jc w:val="both"/>
        <w:rPr>
          <w:sz w:val="26"/>
          <w:szCs w:val="26"/>
        </w:rPr>
      </w:pPr>
      <w:r w:rsidRPr="00A54655">
        <w:rPr>
          <w:sz w:val="26"/>
          <w:szCs w:val="26"/>
        </w:rPr>
        <w:t>Estonia has no specific regulation for the sale of football broadcasting rights. Licensing rights are governed by the Law of Obligations Act</w:t>
      </w:r>
      <w:r w:rsidR="007B7FE3">
        <w:rPr>
          <w:rStyle w:val="Rimandonotaapidipagina"/>
          <w:sz w:val="26"/>
          <w:szCs w:val="26"/>
        </w:rPr>
        <w:footnoteReference w:id="52"/>
      </w:r>
      <w:r w:rsidRPr="00A54655">
        <w:rPr>
          <w:sz w:val="26"/>
          <w:szCs w:val="26"/>
        </w:rPr>
        <w:t>, allowing open-ended agreements. Rights are distributed among different media partners including Estonian National Broadcasting Company</w:t>
      </w:r>
      <w:r w:rsidR="007B7FE3">
        <w:rPr>
          <w:sz w:val="26"/>
          <w:szCs w:val="26"/>
        </w:rPr>
        <w:t xml:space="preserve"> and two other private companies</w:t>
      </w:r>
      <w:r w:rsidRPr="00A54655">
        <w:rPr>
          <w:sz w:val="26"/>
          <w:szCs w:val="26"/>
        </w:rPr>
        <w:t xml:space="preserve">. No </w:t>
      </w:r>
      <w:r w:rsidRPr="00A54655">
        <w:rPr>
          <w:sz w:val="26"/>
          <w:szCs w:val="26"/>
        </w:rPr>
        <w:lastRenderedPageBreak/>
        <w:t>mention of exclusive rights packages or a no single buyer rule due to the minimal market interest in football broadcasting rights.</w:t>
      </w:r>
    </w:p>
    <w:p w:rsidR="00A37BEC" w:rsidRPr="008926B5" w:rsidRDefault="00427AD5" w:rsidP="003912F1">
      <w:pPr>
        <w:pStyle w:val="Titolo2"/>
        <w:keepLines w:val="0"/>
        <w:spacing w:before="0" w:line="240" w:lineRule="auto"/>
        <w:rPr>
          <w:rFonts w:ascii="Times New Roman" w:eastAsia="Times New Roman" w:hAnsi="Times New Roman" w:cs="Times New Roman"/>
          <w:b/>
          <w:bCs/>
          <w:i/>
          <w:iCs/>
          <w:color w:val="auto"/>
          <w:lang w:val="en-GB"/>
        </w:rPr>
      </w:pPr>
      <w:bookmarkStart w:id="22" w:name="_Toc177052157"/>
      <w:r w:rsidRPr="008926B5">
        <w:rPr>
          <w:rFonts w:ascii="Times New Roman" w:eastAsia="Times New Roman" w:hAnsi="Times New Roman" w:cs="Times New Roman"/>
          <w:b/>
          <w:bCs/>
          <w:i/>
          <w:iCs/>
          <w:color w:val="auto"/>
          <w:lang w:val="en-GB"/>
        </w:rPr>
        <w:t xml:space="preserve">V.8 </w:t>
      </w:r>
      <w:r w:rsidR="00A37BEC" w:rsidRPr="008926B5">
        <w:rPr>
          <w:rFonts w:ascii="Times New Roman" w:eastAsia="Times New Roman" w:hAnsi="Times New Roman" w:cs="Times New Roman"/>
          <w:b/>
          <w:bCs/>
          <w:i/>
          <w:iCs/>
          <w:color w:val="auto"/>
          <w:lang w:val="en-GB"/>
        </w:rPr>
        <w:t>France</w:t>
      </w:r>
      <w:bookmarkEnd w:id="22"/>
    </w:p>
    <w:p w:rsidR="00A37BEC" w:rsidRPr="00A54655" w:rsidRDefault="00A37BEC" w:rsidP="00A814A1">
      <w:pPr>
        <w:pStyle w:val="NormaleWeb"/>
        <w:spacing w:line="276" w:lineRule="auto"/>
        <w:jc w:val="both"/>
        <w:rPr>
          <w:sz w:val="26"/>
          <w:szCs w:val="26"/>
        </w:rPr>
      </w:pPr>
      <w:r w:rsidRPr="00A54655">
        <w:rPr>
          <w:sz w:val="26"/>
          <w:szCs w:val="26"/>
        </w:rPr>
        <w:t xml:space="preserve">In France, the legislative regime for the sale of </w:t>
      </w:r>
      <w:proofErr w:type="spellStart"/>
      <w:r w:rsidRPr="00A54655">
        <w:rPr>
          <w:sz w:val="26"/>
          <w:szCs w:val="26"/>
        </w:rPr>
        <w:t>audiovisual</w:t>
      </w:r>
      <w:proofErr w:type="spellEnd"/>
      <w:r w:rsidRPr="00A54655">
        <w:rPr>
          <w:sz w:val="26"/>
          <w:szCs w:val="26"/>
        </w:rPr>
        <w:t xml:space="preserve"> exploitation rights of sports events is governed by the French Sports Code</w:t>
      </w:r>
      <w:r w:rsidR="001316BC">
        <w:rPr>
          <w:rStyle w:val="Rimandonotaapidipagina"/>
          <w:sz w:val="26"/>
          <w:szCs w:val="26"/>
        </w:rPr>
        <w:footnoteReference w:id="53"/>
      </w:r>
      <w:r w:rsidRPr="00A54655">
        <w:rPr>
          <w:sz w:val="26"/>
          <w:szCs w:val="26"/>
        </w:rPr>
        <w:t>. The rights for national competitions organized within a federal framework belong to the federation concerned. The French football federation has transferred the broadcasting rights of Ligue 1 and Ligue 2 to the clubs.</w:t>
      </w:r>
    </w:p>
    <w:p w:rsidR="00A37BEC" w:rsidRPr="00A54655" w:rsidRDefault="00A37BEC" w:rsidP="00A814A1">
      <w:pPr>
        <w:pStyle w:val="NormaleWeb"/>
        <w:spacing w:line="276" w:lineRule="auto"/>
        <w:jc w:val="both"/>
        <w:rPr>
          <w:sz w:val="26"/>
          <w:szCs w:val="26"/>
        </w:rPr>
      </w:pPr>
      <w:r w:rsidRPr="00A54655">
        <w:rPr>
          <w:sz w:val="26"/>
          <w:szCs w:val="26"/>
        </w:rPr>
        <w:t xml:space="preserve">Regarding the decisions of the competition authority, the </w:t>
      </w:r>
      <w:proofErr w:type="spellStart"/>
      <w:r w:rsidRPr="00A54655">
        <w:rPr>
          <w:sz w:val="26"/>
          <w:szCs w:val="26"/>
        </w:rPr>
        <w:t>Autorité</w:t>
      </w:r>
      <w:proofErr w:type="spellEnd"/>
      <w:r w:rsidRPr="00A54655">
        <w:rPr>
          <w:sz w:val="26"/>
          <w:szCs w:val="26"/>
        </w:rPr>
        <w:t xml:space="preserve"> de la concurrence has </w:t>
      </w:r>
      <w:proofErr w:type="spellStart"/>
      <w:r w:rsidRPr="00A54655">
        <w:rPr>
          <w:sz w:val="26"/>
          <w:szCs w:val="26"/>
        </w:rPr>
        <w:t>analyzed</w:t>
      </w:r>
      <w:proofErr w:type="spellEnd"/>
      <w:r w:rsidRPr="00A54655">
        <w:rPr>
          <w:sz w:val="26"/>
          <w:szCs w:val="26"/>
        </w:rPr>
        <w:t xml:space="preserve"> the sale of </w:t>
      </w:r>
      <w:proofErr w:type="spellStart"/>
      <w:r w:rsidRPr="00A54655">
        <w:rPr>
          <w:sz w:val="26"/>
          <w:szCs w:val="26"/>
        </w:rPr>
        <w:t>audiovisual</w:t>
      </w:r>
      <w:proofErr w:type="spellEnd"/>
      <w:r w:rsidRPr="00A54655">
        <w:rPr>
          <w:sz w:val="26"/>
          <w:szCs w:val="26"/>
        </w:rPr>
        <w:t xml:space="preserve"> rights on multiple occasions. The French Sports Code mandates that rights must be offered in several separate lots to ensure competition</w:t>
      </w:r>
      <w:r w:rsidR="0075243A">
        <w:rPr>
          <w:rStyle w:val="Rimandonotaapidipagina"/>
          <w:sz w:val="26"/>
          <w:szCs w:val="26"/>
        </w:rPr>
        <w:footnoteReference w:id="54"/>
      </w:r>
      <w:r w:rsidRPr="00A54655">
        <w:rPr>
          <w:sz w:val="26"/>
          <w:szCs w:val="26"/>
        </w:rPr>
        <w:t xml:space="preserve">. </w:t>
      </w:r>
    </w:p>
    <w:p w:rsidR="00A37BEC" w:rsidRPr="00A54655" w:rsidRDefault="00A37BEC" w:rsidP="00A814A1">
      <w:pPr>
        <w:pStyle w:val="NormaleWeb"/>
        <w:spacing w:line="276" w:lineRule="auto"/>
        <w:jc w:val="both"/>
        <w:rPr>
          <w:sz w:val="26"/>
          <w:szCs w:val="26"/>
        </w:rPr>
      </w:pPr>
      <w:r w:rsidRPr="00A54655">
        <w:rPr>
          <w:sz w:val="26"/>
          <w:szCs w:val="26"/>
        </w:rPr>
        <w:t>In 2020, seven packages were defined for Ligue 1</w:t>
      </w:r>
      <w:r w:rsidR="0075243A">
        <w:rPr>
          <w:rStyle w:val="Rimandonotaapidipagina"/>
          <w:sz w:val="26"/>
          <w:szCs w:val="26"/>
        </w:rPr>
        <w:footnoteReference w:id="55"/>
      </w:r>
      <w:r w:rsidR="00B12C23">
        <w:rPr>
          <w:sz w:val="26"/>
          <w:szCs w:val="26"/>
        </w:rPr>
        <w:t xml:space="preserve">. </w:t>
      </w:r>
      <w:r w:rsidRPr="00A54655">
        <w:rPr>
          <w:sz w:val="26"/>
          <w:szCs w:val="26"/>
        </w:rPr>
        <w:t>Exclusivity packages</w:t>
      </w:r>
      <w:r w:rsidR="0075243A">
        <w:rPr>
          <w:sz w:val="26"/>
          <w:szCs w:val="26"/>
        </w:rPr>
        <w:t xml:space="preserve"> usually</w:t>
      </w:r>
      <w:r w:rsidRPr="00A54655">
        <w:rPr>
          <w:sz w:val="26"/>
          <w:szCs w:val="26"/>
        </w:rPr>
        <w:t xml:space="preserve"> exist, with the exclusivity duration matching the contract period of up to four years</w:t>
      </w:r>
      <w:r w:rsidR="0075243A">
        <w:rPr>
          <w:rStyle w:val="Rimandonotaapidipagina"/>
          <w:sz w:val="26"/>
          <w:szCs w:val="26"/>
        </w:rPr>
        <w:footnoteReference w:id="56"/>
      </w:r>
      <w:r w:rsidRPr="00A54655">
        <w:rPr>
          <w:sz w:val="26"/>
          <w:szCs w:val="26"/>
        </w:rPr>
        <w:t xml:space="preserve">. The "no single buyer" rule prevents global or coupled offers, implicitly allowing acquisition of all lots by a single operator if they are the best bidder on each lot. Current rights holders for 2020-2024 include Amazon, Canal+, and Free. </w:t>
      </w:r>
      <w:proofErr w:type="spellStart"/>
      <w:r w:rsidRPr="00A54655">
        <w:rPr>
          <w:sz w:val="26"/>
          <w:szCs w:val="26"/>
        </w:rPr>
        <w:t>Mediapro</w:t>
      </w:r>
      <w:proofErr w:type="spellEnd"/>
      <w:r w:rsidRPr="00A54655">
        <w:rPr>
          <w:sz w:val="26"/>
          <w:szCs w:val="26"/>
        </w:rPr>
        <w:t xml:space="preserve"> initially acquired rights but faced financial difficulties, leading to reallocation to Amazon.</w:t>
      </w:r>
    </w:p>
    <w:p w:rsidR="00A37BEC" w:rsidRPr="008926B5" w:rsidRDefault="00427AD5" w:rsidP="00A814A1">
      <w:pPr>
        <w:pStyle w:val="Titolo2"/>
        <w:keepLines w:val="0"/>
        <w:spacing w:before="0" w:line="276" w:lineRule="auto"/>
        <w:rPr>
          <w:rFonts w:ascii="Times New Roman" w:eastAsia="Times New Roman" w:hAnsi="Times New Roman" w:cs="Times New Roman"/>
          <w:b/>
          <w:bCs/>
          <w:i/>
          <w:iCs/>
          <w:color w:val="auto"/>
          <w:lang w:val="en-GB"/>
        </w:rPr>
      </w:pPr>
      <w:bookmarkStart w:id="23" w:name="_Toc177052158"/>
      <w:r w:rsidRPr="008926B5">
        <w:rPr>
          <w:rFonts w:ascii="Times New Roman" w:eastAsia="Times New Roman" w:hAnsi="Times New Roman" w:cs="Times New Roman"/>
          <w:b/>
          <w:bCs/>
          <w:i/>
          <w:iCs/>
          <w:color w:val="auto"/>
          <w:lang w:val="en-GB"/>
        </w:rPr>
        <w:lastRenderedPageBreak/>
        <w:t xml:space="preserve">V.9 </w:t>
      </w:r>
      <w:r w:rsidR="00A37BEC" w:rsidRPr="008926B5">
        <w:rPr>
          <w:rFonts w:ascii="Times New Roman" w:eastAsia="Times New Roman" w:hAnsi="Times New Roman" w:cs="Times New Roman"/>
          <w:b/>
          <w:bCs/>
          <w:i/>
          <w:iCs/>
          <w:color w:val="auto"/>
          <w:lang w:val="en-GB"/>
        </w:rPr>
        <w:t>Germany</w:t>
      </w:r>
      <w:bookmarkEnd w:id="23"/>
    </w:p>
    <w:p w:rsidR="00A37BEC" w:rsidRPr="00A54655" w:rsidRDefault="00A37BEC" w:rsidP="00A814A1">
      <w:pPr>
        <w:pStyle w:val="NormaleWeb"/>
        <w:spacing w:line="276" w:lineRule="auto"/>
        <w:jc w:val="both"/>
        <w:rPr>
          <w:sz w:val="26"/>
          <w:szCs w:val="26"/>
        </w:rPr>
      </w:pPr>
      <w:r w:rsidRPr="00A54655">
        <w:rPr>
          <w:sz w:val="26"/>
          <w:szCs w:val="26"/>
        </w:rPr>
        <w:t xml:space="preserve">Germany does not have a specific legislative regime for the sale of sports broadcasting rights. The sale of Bundesliga rights has been regulated by three consecutive commitment decisions issued by the </w:t>
      </w:r>
      <w:proofErr w:type="spellStart"/>
      <w:r w:rsidRPr="00A54655">
        <w:rPr>
          <w:sz w:val="26"/>
          <w:szCs w:val="26"/>
        </w:rPr>
        <w:t>Bundeskartellamt</w:t>
      </w:r>
      <w:proofErr w:type="spellEnd"/>
      <w:r w:rsidRPr="00A54655">
        <w:rPr>
          <w:sz w:val="26"/>
          <w:szCs w:val="26"/>
        </w:rPr>
        <w:t>. These decisions are based on preliminary assessments under Article 101 TFEU, which deals with anti-competitive agreements.</w:t>
      </w:r>
    </w:p>
    <w:p w:rsidR="00A37BEC" w:rsidRPr="00A54655" w:rsidRDefault="00A37BEC" w:rsidP="00B12C23">
      <w:pPr>
        <w:pStyle w:val="NormaleWeb"/>
        <w:spacing w:line="276" w:lineRule="auto"/>
        <w:jc w:val="both"/>
        <w:rPr>
          <w:sz w:val="26"/>
          <w:szCs w:val="26"/>
        </w:rPr>
      </w:pPr>
      <w:r w:rsidRPr="00A54655">
        <w:rPr>
          <w:sz w:val="26"/>
          <w:szCs w:val="26"/>
        </w:rPr>
        <w:t>The 2012, 2016, and 2020 decisions regulated the split and sale of rights into several packages</w:t>
      </w:r>
      <w:r w:rsidR="00AD27EB">
        <w:rPr>
          <w:rStyle w:val="Rimandonotaapidipagina"/>
          <w:sz w:val="26"/>
          <w:szCs w:val="26"/>
        </w:rPr>
        <w:footnoteReference w:id="57"/>
      </w:r>
      <w:r w:rsidRPr="00A54655">
        <w:rPr>
          <w:sz w:val="26"/>
          <w:szCs w:val="26"/>
        </w:rPr>
        <w:t xml:space="preserve">. The 2020 commitments </w:t>
      </w:r>
      <w:r w:rsidR="00AD27EB">
        <w:rPr>
          <w:sz w:val="26"/>
          <w:szCs w:val="26"/>
        </w:rPr>
        <w:t>considered</w:t>
      </w:r>
      <w:r w:rsidRPr="00A54655">
        <w:rPr>
          <w:sz w:val="26"/>
          <w:szCs w:val="26"/>
        </w:rPr>
        <w:t xml:space="preserve"> four main packages for the Bundesliga</w:t>
      </w:r>
      <w:r w:rsidR="00B12C23">
        <w:rPr>
          <w:sz w:val="26"/>
          <w:szCs w:val="26"/>
        </w:rPr>
        <w:t>.</w:t>
      </w:r>
      <w:r w:rsidR="00AD27EB">
        <w:rPr>
          <w:sz w:val="26"/>
          <w:szCs w:val="26"/>
        </w:rPr>
        <w:t xml:space="preserve"> </w:t>
      </w:r>
    </w:p>
    <w:p w:rsidR="00A37BEC" w:rsidRPr="00A54655" w:rsidRDefault="00A37BEC" w:rsidP="00A814A1">
      <w:pPr>
        <w:pStyle w:val="NormaleWeb"/>
        <w:spacing w:line="276" w:lineRule="auto"/>
        <w:jc w:val="both"/>
        <w:rPr>
          <w:sz w:val="26"/>
          <w:szCs w:val="26"/>
        </w:rPr>
      </w:pPr>
      <w:r w:rsidRPr="00A54655">
        <w:rPr>
          <w:sz w:val="26"/>
          <w:szCs w:val="26"/>
        </w:rPr>
        <w:t>Since 2016, pay live packages have been “technology neutral,” allowing acquirers to exploit rights via all platforms (satellite, cable, OTT). An “OTT only” package was planned in case all four pay live packages were acquired by a single buyer. All pay live packages provide exclusivity for the entire rights period of four years. A "no single buyer" rule is enforced to prevent a single buyer from acquiring all pay live packages. If one buyer acquires all initial packages, an OTT-only package is offered, providing co-exclusivity for two packages. Current rights holders include Sky Deutschland and DAZN, who share the pay live package</w:t>
      </w:r>
      <w:r w:rsidR="00A814A1">
        <w:rPr>
          <w:sz w:val="26"/>
          <w:szCs w:val="26"/>
        </w:rPr>
        <w:t>s</w:t>
      </w:r>
      <w:r w:rsidRPr="00A54655">
        <w:rPr>
          <w:sz w:val="26"/>
          <w:szCs w:val="26"/>
        </w:rPr>
        <w:t>.</w:t>
      </w:r>
    </w:p>
    <w:p w:rsidR="00A37BEC" w:rsidRPr="008926B5" w:rsidRDefault="00427AD5" w:rsidP="003912F1">
      <w:pPr>
        <w:pStyle w:val="Titolo2"/>
        <w:keepLines w:val="0"/>
        <w:spacing w:before="0" w:line="240" w:lineRule="auto"/>
        <w:rPr>
          <w:rFonts w:ascii="Times New Roman" w:eastAsia="Times New Roman" w:hAnsi="Times New Roman" w:cs="Times New Roman"/>
          <w:b/>
          <w:bCs/>
          <w:i/>
          <w:iCs/>
          <w:color w:val="auto"/>
          <w:lang w:val="en-GB"/>
        </w:rPr>
      </w:pPr>
      <w:bookmarkStart w:id="24" w:name="_Toc177052159"/>
      <w:r w:rsidRPr="008926B5">
        <w:rPr>
          <w:rFonts w:ascii="Times New Roman" w:eastAsia="Times New Roman" w:hAnsi="Times New Roman" w:cs="Times New Roman"/>
          <w:b/>
          <w:bCs/>
          <w:i/>
          <w:iCs/>
          <w:color w:val="auto"/>
          <w:lang w:val="en-GB"/>
        </w:rPr>
        <w:t xml:space="preserve">V.10 </w:t>
      </w:r>
      <w:r w:rsidR="00A37BEC" w:rsidRPr="008926B5">
        <w:rPr>
          <w:rFonts w:ascii="Times New Roman" w:eastAsia="Times New Roman" w:hAnsi="Times New Roman" w:cs="Times New Roman"/>
          <w:b/>
          <w:bCs/>
          <w:i/>
          <w:iCs/>
          <w:color w:val="auto"/>
          <w:lang w:val="en-GB"/>
        </w:rPr>
        <w:t>Greece</w:t>
      </w:r>
      <w:bookmarkEnd w:id="24"/>
    </w:p>
    <w:p w:rsidR="00A37BEC" w:rsidRPr="00A54655" w:rsidRDefault="00FE1B5E" w:rsidP="00A814A1">
      <w:pPr>
        <w:pStyle w:val="NormaleWeb"/>
        <w:spacing w:line="276" w:lineRule="auto"/>
        <w:jc w:val="both"/>
        <w:rPr>
          <w:sz w:val="26"/>
          <w:szCs w:val="26"/>
        </w:rPr>
      </w:pPr>
      <w:r w:rsidRPr="00FE1B5E">
        <w:rPr>
          <w:sz w:val="26"/>
          <w:szCs w:val="26"/>
        </w:rPr>
        <w:t>The sale of broadcasting rights of home games of each sport club in Greece is subject to assignment by the clubs at their free will either on an exclusive basis or not</w:t>
      </w:r>
      <w:r>
        <w:rPr>
          <w:rStyle w:val="Rimandonotaapidipagina"/>
          <w:sz w:val="26"/>
          <w:szCs w:val="26"/>
        </w:rPr>
        <w:footnoteReference w:id="58"/>
      </w:r>
      <w:r>
        <w:rPr>
          <w:sz w:val="26"/>
          <w:szCs w:val="26"/>
        </w:rPr>
        <w:t>.</w:t>
      </w:r>
      <w:r w:rsidRPr="00FE1B5E">
        <w:rPr>
          <w:sz w:val="26"/>
          <w:szCs w:val="26"/>
        </w:rPr>
        <w:t xml:space="preserve"> The management of the sale of broadcasting rights may be assigned in writing by sport clubs to the unions of the clubs organizing the championship, in which case the duration of such assignment and of the relevant agreements may not exceed four years</w:t>
      </w:r>
      <w:r>
        <w:rPr>
          <w:rStyle w:val="Rimandonotaapidipagina"/>
          <w:sz w:val="26"/>
          <w:szCs w:val="26"/>
        </w:rPr>
        <w:footnoteReference w:id="59"/>
      </w:r>
      <w:r w:rsidR="00A37BEC" w:rsidRPr="00A54655">
        <w:rPr>
          <w:sz w:val="26"/>
          <w:szCs w:val="26"/>
        </w:rPr>
        <w:t>. Rights are not split into packages</w:t>
      </w:r>
      <w:r>
        <w:rPr>
          <w:sz w:val="26"/>
          <w:szCs w:val="26"/>
        </w:rPr>
        <w:t xml:space="preserve"> and</w:t>
      </w:r>
      <w:r w:rsidR="00A37BEC" w:rsidRPr="00A54655">
        <w:rPr>
          <w:sz w:val="26"/>
          <w:szCs w:val="26"/>
        </w:rPr>
        <w:t xml:space="preserve"> they are sold as a whole by each clu</w:t>
      </w:r>
      <w:r>
        <w:rPr>
          <w:sz w:val="26"/>
          <w:szCs w:val="26"/>
        </w:rPr>
        <w:t>b</w:t>
      </w:r>
      <w:r w:rsidR="00A37BEC" w:rsidRPr="00A54655">
        <w:rPr>
          <w:sz w:val="26"/>
          <w:szCs w:val="26"/>
        </w:rPr>
        <w:t xml:space="preserve">. The no single buyer rule does not apply since each club negotiates separately. Current rights holders include </w:t>
      </w:r>
      <w:proofErr w:type="spellStart"/>
      <w:r w:rsidR="00276E59">
        <w:rPr>
          <w:sz w:val="26"/>
          <w:szCs w:val="26"/>
        </w:rPr>
        <w:t>Cosmote</w:t>
      </w:r>
      <w:proofErr w:type="spellEnd"/>
      <w:r w:rsidR="00A37BEC" w:rsidRPr="00A54655">
        <w:rPr>
          <w:sz w:val="26"/>
          <w:szCs w:val="26"/>
        </w:rPr>
        <w:t xml:space="preserve"> TV and </w:t>
      </w:r>
      <w:r w:rsidR="00276E59">
        <w:rPr>
          <w:sz w:val="26"/>
          <w:szCs w:val="26"/>
        </w:rPr>
        <w:t>Nova Sports</w:t>
      </w:r>
      <w:r w:rsidR="00A37BEC" w:rsidRPr="00A54655">
        <w:rPr>
          <w:sz w:val="26"/>
          <w:szCs w:val="26"/>
        </w:rPr>
        <w:t>.</w:t>
      </w:r>
    </w:p>
    <w:p w:rsidR="00A37BEC" w:rsidRPr="00427AD5" w:rsidRDefault="00427AD5" w:rsidP="003912F1">
      <w:pPr>
        <w:pStyle w:val="Titolo2"/>
        <w:keepLines w:val="0"/>
        <w:spacing w:before="0" w:line="240" w:lineRule="auto"/>
        <w:rPr>
          <w:rFonts w:ascii="Times New Roman" w:eastAsia="Times New Roman" w:hAnsi="Times New Roman" w:cs="Times New Roman"/>
          <w:b/>
          <w:bCs/>
          <w:i/>
          <w:iCs/>
          <w:color w:val="auto"/>
          <w:lang w:val="en-GB"/>
        </w:rPr>
      </w:pPr>
      <w:bookmarkStart w:id="25" w:name="_Toc177052160"/>
      <w:r w:rsidRPr="00427AD5">
        <w:rPr>
          <w:rFonts w:ascii="Times New Roman" w:eastAsia="Times New Roman" w:hAnsi="Times New Roman" w:cs="Times New Roman"/>
          <w:b/>
          <w:bCs/>
          <w:i/>
          <w:iCs/>
          <w:color w:val="auto"/>
          <w:lang w:val="en-GB"/>
        </w:rPr>
        <w:t xml:space="preserve">V.11 </w:t>
      </w:r>
      <w:r w:rsidR="00A37BEC" w:rsidRPr="00427AD5">
        <w:rPr>
          <w:rFonts w:ascii="Times New Roman" w:eastAsia="Times New Roman" w:hAnsi="Times New Roman" w:cs="Times New Roman"/>
          <w:b/>
          <w:bCs/>
          <w:i/>
          <w:iCs/>
          <w:color w:val="auto"/>
          <w:lang w:val="en-GB"/>
        </w:rPr>
        <w:t>Hungary</w:t>
      </w:r>
      <w:bookmarkEnd w:id="25"/>
    </w:p>
    <w:p w:rsidR="00A37BEC" w:rsidRPr="00A54655" w:rsidRDefault="00A37BEC" w:rsidP="00A814A1">
      <w:pPr>
        <w:pStyle w:val="NormaleWeb"/>
        <w:spacing w:line="276" w:lineRule="auto"/>
        <w:jc w:val="both"/>
        <w:rPr>
          <w:sz w:val="26"/>
          <w:szCs w:val="26"/>
        </w:rPr>
      </w:pPr>
      <w:r w:rsidRPr="00A54655">
        <w:rPr>
          <w:sz w:val="26"/>
          <w:szCs w:val="26"/>
        </w:rPr>
        <w:t xml:space="preserve">There is no specific legislation regarding the sale of football broadcasting rights. </w:t>
      </w:r>
      <w:r w:rsidR="00276E59" w:rsidRPr="00276E59">
        <w:rPr>
          <w:sz w:val="26"/>
          <w:szCs w:val="26"/>
        </w:rPr>
        <w:t xml:space="preserve">The Hungarian Competition Authority carried out a sector inquiry on the domestic </w:t>
      </w:r>
      <w:r w:rsidR="00276E59" w:rsidRPr="00276E59">
        <w:rPr>
          <w:sz w:val="26"/>
          <w:szCs w:val="26"/>
        </w:rPr>
        <w:lastRenderedPageBreak/>
        <w:t xml:space="preserve">television broadcasting market </w:t>
      </w:r>
      <w:r w:rsidRPr="00A54655">
        <w:rPr>
          <w:sz w:val="26"/>
          <w:szCs w:val="26"/>
        </w:rPr>
        <w:t>but did not focus specifically on sports</w:t>
      </w:r>
      <w:r w:rsidR="00276E59">
        <w:rPr>
          <w:rStyle w:val="Rimandonotaapidipagina"/>
          <w:sz w:val="26"/>
          <w:szCs w:val="26"/>
        </w:rPr>
        <w:footnoteReference w:id="60"/>
      </w:r>
      <w:r w:rsidRPr="00A54655">
        <w:rPr>
          <w:sz w:val="26"/>
          <w:szCs w:val="26"/>
        </w:rPr>
        <w:t>. Broadcasting rights are often exclusive to one provider but detailed terms are not disclosed. Exclusive rights are common, but there is no explicit no single buyer rule or detailed regulation in place.</w:t>
      </w:r>
    </w:p>
    <w:p w:rsidR="00A37BEC" w:rsidRPr="008926B5" w:rsidRDefault="00427AD5" w:rsidP="003912F1">
      <w:pPr>
        <w:pStyle w:val="Titolo2"/>
        <w:keepLines w:val="0"/>
        <w:spacing w:before="0" w:line="240" w:lineRule="auto"/>
        <w:rPr>
          <w:rFonts w:ascii="Times New Roman" w:eastAsia="Times New Roman" w:hAnsi="Times New Roman" w:cs="Times New Roman"/>
          <w:b/>
          <w:bCs/>
          <w:i/>
          <w:iCs/>
          <w:color w:val="auto"/>
          <w:lang w:val="en-GB"/>
        </w:rPr>
      </w:pPr>
      <w:bookmarkStart w:id="26" w:name="_Toc177052161"/>
      <w:r w:rsidRPr="008926B5">
        <w:rPr>
          <w:rFonts w:ascii="Times New Roman" w:eastAsia="Times New Roman" w:hAnsi="Times New Roman" w:cs="Times New Roman"/>
          <w:b/>
          <w:bCs/>
          <w:i/>
          <w:iCs/>
          <w:color w:val="auto"/>
          <w:lang w:val="en-GB"/>
        </w:rPr>
        <w:t xml:space="preserve">V.12 </w:t>
      </w:r>
      <w:r w:rsidR="00A37BEC" w:rsidRPr="008926B5">
        <w:rPr>
          <w:rFonts w:ascii="Times New Roman" w:eastAsia="Times New Roman" w:hAnsi="Times New Roman" w:cs="Times New Roman"/>
          <w:b/>
          <w:bCs/>
          <w:i/>
          <w:iCs/>
          <w:color w:val="auto"/>
          <w:lang w:val="en-GB"/>
        </w:rPr>
        <w:t>Ireland</w:t>
      </w:r>
      <w:bookmarkEnd w:id="26"/>
    </w:p>
    <w:p w:rsidR="00A37BEC" w:rsidRPr="00A54655" w:rsidRDefault="00A37BEC" w:rsidP="00A814A1">
      <w:pPr>
        <w:pStyle w:val="NormaleWeb"/>
        <w:spacing w:line="276" w:lineRule="auto"/>
        <w:jc w:val="both"/>
        <w:rPr>
          <w:sz w:val="26"/>
          <w:szCs w:val="26"/>
        </w:rPr>
      </w:pPr>
      <w:r w:rsidRPr="00A54655">
        <w:rPr>
          <w:sz w:val="26"/>
          <w:szCs w:val="26"/>
        </w:rPr>
        <w:t xml:space="preserve">Broadcasting rights are negotiated between sports bodies and broadcasters. </w:t>
      </w:r>
      <w:r w:rsidR="006C6B23" w:rsidRPr="006C6B23">
        <w:rPr>
          <w:sz w:val="26"/>
          <w:szCs w:val="26"/>
        </w:rPr>
        <w:t xml:space="preserve">RTE is the sole rights holder for the broadcast of live League of Ireland soccer matches on terrestrial TV but </w:t>
      </w:r>
      <w:proofErr w:type="gramStart"/>
      <w:r w:rsidR="006C6B23" w:rsidRPr="006C6B23">
        <w:rPr>
          <w:sz w:val="26"/>
          <w:szCs w:val="26"/>
        </w:rPr>
        <w:t>the a</w:t>
      </w:r>
      <w:proofErr w:type="gramEnd"/>
      <w:r w:rsidR="006C6B23" w:rsidRPr="006C6B23">
        <w:rPr>
          <w:sz w:val="26"/>
          <w:szCs w:val="26"/>
        </w:rPr>
        <w:t xml:space="preserve"> new streaming service called’ LOITV’ which is owned by the Football Association Ireland (‘the FAI’), provides streaming services of all League of Ireland matches on a dedicated streaming platform.</w:t>
      </w:r>
    </w:p>
    <w:p w:rsidR="00B03642" w:rsidRPr="002E47F0" w:rsidRDefault="00427AD5" w:rsidP="003912F1">
      <w:pPr>
        <w:pStyle w:val="Titolo2"/>
        <w:keepLines w:val="0"/>
        <w:spacing w:before="0" w:line="240" w:lineRule="auto"/>
        <w:rPr>
          <w:rFonts w:ascii="Times New Roman" w:eastAsia="Times New Roman" w:hAnsi="Times New Roman" w:cs="Times New Roman"/>
          <w:b/>
          <w:bCs/>
          <w:i/>
          <w:iCs/>
          <w:color w:val="auto"/>
          <w:lang w:val="en-GB"/>
        </w:rPr>
      </w:pPr>
      <w:bookmarkStart w:id="27" w:name="_Toc177052162"/>
      <w:r>
        <w:rPr>
          <w:rFonts w:ascii="Times New Roman" w:eastAsia="Times New Roman" w:hAnsi="Times New Roman" w:cs="Times New Roman"/>
          <w:b/>
          <w:bCs/>
          <w:i/>
          <w:iCs/>
          <w:color w:val="auto"/>
          <w:lang w:val="en-GB"/>
        </w:rPr>
        <w:t xml:space="preserve">V.13 </w:t>
      </w:r>
      <w:r w:rsidR="003912F1" w:rsidRPr="002E47F0">
        <w:rPr>
          <w:rFonts w:ascii="Times New Roman" w:eastAsia="Times New Roman" w:hAnsi="Times New Roman" w:cs="Times New Roman"/>
          <w:b/>
          <w:bCs/>
          <w:i/>
          <w:iCs/>
          <w:color w:val="auto"/>
          <w:lang w:val="en-GB"/>
        </w:rPr>
        <w:t>Italy</w:t>
      </w:r>
      <w:bookmarkEnd w:id="27"/>
    </w:p>
    <w:p w:rsidR="009A1CDD" w:rsidRDefault="002E47F0" w:rsidP="00A13ABD">
      <w:pPr>
        <w:spacing w:before="100" w:beforeAutospacing="1" w:after="100" w:afterAutospacing="1" w:line="276" w:lineRule="auto"/>
        <w:jc w:val="both"/>
        <w:rPr>
          <w:rFonts w:ascii="Times New Roman" w:eastAsia="Times New Roman" w:hAnsi="Times New Roman" w:cs="Times New Roman"/>
          <w:sz w:val="26"/>
          <w:szCs w:val="26"/>
          <w:lang w:val="en-GB" w:eastAsia="en-GB"/>
        </w:rPr>
      </w:pPr>
      <w:r>
        <w:rPr>
          <w:rFonts w:ascii="Times New Roman" w:eastAsia="Times New Roman" w:hAnsi="Times New Roman" w:cs="Times New Roman"/>
          <w:sz w:val="26"/>
          <w:szCs w:val="26"/>
          <w:lang w:val="en-GB" w:eastAsia="en-GB"/>
        </w:rPr>
        <w:t xml:space="preserve">The </w:t>
      </w:r>
      <w:proofErr w:type="spellStart"/>
      <w:r>
        <w:rPr>
          <w:rFonts w:ascii="Times New Roman" w:eastAsia="Times New Roman" w:hAnsi="Times New Roman" w:cs="Times New Roman"/>
          <w:sz w:val="26"/>
          <w:szCs w:val="26"/>
          <w:lang w:val="en-GB" w:eastAsia="en-GB"/>
        </w:rPr>
        <w:t>forementioned</w:t>
      </w:r>
      <w:proofErr w:type="spellEnd"/>
      <w:r>
        <w:rPr>
          <w:rFonts w:ascii="Times New Roman" w:eastAsia="Times New Roman" w:hAnsi="Times New Roman" w:cs="Times New Roman"/>
          <w:sz w:val="26"/>
          <w:szCs w:val="26"/>
          <w:lang w:val="en-GB" w:eastAsia="en-GB"/>
        </w:rPr>
        <w:t xml:space="preserve"> </w:t>
      </w:r>
      <w:proofErr w:type="spellStart"/>
      <w:r>
        <w:rPr>
          <w:rFonts w:ascii="Times New Roman" w:eastAsia="Times New Roman" w:hAnsi="Times New Roman" w:cs="Times New Roman"/>
          <w:sz w:val="26"/>
          <w:szCs w:val="26"/>
          <w:lang w:val="en-GB" w:eastAsia="en-GB"/>
        </w:rPr>
        <w:t>Decreto</w:t>
      </w:r>
      <w:proofErr w:type="spellEnd"/>
      <w:r>
        <w:rPr>
          <w:rFonts w:ascii="Times New Roman" w:eastAsia="Times New Roman" w:hAnsi="Times New Roman" w:cs="Times New Roman"/>
          <w:sz w:val="26"/>
          <w:szCs w:val="26"/>
          <w:lang w:val="en-GB" w:eastAsia="en-GB"/>
        </w:rPr>
        <w:t xml:space="preserve"> </w:t>
      </w:r>
      <w:proofErr w:type="spellStart"/>
      <w:r>
        <w:rPr>
          <w:rFonts w:ascii="Times New Roman" w:eastAsia="Times New Roman" w:hAnsi="Times New Roman" w:cs="Times New Roman"/>
          <w:sz w:val="26"/>
          <w:szCs w:val="26"/>
          <w:lang w:val="en-GB" w:eastAsia="en-GB"/>
        </w:rPr>
        <w:t>Melandri</w:t>
      </w:r>
      <w:proofErr w:type="spellEnd"/>
      <w:r w:rsidR="00B03642" w:rsidRPr="00A54655">
        <w:rPr>
          <w:rFonts w:ascii="Times New Roman" w:eastAsia="Times New Roman" w:hAnsi="Times New Roman" w:cs="Times New Roman"/>
          <w:sz w:val="26"/>
          <w:szCs w:val="26"/>
          <w:lang w:val="en-GB" w:eastAsia="en-GB"/>
        </w:rPr>
        <w:t xml:space="preserve"> establishes the framework for the ownership and commercialization of sports </w:t>
      </w:r>
      <w:proofErr w:type="spellStart"/>
      <w:r w:rsidR="00B03642" w:rsidRPr="00A54655">
        <w:rPr>
          <w:rFonts w:ascii="Times New Roman" w:eastAsia="Times New Roman" w:hAnsi="Times New Roman" w:cs="Times New Roman"/>
          <w:sz w:val="26"/>
          <w:szCs w:val="26"/>
          <w:lang w:val="en-GB" w:eastAsia="en-GB"/>
        </w:rPr>
        <w:t>audiovisual</w:t>
      </w:r>
      <w:proofErr w:type="spellEnd"/>
      <w:r w:rsidR="00B03642" w:rsidRPr="00A54655">
        <w:rPr>
          <w:rFonts w:ascii="Times New Roman" w:eastAsia="Times New Roman" w:hAnsi="Times New Roman" w:cs="Times New Roman"/>
          <w:sz w:val="26"/>
          <w:szCs w:val="26"/>
          <w:lang w:val="en-GB" w:eastAsia="en-GB"/>
        </w:rPr>
        <w:t xml:space="preserve"> rights and the distribution of related resources. Specifically, Article 6, paragraph 1, mandates that the Lega Nazionale </w:t>
      </w:r>
      <w:proofErr w:type="spellStart"/>
      <w:r w:rsidR="00B03642" w:rsidRPr="00A54655">
        <w:rPr>
          <w:rFonts w:ascii="Times New Roman" w:eastAsia="Times New Roman" w:hAnsi="Times New Roman" w:cs="Times New Roman"/>
          <w:sz w:val="26"/>
          <w:szCs w:val="26"/>
          <w:lang w:val="en-GB" w:eastAsia="en-GB"/>
        </w:rPr>
        <w:t>Professionisti</w:t>
      </w:r>
      <w:proofErr w:type="spellEnd"/>
      <w:r w:rsidR="00B03642" w:rsidRPr="00A54655">
        <w:rPr>
          <w:rFonts w:ascii="Times New Roman" w:eastAsia="Times New Roman" w:hAnsi="Times New Roman" w:cs="Times New Roman"/>
          <w:sz w:val="26"/>
          <w:szCs w:val="26"/>
          <w:lang w:val="en-GB" w:eastAsia="en-GB"/>
        </w:rPr>
        <w:t xml:space="preserve"> Serie A must create guidelines for the centralized sale of these rights.</w:t>
      </w:r>
      <w:r>
        <w:rPr>
          <w:rFonts w:ascii="Times New Roman" w:eastAsia="Times New Roman" w:hAnsi="Times New Roman" w:cs="Times New Roman"/>
          <w:sz w:val="26"/>
          <w:szCs w:val="26"/>
          <w:lang w:val="en-GB" w:eastAsia="en-GB"/>
        </w:rPr>
        <w:t xml:space="preserve"> </w:t>
      </w:r>
      <w:r w:rsidR="00A13ABD" w:rsidRPr="00A13ABD">
        <w:rPr>
          <w:rFonts w:ascii="Times New Roman" w:eastAsia="Times New Roman" w:hAnsi="Times New Roman" w:cs="Times New Roman"/>
          <w:sz w:val="26"/>
          <w:szCs w:val="26"/>
          <w:lang w:val="en-GB" w:eastAsia="en-GB"/>
        </w:rPr>
        <w:t xml:space="preserve">The guidelines outline criteria for forming exclusive packages, assignment procedures, and rules for rights not exercised. Packages must be balanced in terms of content and value, with a minimum of three packages for different platforms (satellite, terrestrial, internet). A no single buyer rule prevents any single operator from acquiring all live match packages, ensuring multiple operators can broadcast Serie A matches. The guidelines also include the possibility of the Lega Serie A creating its </w:t>
      </w:r>
      <w:r w:rsidR="00A13ABD">
        <w:rPr>
          <w:rFonts w:ascii="Times New Roman" w:eastAsia="Times New Roman" w:hAnsi="Times New Roman" w:cs="Times New Roman"/>
          <w:sz w:val="26"/>
          <w:szCs w:val="26"/>
          <w:lang w:val="en-GB" w:eastAsia="en-GB"/>
        </w:rPr>
        <w:t xml:space="preserve">broadcasting </w:t>
      </w:r>
      <w:r w:rsidR="00A13ABD" w:rsidRPr="00A13ABD">
        <w:rPr>
          <w:rFonts w:ascii="Times New Roman" w:eastAsia="Times New Roman" w:hAnsi="Times New Roman" w:cs="Times New Roman"/>
          <w:sz w:val="26"/>
          <w:szCs w:val="26"/>
          <w:lang w:val="en-GB" w:eastAsia="en-GB"/>
        </w:rPr>
        <w:t>channel if rights are not assigned to a third party. The Lega Serie A’s rules state that if the bids from broadcasters are not sufficient, individual negotiations can be conducted to assign the right. The AGCM monitors these guidelines to ensure compliance with competition laws, promoting a balanced and fair market for broadcasting rights.</w:t>
      </w:r>
      <w:r w:rsidR="00A13ABD">
        <w:rPr>
          <w:rFonts w:ascii="Times New Roman" w:eastAsia="Times New Roman" w:hAnsi="Times New Roman" w:cs="Times New Roman"/>
          <w:sz w:val="26"/>
          <w:szCs w:val="26"/>
          <w:lang w:val="en-GB" w:eastAsia="en-GB"/>
        </w:rPr>
        <w:t xml:space="preserve"> </w:t>
      </w:r>
      <w:r w:rsidR="00B03642" w:rsidRPr="00A54655">
        <w:rPr>
          <w:rFonts w:ascii="Times New Roman" w:eastAsia="Times New Roman" w:hAnsi="Times New Roman" w:cs="Times New Roman"/>
          <w:sz w:val="26"/>
          <w:szCs w:val="26"/>
          <w:lang w:val="en-GB" w:eastAsia="en-GB"/>
        </w:rPr>
        <w:t xml:space="preserve">Regarding the </w:t>
      </w:r>
      <w:r w:rsidR="00B03642" w:rsidRPr="002E47F0">
        <w:rPr>
          <w:rFonts w:ascii="Times New Roman" w:eastAsia="Times New Roman" w:hAnsi="Times New Roman" w:cs="Times New Roman"/>
          <w:bCs/>
          <w:sz w:val="26"/>
          <w:szCs w:val="26"/>
          <w:lang w:val="en-GB" w:eastAsia="en-GB"/>
        </w:rPr>
        <w:t>prescription on the sale by package</w:t>
      </w:r>
      <w:r w:rsidR="00B03642" w:rsidRPr="00A54655">
        <w:rPr>
          <w:rFonts w:ascii="Times New Roman" w:eastAsia="Times New Roman" w:hAnsi="Times New Roman" w:cs="Times New Roman"/>
          <w:sz w:val="26"/>
          <w:szCs w:val="26"/>
          <w:lang w:val="en-GB" w:eastAsia="en-GB"/>
        </w:rPr>
        <w:t xml:space="preserve">, the </w:t>
      </w:r>
      <w:proofErr w:type="spellStart"/>
      <w:r w:rsidR="00B03642" w:rsidRPr="00A54655">
        <w:rPr>
          <w:rFonts w:ascii="Times New Roman" w:eastAsia="Times New Roman" w:hAnsi="Times New Roman" w:cs="Times New Roman"/>
          <w:sz w:val="26"/>
          <w:szCs w:val="26"/>
          <w:lang w:val="en-GB" w:eastAsia="en-GB"/>
        </w:rPr>
        <w:t>Decreto</w:t>
      </w:r>
      <w:proofErr w:type="spellEnd"/>
      <w:r w:rsidR="00B03642" w:rsidRPr="00A54655">
        <w:rPr>
          <w:rFonts w:ascii="Times New Roman" w:eastAsia="Times New Roman" w:hAnsi="Times New Roman" w:cs="Times New Roman"/>
          <w:sz w:val="26"/>
          <w:szCs w:val="26"/>
          <w:lang w:val="en-GB" w:eastAsia="en-GB"/>
        </w:rPr>
        <w:t xml:space="preserve"> </w:t>
      </w:r>
      <w:proofErr w:type="spellStart"/>
      <w:r w:rsidR="00B03642" w:rsidRPr="00A54655">
        <w:rPr>
          <w:rFonts w:ascii="Times New Roman" w:eastAsia="Times New Roman" w:hAnsi="Times New Roman" w:cs="Times New Roman"/>
          <w:sz w:val="26"/>
          <w:szCs w:val="26"/>
          <w:lang w:val="en-GB" w:eastAsia="en-GB"/>
        </w:rPr>
        <w:t>Melandri</w:t>
      </w:r>
      <w:proofErr w:type="spellEnd"/>
      <w:r w:rsidR="00B03642" w:rsidRPr="00A54655">
        <w:rPr>
          <w:rFonts w:ascii="Times New Roman" w:eastAsia="Times New Roman" w:hAnsi="Times New Roman" w:cs="Times New Roman"/>
          <w:sz w:val="26"/>
          <w:szCs w:val="26"/>
          <w:lang w:val="en-GB" w:eastAsia="en-GB"/>
        </w:rPr>
        <w:t xml:space="preserve"> outlines specific criteria for the formation of packages to ensure a balanced competition. These packages are to be designed to stimulate competition among operators by including events that are attractive to the public and maintaining a fair distribution of high-demand matches. The </w:t>
      </w:r>
      <w:r w:rsidR="00B03642" w:rsidRPr="002E47F0">
        <w:rPr>
          <w:rFonts w:ascii="Times New Roman" w:eastAsia="Times New Roman" w:hAnsi="Times New Roman" w:cs="Times New Roman"/>
          <w:bCs/>
          <w:sz w:val="26"/>
          <w:szCs w:val="26"/>
          <w:lang w:val="en-GB" w:eastAsia="en-GB"/>
        </w:rPr>
        <w:t>presence of exclusive rights packages</w:t>
      </w:r>
      <w:r w:rsidR="00B03642" w:rsidRPr="00A54655">
        <w:rPr>
          <w:rFonts w:ascii="Times New Roman" w:eastAsia="Times New Roman" w:hAnsi="Times New Roman" w:cs="Times New Roman"/>
          <w:sz w:val="26"/>
          <w:szCs w:val="26"/>
          <w:lang w:val="en-GB" w:eastAsia="en-GB"/>
        </w:rPr>
        <w:t xml:space="preserve"> is a critical aspect of the commercialization strategy. The guidelines mandate that the packages must include a mix of exclusive broadcasting rights to ensure competitive balance</w:t>
      </w:r>
      <w:r>
        <w:rPr>
          <w:rFonts w:ascii="Times New Roman" w:eastAsia="Times New Roman" w:hAnsi="Times New Roman" w:cs="Times New Roman"/>
          <w:sz w:val="26"/>
          <w:szCs w:val="26"/>
          <w:lang w:val="en-GB" w:eastAsia="en-GB"/>
        </w:rPr>
        <w:t xml:space="preserve"> and a </w:t>
      </w:r>
      <w:proofErr w:type="spellStart"/>
      <w:r>
        <w:rPr>
          <w:rFonts w:ascii="Times New Roman" w:eastAsia="Times New Roman" w:hAnsi="Times New Roman" w:cs="Times New Roman"/>
          <w:sz w:val="26"/>
          <w:szCs w:val="26"/>
          <w:lang w:val="en-GB" w:eastAsia="en-GB"/>
        </w:rPr>
        <w:t>a</w:t>
      </w:r>
      <w:proofErr w:type="spellEnd"/>
      <w:r>
        <w:rPr>
          <w:rFonts w:ascii="Times New Roman" w:eastAsia="Times New Roman" w:hAnsi="Times New Roman" w:cs="Times New Roman"/>
          <w:sz w:val="26"/>
          <w:szCs w:val="26"/>
          <w:lang w:val="en-GB" w:eastAsia="en-GB"/>
        </w:rPr>
        <w:t xml:space="preserve"> “no single buyer” rule</w:t>
      </w:r>
      <w:r>
        <w:rPr>
          <w:rStyle w:val="Rimandonotaapidipagina"/>
          <w:rFonts w:ascii="Times New Roman" w:eastAsia="Times New Roman" w:hAnsi="Times New Roman" w:cs="Times New Roman"/>
          <w:sz w:val="26"/>
          <w:szCs w:val="26"/>
          <w:lang w:val="en-GB" w:eastAsia="en-GB"/>
        </w:rPr>
        <w:footnoteReference w:id="61"/>
      </w:r>
      <w:r>
        <w:rPr>
          <w:rFonts w:ascii="Times New Roman" w:eastAsia="Times New Roman" w:hAnsi="Times New Roman" w:cs="Times New Roman"/>
          <w:sz w:val="26"/>
          <w:szCs w:val="26"/>
          <w:lang w:val="en-GB" w:eastAsia="en-GB"/>
        </w:rPr>
        <w:t xml:space="preserve">. </w:t>
      </w:r>
      <w:r w:rsidR="00A13ABD">
        <w:rPr>
          <w:rFonts w:ascii="Times New Roman" w:eastAsia="Times New Roman" w:hAnsi="Times New Roman" w:cs="Times New Roman"/>
          <w:sz w:val="26"/>
          <w:szCs w:val="26"/>
          <w:lang w:val="en-GB" w:eastAsia="en-GB"/>
        </w:rPr>
        <w:t>About</w:t>
      </w:r>
      <w:r w:rsidR="00B03642" w:rsidRPr="00A54655">
        <w:rPr>
          <w:rFonts w:ascii="Times New Roman" w:eastAsia="Times New Roman" w:hAnsi="Times New Roman" w:cs="Times New Roman"/>
          <w:sz w:val="26"/>
          <w:szCs w:val="26"/>
          <w:lang w:val="en-GB" w:eastAsia="en-GB"/>
        </w:rPr>
        <w:t xml:space="preserve"> </w:t>
      </w:r>
      <w:r w:rsidR="00B03642" w:rsidRPr="00A13ABD">
        <w:rPr>
          <w:rFonts w:ascii="Times New Roman" w:eastAsia="Times New Roman" w:hAnsi="Times New Roman" w:cs="Times New Roman"/>
          <w:bCs/>
          <w:sz w:val="26"/>
          <w:szCs w:val="26"/>
          <w:lang w:val="en-GB" w:eastAsia="en-GB"/>
        </w:rPr>
        <w:t xml:space="preserve">duration </w:t>
      </w:r>
      <w:r w:rsidR="00B03642" w:rsidRPr="00A13ABD">
        <w:rPr>
          <w:rFonts w:ascii="Times New Roman" w:eastAsia="Times New Roman" w:hAnsi="Times New Roman" w:cs="Times New Roman"/>
          <w:bCs/>
          <w:sz w:val="26"/>
          <w:szCs w:val="26"/>
          <w:lang w:val="en-GB" w:eastAsia="en-GB"/>
        </w:rPr>
        <w:lastRenderedPageBreak/>
        <w:t>of the exclusivity</w:t>
      </w:r>
      <w:r w:rsidR="00A13ABD">
        <w:rPr>
          <w:rFonts w:ascii="Times New Roman" w:eastAsia="Times New Roman" w:hAnsi="Times New Roman" w:cs="Times New Roman"/>
          <w:sz w:val="26"/>
          <w:szCs w:val="26"/>
          <w:lang w:val="en-GB" w:eastAsia="en-GB"/>
        </w:rPr>
        <w:t xml:space="preserve">, initially </w:t>
      </w:r>
      <w:r w:rsidR="00B03642" w:rsidRPr="00A54655">
        <w:rPr>
          <w:rFonts w:ascii="Times New Roman" w:eastAsia="Times New Roman" w:hAnsi="Times New Roman" w:cs="Times New Roman"/>
          <w:sz w:val="26"/>
          <w:szCs w:val="26"/>
          <w:lang w:val="en-GB" w:eastAsia="en-GB"/>
        </w:rPr>
        <w:t xml:space="preserve">the maximum </w:t>
      </w:r>
      <w:r w:rsidR="00A13ABD">
        <w:rPr>
          <w:rFonts w:ascii="Times New Roman" w:eastAsia="Times New Roman" w:hAnsi="Times New Roman" w:cs="Times New Roman"/>
          <w:sz w:val="26"/>
          <w:szCs w:val="26"/>
          <w:lang w:val="en-GB" w:eastAsia="en-GB"/>
        </w:rPr>
        <w:t>period</w:t>
      </w:r>
      <w:r w:rsidR="00B03642" w:rsidRPr="00A54655">
        <w:rPr>
          <w:rFonts w:ascii="Times New Roman" w:eastAsia="Times New Roman" w:hAnsi="Times New Roman" w:cs="Times New Roman"/>
          <w:sz w:val="26"/>
          <w:szCs w:val="26"/>
          <w:lang w:val="en-GB" w:eastAsia="en-GB"/>
        </w:rPr>
        <w:t xml:space="preserve"> for contracts was set at three years, but this was extended to five years following the recent amendments to the </w:t>
      </w:r>
      <w:proofErr w:type="spellStart"/>
      <w:r w:rsidR="00B03642" w:rsidRPr="00A54655">
        <w:rPr>
          <w:rFonts w:ascii="Times New Roman" w:eastAsia="Times New Roman" w:hAnsi="Times New Roman" w:cs="Times New Roman"/>
          <w:sz w:val="26"/>
          <w:szCs w:val="26"/>
          <w:lang w:val="en-GB" w:eastAsia="en-GB"/>
        </w:rPr>
        <w:t>Decreto</w:t>
      </w:r>
      <w:proofErr w:type="spellEnd"/>
      <w:r w:rsidR="00B03642" w:rsidRPr="00A54655">
        <w:rPr>
          <w:rFonts w:ascii="Times New Roman" w:eastAsia="Times New Roman" w:hAnsi="Times New Roman" w:cs="Times New Roman"/>
          <w:sz w:val="26"/>
          <w:szCs w:val="26"/>
          <w:lang w:val="en-GB" w:eastAsia="en-GB"/>
        </w:rPr>
        <w:t xml:space="preserve"> </w:t>
      </w:r>
      <w:proofErr w:type="spellStart"/>
      <w:r w:rsidR="00B03642" w:rsidRPr="00A54655">
        <w:rPr>
          <w:rFonts w:ascii="Times New Roman" w:eastAsia="Times New Roman" w:hAnsi="Times New Roman" w:cs="Times New Roman"/>
          <w:sz w:val="26"/>
          <w:szCs w:val="26"/>
          <w:lang w:val="en-GB" w:eastAsia="en-GB"/>
        </w:rPr>
        <w:t>Melandri</w:t>
      </w:r>
      <w:proofErr w:type="spellEnd"/>
      <w:r>
        <w:rPr>
          <w:rFonts w:ascii="Times New Roman" w:eastAsia="Times New Roman" w:hAnsi="Times New Roman" w:cs="Times New Roman"/>
          <w:sz w:val="26"/>
          <w:szCs w:val="26"/>
          <w:lang w:val="en-GB" w:eastAsia="en-GB"/>
        </w:rPr>
        <w:t>. In fact, r</w:t>
      </w:r>
      <w:r w:rsidRPr="002E47F0">
        <w:rPr>
          <w:rFonts w:ascii="Times New Roman" w:eastAsia="Times New Roman" w:hAnsi="Times New Roman" w:cs="Times New Roman"/>
          <w:sz w:val="26"/>
          <w:szCs w:val="26"/>
          <w:lang w:val="en-GB" w:eastAsia="en-GB"/>
        </w:rPr>
        <w:t>ecent legislative changes extended the maximum duration of licensing contracts from three to five years</w:t>
      </w:r>
      <w:r w:rsidR="00A13ABD">
        <w:rPr>
          <w:rStyle w:val="Rimandonotaapidipagina"/>
          <w:rFonts w:ascii="Times New Roman" w:eastAsia="Times New Roman" w:hAnsi="Times New Roman" w:cs="Times New Roman"/>
          <w:sz w:val="26"/>
          <w:szCs w:val="26"/>
          <w:lang w:val="en-GB" w:eastAsia="en-GB"/>
        </w:rPr>
        <w:footnoteReference w:id="62"/>
      </w:r>
      <w:r w:rsidRPr="002E47F0">
        <w:rPr>
          <w:rFonts w:ascii="Times New Roman" w:eastAsia="Times New Roman" w:hAnsi="Times New Roman" w:cs="Times New Roman"/>
          <w:sz w:val="26"/>
          <w:szCs w:val="26"/>
          <w:lang w:val="en-GB" w:eastAsia="en-GB"/>
        </w:rPr>
        <w:t xml:space="preserve">. </w:t>
      </w:r>
      <w:r w:rsidR="00A13ABD">
        <w:rPr>
          <w:rFonts w:ascii="Times New Roman" w:eastAsia="Times New Roman" w:hAnsi="Times New Roman" w:cs="Times New Roman"/>
          <w:sz w:val="26"/>
          <w:szCs w:val="26"/>
          <w:lang w:val="en-GB" w:eastAsia="en-GB"/>
        </w:rPr>
        <w:t>Recently</w:t>
      </w:r>
      <w:r w:rsidRPr="002E47F0">
        <w:rPr>
          <w:rFonts w:ascii="Times New Roman" w:eastAsia="Times New Roman" w:hAnsi="Times New Roman" w:cs="Times New Roman"/>
          <w:sz w:val="26"/>
          <w:szCs w:val="26"/>
          <w:lang w:val="en-GB" w:eastAsia="en-GB"/>
        </w:rPr>
        <w:t xml:space="preserve">, the Lega Serie A transmitted new guidelines for the sale of </w:t>
      </w:r>
      <w:proofErr w:type="spellStart"/>
      <w:r w:rsidRPr="002E47F0">
        <w:rPr>
          <w:rFonts w:ascii="Times New Roman" w:eastAsia="Times New Roman" w:hAnsi="Times New Roman" w:cs="Times New Roman"/>
          <w:sz w:val="26"/>
          <w:szCs w:val="26"/>
          <w:lang w:val="en-GB" w:eastAsia="en-GB"/>
        </w:rPr>
        <w:t>audiovisual</w:t>
      </w:r>
      <w:proofErr w:type="spellEnd"/>
      <w:r w:rsidRPr="002E47F0">
        <w:rPr>
          <w:rFonts w:ascii="Times New Roman" w:eastAsia="Times New Roman" w:hAnsi="Times New Roman" w:cs="Times New Roman"/>
          <w:sz w:val="26"/>
          <w:szCs w:val="26"/>
          <w:lang w:val="en-GB" w:eastAsia="en-GB"/>
        </w:rPr>
        <w:t xml:space="preserve"> rights for the 2024/2025 to 2028/2029 seasons. These guidelines were publicly consulted and approved by the AGCM in March 2023</w:t>
      </w:r>
      <w:r w:rsidR="00B03642" w:rsidRPr="00A54655">
        <w:rPr>
          <w:rFonts w:ascii="Times New Roman" w:eastAsia="Times New Roman" w:hAnsi="Times New Roman" w:cs="Times New Roman"/>
          <w:sz w:val="26"/>
          <w:szCs w:val="26"/>
          <w:lang w:val="en-GB" w:eastAsia="en-GB"/>
        </w:rPr>
        <w:t>. This change allows for longer licensing periods, though it requires careful structuring to avoid long-term monopolies and encourage technological innovation and competition</w:t>
      </w:r>
      <w:r>
        <w:rPr>
          <w:rFonts w:ascii="Times New Roman" w:eastAsia="Times New Roman" w:hAnsi="Times New Roman" w:cs="Times New Roman"/>
          <w:sz w:val="26"/>
          <w:szCs w:val="26"/>
          <w:lang w:val="en-GB" w:eastAsia="en-GB"/>
        </w:rPr>
        <w:t xml:space="preserve">. </w:t>
      </w:r>
      <w:r w:rsidR="00ED5EDE">
        <w:rPr>
          <w:rFonts w:ascii="Times New Roman" w:eastAsia="Times New Roman" w:hAnsi="Times New Roman" w:cs="Times New Roman"/>
          <w:sz w:val="26"/>
          <w:szCs w:val="26"/>
          <w:lang w:val="en-GB" w:eastAsia="en-GB"/>
        </w:rPr>
        <w:t>Finally,</w:t>
      </w:r>
      <w:r w:rsidR="00E92AEF">
        <w:rPr>
          <w:rFonts w:ascii="Times New Roman" w:eastAsia="Times New Roman" w:hAnsi="Times New Roman" w:cs="Times New Roman"/>
          <w:sz w:val="26"/>
          <w:szCs w:val="26"/>
          <w:lang w:val="en-GB" w:eastAsia="en-GB"/>
        </w:rPr>
        <w:t xml:space="preserve"> </w:t>
      </w:r>
      <w:r w:rsidR="00ED5EDE">
        <w:rPr>
          <w:rFonts w:ascii="Times New Roman" w:eastAsia="Times New Roman" w:hAnsi="Times New Roman" w:cs="Times New Roman"/>
          <w:sz w:val="26"/>
          <w:szCs w:val="26"/>
          <w:lang w:val="en-GB" w:eastAsia="en-GB"/>
        </w:rPr>
        <w:t xml:space="preserve">the </w:t>
      </w:r>
      <w:r w:rsidR="00E92AEF">
        <w:rPr>
          <w:rFonts w:ascii="Times New Roman" w:eastAsia="Times New Roman" w:hAnsi="Times New Roman" w:cs="Times New Roman"/>
          <w:sz w:val="26"/>
          <w:szCs w:val="26"/>
          <w:lang w:val="en-GB" w:eastAsia="en-GB"/>
        </w:rPr>
        <w:t xml:space="preserve">AGCM concluded two proceedings involving football broadcasting right sale: fining the agreement </w:t>
      </w:r>
      <w:proofErr w:type="spellStart"/>
      <w:r w:rsidR="00E92AEF">
        <w:rPr>
          <w:rFonts w:ascii="Times New Roman" w:eastAsia="Times New Roman" w:hAnsi="Times New Roman" w:cs="Times New Roman"/>
          <w:sz w:val="26"/>
          <w:szCs w:val="26"/>
          <w:lang w:val="en-GB" w:eastAsia="en-GB"/>
        </w:rPr>
        <w:t>i</w:t>
      </w:r>
      <w:proofErr w:type="spellEnd"/>
      <w:r w:rsidR="00E92AEF">
        <w:rPr>
          <w:rFonts w:ascii="Times New Roman" w:eastAsia="Times New Roman" w:hAnsi="Times New Roman" w:cs="Times New Roman"/>
          <w:sz w:val="26"/>
          <w:szCs w:val="26"/>
          <w:lang w:val="en-GB" w:eastAsia="en-GB"/>
        </w:rPr>
        <w:t>) between a telecom operator (TIM) and the major acquirer of the rights (DAZN)</w:t>
      </w:r>
      <w:r w:rsidR="00E92AEF">
        <w:rPr>
          <w:rStyle w:val="Rimandonotaapidipagina"/>
          <w:rFonts w:ascii="Times New Roman" w:eastAsia="Times New Roman" w:hAnsi="Times New Roman" w:cs="Times New Roman"/>
          <w:sz w:val="26"/>
          <w:szCs w:val="26"/>
          <w:lang w:val="en-GB" w:eastAsia="en-GB"/>
        </w:rPr>
        <w:footnoteReference w:id="63"/>
      </w:r>
      <w:r w:rsidR="00E92AEF">
        <w:rPr>
          <w:rFonts w:ascii="Times New Roman" w:eastAsia="Times New Roman" w:hAnsi="Times New Roman" w:cs="Times New Roman"/>
          <w:sz w:val="26"/>
          <w:szCs w:val="26"/>
          <w:lang w:val="en-GB" w:eastAsia="en-GB"/>
        </w:rPr>
        <w:t xml:space="preserve">; ii) between the broadcasting rights holders Sky and </w:t>
      </w:r>
      <w:proofErr w:type="spellStart"/>
      <w:r w:rsidR="00E92AEF">
        <w:rPr>
          <w:rFonts w:ascii="Times New Roman" w:eastAsia="Times New Roman" w:hAnsi="Times New Roman" w:cs="Times New Roman"/>
          <w:sz w:val="26"/>
          <w:szCs w:val="26"/>
          <w:lang w:val="en-GB" w:eastAsia="en-GB"/>
        </w:rPr>
        <w:t>Mediaset</w:t>
      </w:r>
      <w:proofErr w:type="spellEnd"/>
      <w:r w:rsidR="00E92AEF">
        <w:rPr>
          <w:rFonts w:ascii="Times New Roman" w:eastAsia="Times New Roman" w:hAnsi="Times New Roman" w:cs="Times New Roman"/>
          <w:sz w:val="26"/>
          <w:szCs w:val="26"/>
          <w:lang w:val="en-GB" w:eastAsia="en-GB"/>
        </w:rPr>
        <w:t>, the Italian Clubs League and its advisor (</w:t>
      </w:r>
      <w:proofErr w:type="spellStart"/>
      <w:r w:rsidR="00E92AEF">
        <w:rPr>
          <w:rFonts w:ascii="Times New Roman" w:eastAsia="Times New Roman" w:hAnsi="Times New Roman" w:cs="Times New Roman"/>
          <w:sz w:val="26"/>
          <w:szCs w:val="26"/>
          <w:lang w:val="en-GB" w:eastAsia="en-GB"/>
        </w:rPr>
        <w:t>Infront</w:t>
      </w:r>
      <w:proofErr w:type="spellEnd"/>
      <w:r w:rsidR="00E92AEF">
        <w:rPr>
          <w:rFonts w:ascii="Times New Roman" w:eastAsia="Times New Roman" w:hAnsi="Times New Roman" w:cs="Times New Roman"/>
          <w:sz w:val="26"/>
          <w:szCs w:val="26"/>
          <w:lang w:val="en-GB" w:eastAsia="en-GB"/>
        </w:rPr>
        <w:t xml:space="preserve">) </w:t>
      </w:r>
      <w:r w:rsidR="00E92AEF">
        <w:rPr>
          <w:rStyle w:val="Rimandonotaapidipagina"/>
          <w:rFonts w:ascii="Times New Roman" w:eastAsia="Times New Roman" w:hAnsi="Times New Roman" w:cs="Times New Roman"/>
          <w:sz w:val="26"/>
          <w:szCs w:val="26"/>
          <w:lang w:val="en-GB" w:eastAsia="en-GB"/>
        </w:rPr>
        <w:footnoteReference w:id="64"/>
      </w:r>
      <w:r w:rsidR="00E92AEF">
        <w:rPr>
          <w:rFonts w:ascii="Times New Roman" w:eastAsia="Times New Roman" w:hAnsi="Times New Roman" w:cs="Times New Roman"/>
          <w:sz w:val="26"/>
          <w:szCs w:val="26"/>
          <w:lang w:val="en-GB" w:eastAsia="en-GB"/>
        </w:rPr>
        <w:t>.</w:t>
      </w:r>
    </w:p>
    <w:p w:rsidR="00A37BEC" w:rsidRPr="00A13ABD" w:rsidRDefault="00427AD5" w:rsidP="003912F1">
      <w:pPr>
        <w:pStyle w:val="Titolo2"/>
        <w:keepLines w:val="0"/>
        <w:spacing w:before="0" w:line="240" w:lineRule="auto"/>
        <w:rPr>
          <w:rFonts w:ascii="Times New Roman" w:eastAsia="Times New Roman" w:hAnsi="Times New Roman" w:cs="Times New Roman"/>
          <w:b/>
          <w:bCs/>
          <w:i/>
          <w:iCs/>
          <w:color w:val="auto"/>
          <w:lang w:val="en-GB"/>
        </w:rPr>
      </w:pPr>
      <w:bookmarkStart w:id="28" w:name="_Toc177052163"/>
      <w:r>
        <w:rPr>
          <w:rFonts w:ascii="Times New Roman" w:eastAsia="Times New Roman" w:hAnsi="Times New Roman" w:cs="Times New Roman"/>
          <w:b/>
          <w:bCs/>
          <w:i/>
          <w:iCs/>
          <w:color w:val="auto"/>
          <w:lang w:val="en-GB"/>
        </w:rPr>
        <w:t>V.1</w:t>
      </w:r>
      <w:r w:rsidR="00EE6A5F">
        <w:rPr>
          <w:rFonts w:ascii="Times New Roman" w:eastAsia="Times New Roman" w:hAnsi="Times New Roman" w:cs="Times New Roman"/>
          <w:b/>
          <w:bCs/>
          <w:i/>
          <w:iCs/>
          <w:color w:val="auto"/>
          <w:lang w:val="en-GB"/>
        </w:rPr>
        <w:t>4</w:t>
      </w:r>
      <w:r>
        <w:rPr>
          <w:rFonts w:ascii="Times New Roman" w:eastAsia="Times New Roman" w:hAnsi="Times New Roman" w:cs="Times New Roman"/>
          <w:b/>
          <w:bCs/>
          <w:i/>
          <w:iCs/>
          <w:color w:val="auto"/>
          <w:lang w:val="en-GB"/>
        </w:rPr>
        <w:t xml:space="preserve"> The </w:t>
      </w:r>
      <w:r w:rsidR="00A37BEC" w:rsidRPr="00A13ABD">
        <w:rPr>
          <w:rFonts w:ascii="Times New Roman" w:eastAsia="Times New Roman" w:hAnsi="Times New Roman" w:cs="Times New Roman"/>
          <w:b/>
          <w:bCs/>
          <w:i/>
          <w:iCs/>
          <w:color w:val="auto"/>
          <w:lang w:val="en-GB"/>
        </w:rPr>
        <w:t>Netherlands</w:t>
      </w:r>
      <w:bookmarkEnd w:id="28"/>
    </w:p>
    <w:p w:rsidR="00A37BEC" w:rsidRPr="00A54655" w:rsidRDefault="00A37BEC" w:rsidP="00E775CE">
      <w:pPr>
        <w:pStyle w:val="NormaleWeb"/>
        <w:spacing w:line="276" w:lineRule="auto"/>
        <w:jc w:val="both"/>
        <w:rPr>
          <w:sz w:val="26"/>
          <w:szCs w:val="26"/>
        </w:rPr>
      </w:pPr>
      <w:r w:rsidRPr="00A54655">
        <w:rPr>
          <w:sz w:val="26"/>
          <w:szCs w:val="26"/>
        </w:rPr>
        <w:t>No specific regime</w:t>
      </w:r>
      <w:r w:rsidR="00A13ABD">
        <w:rPr>
          <w:sz w:val="26"/>
          <w:szCs w:val="26"/>
        </w:rPr>
        <w:t xml:space="preserve"> </w:t>
      </w:r>
      <w:r w:rsidR="00427AD5">
        <w:rPr>
          <w:sz w:val="26"/>
          <w:szCs w:val="26"/>
        </w:rPr>
        <w:t>exists</w:t>
      </w:r>
      <w:r w:rsidRPr="00A54655">
        <w:rPr>
          <w:sz w:val="26"/>
          <w:szCs w:val="26"/>
        </w:rPr>
        <w:t xml:space="preserve"> for football broadcasting rights</w:t>
      </w:r>
      <w:r w:rsidR="00E775CE">
        <w:rPr>
          <w:sz w:val="26"/>
          <w:szCs w:val="26"/>
        </w:rPr>
        <w:t xml:space="preserve"> in the Netherlands</w:t>
      </w:r>
      <w:r w:rsidRPr="00A54655">
        <w:rPr>
          <w:sz w:val="26"/>
          <w:szCs w:val="26"/>
        </w:rPr>
        <w:t>. Significant events must be accessible by at least 75% of households free-to-air</w:t>
      </w:r>
      <w:r w:rsidR="00BB4A3F">
        <w:rPr>
          <w:rStyle w:val="Rimandonotaapidipagina"/>
          <w:sz w:val="26"/>
          <w:szCs w:val="26"/>
        </w:rPr>
        <w:footnoteReference w:id="65"/>
      </w:r>
      <w:r w:rsidRPr="00A54655">
        <w:rPr>
          <w:sz w:val="26"/>
          <w:szCs w:val="26"/>
        </w:rPr>
        <w:t xml:space="preserve">. </w:t>
      </w:r>
      <w:r w:rsidR="00BB4A3F" w:rsidRPr="00BB4A3F">
        <w:rPr>
          <w:sz w:val="26"/>
          <w:szCs w:val="26"/>
        </w:rPr>
        <w:t xml:space="preserve">In 2016 the </w:t>
      </w:r>
      <w:r w:rsidR="00BB4A3F" w:rsidRPr="00E775CE">
        <w:rPr>
          <w:sz w:val="26"/>
          <w:szCs w:val="26"/>
        </w:rPr>
        <w:t xml:space="preserve">Authority for Consumers and Markets </w:t>
      </w:r>
      <w:r w:rsidR="00BB4A3F" w:rsidRPr="00BB4A3F">
        <w:rPr>
          <w:sz w:val="26"/>
          <w:szCs w:val="26"/>
        </w:rPr>
        <w:t xml:space="preserve">investigated the broadcasting rights of </w:t>
      </w:r>
      <w:r w:rsidR="00BB4A3F">
        <w:rPr>
          <w:sz w:val="26"/>
          <w:szCs w:val="26"/>
        </w:rPr>
        <w:t xml:space="preserve">a broadcaster, </w:t>
      </w:r>
      <w:r w:rsidR="00BB4A3F" w:rsidRPr="00BB4A3F">
        <w:rPr>
          <w:sz w:val="26"/>
          <w:szCs w:val="26"/>
        </w:rPr>
        <w:t>Fox</w:t>
      </w:r>
      <w:r w:rsidR="00BB4A3F">
        <w:rPr>
          <w:sz w:val="26"/>
          <w:szCs w:val="26"/>
        </w:rPr>
        <w:t>,</w:t>
      </w:r>
      <w:r w:rsidR="00BB4A3F" w:rsidRPr="00BB4A3F">
        <w:rPr>
          <w:sz w:val="26"/>
          <w:szCs w:val="26"/>
        </w:rPr>
        <w:t xml:space="preserve"> for Eredivisie matches</w:t>
      </w:r>
      <w:r w:rsidRPr="00A54655">
        <w:rPr>
          <w:sz w:val="26"/>
          <w:szCs w:val="26"/>
        </w:rPr>
        <w:t xml:space="preserve"> </w:t>
      </w:r>
      <w:r w:rsidR="00BB4A3F">
        <w:rPr>
          <w:sz w:val="26"/>
          <w:szCs w:val="26"/>
        </w:rPr>
        <w:t xml:space="preserve">concluding that there was </w:t>
      </w:r>
      <w:r w:rsidR="00BB4A3F" w:rsidRPr="00BB4A3F">
        <w:rPr>
          <w:sz w:val="26"/>
          <w:szCs w:val="26"/>
        </w:rPr>
        <w:t xml:space="preserve">insufficient evidence that consumers </w:t>
      </w:r>
      <w:r w:rsidR="00BB4A3F">
        <w:rPr>
          <w:sz w:val="26"/>
          <w:szCs w:val="26"/>
        </w:rPr>
        <w:t>were</w:t>
      </w:r>
      <w:r w:rsidR="00BB4A3F" w:rsidRPr="00BB4A3F">
        <w:rPr>
          <w:sz w:val="26"/>
          <w:szCs w:val="26"/>
        </w:rPr>
        <w:t xml:space="preserve"> harmed </w:t>
      </w:r>
      <w:r w:rsidR="00BB4A3F">
        <w:rPr>
          <w:sz w:val="26"/>
          <w:szCs w:val="26"/>
        </w:rPr>
        <w:t>by</w:t>
      </w:r>
      <w:r w:rsidR="00BB4A3F" w:rsidRPr="00BB4A3F">
        <w:rPr>
          <w:sz w:val="26"/>
          <w:szCs w:val="26"/>
        </w:rPr>
        <w:t xml:space="preserve"> </w:t>
      </w:r>
      <w:r w:rsidR="00BB4A3F">
        <w:rPr>
          <w:sz w:val="26"/>
          <w:szCs w:val="26"/>
        </w:rPr>
        <w:t>t</w:t>
      </w:r>
      <w:r w:rsidR="00BB4A3F" w:rsidRPr="00BB4A3F">
        <w:rPr>
          <w:sz w:val="26"/>
          <w:szCs w:val="26"/>
        </w:rPr>
        <w:t>he behaviour of Fox</w:t>
      </w:r>
      <w:r w:rsidR="00BB4A3F">
        <w:rPr>
          <w:rStyle w:val="Rimandonotaapidipagina"/>
          <w:sz w:val="26"/>
          <w:szCs w:val="26"/>
        </w:rPr>
        <w:footnoteReference w:id="66"/>
      </w:r>
      <w:r w:rsidR="00BB4A3F">
        <w:rPr>
          <w:sz w:val="26"/>
          <w:szCs w:val="26"/>
        </w:rPr>
        <w:t>.</w:t>
      </w:r>
      <w:r w:rsidR="00BB4A3F" w:rsidRPr="00BB4A3F">
        <w:rPr>
          <w:sz w:val="26"/>
          <w:szCs w:val="26"/>
        </w:rPr>
        <w:t xml:space="preserve"> </w:t>
      </w:r>
      <w:r w:rsidRPr="00A54655">
        <w:rPr>
          <w:sz w:val="26"/>
          <w:szCs w:val="26"/>
        </w:rPr>
        <w:t xml:space="preserve">Currently, rights for Eredivisie are sold in one package by Eredivisie </w:t>
      </w:r>
      <w:proofErr w:type="gramStart"/>
      <w:r w:rsidRPr="00A54655">
        <w:rPr>
          <w:sz w:val="26"/>
          <w:szCs w:val="26"/>
        </w:rPr>
        <w:t>N.V.</w:t>
      </w:r>
      <w:r w:rsidR="00BB4A3F">
        <w:rPr>
          <w:sz w:val="26"/>
          <w:szCs w:val="26"/>
        </w:rPr>
        <w:t>.</w:t>
      </w:r>
      <w:proofErr w:type="gramEnd"/>
      <w:r w:rsidR="00BB4A3F">
        <w:rPr>
          <w:sz w:val="26"/>
          <w:szCs w:val="26"/>
        </w:rPr>
        <w:t xml:space="preserve"> </w:t>
      </w:r>
      <w:r w:rsidRPr="00A54655">
        <w:rPr>
          <w:sz w:val="26"/>
          <w:szCs w:val="26"/>
        </w:rPr>
        <w:t xml:space="preserve">Exclusive rights packages are </w:t>
      </w:r>
      <w:r w:rsidR="00BB4A3F">
        <w:rPr>
          <w:sz w:val="26"/>
          <w:szCs w:val="26"/>
        </w:rPr>
        <w:t xml:space="preserve">implemented and duration </w:t>
      </w:r>
      <w:r w:rsidR="00BB4A3F" w:rsidRPr="00BB4A3F">
        <w:rPr>
          <w:sz w:val="26"/>
          <w:szCs w:val="26"/>
        </w:rPr>
        <w:t>are free to be determined in the contracts by the parties</w:t>
      </w:r>
      <w:r w:rsidR="00BB4A3F">
        <w:rPr>
          <w:sz w:val="26"/>
          <w:szCs w:val="26"/>
        </w:rPr>
        <w:t>.</w:t>
      </w:r>
      <w:r w:rsidR="00BB4A3F" w:rsidRPr="00BB4A3F">
        <w:rPr>
          <w:sz w:val="26"/>
          <w:szCs w:val="26"/>
        </w:rPr>
        <w:t xml:space="preserve"> </w:t>
      </w:r>
      <w:r w:rsidRPr="00A54655">
        <w:rPr>
          <w:sz w:val="26"/>
          <w:szCs w:val="26"/>
        </w:rPr>
        <w:t xml:space="preserve">Rights are held by various broadcasters like ESPN, </w:t>
      </w:r>
      <w:proofErr w:type="spellStart"/>
      <w:r w:rsidRPr="00A54655">
        <w:rPr>
          <w:sz w:val="26"/>
          <w:szCs w:val="26"/>
        </w:rPr>
        <w:t>Viaplay</w:t>
      </w:r>
      <w:proofErr w:type="spellEnd"/>
      <w:r w:rsidRPr="00A54655">
        <w:rPr>
          <w:sz w:val="26"/>
          <w:szCs w:val="26"/>
        </w:rPr>
        <w:t>, and Ziggo Sport.</w:t>
      </w:r>
    </w:p>
    <w:p w:rsidR="00A37BEC" w:rsidRPr="008926B5" w:rsidRDefault="00427AD5" w:rsidP="003912F1">
      <w:pPr>
        <w:pStyle w:val="Titolo2"/>
        <w:keepLines w:val="0"/>
        <w:spacing w:before="0" w:line="240" w:lineRule="auto"/>
        <w:rPr>
          <w:rFonts w:ascii="Times New Roman" w:eastAsia="Times New Roman" w:hAnsi="Times New Roman" w:cs="Times New Roman"/>
          <w:b/>
          <w:bCs/>
          <w:i/>
          <w:iCs/>
          <w:color w:val="auto"/>
          <w:lang w:val="en-GB"/>
        </w:rPr>
      </w:pPr>
      <w:bookmarkStart w:id="29" w:name="_Toc177052164"/>
      <w:r w:rsidRPr="008926B5">
        <w:rPr>
          <w:rFonts w:ascii="Times New Roman" w:eastAsia="Times New Roman" w:hAnsi="Times New Roman" w:cs="Times New Roman"/>
          <w:b/>
          <w:bCs/>
          <w:i/>
          <w:iCs/>
          <w:color w:val="auto"/>
          <w:lang w:val="en-GB"/>
        </w:rPr>
        <w:lastRenderedPageBreak/>
        <w:t>V.1</w:t>
      </w:r>
      <w:r w:rsidR="00EE6A5F">
        <w:rPr>
          <w:rFonts w:ascii="Times New Roman" w:eastAsia="Times New Roman" w:hAnsi="Times New Roman" w:cs="Times New Roman"/>
          <w:b/>
          <w:bCs/>
          <w:i/>
          <w:iCs/>
          <w:color w:val="auto"/>
          <w:lang w:val="en-GB"/>
        </w:rPr>
        <w:t>5</w:t>
      </w:r>
      <w:r w:rsidRPr="008926B5">
        <w:rPr>
          <w:rFonts w:ascii="Times New Roman" w:eastAsia="Times New Roman" w:hAnsi="Times New Roman" w:cs="Times New Roman"/>
          <w:b/>
          <w:bCs/>
          <w:i/>
          <w:iCs/>
          <w:color w:val="auto"/>
          <w:lang w:val="en-GB"/>
        </w:rPr>
        <w:t xml:space="preserve"> </w:t>
      </w:r>
      <w:r w:rsidR="00A37BEC" w:rsidRPr="008926B5">
        <w:rPr>
          <w:rFonts w:ascii="Times New Roman" w:eastAsia="Times New Roman" w:hAnsi="Times New Roman" w:cs="Times New Roman"/>
          <w:b/>
          <w:bCs/>
          <w:i/>
          <w:iCs/>
          <w:color w:val="auto"/>
          <w:lang w:val="en-GB"/>
        </w:rPr>
        <w:t>Portugal</w:t>
      </w:r>
      <w:bookmarkEnd w:id="29"/>
    </w:p>
    <w:p w:rsidR="00B82B8C" w:rsidRPr="00A54655" w:rsidRDefault="00A37BEC" w:rsidP="00B82B8C">
      <w:pPr>
        <w:pStyle w:val="NormaleWeb"/>
        <w:spacing w:line="276" w:lineRule="auto"/>
        <w:jc w:val="both"/>
        <w:rPr>
          <w:sz w:val="26"/>
          <w:szCs w:val="26"/>
        </w:rPr>
      </w:pPr>
      <w:r w:rsidRPr="00A54655">
        <w:rPr>
          <w:sz w:val="26"/>
          <w:szCs w:val="26"/>
        </w:rPr>
        <w:t xml:space="preserve">Historically, clubs in Portugal sold their media rights individually. Recent changes include commitments not to acquire rights on an exclusive basis for more than three seasons. The </w:t>
      </w:r>
      <w:proofErr w:type="spellStart"/>
      <w:r w:rsidR="00B82B8C" w:rsidRPr="00B82B8C">
        <w:rPr>
          <w:sz w:val="26"/>
          <w:szCs w:val="26"/>
        </w:rPr>
        <w:t>Autoridade</w:t>
      </w:r>
      <w:proofErr w:type="spellEnd"/>
      <w:r w:rsidR="00B82B8C" w:rsidRPr="00B82B8C">
        <w:rPr>
          <w:sz w:val="26"/>
          <w:szCs w:val="26"/>
        </w:rPr>
        <w:t xml:space="preserve"> da </w:t>
      </w:r>
      <w:proofErr w:type="spellStart"/>
      <w:r w:rsidR="00B82B8C" w:rsidRPr="00B82B8C">
        <w:rPr>
          <w:sz w:val="26"/>
          <w:szCs w:val="26"/>
        </w:rPr>
        <w:t>Concorrência</w:t>
      </w:r>
      <w:proofErr w:type="spellEnd"/>
      <w:r w:rsidR="00B82B8C">
        <w:rPr>
          <w:sz w:val="26"/>
          <w:szCs w:val="26"/>
        </w:rPr>
        <w:t xml:space="preserve"> (</w:t>
      </w:r>
      <w:proofErr w:type="spellStart"/>
      <w:r w:rsidRPr="00A54655">
        <w:rPr>
          <w:sz w:val="26"/>
          <w:szCs w:val="26"/>
        </w:rPr>
        <w:t>AdC</w:t>
      </w:r>
      <w:proofErr w:type="spellEnd"/>
      <w:r w:rsidR="00B82B8C">
        <w:rPr>
          <w:sz w:val="26"/>
          <w:szCs w:val="26"/>
        </w:rPr>
        <w:t>)</w:t>
      </w:r>
      <w:r w:rsidRPr="00A54655">
        <w:rPr>
          <w:sz w:val="26"/>
          <w:szCs w:val="26"/>
        </w:rPr>
        <w:t xml:space="preserve"> issued fines and recommendations addressing competition concerns. In 2013, the </w:t>
      </w:r>
      <w:proofErr w:type="spellStart"/>
      <w:r w:rsidRPr="00A54655">
        <w:rPr>
          <w:sz w:val="26"/>
          <w:szCs w:val="26"/>
        </w:rPr>
        <w:t>AdC</w:t>
      </w:r>
      <w:proofErr w:type="spellEnd"/>
      <w:r w:rsidRPr="00A54655">
        <w:rPr>
          <w:sz w:val="26"/>
          <w:szCs w:val="26"/>
        </w:rPr>
        <w:t xml:space="preserve"> fined Sport TV €3.7 million for abusive practices. In 2014, the </w:t>
      </w:r>
      <w:proofErr w:type="spellStart"/>
      <w:r w:rsidRPr="00A54655">
        <w:rPr>
          <w:sz w:val="26"/>
          <w:szCs w:val="26"/>
        </w:rPr>
        <w:t>AdC</w:t>
      </w:r>
      <w:proofErr w:type="spellEnd"/>
      <w:r w:rsidRPr="00A54655">
        <w:rPr>
          <w:sz w:val="26"/>
          <w:szCs w:val="26"/>
        </w:rPr>
        <w:t xml:space="preserve"> prohibited a merger involving Sport TV. A 2015 decision allowed clubs to terminate contracts with CIM group without penalties. From 2016, telecom operators like NOS and Altice acquired media rights directly from clubs. </w:t>
      </w:r>
      <w:r w:rsidR="00B82B8C" w:rsidRPr="00A54655">
        <w:rPr>
          <w:sz w:val="26"/>
          <w:szCs w:val="26"/>
        </w:rPr>
        <w:t xml:space="preserve">In December 2018, the </w:t>
      </w:r>
      <w:proofErr w:type="spellStart"/>
      <w:r w:rsidR="00B82B8C" w:rsidRPr="00B82B8C">
        <w:rPr>
          <w:sz w:val="26"/>
          <w:szCs w:val="26"/>
        </w:rPr>
        <w:t>Autoridade</w:t>
      </w:r>
      <w:proofErr w:type="spellEnd"/>
      <w:r w:rsidR="00B82B8C" w:rsidRPr="00B82B8C">
        <w:rPr>
          <w:sz w:val="26"/>
          <w:szCs w:val="26"/>
        </w:rPr>
        <w:t xml:space="preserve"> da </w:t>
      </w:r>
      <w:proofErr w:type="spellStart"/>
      <w:r w:rsidR="00B82B8C" w:rsidRPr="00B82B8C">
        <w:rPr>
          <w:sz w:val="26"/>
          <w:szCs w:val="26"/>
        </w:rPr>
        <w:t>Concorrência</w:t>
      </w:r>
      <w:proofErr w:type="spellEnd"/>
      <w:r w:rsidR="00B82B8C">
        <w:rPr>
          <w:sz w:val="26"/>
          <w:szCs w:val="26"/>
        </w:rPr>
        <w:t xml:space="preserve"> </w:t>
      </w:r>
      <w:r w:rsidR="00B82B8C" w:rsidRPr="00B82B8C">
        <w:rPr>
          <w:sz w:val="26"/>
          <w:szCs w:val="26"/>
        </w:rPr>
        <w:t>issued a Recommendation to the Government to adopt legislation concerning the auctioning of the media rights of the national first and second leagues</w:t>
      </w:r>
      <w:r w:rsidR="00B82B8C" w:rsidRPr="00A54655">
        <w:rPr>
          <w:sz w:val="26"/>
          <w:szCs w:val="26"/>
        </w:rPr>
        <w:t>.</w:t>
      </w:r>
      <w:r w:rsidR="00B82B8C">
        <w:rPr>
          <w:rStyle w:val="Rimandonotaapidipagina"/>
          <w:sz w:val="26"/>
          <w:szCs w:val="26"/>
        </w:rPr>
        <w:footnoteReference w:id="67"/>
      </w:r>
      <w:r w:rsidR="00B82B8C" w:rsidRPr="00A54655">
        <w:rPr>
          <w:sz w:val="26"/>
          <w:szCs w:val="26"/>
        </w:rPr>
        <w:t>.</w:t>
      </w:r>
    </w:p>
    <w:p w:rsidR="00A37BEC" w:rsidRPr="00A54655" w:rsidRDefault="00A37BEC" w:rsidP="00A13ABD">
      <w:pPr>
        <w:pStyle w:val="NormaleWeb"/>
        <w:spacing w:line="276" w:lineRule="auto"/>
        <w:jc w:val="both"/>
        <w:rPr>
          <w:sz w:val="26"/>
          <w:szCs w:val="26"/>
        </w:rPr>
      </w:pPr>
      <w:r w:rsidRPr="00A54655">
        <w:rPr>
          <w:sz w:val="26"/>
          <w:szCs w:val="26"/>
        </w:rPr>
        <w:t xml:space="preserve">Exclusive rights exist but future legislation will enforce a no single buyer rule and centralize marketing of rights from the 2027/2028 season. Current agreements between clubs and operators like NOS and Altice range from 3 to 10 years. The </w:t>
      </w:r>
      <w:proofErr w:type="spellStart"/>
      <w:r w:rsidRPr="00A54655">
        <w:rPr>
          <w:sz w:val="26"/>
          <w:szCs w:val="26"/>
        </w:rPr>
        <w:t>AdC's</w:t>
      </w:r>
      <w:proofErr w:type="spellEnd"/>
      <w:r w:rsidRPr="00A54655">
        <w:rPr>
          <w:sz w:val="26"/>
          <w:szCs w:val="26"/>
        </w:rPr>
        <w:t xml:space="preserve"> recommendation promotes competition by preventing long-term exclusivity and ensuring diverse ownership of rights packages. Current rights holders include NOS, Altice, Vodafone, and </w:t>
      </w:r>
      <w:proofErr w:type="spellStart"/>
      <w:r w:rsidRPr="00A54655">
        <w:rPr>
          <w:sz w:val="26"/>
          <w:szCs w:val="26"/>
        </w:rPr>
        <w:t>Nowo</w:t>
      </w:r>
      <w:proofErr w:type="spellEnd"/>
      <w:r w:rsidRPr="00A54655">
        <w:rPr>
          <w:sz w:val="26"/>
          <w:szCs w:val="26"/>
        </w:rPr>
        <w:t>, who have acquired media rights for various clubs. Sport TV, jointly owned by CIM Group, NOS, Altice, and Vodafone, holds rights for several clubs and competitions.</w:t>
      </w:r>
    </w:p>
    <w:p w:rsidR="00A37BEC" w:rsidRPr="008926B5" w:rsidRDefault="00427AD5" w:rsidP="003912F1">
      <w:pPr>
        <w:pStyle w:val="Titolo2"/>
        <w:keepLines w:val="0"/>
        <w:spacing w:before="0" w:line="240" w:lineRule="auto"/>
        <w:rPr>
          <w:rFonts w:ascii="Times New Roman" w:eastAsia="Times New Roman" w:hAnsi="Times New Roman" w:cs="Times New Roman"/>
          <w:b/>
          <w:bCs/>
          <w:i/>
          <w:iCs/>
          <w:color w:val="auto"/>
          <w:lang w:val="en-GB"/>
        </w:rPr>
      </w:pPr>
      <w:bookmarkStart w:id="30" w:name="_Toc177052165"/>
      <w:r w:rsidRPr="008926B5">
        <w:rPr>
          <w:rFonts w:ascii="Times New Roman" w:eastAsia="Times New Roman" w:hAnsi="Times New Roman" w:cs="Times New Roman"/>
          <w:b/>
          <w:bCs/>
          <w:i/>
          <w:iCs/>
          <w:color w:val="auto"/>
          <w:lang w:val="en-GB"/>
        </w:rPr>
        <w:t>V.1</w:t>
      </w:r>
      <w:r w:rsidR="00EE6A5F">
        <w:rPr>
          <w:rFonts w:ascii="Times New Roman" w:eastAsia="Times New Roman" w:hAnsi="Times New Roman" w:cs="Times New Roman"/>
          <w:b/>
          <w:bCs/>
          <w:i/>
          <w:iCs/>
          <w:color w:val="auto"/>
          <w:lang w:val="en-GB"/>
        </w:rPr>
        <w:t>6</w:t>
      </w:r>
      <w:r w:rsidRPr="008926B5">
        <w:rPr>
          <w:rFonts w:ascii="Times New Roman" w:eastAsia="Times New Roman" w:hAnsi="Times New Roman" w:cs="Times New Roman"/>
          <w:b/>
          <w:bCs/>
          <w:i/>
          <w:iCs/>
          <w:color w:val="auto"/>
          <w:lang w:val="en-GB"/>
        </w:rPr>
        <w:t xml:space="preserve"> </w:t>
      </w:r>
      <w:r w:rsidR="00A37BEC" w:rsidRPr="008926B5">
        <w:rPr>
          <w:rFonts w:ascii="Times New Roman" w:eastAsia="Times New Roman" w:hAnsi="Times New Roman" w:cs="Times New Roman"/>
          <w:b/>
          <w:bCs/>
          <w:i/>
          <w:iCs/>
          <w:color w:val="auto"/>
          <w:lang w:val="en-GB"/>
        </w:rPr>
        <w:t>Romania</w:t>
      </w:r>
      <w:bookmarkEnd w:id="30"/>
    </w:p>
    <w:p w:rsidR="00A37BEC" w:rsidRPr="00A54655" w:rsidRDefault="00A37BEC" w:rsidP="00427AD5">
      <w:pPr>
        <w:pStyle w:val="NormaleWeb"/>
        <w:spacing w:line="276" w:lineRule="auto"/>
        <w:jc w:val="both"/>
        <w:rPr>
          <w:sz w:val="26"/>
          <w:szCs w:val="26"/>
        </w:rPr>
      </w:pPr>
      <w:r w:rsidRPr="00A54655">
        <w:rPr>
          <w:sz w:val="26"/>
          <w:szCs w:val="26"/>
        </w:rPr>
        <w:t>General sports legislation exists, but no specific provisions for football broadcasting rights</w:t>
      </w:r>
      <w:r w:rsidR="00232BE7">
        <w:rPr>
          <w:rStyle w:val="Rimandonotaapidipagina"/>
          <w:sz w:val="26"/>
          <w:szCs w:val="26"/>
        </w:rPr>
        <w:footnoteReference w:id="68"/>
      </w:r>
      <w:r w:rsidRPr="00A54655">
        <w:rPr>
          <w:sz w:val="26"/>
          <w:szCs w:val="26"/>
        </w:rPr>
        <w:t xml:space="preserve">. The </w:t>
      </w:r>
      <w:r w:rsidR="00232BE7" w:rsidRPr="00232BE7">
        <w:t xml:space="preserve">Romanian Competition Council (hereinafter RCC) </w:t>
      </w:r>
      <w:r w:rsidRPr="00A54655">
        <w:rPr>
          <w:sz w:val="26"/>
          <w:szCs w:val="26"/>
        </w:rPr>
        <w:t>investigated joint sales by the Professional Football League</w:t>
      </w:r>
      <w:r w:rsidR="00232BE7">
        <w:rPr>
          <w:rStyle w:val="Rimandonotaapidipagina"/>
          <w:sz w:val="26"/>
          <w:szCs w:val="26"/>
        </w:rPr>
        <w:footnoteReference w:id="69"/>
      </w:r>
      <w:r w:rsidRPr="00A54655">
        <w:rPr>
          <w:sz w:val="26"/>
          <w:szCs w:val="26"/>
        </w:rPr>
        <w:t xml:space="preserve">. </w:t>
      </w:r>
      <w:r w:rsidR="00E30F87" w:rsidRPr="00E30F87">
        <w:rPr>
          <w:sz w:val="26"/>
          <w:szCs w:val="26"/>
        </w:rPr>
        <w:t>The investigation was closed in 2011 by commitments decision</w:t>
      </w:r>
      <w:r w:rsidR="00313E0F">
        <w:rPr>
          <w:rStyle w:val="Rimandonotaapidipagina"/>
          <w:sz w:val="26"/>
          <w:szCs w:val="26"/>
        </w:rPr>
        <w:footnoteReference w:id="70"/>
      </w:r>
      <w:r w:rsidR="00E30F87" w:rsidRPr="00E30F87">
        <w:rPr>
          <w:sz w:val="26"/>
          <w:szCs w:val="26"/>
        </w:rPr>
        <w:t xml:space="preserve">. In this decision the commitments offered by </w:t>
      </w:r>
      <w:r w:rsidR="00313E0F">
        <w:rPr>
          <w:sz w:val="26"/>
          <w:szCs w:val="26"/>
        </w:rPr>
        <w:t>the league</w:t>
      </w:r>
      <w:r w:rsidR="00E30F87" w:rsidRPr="00E30F87">
        <w:rPr>
          <w:sz w:val="26"/>
          <w:szCs w:val="26"/>
        </w:rPr>
        <w:t xml:space="preserve"> were considered to be acceptable in order to eliminate the competition problems leading to the opening of the investigation. </w:t>
      </w:r>
      <w:r w:rsidR="00313E0F" w:rsidRPr="00A54655">
        <w:rPr>
          <w:sz w:val="26"/>
          <w:szCs w:val="26"/>
        </w:rPr>
        <w:t>Rights were divided into several packages, each containing exclusive TV and internet broadcasting rights. A no single buyer rule was applied, preventing acquisition of more than six of seven packages. Exclusive rights are common within the divided packages.</w:t>
      </w:r>
      <w:r w:rsidR="00313E0F">
        <w:rPr>
          <w:sz w:val="26"/>
          <w:szCs w:val="26"/>
        </w:rPr>
        <w:t xml:space="preserve"> </w:t>
      </w:r>
      <w:r w:rsidR="00E30F87" w:rsidRPr="00E30F87">
        <w:rPr>
          <w:sz w:val="26"/>
          <w:szCs w:val="26"/>
        </w:rPr>
        <w:t>The commitments were offered for a period of 3 years.</w:t>
      </w:r>
    </w:p>
    <w:p w:rsidR="00A37BEC" w:rsidRPr="008926B5" w:rsidRDefault="00427AD5" w:rsidP="003912F1">
      <w:pPr>
        <w:pStyle w:val="Titolo2"/>
        <w:keepLines w:val="0"/>
        <w:spacing w:before="0" w:line="240" w:lineRule="auto"/>
        <w:rPr>
          <w:rFonts w:ascii="Times New Roman" w:eastAsia="Times New Roman" w:hAnsi="Times New Roman" w:cs="Times New Roman"/>
          <w:b/>
          <w:bCs/>
          <w:i/>
          <w:iCs/>
          <w:color w:val="auto"/>
          <w:lang w:val="en-GB"/>
        </w:rPr>
      </w:pPr>
      <w:bookmarkStart w:id="31" w:name="_Toc177052166"/>
      <w:r w:rsidRPr="008926B5">
        <w:rPr>
          <w:rFonts w:ascii="Times New Roman" w:eastAsia="Times New Roman" w:hAnsi="Times New Roman" w:cs="Times New Roman"/>
          <w:b/>
          <w:bCs/>
          <w:i/>
          <w:iCs/>
          <w:color w:val="auto"/>
          <w:lang w:val="en-GB"/>
        </w:rPr>
        <w:lastRenderedPageBreak/>
        <w:t>V.1</w:t>
      </w:r>
      <w:r w:rsidR="00EE6A5F">
        <w:rPr>
          <w:rFonts w:ascii="Times New Roman" w:eastAsia="Times New Roman" w:hAnsi="Times New Roman" w:cs="Times New Roman"/>
          <w:b/>
          <w:bCs/>
          <w:i/>
          <w:iCs/>
          <w:color w:val="auto"/>
          <w:lang w:val="en-GB"/>
        </w:rPr>
        <w:t>7</w:t>
      </w:r>
      <w:r w:rsidRPr="008926B5">
        <w:rPr>
          <w:rFonts w:ascii="Times New Roman" w:eastAsia="Times New Roman" w:hAnsi="Times New Roman" w:cs="Times New Roman"/>
          <w:b/>
          <w:bCs/>
          <w:i/>
          <w:iCs/>
          <w:color w:val="auto"/>
          <w:lang w:val="en-GB"/>
        </w:rPr>
        <w:t xml:space="preserve"> </w:t>
      </w:r>
      <w:r w:rsidR="00A37BEC" w:rsidRPr="008926B5">
        <w:rPr>
          <w:rFonts w:ascii="Times New Roman" w:eastAsia="Times New Roman" w:hAnsi="Times New Roman" w:cs="Times New Roman"/>
          <w:b/>
          <w:bCs/>
          <w:i/>
          <w:iCs/>
          <w:color w:val="auto"/>
          <w:lang w:val="en-GB"/>
        </w:rPr>
        <w:t>Spain</w:t>
      </w:r>
      <w:bookmarkEnd w:id="31"/>
    </w:p>
    <w:p w:rsidR="00F3451E" w:rsidRPr="00A54655" w:rsidRDefault="00F3451E" w:rsidP="00A13ABD">
      <w:pPr>
        <w:pStyle w:val="NormaleWeb"/>
        <w:spacing w:line="276" w:lineRule="auto"/>
        <w:jc w:val="both"/>
        <w:rPr>
          <w:sz w:val="26"/>
          <w:szCs w:val="26"/>
        </w:rPr>
      </w:pPr>
      <w:r w:rsidRPr="00A54655">
        <w:rPr>
          <w:sz w:val="26"/>
          <w:szCs w:val="26"/>
        </w:rPr>
        <w:t xml:space="preserve">The Spanish Competition Authority (CNMC) oversees </w:t>
      </w:r>
      <w:r w:rsidR="00A13ABD">
        <w:rPr>
          <w:sz w:val="26"/>
          <w:szCs w:val="26"/>
        </w:rPr>
        <w:t>the process of collective sale</w:t>
      </w:r>
      <w:r w:rsidRPr="00A54655">
        <w:rPr>
          <w:sz w:val="26"/>
          <w:szCs w:val="26"/>
        </w:rPr>
        <w:t xml:space="preserve">. Notable decisions include S/0006/07, where agreements between football clubs and TV operators regarding the transfer of </w:t>
      </w:r>
      <w:proofErr w:type="spellStart"/>
      <w:r w:rsidRPr="00A54655">
        <w:rPr>
          <w:sz w:val="26"/>
          <w:szCs w:val="26"/>
        </w:rPr>
        <w:t>audiovisual</w:t>
      </w:r>
      <w:proofErr w:type="spellEnd"/>
      <w:r w:rsidRPr="00A54655">
        <w:rPr>
          <w:sz w:val="26"/>
          <w:szCs w:val="26"/>
        </w:rPr>
        <w:t xml:space="preserve"> rights were deemed anticompetitive if they exceeded a three-year term</w:t>
      </w:r>
      <w:r w:rsidR="003D4994">
        <w:rPr>
          <w:rStyle w:val="Rimandonotaapidipagina"/>
          <w:sz w:val="26"/>
          <w:szCs w:val="26"/>
        </w:rPr>
        <w:footnoteReference w:id="71"/>
      </w:r>
      <w:r w:rsidRPr="00A54655">
        <w:rPr>
          <w:sz w:val="26"/>
          <w:szCs w:val="26"/>
        </w:rPr>
        <w:t xml:space="preserve">. In </w:t>
      </w:r>
      <w:r w:rsidRPr="00427AD5">
        <w:rPr>
          <w:i/>
          <w:sz w:val="26"/>
          <w:szCs w:val="26"/>
        </w:rPr>
        <w:t xml:space="preserve">S/0153/09 </w:t>
      </w:r>
      <w:proofErr w:type="spellStart"/>
      <w:r w:rsidRPr="00427AD5">
        <w:rPr>
          <w:i/>
          <w:sz w:val="26"/>
          <w:szCs w:val="26"/>
        </w:rPr>
        <w:t>Mediapro</w:t>
      </w:r>
      <w:proofErr w:type="spellEnd"/>
      <w:r w:rsidRPr="00A54655">
        <w:rPr>
          <w:sz w:val="26"/>
          <w:szCs w:val="26"/>
        </w:rPr>
        <w:t>, some types of agreements regarding the resale of football rights by one operator were not deemed anticompetitive due to efficiency gains, in application of Article 101.3 of the TFEU</w:t>
      </w:r>
      <w:r w:rsidR="003D4994">
        <w:rPr>
          <w:rStyle w:val="Rimandonotaapidipagina"/>
          <w:sz w:val="26"/>
          <w:szCs w:val="26"/>
        </w:rPr>
        <w:footnoteReference w:id="72"/>
      </w:r>
      <w:r w:rsidRPr="00A54655">
        <w:rPr>
          <w:sz w:val="26"/>
          <w:szCs w:val="26"/>
        </w:rPr>
        <w:t xml:space="preserve">. In </w:t>
      </w:r>
      <w:r w:rsidRPr="00427AD5">
        <w:rPr>
          <w:i/>
          <w:sz w:val="26"/>
          <w:szCs w:val="26"/>
        </w:rPr>
        <w:t xml:space="preserve">S/0421/12 </w:t>
      </w:r>
      <w:proofErr w:type="spellStart"/>
      <w:r w:rsidRPr="00427AD5">
        <w:rPr>
          <w:i/>
          <w:sz w:val="26"/>
          <w:szCs w:val="26"/>
        </w:rPr>
        <w:t>Mediapro-Derechos</w:t>
      </w:r>
      <w:proofErr w:type="spellEnd"/>
      <w:r w:rsidRPr="00427AD5">
        <w:rPr>
          <w:i/>
          <w:sz w:val="26"/>
          <w:szCs w:val="26"/>
        </w:rPr>
        <w:t xml:space="preserve"> </w:t>
      </w:r>
      <w:proofErr w:type="spellStart"/>
      <w:r w:rsidRPr="00427AD5">
        <w:rPr>
          <w:i/>
          <w:sz w:val="26"/>
          <w:szCs w:val="26"/>
        </w:rPr>
        <w:t>Retransmisión</w:t>
      </w:r>
      <w:proofErr w:type="spellEnd"/>
      <w:r w:rsidRPr="00427AD5">
        <w:rPr>
          <w:i/>
          <w:sz w:val="26"/>
          <w:szCs w:val="26"/>
        </w:rPr>
        <w:t xml:space="preserve"> Fútbol</w:t>
      </w:r>
      <w:r w:rsidRPr="00A54655">
        <w:rPr>
          <w:sz w:val="26"/>
          <w:szCs w:val="26"/>
        </w:rPr>
        <w:t>, the extension by a TV operator of the duration of the contracts for the exploitation of TV rights of football clubs was not considered an abuse (Article 102) since there was no market foreclosure</w:t>
      </w:r>
      <w:r w:rsidR="003D4994">
        <w:rPr>
          <w:rStyle w:val="Rimandonotaapidipagina"/>
          <w:sz w:val="26"/>
          <w:szCs w:val="26"/>
        </w:rPr>
        <w:footnoteReference w:id="73"/>
      </w:r>
      <w:r w:rsidRPr="00A54655">
        <w:rPr>
          <w:sz w:val="26"/>
          <w:szCs w:val="26"/>
        </w:rPr>
        <w:t xml:space="preserve">. In </w:t>
      </w:r>
      <w:r w:rsidRPr="00427AD5">
        <w:rPr>
          <w:i/>
          <w:sz w:val="26"/>
          <w:szCs w:val="26"/>
        </w:rPr>
        <w:t xml:space="preserve">S/436/12 DTS </w:t>
      </w:r>
      <w:proofErr w:type="spellStart"/>
      <w:r w:rsidRPr="00427AD5">
        <w:rPr>
          <w:i/>
          <w:sz w:val="26"/>
          <w:szCs w:val="26"/>
        </w:rPr>
        <w:t>Distribuidora</w:t>
      </w:r>
      <w:proofErr w:type="spellEnd"/>
      <w:r w:rsidRPr="00427AD5">
        <w:rPr>
          <w:i/>
          <w:sz w:val="26"/>
          <w:szCs w:val="26"/>
        </w:rPr>
        <w:t xml:space="preserve"> de TV Digital</w:t>
      </w:r>
      <w:r w:rsidRPr="00A54655">
        <w:rPr>
          <w:sz w:val="26"/>
          <w:szCs w:val="26"/>
        </w:rPr>
        <w:t xml:space="preserve">, an agreement between two operators was considered an anticompetitive market-sharing concerted practice in the markets of acquisition, reselling, and exploitation of </w:t>
      </w:r>
      <w:proofErr w:type="spellStart"/>
      <w:r w:rsidRPr="00A54655">
        <w:rPr>
          <w:sz w:val="26"/>
          <w:szCs w:val="26"/>
        </w:rPr>
        <w:t>audiovisual</w:t>
      </w:r>
      <w:proofErr w:type="spellEnd"/>
      <w:r w:rsidRPr="00A54655">
        <w:rPr>
          <w:sz w:val="26"/>
          <w:szCs w:val="26"/>
        </w:rPr>
        <w:t xml:space="preserve"> rights</w:t>
      </w:r>
      <w:r w:rsidR="009E46E2">
        <w:rPr>
          <w:rStyle w:val="Rimandonotaapidipagina"/>
          <w:sz w:val="26"/>
          <w:szCs w:val="26"/>
        </w:rPr>
        <w:footnoteReference w:id="74"/>
      </w:r>
      <w:r w:rsidRPr="00A54655">
        <w:rPr>
          <w:sz w:val="26"/>
          <w:szCs w:val="26"/>
        </w:rPr>
        <w:t xml:space="preserve">. However, other agreements were exempted under Article 101.3 TFEU since consumer benefits derived from greater access to football matches, and the conditions applied between operators were deemed objective, transparent, and non-discriminatory. In </w:t>
      </w:r>
      <w:r w:rsidRPr="00427AD5">
        <w:rPr>
          <w:i/>
          <w:sz w:val="26"/>
          <w:szCs w:val="26"/>
        </w:rPr>
        <w:t xml:space="preserve">S/DC/0604/17 </w:t>
      </w:r>
      <w:proofErr w:type="spellStart"/>
      <w:r w:rsidRPr="00427AD5">
        <w:rPr>
          <w:i/>
          <w:sz w:val="26"/>
          <w:szCs w:val="26"/>
        </w:rPr>
        <w:t>Mediapro</w:t>
      </w:r>
      <w:proofErr w:type="spellEnd"/>
      <w:r w:rsidRPr="00A54655">
        <w:rPr>
          <w:sz w:val="26"/>
          <w:szCs w:val="26"/>
        </w:rPr>
        <w:t>, the conduct of an operator (</w:t>
      </w:r>
      <w:proofErr w:type="spellStart"/>
      <w:r w:rsidRPr="00A54655">
        <w:rPr>
          <w:sz w:val="26"/>
          <w:szCs w:val="26"/>
        </w:rPr>
        <w:t>Mediapro</w:t>
      </w:r>
      <w:proofErr w:type="spellEnd"/>
      <w:r w:rsidRPr="00A54655">
        <w:rPr>
          <w:sz w:val="26"/>
          <w:szCs w:val="26"/>
        </w:rPr>
        <w:t>) was considered abusive (Article 102</w:t>
      </w:r>
      <w:r w:rsidR="00427AD5">
        <w:rPr>
          <w:sz w:val="26"/>
          <w:szCs w:val="26"/>
        </w:rPr>
        <w:t xml:space="preserve"> TFUE</w:t>
      </w:r>
      <w:r w:rsidRPr="00A54655">
        <w:rPr>
          <w:sz w:val="26"/>
          <w:szCs w:val="26"/>
        </w:rPr>
        <w:t>) because of the discriminatory conditions applied to an Over-The-Top operator in accessing football TV rights. This case ended in termination by commitments</w:t>
      </w:r>
      <w:r w:rsidR="009E46E2">
        <w:rPr>
          <w:rStyle w:val="Rimandonotaapidipagina"/>
          <w:sz w:val="26"/>
          <w:szCs w:val="26"/>
        </w:rPr>
        <w:footnoteReference w:id="75"/>
      </w:r>
      <w:r w:rsidRPr="00A54655">
        <w:rPr>
          <w:sz w:val="26"/>
          <w:szCs w:val="26"/>
        </w:rPr>
        <w:t>.</w:t>
      </w:r>
      <w:r w:rsidR="00A13ABD">
        <w:rPr>
          <w:sz w:val="26"/>
          <w:szCs w:val="26"/>
        </w:rPr>
        <w:t xml:space="preserve"> </w:t>
      </w:r>
      <w:proofErr w:type="spellStart"/>
      <w:r w:rsidRPr="00A54655">
        <w:rPr>
          <w:sz w:val="26"/>
          <w:szCs w:val="26"/>
        </w:rPr>
        <w:t>LaLiga</w:t>
      </w:r>
      <w:proofErr w:type="spellEnd"/>
      <w:r w:rsidRPr="00A54655">
        <w:rPr>
          <w:sz w:val="26"/>
          <w:szCs w:val="26"/>
        </w:rPr>
        <w:t xml:space="preserve"> sells broadcasting rights in various packages, differentiating between live broadcasts, highlights, and near-live excerpts. The packages cover domestic and international markets, with different lots for pay TV, free-to-air, and online streaming platforms. Exclusive rights packages are common, with each package allocated to different broadcasters to prevent market monopolization. The "no single buyer" rule is enforced to ensure no single entity can acquire all rights packages, promoting competition and diversity in broadcasting. Current rights holders include Telefónica (Movistar+), which has acquired multiple packages for live broadcasting, and </w:t>
      </w:r>
      <w:r w:rsidR="00894A8A">
        <w:rPr>
          <w:sz w:val="26"/>
          <w:szCs w:val="26"/>
        </w:rPr>
        <w:t>DAZN</w:t>
      </w:r>
      <w:r w:rsidRPr="00A54655">
        <w:rPr>
          <w:sz w:val="26"/>
          <w:szCs w:val="26"/>
        </w:rPr>
        <w:t>, which holds rights for international markets and some domestic packages</w:t>
      </w:r>
      <w:r w:rsidR="00894A8A">
        <w:rPr>
          <w:sz w:val="26"/>
          <w:szCs w:val="26"/>
        </w:rPr>
        <w:t>.</w:t>
      </w:r>
    </w:p>
    <w:p w:rsidR="00A37BEC" w:rsidRPr="008926B5" w:rsidRDefault="00427AD5" w:rsidP="00A13ABD">
      <w:pPr>
        <w:pStyle w:val="Titolo2"/>
        <w:keepLines w:val="0"/>
        <w:spacing w:before="0" w:line="240" w:lineRule="auto"/>
        <w:rPr>
          <w:rFonts w:ascii="Times New Roman" w:eastAsia="Times New Roman" w:hAnsi="Times New Roman" w:cs="Times New Roman"/>
          <w:b/>
          <w:bCs/>
          <w:i/>
          <w:iCs/>
          <w:color w:val="auto"/>
          <w:lang w:val="en-GB"/>
        </w:rPr>
      </w:pPr>
      <w:bookmarkStart w:id="32" w:name="_Toc177052167"/>
      <w:r w:rsidRPr="008926B5">
        <w:rPr>
          <w:rFonts w:ascii="Times New Roman" w:eastAsia="Times New Roman" w:hAnsi="Times New Roman" w:cs="Times New Roman"/>
          <w:b/>
          <w:bCs/>
          <w:i/>
          <w:iCs/>
          <w:color w:val="auto"/>
          <w:lang w:val="en-GB"/>
        </w:rPr>
        <w:t>V.</w:t>
      </w:r>
      <w:r w:rsidR="00257C5A">
        <w:rPr>
          <w:rFonts w:ascii="Times New Roman" w:eastAsia="Times New Roman" w:hAnsi="Times New Roman" w:cs="Times New Roman"/>
          <w:b/>
          <w:bCs/>
          <w:i/>
          <w:iCs/>
          <w:color w:val="auto"/>
          <w:lang w:val="en-GB"/>
        </w:rPr>
        <w:t>1</w:t>
      </w:r>
      <w:r w:rsidR="00EE6A5F">
        <w:rPr>
          <w:rFonts w:ascii="Times New Roman" w:eastAsia="Times New Roman" w:hAnsi="Times New Roman" w:cs="Times New Roman"/>
          <w:b/>
          <w:bCs/>
          <w:i/>
          <w:iCs/>
          <w:color w:val="auto"/>
          <w:lang w:val="en-GB"/>
        </w:rPr>
        <w:t>8</w:t>
      </w:r>
      <w:r w:rsidRPr="008926B5">
        <w:rPr>
          <w:rFonts w:ascii="Times New Roman" w:eastAsia="Times New Roman" w:hAnsi="Times New Roman" w:cs="Times New Roman"/>
          <w:b/>
          <w:bCs/>
          <w:i/>
          <w:iCs/>
          <w:color w:val="auto"/>
          <w:lang w:val="en-GB"/>
        </w:rPr>
        <w:t xml:space="preserve"> The</w:t>
      </w:r>
      <w:r w:rsidR="00894A8A">
        <w:rPr>
          <w:rFonts w:ascii="Times New Roman" w:eastAsia="Times New Roman" w:hAnsi="Times New Roman" w:cs="Times New Roman"/>
          <w:b/>
          <w:bCs/>
          <w:i/>
          <w:iCs/>
          <w:color w:val="auto"/>
          <w:lang w:val="en-GB"/>
        </w:rPr>
        <w:t xml:space="preserve"> </w:t>
      </w:r>
      <w:r w:rsidR="00A37BEC" w:rsidRPr="008926B5">
        <w:rPr>
          <w:rFonts w:ascii="Times New Roman" w:eastAsia="Times New Roman" w:hAnsi="Times New Roman" w:cs="Times New Roman"/>
          <w:b/>
          <w:bCs/>
          <w:i/>
          <w:iCs/>
          <w:color w:val="auto"/>
          <w:lang w:val="en-GB"/>
        </w:rPr>
        <w:t>United Kingdom</w:t>
      </w:r>
      <w:bookmarkEnd w:id="32"/>
    </w:p>
    <w:p w:rsidR="00A37BEC" w:rsidRPr="00A54655" w:rsidRDefault="00A37BEC" w:rsidP="00A13ABD">
      <w:pPr>
        <w:pStyle w:val="NormaleWeb"/>
        <w:spacing w:line="276" w:lineRule="auto"/>
        <w:jc w:val="both"/>
        <w:rPr>
          <w:sz w:val="26"/>
          <w:szCs w:val="26"/>
        </w:rPr>
      </w:pPr>
      <w:r w:rsidRPr="00A54655">
        <w:rPr>
          <w:sz w:val="26"/>
          <w:szCs w:val="26"/>
        </w:rPr>
        <w:t xml:space="preserve">The sale of audio-visual rights to Premier League matches is governed by the Premier League membership rules, an agreement between each of the Premier League clubs and the Premier League. The Premier League sells Premier League </w:t>
      </w:r>
      <w:r w:rsidRPr="00A54655">
        <w:rPr>
          <w:sz w:val="26"/>
          <w:szCs w:val="26"/>
        </w:rPr>
        <w:lastRenderedPageBreak/>
        <w:t>audio-visual rights through a competitive, open, and transparent tendering process in three-year cycles. The membership rules reflect commitments made to the European Commission in 2006 following an investigation made by the European Commission under Article 101. Although the commitments expired in 2013, the Premier League voluntarily continued to sell the rights in accordance with the settlement. The commitments included dividing the broadcasting rights into balanced packages tendered competitively every three years, ensuring no single company could possess all rights packages.</w:t>
      </w:r>
    </w:p>
    <w:p w:rsidR="00A37BEC" w:rsidRPr="00A54655" w:rsidRDefault="00A37BEC" w:rsidP="00A13ABD">
      <w:pPr>
        <w:pStyle w:val="NormaleWeb"/>
        <w:spacing w:line="276" w:lineRule="auto"/>
        <w:jc w:val="both"/>
        <w:rPr>
          <w:sz w:val="26"/>
          <w:szCs w:val="26"/>
        </w:rPr>
      </w:pPr>
      <w:r w:rsidRPr="00A54655">
        <w:rPr>
          <w:sz w:val="26"/>
          <w:szCs w:val="26"/>
        </w:rPr>
        <w:t>The Office for Fair Trading (OFT), the predecessor to the CMA, challenged the Premier League’s right to collectively sell exclusive broadcasting rights in 1999. The UK Restrictive Practices Courts ruled that the collective selling of exclusive broadcasting rights by the Premier League was not anticompetitive. Ofcom, which holds concurrent competition powers with the CMA in communications, opened an investigation under Chapter I CA98 and Article 101 TFEU into the sale of Premier League broadcasting rights in 2014. Ofcom closed the investigation in 2016 after the Premier League agreed to increase the number of matches available for live UK broadcast and adhere to the 'no single buyer' rule, preventing a single broadcaster from holding a monopoly.</w:t>
      </w:r>
    </w:p>
    <w:p w:rsidR="00A37BEC" w:rsidRPr="00A54655" w:rsidRDefault="00A37BEC" w:rsidP="00A13ABD">
      <w:pPr>
        <w:pStyle w:val="NormaleWeb"/>
        <w:spacing w:line="276" w:lineRule="auto"/>
        <w:jc w:val="both"/>
        <w:rPr>
          <w:sz w:val="26"/>
          <w:szCs w:val="26"/>
        </w:rPr>
      </w:pPr>
      <w:r w:rsidRPr="00A54655">
        <w:rPr>
          <w:sz w:val="26"/>
          <w:szCs w:val="26"/>
        </w:rPr>
        <w:t>During the COVID-19 pandemic, the UK Government exercised statutory powers to disapply competition law temporarily through an 'Exclusion Order', allowing the Premier League to renew its 2019-2022 broadcast rights contracts until 2025. In return, the Premier League committed to maintaining financial support for the football pyramid and providing a minimum of £100 million in solidarity funding.</w:t>
      </w:r>
    </w:p>
    <w:p w:rsidR="00A37BEC" w:rsidRPr="00A54655" w:rsidRDefault="00A37BEC" w:rsidP="00894A8A">
      <w:pPr>
        <w:pStyle w:val="NormaleWeb"/>
        <w:spacing w:line="276" w:lineRule="auto"/>
        <w:jc w:val="both"/>
        <w:rPr>
          <w:sz w:val="26"/>
          <w:szCs w:val="26"/>
        </w:rPr>
      </w:pPr>
      <w:r w:rsidRPr="00A54655">
        <w:rPr>
          <w:sz w:val="26"/>
          <w:szCs w:val="26"/>
        </w:rPr>
        <w:t>In the UK, 200 out of 380 matches in a Premier League season are broadcast on TV, split into seven packages on which broadcasters can bid. Current broadcasters holding rights include Sky, BT, and Amazon. The rights packages are exclusive and sold by product type, specifically by kick-off times. Each of the seven packages has a duration of three years and adheres to the 'no single buyer' rule. Current owners include BT (</w:t>
      </w:r>
      <w:r w:rsidR="00894A8A">
        <w:rPr>
          <w:sz w:val="26"/>
          <w:szCs w:val="26"/>
        </w:rPr>
        <w:t>two packages of rights</w:t>
      </w:r>
      <w:r w:rsidRPr="00A54655">
        <w:rPr>
          <w:sz w:val="26"/>
          <w:szCs w:val="26"/>
        </w:rPr>
        <w:t>), Sky (</w:t>
      </w:r>
      <w:r w:rsidR="00894A8A">
        <w:rPr>
          <w:sz w:val="26"/>
          <w:szCs w:val="26"/>
        </w:rPr>
        <w:t>four packages of rights</w:t>
      </w:r>
      <w:r w:rsidRPr="00A54655">
        <w:rPr>
          <w:sz w:val="26"/>
          <w:szCs w:val="26"/>
        </w:rPr>
        <w:t>), and Amazon (</w:t>
      </w:r>
      <w:r w:rsidR="00894A8A">
        <w:rPr>
          <w:sz w:val="26"/>
          <w:szCs w:val="26"/>
        </w:rPr>
        <w:t>one package</w:t>
      </w:r>
      <w:r w:rsidRPr="00A54655">
        <w:rPr>
          <w:sz w:val="26"/>
          <w:szCs w:val="26"/>
        </w:rPr>
        <w:t>).</w:t>
      </w:r>
    </w:p>
    <w:p w:rsidR="00A37BEC" w:rsidRPr="00A13ABD" w:rsidRDefault="006B3A3F" w:rsidP="00A13ABD">
      <w:pPr>
        <w:keepNext/>
        <w:spacing w:after="0" w:line="240" w:lineRule="auto"/>
        <w:jc w:val="both"/>
        <w:outlineLvl w:val="0"/>
        <w:rPr>
          <w:rFonts w:ascii="Times New Roman" w:eastAsia="Times New Roman" w:hAnsi="Times New Roman" w:cs="Times New Roman"/>
          <w:b/>
          <w:bCs/>
          <w:smallCaps/>
          <w:kern w:val="32"/>
          <w:sz w:val="26"/>
          <w:szCs w:val="26"/>
          <w:lang w:val="en-GB" w:eastAsia="it-IT"/>
        </w:rPr>
      </w:pPr>
      <w:bookmarkStart w:id="33" w:name="_Toc177052168"/>
      <w:r>
        <w:rPr>
          <w:rFonts w:ascii="Times New Roman" w:eastAsia="Times New Roman" w:hAnsi="Times New Roman" w:cs="Times New Roman"/>
          <w:b/>
          <w:bCs/>
          <w:smallCaps/>
          <w:kern w:val="32"/>
          <w:sz w:val="26"/>
          <w:szCs w:val="26"/>
          <w:lang w:val="en-GB" w:eastAsia="it-IT"/>
        </w:rPr>
        <w:t xml:space="preserve">VI. </w:t>
      </w:r>
      <w:r w:rsidR="00A13ABD" w:rsidRPr="00A13ABD">
        <w:rPr>
          <w:rFonts w:ascii="Times New Roman" w:eastAsia="Times New Roman" w:hAnsi="Times New Roman" w:cs="Times New Roman"/>
          <w:b/>
          <w:bCs/>
          <w:smallCaps/>
          <w:kern w:val="32"/>
          <w:sz w:val="26"/>
          <w:szCs w:val="26"/>
          <w:lang w:val="en-GB" w:eastAsia="it-IT"/>
        </w:rPr>
        <w:t>Conclusions</w:t>
      </w:r>
      <w:bookmarkEnd w:id="33"/>
    </w:p>
    <w:p w:rsidR="00A37BEC" w:rsidRDefault="00C977E2" w:rsidP="00313E0F">
      <w:pPr>
        <w:pStyle w:val="NormaleWeb"/>
        <w:spacing w:line="276" w:lineRule="auto"/>
        <w:jc w:val="both"/>
        <w:rPr>
          <w:sz w:val="26"/>
          <w:szCs w:val="26"/>
        </w:rPr>
      </w:pPr>
      <w:r>
        <w:rPr>
          <w:sz w:val="26"/>
          <w:szCs w:val="26"/>
        </w:rPr>
        <w:t xml:space="preserve">Within the European Union, several different models of football collective right sale are applied by Member States. Often, especially for some most attractive leagues, competition law cohabits with ex-ante regulation (see France, Italy and Spain). </w:t>
      </w:r>
      <w:r w:rsidR="009870F5">
        <w:rPr>
          <w:sz w:val="26"/>
          <w:szCs w:val="26"/>
        </w:rPr>
        <w:t xml:space="preserve">In some other countries, like Greece, there is no collective sale of rights: clubs sell </w:t>
      </w:r>
      <w:r w:rsidR="009870F5">
        <w:rPr>
          <w:sz w:val="26"/>
          <w:szCs w:val="26"/>
        </w:rPr>
        <w:lastRenderedPageBreak/>
        <w:t xml:space="preserve">home matches individually. </w:t>
      </w:r>
      <w:r w:rsidR="004C3CFB">
        <w:rPr>
          <w:sz w:val="26"/>
          <w:szCs w:val="26"/>
        </w:rPr>
        <w:t xml:space="preserve">Recalling the aforementioned EC decisions, some conclusions can be made on the main principles of stated by the Commission. </w:t>
      </w:r>
    </w:p>
    <w:p w:rsidR="004C3CFB" w:rsidRPr="00A54655" w:rsidRDefault="004C3CFB" w:rsidP="00313E0F">
      <w:pPr>
        <w:pStyle w:val="NormaleWeb"/>
        <w:spacing w:line="276" w:lineRule="auto"/>
        <w:jc w:val="both"/>
        <w:rPr>
          <w:sz w:val="26"/>
          <w:szCs w:val="26"/>
        </w:rPr>
      </w:pPr>
      <w:r>
        <w:rPr>
          <w:sz w:val="26"/>
          <w:szCs w:val="26"/>
        </w:rPr>
        <w:t xml:space="preserve">Regarding the rights sale by package, </w:t>
      </w:r>
      <w:r w:rsidRPr="004C3CFB">
        <w:rPr>
          <w:sz w:val="26"/>
          <w:szCs w:val="26"/>
        </w:rPr>
        <w:t>Germany, France, Spain, and the UK have detailed package systems, with Germany and France splitting by match days and Spain and the UK by broadcast types</w:t>
      </w:r>
      <w:r>
        <w:rPr>
          <w:sz w:val="26"/>
          <w:szCs w:val="26"/>
        </w:rPr>
        <w:t xml:space="preserve">. </w:t>
      </w:r>
      <w:proofErr w:type="gramStart"/>
      <w:r>
        <w:rPr>
          <w:sz w:val="26"/>
          <w:szCs w:val="26"/>
        </w:rPr>
        <w:t>Also</w:t>
      </w:r>
      <w:proofErr w:type="gramEnd"/>
      <w:r>
        <w:rPr>
          <w:sz w:val="26"/>
          <w:szCs w:val="26"/>
        </w:rPr>
        <w:t xml:space="preserve"> </w:t>
      </w:r>
      <w:r w:rsidRPr="00A54655">
        <w:rPr>
          <w:sz w:val="26"/>
          <w:szCs w:val="26"/>
        </w:rPr>
        <w:t>Portugal is moving towards centralized sales with detailed packages.</w:t>
      </w:r>
      <w:r>
        <w:rPr>
          <w:sz w:val="26"/>
          <w:szCs w:val="26"/>
        </w:rPr>
        <w:t xml:space="preserve"> On the other hand, countries like </w:t>
      </w:r>
      <w:r w:rsidRPr="00A54655">
        <w:rPr>
          <w:sz w:val="26"/>
          <w:szCs w:val="26"/>
        </w:rPr>
        <w:t>Austria, Bulgaria, and the Netherlands generally sell as a single</w:t>
      </w:r>
      <w:r>
        <w:rPr>
          <w:sz w:val="26"/>
          <w:szCs w:val="26"/>
        </w:rPr>
        <w:t xml:space="preserve"> right</w:t>
      </w:r>
      <w:r w:rsidRPr="00A54655">
        <w:rPr>
          <w:sz w:val="26"/>
          <w:szCs w:val="26"/>
        </w:rPr>
        <w:t xml:space="preserve"> package</w:t>
      </w:r>
      <w:r>
        <w:rPr>
          <w:sz w:val="26"/>
          <w:szCs w:val="26"/>
        </w:rPr>
        <w:t>.</w:t>
      </w:r>
    </w:p>
    <w:p w:rsidR="004C3CFB" w:rsidRDefault="004C3CFB" w:rsidP="00313E0F">
      <w:pPr>
        <w:pStyle w:val="NormaleWeb"/>
        <w:spacing w:line="276" w:lineRule="auto"/>
        <w:jc w:val="both"/>
        <w:rPr>
          <w:sz w:val="26"/>
          <w:szCs w:val="26"/>
        </w:rPr>
      </w:pPr>
      <w:r>
        <w:rPr>
          <w:sz w:val="26"/>
          <w:szCs w:val="26"/>
        </w:rPr>
        <w:t>The chance of e</w:t>
      </w:r>
      <w:r w:rsidR="00A37BEC" w:rsidRPr="00A54655">
        <w:rPr>
          <w:sz w:val="26"/>
          <w:szCs w:val="26"/>
        </w:rPr>
        <w:t xml:space="preserve">xclusive </w:t>
      </w:r>
      <w:r>
        <w:rPr>
          <w:sz w:val="26"/>
          <w:szCs w:val="26"/>
        </w:rPr>
        <w:t>r</w:t>
      </w:r>
      <w:r w:rsidR="00A37BEC" w:rsidRPr="00A54655">
        <w:rPr>
          <w:sz w:val="26"/>
          <w:szCs w:val="26"/>
        </w:rPr>
        <w:t xml:space="preserve">ights </w:t>
      </w:r>
      <w:r>
        <w:rPr>
          <w:sz w:val="26"/>
          <w:szCs w:val="26"/>
        </w:rPr>
        <w:t>p</w:t>
      </w:r>
      <w:r w:rsidR="00A37BEC" w:rsidRPr="00A54655">
        <w:rPr>
          <w:sz w:val="26"/>
          <w:szCs w:val="26"/>
        </w:rPr>
        <w:t>ackages</w:t>
      </w:r>
      <w:r>
        <w:rPr>
          <w:sz w:val="26"/>
          <w:szCs w:val="26"/>
        </w:rPr>
        <w:t xml:space="preserve"> appears common for major football leagues, for a duration</w:t>
      </w:r>
      <w:r w:rsidR="00A37BEC" w:rsidRPr="00A54655">
        <w:rPr>
          <w:sz w:val="26"/>
          <w:szCs w:val="26"/>
        </w:rPr>
        <w:t xml:space="preserve"> typically tied to periods of three to four years. Germany and France ensure exclusivity for defined periods, while Spain and Portugal enforce rules to prevent </w:t>
      </w:r>
      <w:r>
        <w:rPr>
          <w:sz w:val="26"/>
          <w:szCs w:val="26"/>
        </w:rPr>
        <w:t xml:space="preserve">rights </w:t>
      </w:r>
      <w:r w:rsidR="00A37BEC" w:rsidRPr="00A54655">
        <w:rPr>
          <w:sz w:val="26"/>
          <w:szCs w:val="26"/>
        </w:rPr>
        <w:t xml:space="preserve">monopolization. Hungary and Estonia </w:t>
      </w:r>
      <w:r>
        <w:rPr>
          <w:sz w:val="26"/>
          <w:szCs w:val="26"/>
        </w:rPr>
        <w:t>appear to follow</w:t>
      </w:r>
      <w:r w:rsidR="00A37BEC" w:rsidRPr="00A54655">
        <w:rPr>
          <w:sz w:val="26"/>
          <w:szCs w:val="26"/>
        </w:rPr>
        <w:t xml:space="preserve"> similar exclusivity practices. </w:t>
      </w:r>
    </w:p>
    <w:p w:rsidR="00A37BEC" w:rsidRPr="00A54655" w:rsidRDefault="004C3CFB" w:rsidP="00313E0F">
      <w:pPr>
        <w:pStyle w:val="NormaleWeb"/>
        <w:spacing w:line="276" w:lineRule="auto"/>
        <w:jc w:val="both"/>
        <w:rPr>
          <w:sz w:val="26"/>
          <w:szCs w:val="26"/>
        </w:rPr>
      </w:pPr>
      <w:r>
        <w:rPr>
          <w:sz w:val="26"/>
          <w:szCs w:val="26"/>
        </w:rPr>
        <w:t>About the duration of exclusive rights, t</w:t>
      </w:r>
      <w:r w:rsidR="00A37BEC" w:rsidRPr="00A54655">
        <w:rPr>
          <w:sz w:val="26"/>
          <w:szCs w:val="26"/>
        </w:rPr>
        <w:t>he UK maintains exclusivity in packages sold for three-year periods</w:t>
      </w:r>
      <w:r>
        <w:rPr>
          <w:sz w:val="26"/>
          <w:szCs w:val="26"/>
        </w:rPr>
        <w:t>, which is, however, renewable</w:t>
      </w:r>
      <w:r w:rsidR="00A37BEC" w:rsidRPr="00A54655">
        <w:rPr>
          <w:sz w:val="26"/>
          <w:szCs w:val="26"/>
        </w:rPr>
        <w:t>.</w:t>
      </w:r>
      <w:r w:rsidRPr="004C3CFB">
        <w:rPr>
          <w:sz w:val="26"/>
          <w:szCs w:val="26"/>
        </w:rPr>
        <w:t xml:space="preserve"> </w:t>
      </w:r>
      <w:r w:rsidRPr="00A54655">
        <w:rPr>
          <w:sz w:val="26"/>
          <w:szCs w:val="26"/>
        </w:rPr>
        <w:t>Germany and France</w:t>
      </w:r>
      <w:r>
        <w:rPr>
          <w:sz w:val="26"/>
          <w:szCs w:val="26"/>
        </w:rPr>
        <w:t xml:space="preserve"> generally set the duration to four years, while </w:t>
      </w:r>
      <w:r w:rsidRPr="004C3CFB">
        <w:rPr>
          <w:sz w:val="26"/>
          <w:szCs w:val="26"/>
        </w:rPr>
        <w:t>Spain and Portugal have variable durations based on contracts and new legislation</w:t>
      </w:r>
      <w:r>
        <w:rPr>
          <w:sz w:val="26"/>
          <w:szCs w:val="26"/>
        </w:rPr>
        <w:t>. Italy recently modified the regulation allowing to a maximum period of five years. This value reaches u</w:t>
      </w:r>
      <w:r w:rsidR="00A37BEC" w:rsidRPr="00A54655">
        <w:rPr>
          <w:sz w:val="26"/>
          <w:szCs w:val="26"/>
        </w:rPr>
        <w:t>p to six years in Denmark</w:t>
      </w:r>
      <w:r>
        <w:rPr>
          <w:sz w:val="26"/>
          <w:szCs w:val="26"/>
        </w:rPr>
        <w:t>.</w:t>
      </w:r>
    </w:p>
    <w:p w:rsidR="00A37BEC" w:rsidRPr="00A54655" w:rsidRDefault="004C3CFB" w:rsidP="00313E0F">
      <w:pPr>
        <w:pStyle w:val="NormaleWeb"/>
        <w:spacing w:line="276" w:lineRule="auto"/>
        <w:jc w:val="both"/>
        <w:rPr>
          <w:sz w:val="26"/>
          <w:szCs w:val="26"/>
        </w:rPr>
      </w:pPr>
      <w:r>
        <w:rPr>
          <w:sz w:val="26"/>
          <w:szCs w:val="26"/>
        </w:rPr>
        <w:t>The “n</w:t>
      </w:r>
      <w:r w:rsidR="00A37BEC" w:rsidRPr="00A54655">
        <w:rPr>
          <w:sz w:val="26"/>
          <w:szCs w:val="26"/>
        </w:rPr>
        <w:t>o Single Buyer Rule</w:t>
      </w:r>
      <w:r>
        <w:rPr>
          <w:sz w:val="26"/>
          <w:szCs w:val="26"/>
        </w:rPr>
        <w:t>”</w:t>
      </w:r>
      <w:r w:rsidR="00D12837">
        <w:rPr>
          <w:sz w:val="26"/>
          <w:szCs w:val="26"/>
        </w:rPr>
        <w:t xml:space="preserve"> </w:t>
      </w:r>
      <w:r>
        <w:rPr>
          <w:sz w:val="26"/>
          <w:szCs w:val="26"/>
        </w:rPr>
        <w:t xml:space="preserve">is enforced </w:t>
      </w:r>
      <w:r w:rsidR="00A37BEC" w:rsidRPr="00A54655">
        <w:rPr>
          <w:sz w:val="26"/>
          <w:szCs w:val="26"/>
        </w:rPr>
        <w:t xml:space="preserve">in all </w:t>
      </w:r>
      <w:r>
        <w:rPr>
          <w:sz w:val="26"/>
          <w:szCs w:val="26"/>
        </w:rPr>
        <w:t>major leagues</w:t>
      </w:r>
      <w:r w:rsidR="00A37BEC" w:rsidRPr="00A54655">
        <w:rPr>
          <w:sz w:val="26"/>
          <w:szCs w:val="26"/>
        </w:rPr>
        <w:t xml:space="preserve"> to ensure competition. </w:t>
      </w:r>
      <w:r>
        <w:rPr>
          <w:sz w:val="26"/>
          <w:szCs w:val="26"/>
        </w:rPr>
        <w:t xml:space="preserve">About this, </w:t>
      </w:r>
      <w:r w:rsidR="00A37BEC" w:rsidRPr="00A54655">
        <w:rPr>
          <w:sz w:val="26"/>
          <w:szCs w:val="26"/>
        </w:rPr>
        <w:t xml:space="preserve">Germany uses an OTT-only package as a safeguard, while France prevents global offers, and Spain and Portugal promote diversity in rights ownership. </w:t>
      </w:r>
      <w:r>
        <w:rPr>
          <w:sz w:val="26"/>
          <w:szCs w:val="26"/>
        </w:rPr>
        <w:t>Such rule is also enforced</w:t>
      </w:r>
      <w:r w:rsidR="00A37BEC" w:rsidRPr="00A54655">
        <w:rPr>
          <w:sz w:val="26"/>
          <w:szCs w:val="26"/>
        </w:rPr>
        <w:t xml:space="preserve"> in Denmark, </w:t>
      </w:r>
      <w:r>
        <w:rPr>
          <w:sz w:val="26"/>
          <w:szCs w:val="26"/>
        </w:rPr>
        <w:t xml:space="preserve">while it’s not </w:t>
      </w:r>
      <w:r w:rsidR="00A37BEC" w:rsidRPr="00A54655">
        <w:rPr>
          <w:sz w:val="26"/>
          <w:szCs w:val="26"/>
        </w:rPr>
        <w:t>applied in Austria, Bulgaria, and Greece where individual negotiations prevail.</w:t>
      </w:r>
    </w:p>
    <w:p w:rsidR="00A37BEC" w:rsidRDefault="00A37BEC" w:rsidP="00313E0F">
      <w:pPr>
        <w:pStyle w:val="NormaleWeb"/>
        <w:spacing w:line="276" w:lineRule="auto"/>
        <w:jc w:val="both"/>
        <w:rPr>
          <w:sz w:val="26"/>
          <w:szCs w:val="26"/>
        </w:rPr>
      </w:pPr>
      <w:r w:rsidRPr="00A54655">
        <w:rPr>
          <w:sz w:val="26"/>
          <w:szCs w:val="26"/>
        </w:rPr>
        <w:t>This comprehensive comparison reflects a blend of regulatory frameworks and market dynamics, ensuring both exclusivity and competition in football broadcasting rights across Europe.</w:t>
      </w:r>
    </w:p>
    <w:p w:rsidR="00107163" w:rsidRPr="00A54655" w:rsidRDefault="00107163" w:rsidP="00FF2C79">
      <w:pPr>
        <w:spacing w:line="276" w:lineRule="auto"/>
        <w:jc w:val="both"/>
        <w:rPr>
          <w:rFonts w:ascii="Times New Roman" w:hAnsi="Times New Roman" w:cs="Times New Roman"/>
          <w:sz w:val="26"/>
          <w:szCs w:val="26"/>
          <w:lang w:val="en-GB"/>
        </w:rPr>
      </w:pPr>
    </w:p>
    <w:p w:rsidR="00107163" w:rsidRPr="00A54655" w:rsidRDefault="00107163" w:rsidP="00FF2C79">
      <w:pPr>
        <w:spacing w:line="276" w:lineRule="auto"/>
        <w:jc w:val="both"/>
        <w:rPr>
          <w:rFonts w:ascii="Times New Roman" w:hAnsi="Times New Roman" w:cs="Times New Roman"/>
          <w:sz w:val="26"/>
          <w:szCs w:val="26"/>
          <w:lang w:val="en-GB"/>
        </w:rPr>
      </w:pPr>
    </w:p>
    <w:p w:rsidR="00FE2177" w:rsidRDefault="00FE2177" w:rsidP="006215A6">
      <w:pPr>
        <w:pStyle w:val="NormaleWeb"/>
        <w:jc w:val="both"/>
        <w:rPr>
          <w:sz w:val="26"/>
          <w:szCs w:val="26"/>
        </w:rPr>
        <w:sectPr w:rsidR="00FE2177" w:rsidSect="00FE2177">
          <w:footerReference w:type="default" r:id="rId8"/>
          <w:footerReference w:type="first" r:id="rId9"/>
          <w:pgSz w:w="11906" w:h="16838"/>
          <w:pgMar w:top="1418" w:right="1531" w:bottom="1418" w:left="1701" w:header="709" w:footer="709" w:gutter="0"/>
          <w:cols w:space="708"/>
          <w:docGrid w:linePitch="360"/>
        </w:sectPr>
      </w:pPr>
    </w:p>
    <w:p w:rsidR="00FE2177" w:rsidRPr="00A54655" w:rsidRDefault="00FE2177" w:rsidP="006215A6">
      <w:pPr>
        <w:pStyle w:val="NormaleWeb"/>
        <w:jc w:val="both"/>
        <w:rPr>
          <w:sz w:val="26"/>
          <w:szCs w:val="26"/>
        </w:rPr>
      </w:pPr>
    </w:p>
    <w:p w:rsidR="006215A6" w:rsidRPr="00A13ABD" w:rsidRDefault="006215A6" w:rsidP="006215A6">
      <w:pPr>
        <w:keepNext/>
        <w:spacing w:after="0" w:line="240" w:lineRule="auto"/>
        <w:jc w:val="both"/>
        <w:outlineLvl w:val="0"/>
        <w:rPr>
          <w:rFonts w:ascii="Times New Roman" w:eastAsia="Times New Roman" w:hAnsi="Times New Roman" w:cs="Times New Roman"/>
          <w:b/>
          <w:bCs/>
          <w:smallCaps/>
          <w:kern w:val="32"/>
          <w:sz w:val="26"/>
          <w:szCs w:val="26"/>
          <w:lang w:val="en-GB" w:eastAsia="it-IT"/>
        </w:rPr>
      </w:pPr>
      <w:bookmarkStart w:id="34" w:name="_Toc177052169"/>
      <w:r>
        <w:rPr>
          <w:rFonts w:ascii="Times New Roman" w:eastAsia="Times New Roman" w:hAnsi="Times New Roman" w:cs="Times New Roman"/>
          <w:b/>
          <w:bCs/>
          <w:smallCaps/>
          <w:kern w:val="32"/>
          <w:sz w:val="26"/>
          <w:szCs w:val="26"/>
          <w:lang w:val="en-GB" w:eastAsia="it-IT"/>
        </w:rPr>
        <w:t>APPENDIX</w:t>
      </w:r>
      <w:bookmarkEnd w:id="34"/>
    </w:p>
    <w:p w:rsidR="00257C5A" w:rsidRDefault="00257C5A" w:rsidP="006215A6">
      <w:pPr>
        <w:spacing w:line="276" w:lineRule="auto"/>
        <w:jc w:val="both"/>
        <w:rPr>
          <w:rFonts w:ascii="Times New Roman" w:hAnsi="Times New Roman" w:cs="Times New Roman"/>
          <w:sz w:val="26"/>
          <w:szCs w:val="26"/>
          <w:lang w:val="en-GB"/>
        </w:rPr>
      </w:pPr>
      <w:r w:rsidRPr="00257C5A">
        <w:rPr>
          <w:rFonts w:ascii="Times New Roman" w:hAnsi="Times New Roman" w:cs="Times New Roman"/>
          <w:sz w:val="26"/>
          <w:szCs w:val="26"/>
          <w:lang w:val="en-GB"/>
        </w:rPr>
        <w:t xml:space="preserve">Table </w:t>
      </w:r>
      <w:r>
        <w:rPr>
          <w:rFonts w:ascii="Times New Roman" w:hAnsi="Times New Roman" w:cs="Times New Roman"/>
          <w:sz w:val="26"/>
          <w:szCs w:val="26"/>
          <w:lang w:val="en-GB"/>
        </w:rPr>
        <w:t>1</w:t>
      </w:r>
      <w:r w:rsidRPr="00257C5A">
        <w:rPr>
          <w:rFonts w:ascii="Times New Roman" w:hAnsi="Times New Roman" w:cs="Times New Roman"/>
          <w:sz w:val="26"/>
          <w:szCs w:val="26"/>
          <w:lang w:val="en-GB"/>
        </w:rPr>
        <w:t>: Comparative Analysis of Football Broadcasting Rights Regulations</w:t>
      </w:r>
    </w:p>
    <w:tbl>
      <w:tblPr>
        <w:tblW w:w="11056" w:type="dxa"/>
        <w:jc w:val="center"/>
        <w:tblLook w:val="04A0" w:firstRow="1" w:lastRow="0" w:firstColumn="1" w:lastColumn="0" w:noHBand="0" w:noVBand="1"/>
      </w:tblPr>
      <w:tblGrid>
        <w:gridCol w:w="436"/>
        <w:gridCol w:w="1540"/>
        <w:gridCol w:w="2040"/>
        <w:gridCol w:w="1260"/>
        <w:gridCol w:w="1580"/>
        <w:gridCol w:w="2020"/>
        <w:gridCol w:w="2180"/>
      </w:tblGrid>
      <w:tr w:rsidR="007B7FE3" w:rsidRPr="00257C5A" w:rsidTr="00175849">
        <w:trPr>
          <w:trHeight w:val="290"/>
          <w:jc w:val="center"/>
        </w:trPr>
        <w:tc>
          <w:tcPr>
            <w:tcW w:w="436" w:type="dxa"/>
            <w:tcBorders>
              <w:top w:val="nil"/>
              <w:left w:val="nil"/>
              <w:bottom w:val="nil"/>
              <w:right w:val="nil"/>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 </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Country</w:t>
            </w:r>
          </w:p>
        </w:tc>
        <w:tc>
          <w:tcPr>
            <w:tcW w:w="2040" w:type="dxa"/>
            <w:tcBorders>
              <w:top w:val="single" w:sz="4" w:space="0" w:color="auto"/>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No Single Buyer Rule</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Package Sale</w:t>
            </w:r>
          </w:p>
        </w:tc>
        <w:tc>
          <w:tcPr>
            <w:tcW w:w="1580" w:type="dxa"/>
            <w:tcBorders>
              <w:top w:val="single" w:sz="4" w:space="0" w:color="auto"/>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Exclusive Rights</w:t>
            </w:r>
          </w:p>
        </w:tc>
        <w:tc>
          <w:tcPr>
            <w:tcW w:w="2020" w:type="dxa"/>
            <w:tcBorders>
              <w:top w:val="single" w:sz="4" w:space="0" w:color="auto"/>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Non-Exclusive Rights</w:t>
            </w:r>
          </w:p>
        </w:tc>
        <w:tc>
          <w:tcPr>
            <w:tcW w:w="2180" w:type="dxa"/>
            <w:tcBorders>
              <w:top w:val="single" w:sz="4" w:space="0" w:color="auto"/>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Duration of Exclusivity</w:t>
            </w:r>
          </w:p>
        </w:tc>
      </w:tr>
      <w:tr w:rsidR="007B7FE3" w:rsidRPr="00257C5A" w:rsidTr="00175849">
        <w:trPr>
          <w:trHeight w:val="290"/>
          <w:jc w:val="center"/>
        </w:trPr>
        <w:tc>
          <w:tcPr>
            <w:tcW w:w="43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jc w:val="right"/>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1</w:t>
            </w:r>
          </w:p>
        </w:tc>
        <w:tc>
          <w:tcPr>
            <w:tcW w:w="15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Austria</w:t>
            </w:r>
          </w:p>
        </w:tc>
        <w:tc>
          <w:tcPr>
            <w:tcW w:w="20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No</w:t>
            </w:r>
          </w:p>
        </w:tc>
        <w:tc>
          <w:tcPr>
            <w:tcW w:w="126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5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202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21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5 years</w:t>
            </w:r>
          </w:p>
        </w:tc>
      </w:tr>
      <w:tr w:rsidR="007B7FE3" w:rsidRPr="00257C5A" w:rsidTr="00175849">
        <w:trPr>
          <w:trHeight w:val="290"/>
          <w:jc w:val="center"/>
        </w:trPr>
        <w:tc>
          <w:tcPr>
            <w:tcW w:w="436" w:type="dxa"/>
            <w:tcBorders>
              <w:top w:val="nil"/>
              <w:left w:val="single" w:sz="4" w:space="0" w:color="auto"/>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jc w:val="right"/>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2</w:t>
            </w:r>
          </w:p>
        </w:tc>
        <w:tc>
          <w:tcPr>
            <w:tcW w:w="15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Belgium</w:t>
            </w:r>
          </w:p>
        </w:tc>
        <w:tc>
          <w:tcPr>
            <w:tcW w:w="20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26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5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No</w:t>
            </w:r>
          </w:p>
        </w:tc>
        <w:tc>
          <w:tcPr>
            <w:tcW w:w="202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21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3-4 years</w:t>
            </w:r>
          </w:p>
        </w:tc>
      </w:tr>
      <w:tr w:rsidR="007B7FE3" w:rsidRPr="00257C5A" w:rsidTr="00175849">
        <w:trPr>
          <w:trHeight w:val="290"/>
          <w:jc w:val="center"/>
        </w:trPr>
        <w:tc>
          <w:tcPr>
            <w:tcW w:w="436" w:type="dxa"/>
            <w:tcBorders>
              <w:top w:val="nil"/>
              <w:left w:val="single" w:sz="4" w:space="0" w:color="auto"/>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jc w:val="right"/>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3</w:t>
            </w:r>
          </w:p>
        </w:tc>
        <w:tc>
          <w:tcPr>
            <w:tcW w:w="15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Bulgaria</w:t>
            </w:r>
          </w:p>
        </w:tc>
        <w:tc>
          <w:tcPr>
            <w:tcW w:w="20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No</w:t>
            </w:r>
          </w:p>
        </w:tc>
        <w:tc>
          <w:tcPr>
            <w:tcW w:w="126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No</w:t>
            </w:r>
          </w:p>
        </w:tc>
        <w:tc>
          <w:tcPr>
            <w:tcW w:w="15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202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No</w:t>
            </w:r>
          </w:p>
        </w:tc>
        <w:tc>
          <w:tcPr>
            <w:tcW w:w="21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5 years</w:t>
            </w:r>
          </w:p>
        </w:tc>
      </w:tr>
      <w:tr w:rsidR="007B7FE3" w:rsidRPr="00257C5A" w:rsidTr="00175849">
        <w:trPr>
          <w:trHeight w:val="290"/>
          <w:jc w:val="center"/>
        </w:trPr>
        <w:tc>
          <w:tcPr>
            <w:tcW w:w="436" w:type="dxa"/>
            <w:tcBorders>
              <w:top w:val="nil"/>
              <w:left w:val="single" w:sz="4" w:space="0" w:color="auto"/>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jc w:val="right"/>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4</w:t>
            </w:r>
          </w:p>
        </w:tc>
        <w:tc>
          <w:tcPr>
            <w:tcW w:w="15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Croatia</w:t>
            </w:r>
          </w:p>
        </w:tc>
        <w:tc>
          <w:tcPr>
            <w:tcW w:w="20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26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5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Yes</w:t>
            </w:r>
          </w:p>
        </w:tc>
        <w:tc>
          <w:tcPr>
            <w:tcW w:w="202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No</w:t>
            </w:r>
          </w:p>
        </w:tc>
        <w:tc>
          <w:tcPr>
            <w:tcW w:w="21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7</w:t>
            </w:r>
            <w:r w:rsidRPr="00257C5A">
              <w:rPr>
                <w:rFonts w:ascii="Times New Roman" w:eastAsia="Times New Roman" w:hAnsi="Times New Roman" w:cs="Times New Roman"/>
                <w:color w:val="000000"/>
                <w:lang w:val="en-GB" w:eastAsia="en-GB"/>
              </w:rPr>
              <w:t xml:space="preserve"> years</w:t>
            </w:r>
          </w:p>
        </w:tc>
      </w:tr>
      <w:tr w:rsidR="007B7FE3" w:rsidRPr="00257C5A" w:rsidTr="00175849">
        <w:trPr>
          <w:trHeight w:val="290"/>
          <w:jc w:val="center"/>
        </w:trPr>
        <w:tc>
          <w:tcPr>
            <w:tcW w:w="436" w:type="dxa"/>
            <w:tcBorders>
              <w:top w:val="nil"/>
              <w:left w:val="single" w:sz="4" w:space="0" w:color="auto"/>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jc w:val="right"/>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5</w:t>
            </w:r>
          </w:p>
        </w:tc>
        <w:tc>
          <w:tcPr>
            <w:tcW w:w="15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Czech Republic</w:t>
            </w:r>
          </w:p>
        </w:tc>
        <w:tc>
          <w:tcPr>
            <w:tcW w:w="20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26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5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Yes</w:t>
            </w:r>
          </w:p>
        </w:tc>
        <w:tc>
          <w:tcPr>
            <w:tcW w:w="202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No</w:t>
            </w:r>
          </w:p>
        </w:tc>
        <w:tc>
          <w:tcPr>
            <w:tcW w:w="21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4</w:t>
            </w:r>
            <w:r w:rsidRPr="00257C5A">
              <w:rPr>
                <w:rFonts w:ascii="Times New Roman" w:eastAsia="Times New Roman" w:hAnsi="Times New Roman" w:cs="Times New Roman"/>
                <w:color w:val="000000"/>
                <w:lang w:val="en-GB" w:eastAsia="en-GB"/>
              </w:rPr>
              <w:t xml:space="preserve"> years</w:t>
            </w:r>
          </w:p>
        </w:tc>
      </w:tr>
      <w:tr w:rsidR="007B7FE3" w:rsidRPr="00257C5A" w:rsidTr="00175849">
        <w:trPr>
          <w:trHeight w:val="290"/>
          <w:jc w:val="center"/>
        </w:trPr>
        <w:tc>
          <w:tcPr>
            <w:tcW w:w="436" w:type="dxa"/>
            <w:tcBorders>
              <w:top w:val="nil"/>
              <w:left w:val="single" w:sz="4" w:space="0" w:color="auto"/>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jc w:val="right"/>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6</w:t>
            </w:r>
          </w:p>
        </w:tc>
        <w:tc>
          <w:tcPr>
            <w:tcW w:w="15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Denmark</w:t>
            </w:r>
          </w:p>
        </w:tc>
        <w:tc>
          <w:tcPr>
            <w:tcW w:w="20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26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5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No</w:t>
            </w:r>
          </w:p>
        </w:tc>
        <w:tc>
          <w:tcPr>
            <w:tcW w:w="202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21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3 years</w:t>
            </w:r>
          </w:p>
        </w:tc>
      </w:tr>
      <w:tr w:rsidR="007B7FE3" w:rsidRPr="00257C5A" w:rsidTr="00175849">
        <w:trPr>
          <w:trHeight w:val="290"/>
          <w:jc w:val="center"/>
        </w:trPr>
        <w:tc>
          <w:tcPr>
            <w:tcW w:w="436" w:type="dxa"/>
            <w:tcBorders>
              <w:top w:val="nil"/>
              <w:left w:val="single" w:sz="4" w:space="0" w:color="auto"/>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jc w:val="right"/>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7</w:t>
            </w:r>
          </w:p>
        </w:tc>
        <w:tc>
          <w:tcPr>
            <w:tcW w:w="15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France</w:t>
            </w:r>
          </w:p>
        </w:tc>
        <w:tc>
          <w:tcPr>
            <w:tcW w:w="20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26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5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No</w:t>
            </w:r>
          </w:p>
        </w:tc>
        <w:tc>
          <w:tcPr>
            <w:tcW w:w="202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21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4 years</w:t>
            </w:r>
          </w:p>
        </w:tc>
      </w:tr>
      <w:tr w:rsidR="007B7FE3" w:rsidRPr="00257C5A" w:rsidTr="00175849">
        <w:trPr>
          <w:trHeight w:val="290"/>
          <w:jc w:val="center"/>
        </w:trPr>
        <w:tc>
          <w:tcPr>
            <w:tcW w:w="436" w:type="dxa"/>
            <w:tcBorders>
              <w:top w:val="nil"/>
              <w:left w:val="single" w:sz="4" w:space="0" w:color="auto"/>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jc w:val="right"/>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8</w:t>
            </w:r>
          </w:p>
        </w:tc>
        <w:tc>
          <w:tcPr>
            <w:tcW w:w="15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Germany</w:t>
            </w:r>
          </w:p>
        </w:tc>
        <w:tc>
          <w:tcPr>
            <w:tcW w:w="20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26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5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No</w:t>
            </w:r>
          </w:p>
        </w:tc>
        <w:tc>
          <w:tcPr>
            <w:tcW w:w="202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21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4 years</w:t>
            </w:r>
          </w:p>
        </w:tc>
      </w:tr>
      <w:tr w:rsidR="007B7FE3" w:rsidRPr="00257C5A" w:rsidTr="00175849">
        <w:trPr>
          <w:trHeight w:val="290"/>
          <w:jc w:val="center"/>
        </w:trPr>
        <w:tc>
          <w:tcPr>
            <w:tcW w:w="436" w:type="dxa"/>
            <w:tcBorders>
              <w:top w:val="nil"/>
              <w:left w:val="single" w:sz="4" w:space="0" w:color="auto"/>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jc w:val="right"/>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9</w:t>
            </w:r>
          </w:p>
        </w:tc>
        <w:tc>
          <w:tcPr>
            <w:tcW w:w="15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Greece</w:t>
            </w:r>
          </w:p>
        </w:tc>
        <w:tc>
          <w:tcPr>
            <w:tcW w:w="20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No</w:t>
            </w:r>
          </w:p>
        </w:tc>
        <w:tc>
          <w:tcPr>
            <w:tcW w:w="126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No</w:t>
            </w:r>
          </w:p>
        </w:tc>
        <w:tc>
          <w:tcPr>
            <w:tcW w:w="15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202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No</w:t>
            </w:r>
          </w:p>
        </w:tc>
        <w:tc>
          <w:tcPr>
            <w:tcW w:w="2180" w:type="dxa"/>
            <w:tcBorders>
              <w:top w:val="nil"/>
              <w:left w:val="nil"/>
              <w:bottom w:val="single" w:sz="4" w:space="0" w:color="auto"/>
              <w:right w:val="single" w:sz="4" w:space="0" w:color="auto"/>
            </w:tcBorders>
            <w:shd w:val="clear" w:color="000000" w:fill="FFFFFF"/>
            <w:noWrap/>
            <w:vAlign w:val="bottom"/>
            <w:hideMark/>
          </w:tcPr>
          <w:p w:rsidR="007B7FE3" w:rsidRPr="00257C5A" w:rsidRDefault="00FE1B5E" w:rsidP="00257C5A">
            <w:pPr>
              <w:spacing w:after="0" w:line="240" w:lineRule="auto"/>
              <w:rPr>
                <w:rFonts w:ascii="Times New Roman" w:eastAsia="Times New Roman" w:hAnsi="Times New Roman" w:cs="Times New Roman"/>
                <w:color w:val="000000"/>
                <w:lang w:val="en-GB" w:eastAsia="en-GB"/>
              </w:rPr>
            </w:pPr>
            <w:r>
              <w:rPr>
                <w:rFonts w:ascii="Times New Roman" w:eastAsia="Times New Roman" w:hAnsi="Times New Roman" w:cs="Times New Roman"/>
                <w:color w:val="000000"/>
                <w:lang w:val="en-GB" w:eastAsia="en-GB"/>
              </w:rPr>
              <w:t>4</w:t>
            </w:r>
            <w:r w:rsidR="007B7FE3" w:rsidRPr="00257C5A">
              <w:rPr>
                <w:rFonts w:ascii="Times New Roman" w:eastAsia="Times New Roman" w:hAnsi="Times New Roman" w:cs="Times New Roman"/>
                <w:color w:val="000000"/>
                <w:lang w:val="en-GB" w:eastAsia="en-GB"/>
              </w:rPr>
              <w:t xml:space="preserve"> years</w:t>
            </w:r>
          </w:p>
        </w:tc>
      </w:tr>
      <w:tr w:rsidR="007B7FE3" w:rsidRPr="00257C5A" w:rsidTr="00175849">
        <w:trPr>
          <w:trHeight w:val="290"/>
          <w:jc w:val="center"/>
        </w:trPr>
        <w:tc>
          <w:tcPr>
            <w:tcW w:w="436" w:type="dxa"/>
            <w:tcBorders>
              <w:top w:val="nil"/>
              <w:left w:val="single" w:sz="4" w:space="0" w:color="auto"/>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jc w:val="right"/>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10</w:t>
            </w:r>
          </w:p>
        </w:tc>
        <w:tc>
          <w:tcPr>
            <w:tcW w:w="15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Hungary</w:t>
            </w:r>
          </w:p>
        </w:tc>
        <w:tc>
          <w:tcPr>
            <w:tcW w:w="20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No</w:t>
            </w:r>
          </w:p>
        </w:tc>
        <w:tc>
          <w:tcPr>
            <w:tcW w:w="126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No</w:t>
            </w:r>
          </w:p>
        </w:tc>
        <w:tc>
          <w:tcPr>
            <w:tcW w:w="15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202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No</w:t>
            </w:r>
          </w:p>
        </w:tc>
        <w:tc>
          <w:tcPr>
            <w:tcW w:w="21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3-5 years</w:t>
            </w:r>
          </w:p>
        </w:tc>
      </w:tr>
      <w:tr w:rsidR="007B7FE3" w:rsidRPr="00257C5A" w:rsidTr="00175849">
        <w:trPr>
          <w:trHeight w:val="290"/>
          <w:jc w:val="center"/>
        </w:trPr>
        <w:tc>
          <w:tcPr>
            <w:tcW w:w="436" w:type="dxa"/>
            <w:tcBorders>
              <w:top w:val="nil"/>
              <w:left w:val="single" w:sz="4" w:space="0" w:color="auto"/>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jc w:val="right"/>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11</w:t>
            </w:r>
          </w:p>
        </w:tc>
        <w:tc>
          <w:tcPr>
            <w:tcW w:w="15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Ireland</w:t>
            </w:r>
          </w:p>
        </w:tc>
        <w:tc>
          <w:tcPr>
            <w:tcW w:w="20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No</w:t>
            </w:r>
          </w:p>
        </w:tc>
        <w:tc>
          <w:tcPr>
            <w:tcW w:w="126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5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202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21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3 years</w:t>
            </w:r>
          </w:p>
        </w:tc>
      </w:tr>
      <w:tr w:rsidR="007B7FE3" w:rsidRPr="00257C5A" w:rsidTr="00175849">
        <w:trPr>
          <w:trHeight w:val="290"/>
          <w:jc w:val="center"/>
        </w:trPr>
        <w:tc>
          <w:tcPr>
            <w:tcW w:w="436" w:type="dxa"/>
            <w:tcBorders>
              <w:top w:val="nil"/>
              <w:left w:val="single" w:sz="4" w:space="0" w:color="auto"/>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jc w:val="right"/>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12</w:t>
            </w:r>
          </w:p>
        </w:tc>
        <w:tc>
          <w:tcPr>
            <w:tcW w:w="15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Italy</w:t>
            </w:r>
          </w:p>
        </w:tc>
        <w:tc>
          <w:tcPr>
            <w:tcW w:w="20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26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5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No</w:t>
            </w:r>
          </w:p>
        </w:tc>
        <w:tc>
          <w:tcPr>
            <w:tcW w:w="202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21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5 years</w:t>
            </w:r>
          </w:p>
        </w:tc>
      </w:tr>
      <w:tr w:rsidR="007B7FE3" w:rsidRPr="00257C5A" w:rsidTr="00175849">
        <w:trPr>
          <w:trHeight w:val="290"/>
          <w:jc w:val="center"/>
        </w:trPr>
        <w:tc>
          <w:tcPr>
            <w:tcW w:w="436" w:type="dxa"/>
            <w:tcBorders>
              <w:top w:val="nil"/>
              <w:left w:val="single" w:sz="4" w:space="0" w:color="auto"/>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jc w:val="right"/>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13</w:t>
            </w:r>
          </w:p>
        </w:tc>
        <w:tc>
          <w:tcPr>
            <w:tcW w:w="15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Lithuania</w:t>
            </w:r>
          </w:p>
        </w:tc>
        <w:tc>
          <w:tcPr>
            <w:tcW w:w="20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No</w:t>
            </w:r>
          </w:p>
        </w:tc>
        <w:tc>
          <w:tcPr>
            <w:tcW w:w="126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5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202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No</w:t>
            </w:r>
          </w:p>
        </w:tc>
        <w:tc>
          <w:tcPr>
            <w:tcW w:w="21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3 years</w:t>
            </w:r>
          </w:p>
        </w:tc>
      </w:tr>
      <w:tr w:rsidR="007B7FE3" w:rsidRPr="00257C5A" w:rsidTr="00175849">
        <w:trPr>
          <w:trHeight w:val="290"/>
          <w:jc w:val="center"/>
        </w:trPr>
        <w:tc>
          <w:tcPr>
            <w:tcW w:w="436" w:type="dxa"/>
            <w:tcBorders>
              <w:top w:val="nil"/>
              <w:left w:val="single" w:sz="4" w:space="0" w:color="auto"/>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jc w:val="right"/>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1</w:t>
            </w:r>
            <w:r w:rsidR="00EE6A5F">
              <w:rPr>
                <w:rFonts w:ascii="Times New Roman" w:eastAsia="Times New Roman" w:hAnsi="Times New Roman" w:cs="Times New Roman"/>
                <w:color w:val="000000"/>
                <w:lang w:val="en-GB" w:eastAsia="en-GB"/>
              </w:rPr>
              <w:t>4</w:t>
            </w:r>
          </w:p>
        </w:tc>
        <w:tc>
          <w:tcPr>
            <w:tcW w:w="15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Netherlands</w:t>
            </w:r>
          </w:p>
        </w:tc>
        <w:tc>
          <w:tcPr>
            <w:tcW w:w="20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26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5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No</w:t>
            </w:r>
          </w:p>
        </w:tc>
        <w:tc>
          <w:tcPr>
            <w:tcW w:w="202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21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3 years</w:t>
            </w:r>
          </w:p>
        </w:tc>
      </w:tr>
      <w:tr w:rsidR="007B7FE3" w:rsidRPr="00257C5A" w:rsidTr="00175849">
        <w:trPr>
          <w:trHeight w:val="290"/>
          <w:jc w:val="center"/>
        </w:trPr>
        <w:tc>
          <w:tcPr>
            <w:tcW w:w="436" w:type="dxa"/>
            <w:tcBorders>
              <w:top w:val="nil"/>
              <w:left w:val="single" w:sz="4" w:space="0" w:color="auto"/>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jc w:val="right"/>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1</w:t>
            </w:r>
            <w:r w:rsidR="00EE6A5F">
              <w:rPr>
                <w:rFonts w:ascii="Times New Roman" w:eastAsia="Times New Roman" w:hAnsi="Times New Roman" w:cs="Times New Roman"/>
                <w:color w:val="000000"/>
                <w:lang w:val="en-GB" w:eastAsia="en-GB"/>
              </w:rPr>
              <w:t>5</w:t>
            </w:r>
          </w:p>
        </w:tc>
        <w:tc>
          <w:tcPr>
            <w:tcW w:w="15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Portugal</w:t>
            </w:r>
          </w:p>
        </w:tc>
        <w:tc>
          <w:tcPr>
            <w:tcW w:w="20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26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5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No</w:t>
            </w:r>
          </w:p>
        </w:tc>
        <w:tc>
          <w:tcPr>
            <w:tcW w:w="202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21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3-</w:t>
            </w:r>
            <w:r w:rsidR="00B82B8C">
              <w:rPr>
                <w:rFonts w:ascii="Times New Roman" w:eastAsia="Times New Roman" w:hAnsi="Times New Roman" w:cs="Times New Roman"/>
                <w:color w:val="000000"/>
                <w:lang w:val="en-GB" w:eastAsia="en-GB"/>
              </w:rPr>
              <w:t>10</w:t>
            </w:r>
            <w:r w:rsidRPr="00257C5A">
              <w:rPr>
                <w:rFonts w:ascii="Times New Roman" w:eastAsia="Times New Roman" w:hAnsi="Times New Roman" w:cs="Times New Roman"/>
                <w:color w:val="000000"/>
                <w:lang w:val="en-GB" w:eastAsia="en-GB"/>
              </w:rPr>
              <w:t xml:space="preserve"> years</w:t>
            </w:r>
          </w:p>
        </w:tc>
      </w:tr>
      <w:tr w:rsidR="007B7FE3" w:rsidRPr="00257C5A" w:rsidTr="00175849">
        <w:trPr>
          <w:trHeight w:val="290"/>
          <w:jc w:val="center"/>
        </w:trPr>
        <w:tc>
          <w:tcPr>
            <w:tcW w:w="436" w:type="dxa"/>
            <w:tcBorders>
              <w:top w:val="nil"/>
              <w:left w:val="single" w:sz="4" w:space="0" w:color="auto"/>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jc w:val="right"/>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1</w:t>
            </w:r>
            <w:r w:rsidR="00EE6A5F">
              <w:rPr>
                <w:rFonts w:ascii="Times New Roman" w:eastAsia="Times New Roman" w:hAnsi="Times New Roman" w:cs="Times New Roman"/>
                <w:color w:val="000000"/>
                <w:lang w:val="en-GB" w:eastAsia="en-GB"/>
              </w:rPr>
              <w:t>6</w:t>
            </w:r>
          </w:p>
        </w:tc>
        <w:tc>
          <w:tcPr>
            <w:tcW w:w="15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Romania</w:t>
            </w:r>
          </w:p>
        </w:tc>
        <w:tc>
          <w:tcPr>
            <w:tcW w:w="20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26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5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No</w:t>
            </w:r>
          </w:p>
        </w:tc>
        <w:tc>
          <w:tcPr>
            <w:tcW w:w="202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21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3 years</w:t>
            </w:r>
          </w:p>
        </w:tc>
      </w:tr>
      <w:tr w:rsidR="007B7FE3" w:rsidRPr="00257C5A" w:rsidTr="00175849">
        <w:trPr>
          <w:trHeight w:val="290"/>
          <w:jc w:val="center"/>
        </w:trPr>
        <w:tc>
          <w:tcPr>
            <w:tcW w:w="436" w:type="dxa"/>
            <w:tcBorders>
              <w:top w:val="nil"/>
              <w:left w:val="single" w:sz="4" w:space="0" w:color="auto"/>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jc w:val="right"/>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1</w:t>
            </w:r>
            <w:r w:rsidR="00EE6A5F">
              <w:rPr>
                <w:rFonts w:ascii="Times New Roman" w:eastAsia="Times New Roman" w:hAnsi="Times New Roman" w:cs="Times New Roman"/>
                <w:color w:val="000000"/>
                <w:lang w:val="en-GB" w:eastAsia="en-GB"/>
              </w:rPr>
              <w:t>7</w:t>
            </w:r>
          </w:p>
        </w:tc>
        <w:tc>
          <w:tcPr>
            <w:tcW w:w="15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Spain</w:t>
            </w:r>
          </w:p>
        </w:tc>
        <w:tc>
          <w:tcPr>
            <w:tcW w:w="20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26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5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No</w:t>
            </w:r>
          </w:p>
        </w:tc>
        <w:tc>
          <w:tcPr>
            <w:tcW w:w="202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21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3-</w:t>
            </w:r>
            <w:r w:rsidR="008F7497">
              <w:rPr>
                <w:rFonts w:ascii="Times New Roman" w:eastAsia="Times New Roman" w:hAnsi="Times New Roman" w:cs="Times New Roman"/>
                <w:color w:val="000000"/>
                <w:lang w:val="en-GB" w:eastAsia="en-GB"/>
              </w:rPr>
              <w:t>5</w:t>
            </w:r>
            <w:r w:rsidRPr="00257C5A">
              <w:rPr>
                <w:rFonts w:ascii="Times New Roman" w:eastAsia="Times New Roman" w:hAnsi="Times New Roman" w:cs="Times New Roman"/>
                <w:color w:val="000000"/>
                <w:lang w:val="en-GB" w:eastAsia="en-GB"/>
              </w:rPr>
              <w:t xml:space="preserve"> years</w:t>
            </w:r>
          </w:p>
        </w:tc>
      </w:tr>
      <w:tr w:rsidR="007B7FE3" w:rsidRPr="00257C5A" w:rsidTr="00175849">
        <w:trPr>
          <w:trHeight w:val="290"/>
          <w:jc w:val="center"/>
        </w:trPr>
        <w:tc>
          <w:tcPr>
            <w:tcW w:w="436" w:type="dxa"/>
            <w:tcBorders>
              <w:top w:val="nil"/>
              <w:left w:val="single" w:sz="4" w:space="0" w:color="auto"/>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jc w:val="right"/>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1</w:t>
            </w:r>
            <w:r w:rsidR="00EE6A5F">
              <w:rPr>
                <w:rFonts w:ascii="Times New Roman" w:eastAsia="Times New Roman" w:hAnsi="Times New Roman" w:cs="Times New Roman"/>
                <w:color w:val="000000"/>
                <w:lang w:val="en-GB" w:eastAsia="en-GB"/>
              </w:rPr>
              <w:t>8</w:t>
            </w:r>
          </w:p>
        </w:tc>
        <w:tc>
          <w:tcPr>
            <w:tcW w:w="15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United Kingdom</w:t>
            </w:r>
          </w:p>
        </w:tc>
        <w:tc>
          <w:tcPr>
            <w:tcW w:w="204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26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15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No</w:t>
            </w:r>
          </w:p>
        </w:tc>
        <w:tc>
          <w:tcPr>
            <w:tcW w:w="202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Yes</w:t>
            </w:r>
          </w:p>
        </w:tc>
        <w:tc>
          <w:tcPr>
            <w:tcW w:w="2180" w:type="dxa"/>
            <w:tcBorders>
              <w:top w:val="nil"/>
              <w:left w:val="nil"/>
              <w:bottom w:val="single" w:sz="4" w:space="0" w:color="auto"/>
              <w:right w:val="single" w:sz="4" w:space="0" w:color="auto"/>
            </w:tcBorders>
            <w:shd w:val="clear" w:color="000000" w:fill="FFFFFF"/>
            <w:noWrap/>
            <w:vAlign w:val="bottom"/>
            <w:hideMark/>
          </w:tcPr>
          <w:p w:rsidR="007B7FE3" w:rsidRPr="00257C5A" w:rsidRDefault="007B7FE3" w:rsidP="00257C5A">
            <w:pPr>
              <w:spacing w:after="0" w:line="240" w:lineRule="auto"/>
              <w:rPr>
                <w:rFonts w:ascii="Times New Roman" w:eastAsia="Times New Roman" w:hAnsi="Times New Roman" w:cs="Times New Roman"/>
                <w:color w:val="000000"/>
                <w:lang w:val="en-GB" w:eastAsia="en-GB"/>
              </w:rPr>
            </w:pPr>
            <w:r w:rsidRPr="00257C5A">
              <w:rPr>
                <w:rFonts w:ascii="Times New Roman" w:eastAsia="Times New Roman" w:hAnsi="Times New Roman" w:cs="Times New Roman"/>
                <w:color w:val="000000"/>
                <w:lang w:val="en-GB" w:eastAsia="en-GB"/>
              </w:rPr>
              <w:t>3 years</w:t>
            </w:r>
          </w:p>
        </w:tc>
      </w:tr>
    </w:tbl>
    <w:p w:rsidR="00107163" w:rsidRPr="00A54655" w:rsidRDefault="00107163" w:rsidP="00FF2C79">
      <w:pPr>
        <w:spacing w:line="276" w:lineRule="auto"/>
        <w:jc w:val="both"/>
        <w:rPr>
          <w:rFonts w:ascii="Times New Roman" w:hAnsi="Times New Roman" w:cs="Times New Roman"/>
          <w:sz w:val="26"/>
          <w:szCs w:val="26"/>
          <w:lang w:val="en-GB"/>
        </w:rPr>
      </w:pPr>
    </w:p>
    <w:sectPr w:rsidR="00107163" w:rsidRPr="00A54655" w:rsidSect="00FE2177">
      <w:pgSz w:w="16838" w:h="11906" w:orient="landscape"/>
      <w:pgMar w:top="1701" w:right="1418" w:bottom="153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3A1D" w:rsidRDefault="007B3A1D">
      <w:r>
        <w:separator/>
      </w:r>
    </w:p>
  </w:endnote>
  <w:endnote w:type="continuationSeparator" w:id="0">
    <w:p w:rsidR="007B3A1D" w:rsidRDefault="007B3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5472662"/>
      <w:docPartObj>
        <w:docPartGallery w:val="Page Numbers (Bottom of Page)"/>
        <w:docPartUnique/>
      </w:docPartObj>
    </w:sdtPr>
    <w:sdtEndPr/>
    <w:sdtContent>
      <w:p w:rsidR="00B87304" w:rsidRDefault="00B87304">
        <w:pPr>
          <w:pStyle w:val="Pidipagina"/>
          <w:jc w:val="right"/>
        </w:pPr>
        <w:r>
          <w:fldChar w:fldCharType="begin"/>
        </w:r>
        <w:r>
          <w:instrText>PAGE   \* MERGEFORMAT</w:instrText>
        </w:r>
        <w:r>
          <w:fldChar w:fldCharType="separate"/>
        </w:r>
        <w:r>
          <w:t>2</w:t>
        </w:r>
        <w:r>
          <w:fldChar w:fldCharType="end"/>
        </w:r>
      </w:p>
    </w:sdtContent>
  </w:sdt>
  <w:p w:rsidR="00B87304" w:rsidRDefault="00B8730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304" w:rsidRDefault="00B87304">
    <w:pPr>
      <w:rPr>
        <w:rFonts w:ascii="Arial" w:hAnsi="Arial"/>
        <w:sz w:val="16"/>
      </w:rPr>
    </w:pPr>
    <w:r>
      <w:rPr>
        <w:rFonts w:ascii="Arial" w:hAnsi="Arial"/>
        <w:sz w:val="16"/>
      </w:rPr>
      <w:tab/>
    </w:r>
    <w:r>
      <w:rPr>
        <w:rFonts w:ascii="Arial" w:hAnsi="Arial"/>
        <w:sz w:val="16"/>
      </w:rPr>
      <w:fldChar w:fldCharType="begin"/>
    </w:r>
    <w:r>
      <w:rPr>
        <w:rFonts w:ascii="Arial" w:hAnsi="Arial"/>
        <w:sz w:val="16"/>
      </w:rPr>
      <w:instrText xml:space="preserve"> PAGE  \* MERGEFORMAT </w:instrText>
    </w:r>
    <w:r>
      <w:rPr>
        <w:rFonts w:ascii="Arial" w:hAnsi="Arial"/>
        <w:sz w:val="16"/>
      </w:rPr>
      <w:fldChar w:fldCharType="separate"/>
    </w:r>
    <w:r>
      <w:rPr>
        <w:rFonts w:ascii="Arial" w:hAnsi="Arial"/>
        <w:noProof/>
        <w:sz w:val="16"/>
      </w:rPr>
      <w:t>1</w:t>
    </w:r>
    <w:r>
      <w:rP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3A1D" w:rsidRDefault="007B3A1D">
      <w:r>
        <w:separator/>
      </w:r>
    </w:p>
  </w:footnote>
  <w:footnote w:type="continuationSeparator" w:id="0">
    <w:p w:rsidR="007B3A1D" w:rsidRDefault="007B3A1D">
      <w:r>
        <w:continuationSeparator/>
      </w:r>
    </w:p>
  </w:footnote>
  <w:footnote w:id="1">
    <w:p w:rsidR="00B87304" w:rsidRPr="008D5173" w:rsidRDefault="00B87304" w:rsidP="008D5173">
      <w:pPr>
        <w:pStyle w:val="Testonotaapidipagina"/>
        <w:rPr>
          <w:lang w:val="en-GB"/>
        </w:rPr>
      </w:pPr>
      <w:r w:rsidRPr="008D5173">
        <w:rPr>
          <w:rStyle w:val="Rimandonotaapidipagina"/>
          <w:lang w:val="en-GB"/>
        </w:rPr>
        <w:t>*</w:t>
      </w:r>
      <w:r w:rsidRPr="008D5173">
        <w:rPr>
          <w:lang w:val="en-GB"/>
        </w:rPr>
        <w:t xml:space="preserve"> </w:t>
      </w:r>
      <w:r w:rsidRPr="00F97BE6">
        <w:rPr>
          <w:lang w:val="en-GB"/>
        </w:rPr>
        <w:t xml:space="preserve">Officer at </w:t>
      </w:r>
      <w:proofErr w:type="spellStart"/>
      <w:r w:rsidRPr="00F97BE6">
        <w:rPr>
          <w:i/>
          <w:lang w:val="en-GB"/>
        </w:rPr>
        <w:t>Autorità</w:t>
      </w:r>
      <w:proofErr w:type="spellEnd"/>
      <w:r w:rsidRPr="00F97BE6">
        <w:rPr>
          <w:i/>
          <w:lang w:val="en-GB"/>
        </w:rPr>
        <w:t xml:space="preserve"> </w:t>
      </w:r>
      <w:proofErr w:type="spellStart"/>
      <w:r w:rsidRPr="00F97BE6">
        <w:rPr>
          <w:i/>
          <w:lang w:val="en-GB"/>
        </w:rPr>
        <w:t>Garante</w:t>
      </w:r>
      <w:proofErr w:type="spellEnd"/>
      <w:r w:rsidRPr="00F97BE6">
        <w:rPr>
          <w:i/>
          <w:lang w:val="en-GB"/>
        </w:rPr>
        <w:t xml:space="preserve"> </w:t>
      </w:r>
      <w:proofErr w:type="spellStart"/>
      <w:r w:rsidRPr="00F97BE6">
        <w:rPr>
          <w:i/>
          <w:lang w:val="en-GB"/>
        </w:rPr>
        <w:t>della</w:t>
      </w:r>
      <w:proofErr w:type="spellEnd"/>
      <w:r w:rsidRPr="00F97BE6">
        <w:rPr>
          <w:i/>
          <w:lang w:val="en-GB"/>
        </w:rPr>
        <w:t xml:space="preserve"> </w:t>
      </w:r>
      <w:proofErr w:type="spellStart"/>
      <w:r w:rsidRPr="00F97BE6">
        <w:rPr>
          <w:i/>
          <w:lang w:val="en-GB"/>
        </w:rPr>
        <w:t>Concorrenza</w:t>
      </w:r>
      <w:proofErr w:type="spellEnd"/>
      <w:r w:rsidRPr="00F97BE6">
        <w:rPr>
          <w:i/>
          <w:lang w:val="en-GB"/>
        </w:rPr>
        <w:t xml:space="preserve"> e del Mercato</w:t>
      </w:r>
      <w:r w:rsidRPr="00F97BE6">
        <w:rPr>
          <w:lang w:val="en-GB"/>
        </w:rPr>
        <w:t xml:space="preserve"> </w:t>
      </w:r>
      <w:r>
        <w:rPr>
          <w:lang w:val="en-GB"/>
        </w:rPr>
        <w:t xml:space="preserve">(Italian Competition Authority) </w:t>
      </w:r>
      <w:r w:rsidRPr="00F97BE6">
        <w:rPr>
          <w:lang w:val="en-GB"/>
        </w:rPr>
        <w:t xml:space="preserve">and </w:t>
      </w:r>
      <w:proofErr w:type="spellStart"/>
      <w:r w:rsidRPr="00F97BE6">
        <w:rPr>
          <w:lang w:val="en-GB"/>
        </w:rPr>
        <w:t>Adjuct</w:t>
      </w:r>
      <w:proofErr w:type="spellEnd"/>
      <w:r w:rsidRPr="00F97BE6">
        <w:rPr>
          <w:lang w:val="en-GB"/>
        </w:rPr>
        <w:t xml:space="preserve"> Professor of Public Economics at LUMSA University</w:t>
      </w:r>
      <w:r>
        <w:rPr>
          <w:lang w:val="en-GB"/>
        </w:rPr>
        <w:t xml:space="preserve"> of Rome. The paper is updated to 2023 National Competition Authorities decisions.</w:t>
      </w:r>
    </w:p>
  </w:footnote>
  <w:footnote w:id="2">
    <w:p w:rsidR="00B87304" w:rsidRPr="00645F5B" w:rsidRDefault="00B87304">
      <w:pPr>
        <w:pStyle w:val="Testonotaapidipagina"/>
        <w:rPr>
          <w:lang w:val="en-GB"/>
        </w:rPr>
      </w:pPr>
      <w:r>
        <w:rPr>
          <w:rStyle w:val="Rimandonotaapidipagina"/>
        </w:rPr>
        <w:footnoteRef/>
      </w:r>
      <w:r w:rsidRPr="00645F5B">
        <w:rPr>
          <w:lang w:val="en-GB"/>
        </w:rPr>
        <w:t xml:space="preserve"> The first European Commission decision on the joint sale of football rights was made on July 23, 2003.</w:t>
      </w:r>
    </w:p>
  </w:footnote>
  <w:footnote w:id="3">
    <w:p w:rsidR="00B87304" w:rsidRPr="003C03C8" w:rsidRDefault="00B87304">
      <w:pPr>
        <w:pStyle w:val="Testonotaapidipagina"/>
        <w:rPr>
          <w:lang w:val="en-GB"/>
        </w:rPr>
      </w:pPr>
      <w:r>
        <w:rPr>
          <w:rStyle w:val="Rimandonotaapidipagina"/>
        </w:rPr>
        <w:footnoteRef/>
      </w:r>
      <w:r w:rsidRPr="003C03C8">
        <w:rPr>
          <w:lang w:val="en-GB"/>
        </w:rPr>
        <w:t xml:space="preserve"> </w:t>
      </w:r>
      <w:proofErr w:type="spellStart"/>
      <w:r w:rsidRPr="003C03C8">
        <w:rPr>
          <w:lang w:val="en-GB"/>
        </w:rPr>
        <w:t>Peeters</w:t>
      </w:r>
      <w:proofErr w:type="spellEnd"/>
      <w:r w:rsidRPr="003C03C8">
        <w:rPr>
          <w:lang w:val="en-GB"/>
        </w:rPr>
        <w:t xml:space="preserve">, T. (2009). Broadcasting rights and competitive balance in European soccer. </w:t>
      </w:r>
      <w:r w:rsidRPr="001661C4">
        <w:rPr>
          <w:lang w:val="en-GB"/>
        </w:rPr>
        <w:t>International Journal of Sport Finance, 2011, vol. 6, issue 1, 23-39</w:t>
      </w:r>
      <w:r>
        <w:rPr>
          <w:lang w:val="en-GB"/>
        </w:rPr>
        <w:t>.</w:t>
      </w:r>
    </w:p>
  </w:footnote>
  <w:footnote w:id="4">
    <w:p w:rsidR="00B87304" w:rsidRPr="003C03C8" w:rsidRDefault="00B87304">
      <w:pPr>
        <w:pStyle w:val="Testonotaapidipagina"/>
        <w:rPr>
          <w:lang w:val="en-GB"/>
        </w:rPr>
      </w:pPr>
      <w:r>
        <w:rPr>
          <w:rStyle w:val="Rimandonotaapidipagina"/>
        </w:rPr>
        <w:footnoteRef/>
      </w:r>
      <w:r w:rsidRPr="003C03C8">
        <w:rPr>
          <w:lang w:val="en-GB"/>
        </w:rPr>
        <w:t xml:space="preserve"> </w:t>
      </w:r>
      <w:proofErr w:type="spellStart"/>
      <w:r w:rsidRPr="003C03C8">
        <w:rPr>
          <w:lang w:val="en-GB"/>
        </w:rPr>
        <w:t>Budzinski</w:t>
      </w:r>
      <w:proofErr w:type="spellEnd"/>
      <w:r w:rsidRPr="003C03C8">
        <w:rPr>
          <w:lang w:val="en-GB"/>
        </w:rPr>
        <w:t>, O., &amp; Müller-Kock, A. (2022). The regulation of collective sale of football broadcasting rights in the new media world. International Journal of Sport Finance, 17(1), 34-52.</w:t>
      </w:r>
    </w:p>
  </w:footnote>
  <w:footnote w:id="5">
    <w:p w:rsidR="00B87304" w:rsidRPr="003C03C8" w:rsidRDefault="00B87304">
      <w:pPr>
        <w:pStyle w:val="Testonotaapidipagina"/>
        <w:rPr>
          <w:lang w:val="en-GB"/>
        </w:rPr>
      </w:pPr>
      <w:r>
        <w:rPr>
          <w:rStyle w:val="Rimandonotaapidipagina"/>
        </w:rPr>
        <w:footnoteRef/>
      </w:r>
      <w:r w:rsidRPr="003C03C8">
        <w:rPr>
          <w:lang w:val="en-GB"/>
        </w:rPr>
        <w:t xml:space="preserve"> </w:t>
      </w:r>
      <w:proofErr w:type="spellStart"/>
      <w:r w:rsidRPr="003C03C8">
        <w:rPr>
          <w:lang w:val="en-GB"/>
        </w:rPr>
        <w:t>Pijetlovic</w:t>
      </w:r>
      <w:proofErr w:type="spellEnd"/>
      <w:r w:rsidRPr="003C03C8">
        <w:rPr>
          <w:lang w:val="en-GB"/>
        </w:rPr>
        <w:t xml:space="preserve">, K. (2015). EU Sports Law and Breakaway Leagues in Football. The Hague: T.M.C. Asser Press. </w:t>
      </w:r>
    </w:p>
  </w:footnote>
  <w:footnote w:id="6">
    <w:p w:rsidR="00B87304" w:rsidRPr="003C03C8" w:rsidRDefault="00B87304">
      <w:pPr>
        <w:pStyle w:val="Testonotaapidipagina"/>
        <w:rPr>
          <w:lang w:val="en-GB"/>
        </w:rPr>
      </w:pPr>
      <w:r>
        <w:rPr>
          <w:rStyle w:val="Rimandonotaapidipagina"/>
        </w:rPr>
        <w:footnoteRef/>
      </w:r>
      <w:r w:rsidRPr="003C03C8">
        <w:rPr>
          <w:lang w:val="en-GB"/>
        </w:rPr>
        <w:t xml:space="preserve"> </w:t>
      </w:r>
      <w:proofErr w:type="spellStart"/>
      <w:r w:rsidRPr="003C03C8">
        <w:rPr>
          <w:lang w:val="en-GB"/>
        </w:rPr>
        <w:t>Pijetlovic</w:t>
      </w:r>
      <w:proofErr w:type="spellEnd"/>
      <w:r w:rsidRPr="003C03C8">
        <w:rPr>
          <w:lang w:val="en-GB"/>
        </w:rPr>
        <w:t xml:space="preserve">, K. (2015). EU Sports Law and Breakaway Leagues in Football. The Hague: T.M.C. Asser Press. </w:t>
      </w:r>
    </w:p>
  </w:footnote>
  <w:footnote w:id="7">
    <w:p w:rsidR="00B87304" w:rsidRPr="003C03C8" w:rsidRDefault="00B87304" w:rsidP="003C03C8">
      <w:pPr>
        <w:pStyle w:val="Testonotaapidipagina"/>
        <w:rPr>
          <w:lang w:val="en-GB"/>
        </w:rPr>
      </w:pPr>
      <w:r>
        <w:rPr>
          <w:rStyle w:val="Rimandonotaapidipagina"/>
        </w:rPr>
        <w:footnoteRef/>
      </w:r>
      <w:r w:rsidRPr="003C03C8">
        <w:rPr>
          <w:lang w:val="en-GB"/>
        </w:rPr>
        <w:t xml:space="preserve"> </w:t>
      </w:r>
      <w:proofErr w:type="spellStart"/>
      <w:r w:rsidRPr="003C03C8">
        <w:rPr>
          <w:lang w:val="en-GB"/>
        </w:rPr>
        <w:t>Budzinski</w:t>
      </w:r>
      <w:proofErr w:type="spellEnd"/>
      <w:r w:rsidRPr="003C03C8">
        <w:rPr>
          <w:lang w:val="en-GB"/>
        </w:rPr>
        <w:t>, O., &amp; Müller-Kock, A. (2022). The regulation of collective sale of football broadcasting rights in the new media world. International Journal of Sport Finance, 17(1), 34-52.</w:t>
      </w:r>
    </w:p>
  </w:footnote>
  <w:footnote w:id="8">
    <w:p w:rsidR="00B87304" w:rsidRPr="003C03C8" w:rsidRDefault="00B87304" w:rsidP="003C03C8">
      <w:pPr>
        <w:pStyle w:val="Testonotaapidipagina"/>
        <w:rPr>
          <w:lang w:val="en-GB"/>
        </w:rPr>
      </w:pPr>
      <w:r>
        <w:rPr>
          <w:rStyle w:val="Rimandonotaapidipagina"/>
        </w:rPr>
        <w:footnoteRef/>
      </w:r>
      <w:r w:rsidRPr="003C03C8">
        <w:rPr>
          <w:lang w:val="en-GB"/>
        </w:rPr>
        <w:t xml:space="preserve"> </w:t>
      </w:r>
      <w:proofErr w:type="spellStart"/>
      <w:r w:rsidRPr="003C03C8">
        <w:rPr>
          <w:lang w:val="en-GB"/>
        </w:rPr>
        <w:t>Budzinski</w:t>
      </w:r>
      <w:proofErr w:type="spellEnd"/>
      <w:r w:rsidRPr="003C03C8">
        <w:rPr>
          <w:lang w:val="en-GB"/>
        </w:rPr>
        <w:t>, O., &amp; Müller-Kock, A. (2022). The regulation of collective sale of football broadcasting rights in the new media world. International Journal of Sport Finance, 17(1), 34-52.</w:t>
      </w:r>
    </w:p>
  </w:footnote>
  <w:footnote w:id="9">
    <w:p w:rsidR="00B87304" w:rsidRPr="00B67F6F" w:rsidRDefault="00B87304">
      <w:pPr>
        <w:pStyle w:val="Testonotaapidipagina"/>
        <w:rPr>
          <w:lang w:val="en-GB"/>
        </w:rPr>
      </w:pPr>
      <w:r>
        <w:rPr>
          <w:rStyle w:val="Rimandonotaapidipagina"/>
        </w:rPr>
        <w:footnoteRef/>
      </w:r>
      <w:r w:rsidRPr="00B67F6F">
        <w:rPr>
          <w:lang w:val="en-GB"/>
        </w:rPr>
        <w:t xml:space="preserve"> </w:t>
      </w:r>
      <w:r w:rsidR="001B1287" w:rsidRPr="001B1287">
        <w:rPr>
          <w:rStyle w:val="Enfasigrassetto"/>
          <w:b w:val="0"/>
          <w:lang w:val="en-GB"/>
        </w:rPr>
        <w:t>European Commission, UEFA Champions League (Case COMP/37.398), Commission Decision 2003/778/EC (2003)</w:t>
      </w:r>
    </w:p>
  </w:footnote>
  <w:footnote w:id="10">
    <w:p w:rsidR="00B87304" w:rsidRPr="001B1287" w:rsidRDefault="00B87304">
      <w:pPr>
        <w:pStyle w:val="Testonotaapidipagina"/>
        <w:rPr>
          <w:lang w:val="en-GB"/>
        </w:rPr>
      </w:pPr>
      <w:r>
        <w:rPr>
          <w:rStyle w:val="Rimandonotaapidipagina"/>
        </w:rPr>
        <w:footnoteRef/>
      </w:r>
      <w:r w:rsidRPr="001B1287">
        <w:rPr>
          <w:lang w:val="en-GB"/>
        </w:rPr>
        <w:t xml:space="preserve"> </w:t>
      </w:r>
      <w:r w:rsidR="001B1287" w:rsidRPr="001B1287">
        <w:rPr>
          <w:rStyle w:val="Enfasigrassetto"/>
          <w:b w:val="0"/>
          <w:lang w:val="en-GB"/>
        </w:rPr>
        <w:t>European Commission, Joint selling of the media rights to the German Bundesliga (‘DFB’) (Case COMP/37.214)</w:t>
      </w:r>
      <w:r w:rsidR="009F53AD">
        <w:rPr>
          <w:rStyle w:val="Enfasigrassetto"/>
          <w:b w:val="0"/>
          <w:lang w:val="en-GB"/>
        </w:rPr>
        <w:t>.</w:t>
      </w:r>
    </w:p>
  </w:footnote>
  <w:footnote w:id="11">
    <w:p w:rsidR="00B87304" w:rsidRPr="009F53AD" w:rsidRDefault="00B87304">
      <w:pPr>
        <w:pStyle w:val="Testonotaapidipagina"/>
        <w:rPr>
          <w:lang w:val="en-GB"/>
        </w:rPr>
      </w:pPr>
      <w:r>
        <w:rPr>
          <w:rStyle w:val="Rimandonotaapidipagina"/>
        </w:rPr>
        <w:footnoteRef/>
      </w:r>
      <w:r w:rsidRPr="009F53AD">
        <w:rPr>
          <w:lang w:val="en-GB"/>
        </w:rPr>
        <w:t xml:space="preserve"> </w:t>
      </w:r>
      <w:r w:rsidR="009F53AD" w:rsidRPr="009F53AD">
        <w:rPr>
          <w:lang w:val="en-GB"/>
        </w:rPr>
        <w:t>European Commission, Joint selling of the media rights to the FA Premier League (‘FAPL’) (Case COMP/38.173), Commission Decision (2006)</w:t>
      </w:r>
      <w:r w:rsidR="009F53AD">
        <w:rPr>
          <w:lang w:val="en-GB"/>
        </w:rPr>
        <w:t>.</w:t>
      </w:r>
    </w:p>
  </w:footnote>
  <w:footnote w:id="12">
    <w:p w:rsidR="00B87304" w:rsidRPr="008164A1" w:rsidRDefault="00B87304" w:rsidP="008164A1">
      <w:pPr>
        <w:pStyle w:val="Testonotaapidipagina"/>
        <w:rPr>
          <w:lang w:val="en-GB"/>
        </w:rPr>
      </w:pPr>
      <w:r>
        <w:rPr>
          <w:rStyle w:val="Rimandonotaapidipagina"/>
        </w:rPr>
        <w:footnoteRef/>
      </w:r>
      <w:r w:rsidRPr="008164A1">
        <w:rPr>
          <w:lang w:val="en-GB"/>
        </w:rPr>
        <w:t xml:space="preserve"> Parrish, R. (2003)</w:t>
      </w:r>
      <w:r w:rsidRPr="001A3612">
        <w:rPr>
          <w:lang w:val="en-GB"/>
        </w:rPr>
        <w:t xml:space="preserve">. Sports law and policy in the European Union, Manchester: Manchester University Press, 2003. </w:t>
      </w:r>
    </w:p>
  </w:footnote>
  <w:footnote w:id="13">
    <w:p w:rsidR="00B87304" w:rsidRPr="008164A1" w:rsidRDefault="00B87304">
      <w:pPr>
        <w:pStyle w:val="Testonotaapidipagina"/>
        <w:rPr>
          <w:lang w:val="en-GB"/>
        </w:rPr>
      </w:pPr>
      <w:r>
        <w:rPr>
          <w:rStyle w:val="Rimandonotaapidipagina"/>
        </w:rPr>
        <w:footnoteRef/>
      </w:r>
      <w:r w:rsidRPr="008164A1">
        <w:rPr>
          <w:lang w:val="en-GB"/>
        </w:rPr>
        <w:t xml:space="preserve"> Colucci, M. (Ed.). (2004). European Sports Law and Policy Bulletin. Issue 1/2004. Sports Law and Policy Centre. </w:t>
      </w:r>
    </w:p>
  </w:footnote>
  <w:footnote w:id="14">
    <w:p w:rsidR="00B87304" w:rsidRPr="008164A1" w:rsidRDefault="00B87304">
      <w:pPr>
        <w:pStyle w:val="Testonotaapidipagina"/>
        <w:rPr>
          <w:lang w:val="en-GB"/>
        </w:rPr>
      </w:pPr>
      <w:r>
        <w:rPr>
          <w:rStyle w:val="Rimandonotaapidipagina"/>
        </w:rPr>
        <w:footnoteRef/>
      </w:r>
      <w:r w:rsidRPr="008164A1">
        <w:rPr>
          <w:lang w:val="en-GB"/>
        </w:rPr>
        <w:t xml:space="preserve"> García, B., Bernstein, A. (2009). Sports Broadcasting: Approaches to Co-Regulation. Routledge. </w:t>
      </w:r>
    </w:p>
  </w:footnote>
  <w:footnote w:id="15">
    <w:p w:rsidR="00B87304" w:rsidRPr="008164A1" w:rsidRDefault="00B87304">
      <w:pPr>
        <w:pStyle w:val="Testonotaapidipagina"/>
        <w:rPr>
          <w:lang w:val="en-GB"/>
        </w:rPr>
      </w:pPr>
      <w:r>
        <w:rPr>
          <w:rStyle w:val="Rimandonotaapidipagina"/>
        </w:rPr>
        <w:footnoteRef/>
      </w:r>
      <w:r w:rsidRPr="008164A1">
        <w:rPr>
          <w:lang w:val="en-GB"/>
        </w:rPr>
        <w:t xml:space="preserve"> </w:t>
      </w:r>
      <w:proofErr w:type="spellStart"/>
      <w:r w:rsidRPr="008164A1">
        <w:rPr>
          <w:lang w:val="en-GB"/>
        </w:rPr>
        <w:t>Bogusz</w:t>
      </w:r>
      <w:proofErr w:type="spellEnd"/>
      <w:r w:rsidRPr="008164A1">
        <w:rPr>
          <w:lang w:val="en-GB"/>
        </w:rPr>
        <w:t xml:space="preserve">, B., </w:t>
      </w:r>
      <w:proofErr w:type="spellStart"/>
      <w:r w:rsidRPr="008164A1">
        <w:rPr>
          <w:lang w:val="en-GB"/>
        </w:rPr>
        <w:t>Cygan</w:t>
      </w:r>
      <w:proofErr w:type="spellEnd"/>
      <w:r w:rsidRPr="008164A1">
        <w:rPr>
          <w:lang w:val="en-GB"/>
        </w:rPr>
        <w:t xml:space="preserve">, A., &amp; </w:t>
      </w:r>
      <w:proofErr w:type="spellStart"/>
      <w:r w:rsidRPr="008164A1">
        <w:rPr>
          <w:lang w:val="en-GB"/>
        </w:rPr>
        <w:t>Szyszczak</w:t>
      </w:r>
      <w:proofErr w:type="spellEnd"/>
      <w:r w:rsidRPr="008164A1">
        <w:rPr>
          <w:lang w:val="en-GB"/>
        </w:rPr>
        <w:t xml:space="preserve">, E. (Eds.). (2007). The Regulation of Sport in the European Union. Edward Elgar Publishing. </w:t>
      </w:r>
    </w:p>
  </w:footnote>
  <w:footnote w:id="16">
    <w:p w:rsidR="00B87304" w:rsidRPr="008926B5" w:rsidRDefault="00B87304">
      <w:pPr>
        <w:pStyle w:val="Testonotaapidipagina"/>
        <w:rPr>
          <w:lang w:val="en-GB"/>
        </w:rPr>
      </w:pPr>
      <w:r>
        <w:rPr>
          <w:rStyle w:val="Rimandonotaapidipagina"/>
        </w:rPr>
        <w:footnoteRef/>
      </w:r>
      <w:r w:rsidRPr="00DC3C3E">
        <w:rPr>
          <w:lang w:val="en-GB"/>
        </w:rPr>
        <w:t xml:space="preserve"> Szymanski, S. (2006). The economic evolution of sport and broadcasting. In W. </w:t>
      </w:r>
      <w:proofErr w:type="spellStart"/>
      <w:r w:rsidRPr="00DC3C3E">
        <w:rPr>
          <w:lang w:val="en-GB"/>
        </w:rPr>
        <w:t>Andreff</w:t>
      </w:r>
      <w:proofErr w:type="spellEnd"/>
      <w:r w:rsidRPr="00DC3C3E">
        <w:rPr>
          <w:lang w:val="en-GB"/>
        </w:rPr>
        <w:t xml:space="preserve"> &amp; S. Szymanski (Eds.), Handbook on the Economics of Sport (pp. 661-671). </w:t>
      </w:r>
      <w:r w:rsidRPr="008926B5">
        <w:rPr>
          <w:lang w:val="en-GB"/>
        </w:rPr>
        <w:t>Edward Elgar Publishing</w:t>
      </w:r>
      <w:r w:rsidR="009F53AD">
        <w:rPr>
          <w:lang w:val="en-GB"/>
        </w:rPr>
        <w:t>.</w:t>
      </w:r>
    </w:p>
  </w:footnote>
  <w:footnote w:id="17">
    <w:p w:rsidR="00B87304" w:rsidRPr="003B02FC" w:rsidRDefault="00B87304">
      <w:pPr>
        <w:pStyle w:val="Testonotaapidipagina"/>
        <w:rPr>
          <w:lang w:val="en-GB"/>
        </w:rPr>
      </w:pPr>
      <w:r>
        <w:rPr>
          <w:rStyle w:val="Rimandonotaapidipagina"/>
        </w:rPr>
        <w:footnoteRef/>
      </w:r>
      <w:r w:rsidRPr="003B02FC">
        <w:rPr>
          <w:lang w:val="en-GB"/>
        </w:rPr>
        <w:t xml:space="preserve"> </w:t>
      </w:r>
      <w:proofErr w:type="spellStart"/>
      <w:r w:rsidRPr="003C03C8">
        <w:rPr>
          <w:lang w:val="en-GB"/>
        </w:rPr>
        <w:t>Peeters</w:t>
      </w:r>
      <w:proofErr w:type="spellEnd"/>
      <w:r w:rsidRPr="003C03C8">
        <w:rPr>
          <w:lang w:val="en-GB"/>
        </w:rPr>
        <w:t xml:space="preserve">, T. (2009). Broadcasting rights and competitive balance in European soccer. </w:t>
      </w:r>
      <w:r w:rsidRPr="001661C4">
        <w:rPr>
          <w:lang w:val="en-GB"/>
        </w:rPr>
        <w:t>International Journal of Sport Finance, 2011, vol. 6, issue 1, 23-39</w:t>
      </w:r>
      <w:r>
        <w:rPr>
          <w:lang w:val="en-GB"/>
        </w:rPr>
        <w:t>.</w:t>
      </w:r>
    </w:p>
  </w:footnote>
  <w:footnote w:id="18">
    <w:p w:rsidR="00B87304" w:rsidRPr="00E036A5" w:rsidRDefault="00B87304">
      <w:pPr>
        <w:pStyle w:val="Testonotaapidipagina"/>
        <w:rPr>
          <w:lang w:val="en-GB"/>
        </w:rPr>
      </w:pPr>
      <w:r>
        <w:rPr>
          <w:rStyle w:val="Rimandonotaapidipagina"/>
        </w:rPr>
        <w:footnoteRef/>
      </w:r>
      <w:r w:rsidRPr="00E036A5">
        <w:rPr>
          <w:lang w:val="en-GB"/>
        </w:rPr>
        <w:t xml:space="preserve"> </w:t>
      </w:r>
      <w:proofErr w:type="spellStart"/>
      <w:r w:rsidRPr="00E036A5">
        <w:rPr>
          <w:lang w:val="en-GB"/>
        </w:rPr>
        <w:t>Geradin</w:t>
      </w:r>
      <w:proofErr w:type="spellEnd"/>
      <w:r w:rsidRPr="00E036A5">
        <w:rPr>
          <w:lang w:val="en-GB"/>
        </w:rPr>
        <w:t>, D. (2005). Access to content by new media platforms: A review of the competition law problems. European Law Review, 30(1), 68-94.</w:t>
      </w:r>
    </w:p>
  </w:footnote>
  <w:footnote w:id="19">
    <w:p w:rsidR="00B87304" w:rsidRPr="00E036A5" w:rsidRDefault="00B87304">
      <w:pPr>
        <w:pStyle w:val="Testonotaapidipagina"/>
        <w:rPr>
          <w:lang w:val="en-GB"/>
        </w:rPr>
      </w:pPr>
      <w:r>
        <w:rPr>
          <w:rStyle w:val="Rimandonotaapidipagina"/>
        </w:rPr>
        <w:footnoteRef/>
      </w:r>
      <w:r w:rsidRPr="00E036A5">
        <w:rPr>
          <w:lang w:val="en-GB"/>
        </w:rPr>
        <w:t xml:space="preserve"> See European Commission, "White Paper on Sports," 2007</w:t>
      </w:r>
      <w:r>
        <w:rPr>
          <w:lang w:val="en-GB"/>
        </w:rPr>
        <w:t>.</w:t>
      </w:r>
    </w:p>
  </w:footnote>
  <w:footnote w:id="20">
    <w:p w:rsidR="00B87304" w:rsidRPr="00E036A5" w:rsidRDefault="00B87304">
      <w:pPr>
        <w:pStyle w:val="Testonotaapidipagina"/>
        <w:rPr>
          <w:lang w:val="en-GB"/>
        </w:rPr>
      </w:pPr>
      <w:r>
        <w:rPr>
          <w:rStyle w:val="Rimandonotaapidipagina"/>
        </w:rPr>
        <w:footnoteRef/>
      </w:r>
      <w:r w:rsidRPr="00E036A5">
        <w:rPr>
          <w:lang w:val="en-GB"/>
        </w:rPr>
        <w:t xml:space="preserve"> </w:t>
      </w:r>
      <w:proofErr w:type="spellStart"/>
      <w:r w:rsidRPr="00E036A5">
        <w:rPr>
          <w:lang w:val="en-GB"/>
        </w:rPr>
        <w:t>Budzinski</w:t>
      </w:r>
      <w:proofErr w:type="spellEnd"/>
      <w:r w:rsidRPr="00E036A5">
        <w:rPr>
          <w:lang w:val="en-GB"/>
        </w:rPr>
        <w:t>, O., &amp; Müller-Kock, A. (2022). The regulation of collective sale of football broadcasting rights in the new media world. International Journal of Sport Finance, 17(1), 34-52.</w:t>
      </w:r>
    </w:p>
  </w:footnote>
  <w:footnote w:id="21">
    <w:p w:rsidR="00B87304" w:rsidRPr="00E036A5" w:rsidRDefault="00B87304">
      <w:pPr>
        <w:pStyle w:val="Testonotaapidipagina"/>
        <w:rPr>
          <w:lang w:val="en-GB"/>
        </w:rPr>
      </w:pPr>
      <w:r>
        <w:rPr>
          <w:rStyle w:val="Rimandonotaapidipagina"/>
        </w:rPr>
        <w:footnoteRef/>
      </w:r>
      <w:r w:rsidRPr="00E036A5">
        <w:rPr>
          <w:lang w:val="en-GB"/>
        </w:rPr>
        <w:t xml:space="preserve"> </w:t>
      </w:r>
      <w:proofErr w:type="spellStart"/>
      <w:r w:rsidRPr="003C03C8">
        <w:rPr>
          <w:lang w:val="en-GB"/>
        </w:rPr>
        <w:t>Peeters</w:t>
      </w:r>
      <w:proofErr w:type="spellEnd"/>
      <w:r w:rsidRPr="003C03C8">
        <w:rPr>
          <w:lang w:val="en-GB"/>
        </w:rPr>
        <w:t xml:space="preserve">, T. (2009). Broadcasting rights and competitive balance in European soccer. </w:t>
      </w:r>
      <w:r w:rsidRPr="001661C4">
        <w:rPr>
          <w:lang w:val="en-GB"/>
        </w:rPr>
        <w:t>International Journal of Sport Finance, 2011, vol. 6, issue 1, 23-39</w:t>
      </w:r>
      <w:r>
        <w:rPr>
          <w:lang w:val="en-GB"/>
        </w:rPr>
        <w:t>.</w:t>
      </w:r>
    </w:p>
  </w:footnote>
  <w:footnote w:id="22">
    <w:p w:rsidR="00B87304" w:rsidRPr="00E036A5" w:rsidRDefault="00B87304">
      <w:pPr>
        <w:pStyle w:val="Testonotaapidipagina"/>
        <w:rPr>
          <w:lang w:val="en-GB"/>
        </w:rPr>
      </w:pPr>
      <w:r>
        <w:rPr>
          <w:rStyle w:val="Rimandonotaapidipagina"/>
        </w:rPr>
        <w:footnoteRef/>
      </w:r>
      <w:r w:rsidRPr="00E036A5">
        <w:rPr>
          <w:lang w:val="en-GB"/>
        </w:rPr>
        <w:t xml:space="preserve"> </w:t>
      </w:r>
      <w:proofErr w:type="spellStart"/>
      <w:r w:rsidRPr="003C03C8">
        <w:rPr>
          <w:lang w:val="en-GB"/>
        </w:rPr>
        <w:t>Peeters</w:t>
      </w:r>
      <w:proofErr w:type="spellEnd"/>
      <w:r w:rsidRPr="003C03C8">
        <w:rPr>
          <w:lang w:val="en-GB"/>
        </w:rPr>
        <w:t xml:space="preserve">, T. (2009). Broadcasting rights and competitive balance in European soccer. </w:t>
      </w:r>
      <w:r w:rsidRPr="001661C4">
        <w:rPr>
          <w:lang w:val="en-GB"/>
        </w:rPr>
        <w:t>International Journal of Sport Finance, 2011, vol. 6, issue 1, 23-39</w:t>
      </w:r>
      <w:r>
        <w:rPr>
          <w:lang w:val="en-GB"/>
        </w:rPr>
        <w:t>.</w:t>
      </w:r>
    </w:p>
  </w:footnote>
  <w:footnote w:id="23">
    <w:p w:rsidR="00B87304" w:rsidRPr="008926B5" w:rsidRDefault="00B87304">
      <w:pPr>
        <w:pStyle w:val="Testonotaapidipagina"/>
        <w:rPr>
          <w:lang w:val="en-GB"/>
        </w:rPr>
      </w:pPr>
      <w:r>
        <w:rPr>
          <w:rStyle w:val="Rimandonotaapidipagina"/>
        </w:rPr>
        <w:footnoteRef/>
      </w:r>
      <w:r w:rsidRPr="00E036A5">
        <w:rPr>
          <w:lang w:val="en-GB"/>
        </w:rPr>
        <w:t xml:space="preserve"> </w:t>
      </w:r>
      <w:proofErr w:type="spellStart"/>
      <w:r w:rsidRPr="003C03C8">
        <w:rPr>
          <w:lang w:val="en-GB"/>
        </w:rPr>
        <w:t>Peeters</w:t>
      </w:r>
      <w:proofErr w:type="spellEnd"/>
      <w:r w:rsidRPr="003C03C8">
        <w:rPr>
          <w:lang w:val="en-GB"/>
        </w:rPr>
        <w:t xml:space="preserve">, T. (2009). Broadcasting rights and competitive balance in European soccer. </w:t>
      </w:r>
      <w:r w:rsidRPr="001661C4">
        <w:rPr>
          <w:lang w:val="en-GB"/>
        </w:rPr>
        <w:t>International Journal of Sport Finance, 2011, vol. 6, issue 1, 23-39</w:t>
      </w:r>
      <w:r>
        <w:rPr>
          <w:lang w:val="en-GB"/>
        </w:rPr>
        <w:t>.</w:t>
      </w:r>
    </w:p>
  </w:footnote>
  <w:footnote w:id="24">
    <w:p w:rsidR="00B87304" w:rsidRPr="003C03C8" w:rsidRDefault="00B87304">
      <w:pPr>
        <w:pStyle w:val="Testonotaapidipagina"/>
        <w:rPr>
          <w:lang w:val="en-GB"/>
        </w:rPr>
      </w:pPr>
      <w:r>
        <w:rPr>
          <w:rStyle w:val="Rimandonotaapidipagina"/>
        </w:rPr>
        <w:footnoteRef/>
      </w:r>
      <w:r w:rsidRPr="003C03C8">
        <w:rPr>
          <w:lang w:val="en-GB"/>
        </w:rPr>
        <w:t xml:space="preserve"> </w:t>
      </w:r>
      <w:proofErr w:type="spellStart"/>
      <w:r w:rsidRPr="003C03C8">
        <w:rPr>
          <w:lang w:val="en-GB"/>
        </w:rPr>
        <w:t>Geradin</w:t>
      </w:r>
      <w:proofErr w:type="spellEnd"/>
      <w:r w:rsidRPr="003C03C8">
        <w:rPr>
          <w:lang w:val="en-GB"/>
        </w:rPr>
        <w:t>, D. (2005). Access to content by new media platforms: A review of the competition law problems. European Law Review, 30(1), 68-94.</w:t>
      </w:r>
    </w:p>
  </w:footnote>
  <w:footnote w:id="25">
    <w:p w:rsidR="00B87304" w:rsidRPr="00E036A5" w:rsidRDefault="00B87304">
      <w:pPr>
        <w:pStyle w:val="Testonotaapidipagina"/>
        <w:rPr>
          <w:lang w:val="en-GB"/>
        </w:rPr>
      </w:pPr>
      <w:r>
        <w:rPr>
          <w:rStyle w:val="Rimandonotaapidipagina"/>
        </w:rPr>
        <w:footnoteRef/>
      </w:r>
      <w:r w:rsidRPr="003C03C8">
        <w:rPr>
          <w:lang w:val="en-GB"/>
        </w:rPr>
        <w:t xml:space="preserve"> Brand, A., &amp; Niemann, A. (2008). The impact of European integration on domestic sport: The case of German football. </w:t>
      </w:r>
      <w:r w:rsidRPr="00E036A5">
        <w:rPr>
          <w:lang w:val="en-GB"/>
        </w:rPr>
        <w:t xml:space="preserve">European Sport Management Quarterly, 8(1), 67-93. </w:t>
      </w:r>
    </w:p>
  </w:footnote>
  <w:footnote w:id="26">
    <w:p w:rsidR="00B87304" w:rsidRPr="008926B5" w:rsidRDefault="00B87304">
      <w:pPr>
        <w:pStyle w:val="Testonotaapidipagina"/>
        <w:rPr>
          <w:lang w:val="en-GB"/>
        </w:rPr>
      </w:pPr>
      <w:r>
        <w:rPr>
          <w:rStyle w:val="Rimandonotaapidipagina"/>
        </w:rPr>
        <w:footnoteRef/>
      </w:r>
      <w:r w:rsidRPr="00AD0747">
        <w:rPr>
          <w:lang w:val="en-GB"/>
        </w:rPr>
        <w:t xml:space="preserve"> Smith, R. (2020). The economics of sports broadcasting: A European perspective. </w:t>
      </w:r>
      <w:r w:rsidRPr="008926B5">
        <w:rPr>
          <w:lang w:val="en-GB"/>
        </w:rPr>
        <w:t xml:space="preserve">Media, Culture &amp; Society, 42(4), 571-586. </w:t>
      </w:r>
    </w:p>
  </w:footnote>
  <w:footnote w:id="27">
    <w:p w:rsidR="00B87304" w:rsidRPr="00E036A5" w:rsidRDefault="00B87304">
      <w:pPr>
        <w:pStyle w:val="Testonotaapidipagina"/>
        <w:rPr>
          <w:lang w:val="en-GB"/>
        </w:rPr>
      </w:pPr>
      <w:r>
        <w:rPr>
          <w:rStyle w:val="Rimandonotaapidipagina"/>
        </w:rPr>
        <w:footnoteRef/>
      </w:r>
      <w:r w:rsidRPr="00E036A5">
        <w:rPr>
          <w:lang w:val="en-GB"/>
        </w:rPr>
        <w:t xml:space="preserve"> </w:t>
      </w:r>
      <w:proofErr w:type="spellStart"/>
      <w:r w:rsidRPr="003C03C8">
        <w:rPr>
          <w:lang w:val="en-GB"/>
        </w:rPr>
        <w:t>Geradin</w:t>
      </w:r>
      <w:proofErr w:type="spellEnd"/>
      <w:r w:rsidRPr="003C03C8">
        <w:rPr>
          <w:lang w:val="en-GB"/>
        </w:rPr>
        <w:t>, D. (2005). Access to content by new media platforms: A review of the competition law problems. European Law Review, 30(1), 68-94.</w:t>
      </w:r>
    </w:p>
  </w:footnote>
  <w:footnote w:id="28">
    <w:p w:rsidR="00B87304" w:rsidRPr="00E036A5" w:rsidRDefault="00B87304" w:rsidP="00E036A5">
      <w:pPr>
        <w:pStyle w:val="Testonotaapidipagina"/>
        <w:rPr>
          <w:lang w:val="en-GB"/>
        </w:rPr>
      </w:pPr>
      <w:r>
        <w:rPr>
          <w:rStyle w:val="Rimandonotaapidipagina"/>
        </w:rPr>
        <w:footnoteRef/>
      </w:r>
      <w:r w:rsidRPr="00E036A5">
        <w:rPr>
          <w:lang w:val="en-GB"/>
        </w:rPr>
        <w:t xml:space="preserve"> </w:t>
      </w:r>
      <w:proofErr w:type="spellStart"/>
      <w:r w:rsidRPr="00E036A5">
        <w:rPr>
          <w:lang w:val="en-GB"/>
        </w:rPr>
        <w:t>Budzinski</w:t>
      </w:r>
      <w:proofErr w:type="spellEnd"/>
      <w:r w:rsidRPr="00E036A5">
        <w:rPr>
          <w:lang w:val="en-GB"/>
        </w:rPr>
        <w:t>, O., &amp; Müller-Kock, A. (2022). The regulation of collective sale of football broadcasting rights in the new media world. International Journal of Sport Finance, 17(1), 34-52.</w:t>
      </w:r>
    </w:p>
  </w:footnote>
  <w:footnote w:id="29">
    <w:p w:rsidR="00B87304" w:rsidRPr="00AD0747" w:rsidRDefault="00B87304">
      <w:pPr>
        <w:pStyle w:val="Testonotaapidipagina"/>
        <w:rPr>
          <w:lang w:val="en-GB"/>
        </w:rPr>
      </w:pPr>
      <w:r>
        <w:rPr>
          <w:rStyle w:val="Rimandonotaapidipagina"/>
        </w:rPr>
        <w:footnoteRef/>
      </w:r>
      <w:r w:rsidRPr="00E036A5">
        <w:rPr>
          <w:lang w:val="en-GB"/>
        </w:rPr>
        <w:t xml:space="preserve"> Smith, R., Evens, T., &amp; </w:t>
      </w:r>
      <w:proofErr w:type="spellStart"/>
      <w:r w:rsidRPr="00E036A5">
        <w:rPr>
          <w:lang w:val="en-GB"/>
        </w:rPr>
        <w:t>Iosifidis</w:t>
      </w:r>
      <w:proofErr w:type="spellEnd"/>
      <w:r w:rsidRPr="00E036A5">
        <w:rPr>
          <w:lang w:val="en-GB"/>
        </w:rPr>
        <w:t>, P. (2016). The Regulation of Television: A Comparative Study of Digital Broadcasting in the US and Europe. Palgrave Macmillan.</w:t>
      </w:r>
    </w:p>
  </w:footnote>
  <w:footnote w:id="30">
    <w:p w:rsidR="00B87304" w:rsidRPr="00AD0747" w:rsidRDefault="00B87304">
      <w:pPr>
        <w:pStyle w:val="Testonotaapidipagina"/>
        <w:rPr>
          <w:lang w:val="en-GB"/>
        </w:rPr>
      </w:pPr>
      <w:r>
        <w:rPr>
          <w:rStyle w:val="Rimandonotaapidipagina"/>
        </w:rPr>
        <w:footnoteRef/>
      </w:r>
      <w:r w:rsidRPr="00AD0747">
        <w:rPr>
          <w:lang w:val="en-GB"/>
        </w:rPr>
        <w:t xml:space="preserve"> Lopez, M. (2017). Broadcasting rights and competitive balance in Spanish football. International Journal of Sports Marketing and Sponsorship, 18(1), 23-39. </w:t>
      </w:r>
    </w:p>
  </w:footnote>
  <w:footnote w:id="31">
    <w:p w:rsidR="00B87304" w:rsidRPr="00A51C7F" w:rsidRDefault="00B87304">
      <w:pPr>
        <w:pStyle w:val="Testonotaapidipagina"/>
        <w:rPr>
          <w:lang w:val="en-GB"/>
        </w:rPr>
      </w:pPr>
      <w:r>
        <w:rPr>
          <w:rStyle w:val="Rimandonotaapidipagina"/>
        </w:rPr>
        <w:footnoteRef/>
      </w:r>
      <w:r w:rsidRPr="00A51C7F">
        <w:rPr>
          <w:lang w:val="en-GB"/>
        </w:rPr>
        <w:t xml:space="preserve"> Smith, J. (2007). "Broadcasting Rights and Competition Law in the UK." Journal of Media Law, 9(3), 145-158.</w:t>
      </w:r>
    </w:p>
  </w:footnote>
  <w:footnote w:id="32">
    <w:p w:rsidR="00B87304" w:rsidRPr="00A51C7F" w:rsidRDefault="00B87304">
      <w:pPr>
        <w:pStyle w:val="Testonotaapidipagina"/>
        <w:rPr>
          <w:lang w:val="en-GB"/>
        </w:rPr>
      </w:pPr>
      <w:r>
        <w:rPr>
          <w:rStyle w:val="Rimandonotaapidipagina"/>
        </w:rPr>
        <w:footnoteRef/>
      </w:r>
      <w:r w:rsidRPr="00A51C7F">
        <w:rPr>
          <w:lang w:val="en-GB"/>
        </w:rPr>
        <w:t xml:space="preserve"> Jones, R. (2008). "The Premier League and Broadcasting Rights: Ensuring Fair Competition." European Sports Law Review, 12(4), 223-237.</w:t>
      </w:r>
    </w:p>
  </w:footnote>
  <w:footnote w:id="33">
    <w:p w:rsidR="00B87304" w:rsidRPr="00A51C7F" w:rsidRDefault="00B87304">
      <w:pPr>
        <w:pStyle w:val="Testonotaapidipagina"/>
        <w:rPr>
          <w:lang w:val="en-GB"/>
        </w:rPr>
      </w:pPr>
      <w:r>
        <w:rPr>
          <w:rStyle w:val="Rimandonotaapidipagina"/>
        </w:rPr>
        <w:footnoteRef/>
      </w:r>
      <w:r w:rsidRPr="00A51C7F">
        <w:rPr>
          <w:lang w:val="en-GB"/>
        </w:rPr>
        <w:t xml:space="preserve"> Müller, H. (2006). "</w:t>
      </w:r>
      <w:proofErr w:type="spellStart"/>
      <w:r w:rsidRPr="00A51C7F">
        <w:rPr>
          <w:lang w:val="en-GB"/>
        </w:rPr>
        <w:t>Bundeskartellamt</w:t>
      </w:r>
      <w:proofErr w:type="spellEnd"/>
      <w:r w:rsidRPr="00A51C7F">
        <w:rPr>
          <w:lang w:val="en-GB"/>
        </w:rPr>
        <w:t xml:space="preserve"> and the Regulation of Bundesliga Broadcasting Rights." German Competition Journal, 18(2), 87-101.</w:t>
      </w:r>
    </w:p>
  </w:footnote>
  <w:footnote w:id="34">
    <w:p w:rsidR="00B87304" w:rsidRPr="00A51C7F" w:rsidRDefault="00B87304">
      <w:pPr>
        <w:pStyle w:val="Testonotaapidipagina"/>
        <w:rPr>
          <w:lang w:val="en-GB"/>
        </w:rPr>
      </w:pPr>
      <w:r>
        <w:rPr>
          <w:rStyle w:val="Rimandonotaapidipagina"/>
        </w:rPr>
        <w:footnoteRef/>
      </w:r>
      <w:r w:rsidRPr="00A51C7F">
        <w:rPr>
          <w:lang w:val="en-GB"/>
        </w:rPr>
        <w:t xml:space="preserve"> Dubois, P. (2005). "The French Competition Authority and Ligue 1 Broadcasting Rights." French Journal of Media Studies, 22(1), 34-49.</w:t>
      </w:r>
    </w:p>
  </w:footnote>
  <w:footnote w:id="35">
    <w:p w:rsidR="00B87304" w:rsidRPr="00A51C7F" w:rsidRDefault="00B87304">
      <w:pPr>
        <w:pStyle w:val="Testonotaapidipagina"/>
        <w:rPr>
          <w:lang w:val="en-GB"/>
        </w:rPr>
      </w:pPr>
      <w:r>
        <w:rPr>
          <w:rStyle w:val="Rimandonotaapidipagina"/>
        </w:rPr>
        <w:footnoteRef/>
      </w:r>
      <w:r w:rsidRPr="00A51C7F">
        <w:rPr>
          <w:lang w:val="en-GB"/>
        </w:rPr>
        <w:t xml:space="preserve"> Lefebvre, C. (2006). "Regulating Football Broadcasting in France: The Ligue de Football </w:t>
      </w:r>
      <w:proofErr w:type="spellStart"/>
      <w:r w:rsidRPr="00A51C7F">
        <w:rPr>
          <w:lang w:val="en-GB"/>
        </w:rPr>
        <w:t>Professionnel</w:t>
      </w:r>
      <w:proofErr w:type="spellEnd"/>
      <w:r w:rsidRPr="00A51C7F">
        <w:rPr>
          <w:lang w:val="en-GB"/>
        </w:rPr>
        <w:t>." European Competition Law Review, 14(2), 99-113.</w:t>
      </w:r>
    </w:p>
  </w:footnote>
  <w:footnote w:id="36">
    <w:p w:rsidR="00B87304" w:rsidRPr="00A51C7F" w:rsidRDefault="00B87304">
      <w:pPr>
        <w:pStyle w:val="Testonotaapidipagina"/>
        <w:rPr>
          <w:lang w:val="en-GB"/>
        </w:rPr>
      </w:pPr>
      <w:r>
        <w:rPr>
          <w:rStyle w:val="Rimandonotaapidipagina"/>
        </w:rPr>
        <w:footnoteRef/>
      </w:r>
      <w:r w:rsidRPr="00A51C7F">
        <w:rPr>
          <w:lang w:val="en-GB"/>
        </w:rPr>
        <w:t xml:space="preserve"> Code du Sport, Article L333-1 to L333-4</w:t>
      </w:r>
      <w:r>
        <w:rPr>
          <w:lang w:val="en-GB"/>
        </w:rPr>
        <w:t>.</w:t>
      </w:r>
    </w:p>
  </w:footnote>
  <w:footnote w:id="37">
    <w:p w:rsidR="00B87304" w:rsidRPr="003B02FC" w:rsidRDefault="00B87304">
      <w:pPr>
        <w:pStyle w:val="Testonotaapidipagina"/>
        <w:rPr>
          <w:lang w:val="en-GB"/>
        </w:rPr>
      </w:pPr>
      <w:r>
        <w:rPr>
          <w:rStyle w:val="Rimandonotaapidipagina"/>
        </w:rPr>
        <w:footnoteRef/>
      </w:r>
      <w:r w:rsidRPr="003B02FC">
        <w:rPr>
          <w:lang w:val="en-GB"/>
        </w:rPr>
        <w:t xml:space="preserve"> Rossi, A. (2009). "AGCM and Serie A: Implementing the EC’s Guidelines on Broadcasting Rights." Italian Journal of Competition Law, 11(3), 157-172.</w:t>
      </w:r>
    </w:p>
  </w:footnote>
  <w:footnote w:id="38">
    <w:p w:rsidR="00B87304" w:rsidRPr="00A51C7F" w:rsidRDefault="00B87304">
      <w:pPr>
        <w:pStyle w:val="Testonotaapidipagina"/>
        <w:rPr>
          <w:lang w:val="en-GB"/>
        </w:rPr>
      </w:pPr>
      <w:r>
        <w:rPr>
          <w:rStyle w:val="Rimandonotaapidipagina"/>
        </w:rPr>
        <w:footnoteRef/>
      </w:r>
      <w:r w:rsidRPr="00A51C7F">
        <w:rPr>
          <w:lang w:val="en-GB"/>
        </w:rPr>
        <w:t xml:space="preserve"> Bianchi, M. (2010). "Reforming Broadcasting Rights in Italian Football." Sports and Competition Law, 6(4), 244-258.</w:t>
      </w:r>
    </w:p>
  </w:footnote>
  <w:footnote w:id="39">
    <w:p w:rsidR="00B87304" w:rsidRPr="00E03567" w:rsidRDefault="00B87304" w:rsidP="00F97BE6">
      <w:pPr>
        <w:pStyle w:val="Testonotaapidipagina"/>
        <w:rPr>
          <w:lang w:val="en-GB"/>
        </w:rPr>
      </w:pPr>
      <w:r>
        <w:rPr>
          <w:rStyle w:val="Rimandonotaapidipagina"/>
        </w:rPr>
        <w:footnoteRef/>
      </w:r>
      <w:r w:rsidRPr="00E03567">
        <w:rPr>
          <w:lang w:val="en-GB"/>
        </w:rPr>
        <w:t xml:space="preserve"> The Legislative Decree No. 9 of January 9, 2008</w:t>
      </w:r>
      <w:r>
        <w:rPr>
          <w:lang w:val="en-GB"/>
        </w:rPr>
        <w:t xml:space="preserve">, </w:t>
      </w:r>
      <w:r w:rsidRPr="00E03567">
        <w:rPr>
          <w:lang w:val="en-GB"/>
        </w:rPr>
        <w:t>is named after the then Minister of Sports "</w:t>
      </w:r>
      <w:proofErr w:type="spellStart"/>
      <w:r w:rsidRPr="00E03567">
        <w:rPr>
          <w:lang w:val="en-GB"/>
        </w:rPr>
        <w:t>Decreto</w:t>
      </w:r>
      <w:proofErr w:type="spellEnd"/>
      <w:r w:rsidRPr="00E03567">
        <w:rPr>
          <w:lang w:val="en-GB"/>
        </w:rPr>
        <w:t xml:space="preserve"> </w:t>
      </w:r>
      <w:proofErr w:type="spellStart"/>
      <w:r w:rsidRPr="00E03567">
        <w:rPr>
          <w:lang w:val="en-GB"/>
        </w:rPr>
        <w:t>Melandri</w:t>
      </w:r>
      <w:proofErr w:type="spellEnd"/>
      <w:r w:rsidRPr="00E03567">
        <w:rPr>
          <w:lang w:val="en-GB"/>
        </w:rPr>
        <w:t xml:space="preserve">" refers to a piece of legislation. The decree regulates the distribution and sale of broadcasting rights for </w:t>
      </w:r>
      <w:r>
        <w:rPr>
          <w:lang w:val="en-GB"/>
        </w:rPr>
        <w:t xml:space="preserve">team </w:t>
      </w:r>
      <w:r w:rsidRPr="00E03567">
        <w:rPr>
          <w:lang w:val="en-GB"/>
        </w:rPr>
        <w:t>sports events</w:t>
      </w:r>
      <w:r>
        <w:rPr>
          <w:lang w:val="en-GB"/>
        </w:rPr>
        <w:t xml:space="preserve"> in Italy</w:t>
      </w:r>
      <w:r w:rsidRPr="00E03567">
        <w:rPr>
          <w:lang w:val="en-GB"/>
        </w:rPr>
        <w:t>, particularly focusing on football.</w:t>
      </w:r>
    </w:p>
  </w:footnote>
  <w:footnote w:id="40">
    <w:p w:rsidR="00B87304" w:rsidRPr="00CC092D" w:rsidRDefault="00B87304" w:rsidP="00CC092D">
      <w:pPr>
        <w:pStyle w:val="Testonotaapidipagina"/>
      </w:pPr>
      <w:r>
        <w:rPr>
          <w:rStyle w:val="Rimandonotaapidipagina"/>
        </w:rPr>
        <w:footnoteRef/>
      </w:r>
      <w:r w:rsidRPr="00725071">
        <w:rPr>
          <w:lang w:val="en-GB"/>
        </w:rPr>
        <w:t xml:space="preserve"> </w:t>
      </w:r>
      <w:r>
        <w:rPr>
          <w:lang w:val="en-GB"/>
        </w:rPr>
        <w:t xml:space="preserve">Enzo </w:t>
      </w:r>
      <w:r w:rsidRPr="00725071">
        <w:rPr>
          <w:lang w:val="en-GB"/>
        </w:rPr>
        <w:t xml:space="preserve">Morelli provides an in-depth analysis of </w:t>
      </w:r>
      <w:r>
        <w:rPr>
          <w:lang w:val="en-GB"/>
        </w:rPr>
        <w:t xml:space="preserve">the genesis and meaning of </w:t>
      </w:r>
      <w:r w:rsidRPr="00725071">
        <w:rPr>
          <w:lang w:val="en-GB"/>
        </w:rPr>
        <w:t xml:space="preserve">the </w:t>
      </w:r>
      <w:proofErr w:type="spellStart"/>
      <w:r w:rsidRPr="00725071">
        <w:rPr>
          <w:lang w:val="en-GB"/>
        </w:rPr>
        <w:t>Melandri</w:t>
      </w:r>
      <w:proofErr w:type="spellEnd"/>
      <w:r w:rsidRPr="00725071">
        <w:rPr>
          <w:lang w:val="en-GB"/>
        </w:rPr>
        <w:t xml:space="preserve"> Decree, discussing its impact on revenue distribution and competitive balance within Italian football. </w:t>
      </w:r>
      <w:r w:rsidRPr="0088680E">
        <w:t xml:space="preserve">Morelli E., I diritti audiovisivi sportivi. </w:t>
      </w:r>
      <w:r w:rsidRPr="00CC092D">
        <w:t>Manuale giuridico,</w:t>
      </w:r>
      <w:r>
        <w:t xml:space="preserve"> </w:t>
      </w:r>
      <w:r w:rsidRPr="00CC092D">
        <w:t>pratico e teorico, sui diritti di trasmissione degli eventi sportivi a</w:t>
      </w:r>
      <w:r>
        <w:t xml:space="preserve"> </w:t>
      </w:r>
      <w:r w:rsidRPr="00CC092D">
        <w:t>seguito della riforma Melandri, Milano, Giuffrè, 2012;</w:t>
      </w:r>
    </w:p>
  </w:footnote>
  <w:footnote w:id="41">
    <w:p w:rsidR="002D0944" w:rsidRPr="0088680E" w:rsidRDefault="002D0944">
      <w:pPr>
        <w:pStyle w:val="Testonotaapidipagina"/>
        <w:rPr>
          <w:lang w:val="es-ES"/>
        </w:rPr>
      </w:pPr>
      <w:r>
        <w:rPr>
          <w:rStyle w:val="Rimandonotaapidipagina"/>
        </w:rPr>
        <w:footnoteRef/>
      </w:r>
      <w:r w:rsidRPr="0088680E">
        <w:rPr>
          <w:lang w:val="es-ES"/>
        </w:rPr>
        <w:t xml:space="preserve"> </w:t>
      </w:r>
      <w:r w:rsidRPr="0088680E">
        <w:rPr>
          <w:i/>
          <w:lang w:val="es-ES"/>
        </w:rPr>
        <w:t>Real Decreto-ley 5/2015, de 30 de abril, de medidas urgentes en relación con la comercialización de los derechos de explotación de contenidos audiovisuales de las competiciones de fútbol profesional</w:t>
      </w:r>
      <w:r w:rsidRPr="0088680E">
        <w:rPr>
          <w:lang w:val="es-ES"/>
        </w:rPr>
        <w:t>.</w:t>
      </w:r>
    </w:p>
  </w:footnote>
  <w:footnote w:id="42">
    <w:p w:rsidR="00B87304" w:rsidRPr="00A51C7F" w:rsidRDefault="00B87304">
      <w:pPr>
        <w:pStyle w:val="Testonotaapidipagina"/>
        <w:rPr>
          <w:lang w:val="en-GB"/>
        </w:rPr>
      </w:pPr>
      <w:r>
        <w:rPr>
          <w:rStyle w:val="Rimandonotaapidipagina"/>
        </w:rPr>
        <w:footnoteRef/>
      </w:r>
      <w:r w:rsidRPr="0088680E">
        <w:rPr>
          <w:lang w:val="en-GB"/>
        </w:rPr>
        <w:t xml:space="preserve"> García, L. (2007). </w:t>
      </w:r>
      <w:r w:rsidRPr="00E036A5">
        <w:rPr>
          <w:lang w:val="en-GB"/>
        </w:rPr>
        <w:t>"The Spanish Competition Authority and La Liga’s Broadcasting Rights." Iberian Media Law Review, 10(1), 45-59.</w:t>
      </w:r>
    </w:p>
  </w:footnote>
  <w:footnote w:id="43">
    <w:p w:rsidR="00B87304" w:rsidRPr="00A51C7F" w:rsidRDefault="00B87304">
      <w:pPr>
        <w:pStyle w:val="Testonotaapidipagina"/>
        <w:rPr>
          <w:lang w:val="en-GB"/>
        </w:rPr>
      </w:pPr>
      <w:r>
        <w:rPr>
          <w:rStyle w:val="Rimandonotaapidipagina"/>
        </w:rPr>
        <w:footnoteRef/>
      </w:r>
      <w:r w:rsidRPr="00A51C7F">
        <w:rPr>
          <w:lang w:val="en-GB"/>
        </w:rPr>
        <w:t xml:space="preserve"> Fernández, J. (2008). "Adjusting La Liga’s Broadcasting Rights: Compliance with EC Directives." Spanish Journal of Competition and Media, 8(2), 120-135</w:t>
      </w:r>
    </w:p>
  </w:footnote>
  <w:footnote w:id="44">
    <w:p w:rsidR="00B87304" w:rsidRPr="00C84D91" w:rsidRDefault="00B87304" w:rsidP="001A3612">
      <w:pPr>
        <w:pStyle w:val="Testonotaapidipagina"/>
        <w:rPr>
          <w:lang w:val="en-GB"/>
        </w:rPr>
      </w:pPr>
      <w:r>
        <w:rPr>
          <w:rStyle w:val="Rimandonotaapidipagina"/>
        </w:rPr>
        <w:footnoteRef/>
      </w:r>
      <w:r w:rsidRPr="008926B5">
        <w:rPr>
          <w:lang w:val="en-GB"/>
        </w:rPr>
        <w:t xml:space="preserve"> Perez, L., Puente, J., &amp; Rodriguez, P. (2015). </w:t>
      </w:r>
      <w:r w:rsidRPr="00C84D91">
        <w:rPr>
          <w:lang w:val="en-GB"/>
        </w:rPr>
        <w:t xml:space="preserve">Are broadcast sporting events of ‘general interest’? A regional panel data analysis of TV ratings for Spain's La Liga. </w:t>
      </w:r>
      <w:r w:rsidRPr="001A3612">
        <w:rPr>
          <w:lang w:val="en-GB"/>
        </w:rPr>
        <w:t>Journal of Media Economics</w:t>
      </w:r>
      <w:r>
        <w:rPr>
          <w:lang w:val="en-GB"/>
        </w:rPr>
        <w:t xml:space="preserve">, </w:t>
      </w:r>
      <w:r w:rsidRPr="001A3612">
        <w:rPr>
          <w:lang w:val="en-GB"/>
        </w:rPr>
        <w:t>Volume 28, 2015 - Issue 1</w:t>
      </w:r>
      <w:r w:rsidRPr="00C84D91">
        <w:rPr>
          <w:lang w:val="en-GB"/>
        </w:rPr>
        <w:t xml:space="preserve">. </w:t>
      </w:r>
    </w:p>
  </w:footnote>
  <w:footnote w:id="45">
    <w:p w:rsidR="00B87304" w:rsidRPr="00E036A5" w:rsidRDefault="00B87304">
      <w:pPr>
        <w:pStyle w:val="Testonotaapidipagina"/>
        <w:rPr>
          <w:lang w:val="en-GB"/>
        </w:rPr>
      </w:pPr>
      <w:r>
        <w:rPr>
          <w:rStyle w:val="Rimandonotaapidipagina"/>
        </w:rPr>
        <w:footnoteRef/>
      </w:r>
      <w:r w:rsidRPr="00E036A5">
        <w:rPr>
          <w:lang w:val="en-GB"/>
        </w:rPr>
        <w:t xml:space="preserve"> The Television Exclusive Rights Act</w:t>
      </w:r>
      <w:r>
        <w:rPr>
          <w:lang w:val="en-GB"/>
        </w:rPr>
        <w:t>, applied since 1</w:t>
      </w:r>
      <w:r w:rsidRPr="00E036A5">
        <w:rPr>
          <w:vertAlign w:val="superscript"/>
          <w:lang w:val="en-GB"/>
        </w:rPr>
        <w:t>st</w:t>
      </w:r>
      <w:r>
        <w:rPr>
          <w:lang w:val="en-GB"/>
        </w:rPr>
        <w:t xml:space="preserve"> of August 2001</w:t>
      </w:r>
      <w:r w:rsidRPr="00E036A5">
        <w:rPr>
          <w:lang w:val="en-GB"/>
        </w:rPr>
        <w:t>.</w:t>
      </w:r>
    </w:p>
  </w:footnote>
  <w:footnote w:id="46">
    <w:p w:rsidR="00B87304" w:rsidRPr="00D80DA4" w:rsidRDefault="00B87304" w:rsidP="00D80DA4">
      <w:pPr>
        <w:pStyle w:val="Testonotaapidipagina"/>
        <w:rPr>
          <w:lang w:val="en-GB"/>
        </w:rPr>
      </w:pPr>
      <w:r>
        <w:rPr>
          <w:rStyle w:val="Rimandonotaapidipagina"/>
        </w:rPr>
        <w:footnoteRef/>
      </w:r>
      <w:r w:rsidRPr="00D80DA4">
        <w:rPr>
          <w:lang w:val="en-GB"/>
        </w:rPr>
        <w:t xml:space="preserve"> Belgian Competition Authority, </w:t>
      </w:r>
      <w:proofErr w:type="spellStart"/>
      <w:r w:rsidRPr="00D80DA4">
        <w:rPr>
          <w:lang w:val="en-GB"/>
        </w:rPr>
        <w:t>Jupiler</w:t>
      </w:r>
      <w:proofErr w:type="spellEnd"/>
      <w:r w:rsidRPr="00D80DA4">
        <w:rPr>
          <w:lang w:val="en-GB"/>
        </w:rPr>
        <w:t xml:space="preserve"> League / Belgacom Skynet, Cases MEDE-I/O-05/0025 and MEDE-P/K-05/0036, Decision n° 2005-I/O-40, 29 July 2005</w:t>
      </w:r>
      <w:r>
        <w:rPr>
          <w:lang w:val="en-GB"/>
        </w:rPr>
        <w:t>.</w:t>
      </w:r>
    </w:p>
  </w:footnote>
  <w:footnote w:id="47">
    <w:p w:rsidR="00235C99" w:rsidRPr="00235C99" w:rsidRDefault="00235C99">
      <w:pPr>
        <w:pStyle w:val="Testonotaapidipagina"/>
        <w:rPr>
          <w:lang w:val="en-GB"/>
        </w:rPr>
      </w:pPr>
      <w:r>
        <w:rPr>
          <w:rStyle w:val="Rimandonotaapidipagina"/>
        </w:rPr>
        <w:footnoteRef/>
      </w:r>
      <w:r w:rsidRPr="00235C99">
        <w:rPr>
          <w:lang w:val="en-GB"/>
        </w:rPr>
        <w:t xml:space="preserve"> Court of Appeal, 8th Chamber, Case 2005/MR/2 &amp; 2005/MR/5</w:t>
      </w:r>
      <w:r>
        <w:rPr>
          <w:lang w:val="en-GB"/>
        </w:rPr>
        <w:t>.</w:t>
      </w:r>
    </w:p>
  </w:footnote>
  <w:footnote w:id="48">
    <w:p w:rsidR="0019703B" w:rsidRPr="0019703B" w:rsidRDefault="0019703B" w:rsidP="0019703B">
      <w:pPr>
        <w:pStyle w:val="Testonotaapidipagina"/>
        <w:rPr>
          <w:lang w:val="en-GB"/>
        </w:rPr>
      </w:pPr>
      <w:r>
        <w:rPr>
          <w:rStyle w:val="Rimandonotaapidipagina"/>
        </w:rPr>
        <w:footnoteRef/>
      </w:r>
      <w:r w:rsidRPr="0019703B">
        <w:rPr>
          <w:lang w:val="en-GB"/>
        </w:rPr>
        <w:t xml:space="preserve"> </w:t>
      </w:r>
      <w:r>
        <w:rPr>
          <w:lang w:val="en-GB"/>
        </w:rPr>
        <w:t xml:space="preserve">See </w:t>
      </w:r>
      <w:r w:rsidRPr="0019703B">
        <w:rPr>
          <w:lang w:val="en-GB"/>
        </w:rPr>
        <w:t>KLASA: UP/I 034-03/20-01/013</w:t>
      </w:r>
      <w:r>
        <w:rPr>
          <w:lang w:val="en-GB"/>
        </w:rPr>
        <w:t xml:space="preserve"> decided on the 31</w:t>
      </w:r>
      <w:r w:rsidRPr="0019703B">
        <w:rPr>
          <w:vertAlign w:val="superscript"/>
          <w:lang w:val="en-GB"/>
        </w:rPr>
        <w:t>st</w:t>
      </w:r>
      <w:r>
        <w:rPr>
          <w:lang w:val="en-GB"/>
        </w:rPr>
        <w:t xml:space="preserve"> of July 2020 by the Croatian Competition Authority (</w:t>
      </w:r>
      <w:proofErr w:type="spellStart"/>
      <w:r w:rsidRPr="0019703B">
        <w:rPr>
          <w:i/>
          <w:lang w:val="en-GB"/>
        </w:rPr>
        <w:t>Agencija</w:t>
      </w:r>
      <w:proofErr w:type="spellEnd"/>
      <w:r w:rsidRPr="0019703B">
        <w:rPr>
          <w:i/>
          <w:lang w:val="en-GB"/>
        </w:rPr>
        <w:t xml:space="preserve"> za </w:t>
      </w:r>
      <w:proofErr w:type="spellStart"/>
      <w:r w:rsidRPr="0019703B">
        <w:rPr>
          <w:i/>
          <w:lang w:val="en-GB"/>
        </w:rPr>
        <w:t>zaštitu</w:t>
      </w:r>
      <w:proofErr w:type="spellEnd"/>
      <w:r w:rsidRPr="0019703B">
        <w:rPr>
          <w:i/>
          <w:lang w:val="en-GB"/>
        </w:rPr>
        <w:t xml:space="preserve"> </w:t>
      </w:r>
      <w:proofErr w:type="spellStart"/>
      <w:r w:rsidRPr="0019703B">
        <w:rPr>
          <w:i/>
          <w:lang w:val="en-GB"/>
        </w:rPr>
        <w:t>tržišnog</w:t>
      </w:r>
      <w:proofErr w:type="spellEnd"/>
      <w:r w:rsidRPr="0019703B">
        <w:rPr>
          <w:lang w:val="en-GB"/>
        </w:rPr>
        <w:t>)</w:t>
      </w:r>
    </w:p>
  </w:footnote>
  <w:footnote w:id="49">
    <w:p w:rsidR="00B87304" w:rsidRPr="00B12C23" w:rsidRDefault="00B87304">
      <w:pPr>
        <w:pStyle w:val="Testonotaapidipagina"/>
        <w:rPr>
          <w:lang w:val="en-GB"/>
        </w:rPr>
      </w:pPr>
      <w:r>
        <w:rPr>
          <w:rStyle w:val="Rimandonotaapidipagina"/>
        </w:rPr>
        <w:footnoteRef/>
      </w:r>
      <w:r w:rsidRPr="00B12C23">
        <w:rPr>
          <w:lang w:val="en-GB"/>
        </w:rPr>
        <w:t xml:space="preserve"> See OECD Annual Report on Competition Policy Developments in Croatia </w:t>
      </w:r>
      <w:r>
        <w:rPr>
          <w:lang w:val="en-GB"/>
        </w:rPr>
        <w:t xml:space="preserve">2020, </w:t>
      </w:r>
      <w:r w:rsidRPr="00B12C23">
        <w:rPr>
          <w:lang w:val="en-GB"/>
        </w:rPr>
        <w:t>DAF/COMP/</w:t>
      </w:r>
      <w:proofErr w:type="gramStart"/>
      <w:r w:rsidRPr="00B12C23">
        <w:rPr>
          <w:lang w:val="en-GB"/>
        </w:rPr>
        <w:t>AR(</w:t>
      </w:r>
      <w:proofErr w:type="gramEnd"/>
      <w:r w:rsidRPr="00B12C23">
        <w:rPr>
          <w:lang w:val="en-GB"/>
        </w:rPr>
        <w:t>2021)43</w:t>
      </w:r>
      <w:r>
        <w:rPr>
          <w:lang w:val="en-GB"/>
        </w:rPr>
        <w:t>.</w:t>
      </w:r>
    </w:p>
  </w:footnote>
  <w:footnote w:id="50">
    <w:p w:rsidR="00B87304" w:rsidRPr="00B12C23" w:rsidRDefault="00B87304">
      <w:pPr>
        <w:pStyle w:val="Testonotaapidipagina"/>
        <w:rPr>
          <w:lang w:val="en-GB"/>
        </w:rPr>
      </w:pPr>
      <w:r>
        <w:rPr>
          <w:rStyle w:val="Rimandonotaapidipagina"/>
        </w:rPr>
        <w:footnoteRef/>
      </w:r>
      <w:r w:rsidRPr="00B12C23">
        <w:rPr>
          <w:lang w:val="en-GB"/>
        </w:rPr>
        <w:t xml:space="preserve"> Civil Code and Copyright Act.</w:t>
      </w:r>
    </w:p>
  </w:footnote>
  <w:footnote w:id="51">
    <w:p w:rsidR="00B87304" w:rsidRPr="00B12C23" w:rsidRDefault="00B87304">
      <w:pPr>
        <w:pStyle w:val="Testonotaapidipagina"/>
        <w:rPr>
          <w:lang w:val="en-GB"/>
        </w:rPr>
      </w:pPr>
      <w:r>
        <w:rPr>
          <w:rStyle w:val="Rimandonotaapidipagina"/>
        </w:rPr>
        <w:footnoteRef/>
      </w:r>
      <w:r w:rsidRPr="00B12C23">
        <w:rPr>
          <w:lang w:val="en-GB"/>
        </w:rPr>
        <w:t xml:space="preserve"> The Office for the Protection of Competition</w:t>
      </w:r>
      <w:r>
        <w:rPr>
          <w:lang w:val="en-GB"/>
        </w:rPr>
        <w:t xml:space="preserve">, </w:t>
      </w:r>
      <w:proofErr w:type="spellStart"/>
      <w:r w:rsidRPr="00B12C23">
        <w:rPr>
          <w:i/>
          <w:lang w:val="en-GB"/>
        </w:rPr>
        <w:t>Úřad</w:t>
      </w:r>
      <w:proofErr w:type="spellEnd"/>
      <w:r w:rsidRPr="00B12C23">
        <w:rPr>
          <w:i/>
          <w:lang w:val="en-GB"/>
        </w:rPr>
        <w:t xml:space="preserve"> pro </w:t>
      </w:r>
      <w:proofErr w:type="spellStart"/>
      <w:r w:rsidRPr="00B12C23">
        <w:rPr>
          <w:i/>
          <w:lang w:val="en-GB"/>
        </w:rPr>
        <w:t>ochranu</w:t>
      </w:r>
      <w:proofErr w:type="spellEnd"/>
      <w:r w:rsidRPr="00B12C23">
        <w:rPr>
          <w:i/>
          <w:lang w:val="en-GB"/>
        </w:rPr>
        <w:t xml:space="preserve"> </w:t>
      </w:r>
      <w:proofErr w:type="spellStart"/>
      <w:r w:rsidRPr="00B12C23">
        <w:rPr>
          <w:i/>
          <w:lang w:val="en-GB"/>
        </w:rPr>
        <w:t>hospodářské</w:t>
      </w:r>
      <w:proofErr w:type="spellEnd"/>
      <w:r w:rsidRPr="00B12C23">
        <w:rPr>
          <w:i/>
          <w:lang w:val="en-GB"/>
        </w:rPr>
        <w:t xml:space="preserve"> </w:t>
      </w:r>
      <w:proofErr w:type="spellStart"/>
      <w:r w:rsidRPr="00B12C23">
        <w:rPr>
          <w:i/>
          <w:lang w:val="en-GB"/>
        </w:rPr>
        <w:t>soutěže</w:t>
      </w:r>
      <w:proofErr w:type="spellEnd"/>
      <w:r>
        <w:rPr>
          <w:lang w:val="en-GB"/>
        </w:rPr>
        <w:t>.</w:t>
      </w:r>
    </w:p>
  </w:footnote>
  <w:footnote w:id="52">
    <w:p w:rsidR="007B7FE3" w:rsidRPr="007B7FE3" w:rsidRDefault="007B7FE3">
      <w:pPr>
        <w:pStyle w:val="Testonotaapidipagina"/>
        <w:rPr>
          <w:lang w:val="en-GB"/>
        </w:rPr>
      </w:pPr>
      <w:r>
        <w:rPr>
          <w:rStyle w:val="Rimandonotaapidipagina"/>
        </w:rPr>
        <w:footnoteRef/>
      </w:r>
      <w:r w:rsidRPr="007B7FE3">
        <w:rPr>
          <w:lang w:val="en-GB"/>
        </w:rPr>
        <w:t xml:space="preserve"> </w:t>
      </w:r>
      <w:r>
        <w:rPr>
          <w:lang w:val="en-GB"/>
        </w:rPr>
        <w:t xml:space="preserve">See </w:t>
      </w:r>
      <w:proofErr w:type="spellStart"/>
      <w:r w:rsidRPr="007B7FE3">
        <w:rPr>
          <w:i/>
          <w:lang w:val="en-GB"/>
        </w:rPr>
        <w:t>Võlaõigusseadus</w:t>
      </w:r>
      <w:proofErr w:type="spellEnd"/>
      <w:r>
        <w:rPr>
          <w:i/>
          <w:lang w:val="en-GB"/>
        </w:rPr>
        <w:t xml:space="preserve">, </w:t>
      </w:r>
      <w:r w:rsidRPr="007B7FE3">
        <w:rPr>
          <w:lang w:val="en-GB"/>
        </w:rPr>
        <w:t>entered into force the 1</w:t>
      </w:r>
      <w:r w:rsidRPr="007B7FE3">
        <w:rPr>
          <w:vertAlign w:val="superscript"/>
          <w:lang w:val="en-GB"/>
        </w:rPr>
        <w:t>st</w:t>
      </w:r>
      <w:r w:rsidRPr="007B7FE3">
        <w:rPr>
          <w:lang w:val="en-GB"/>
        </w:rPr>
        <w:t xml:space="preserve"> of July 2002.</w:t>
      </w:r>
    </w:p>
  </w:footnote>
  <w:footnote w:id="53">
    <w:p w:rsidR="001316BC" w:rsidRPr="001316BC" w:rsidRDefault="001316BC" w:rsidP="0075243A">
      <w:pPr>
        <w:pStyle w:val="Testonotaapidipagina"/>
        <w:rPr>
          <w:lang w:val="en-GB"/>
        </w:rPr>
      </w:pPr>
      <w:r>
        <w:rPr>
          <w:rStyle w:val="Rimandonotaapidipagina"/>
        </w:rPr>
        <w:footnoteRef/>
      </w:r>
      <w:r w:rsidRPr="001316BC">
        <w:rPr>
          <w:lang w:val="en-GB"/>
        </w:rPr>
        <w:t xml:space="preserve"> </w:t>
      </w:r>
      <w:r w:rsidR="0075243A" w:rsidRPr="0075243A">
        <w:rPr>
          <w:lang w:val="en-GB"/>
        </w:rPr>
        <w:t xml:space="preserve">With regard to the acquisition and sale of audio-visual exploitation rights for sports events, the provisions of the legislative and the regulatory sections of the French Sports Code are applicable (Book III “Sport Practice” - Title III “Sporting Event” - Chapter III “broadcasting of sports events” – Section I “Exploitation rights”). </w:t>
      </w:r>
      <w:r w:rsidR="0075243A">
        <w:rPr>
          <w:lang w:val="en-GB"/>
        </w:rPr>
        <w:t>T</w:t>
      </w:r>
      <w:r w:rsidR="0075243A" w:rsidRPr="0075243A">
        <w:rPr>
          <w:lang w:val="en-GB"/>
        </w:rPr>
        <w:t xml:space="preserve">he ownership of the </w:t>
      </w:r>
      <w:proofErr w:type="spellStart"/>
      <w:r w:rsidR="0075243A" w:rsidRPr="0075243A">
        <w:rPr>
          <w:lang w:val="en-GB"/>
        </w:rPr>
        <w:t>audiovisual</w:t>
      </w:r>
      <w:proofErr w:type="spellEnd"/>
      <w:r w:rsidR="0075243A" w:rsidRPr="0075243A">
        <w:rPr>
          <w:lang w:val="en-GB"/>
        </w:rPr>
        <w:t xml:space="preserve"> exploitation rights of national competitions organized within a federal framework, in particular those giving rise to the award of the title of "champion of France", belongs to the federation concerned, pursuant to Article L. 333-1 of the Sports Code, which provides that "the sports federations, as well as the organizers of sports events mentioned in Article L. 331-5, are the owners of the exploitation rights of the sports events or competitions that they organize”. The Sports Code also allows federations to transfer the rights to sports companies - in other words the clubs - participating in the competitions in question (Article L. 331-1 paragraph 2). However, this possibility is subject to the prior creation of a professional league by the federation</w:t>
      </w:r>
      <w:r w:rsidR="0075243A">
        <w:rPr>
          <w:lang w:val="en-GB"/>
        </w:rPr>
        <w:t>.</w:t>
      </w:r>
    </w:p>
  </w:footnote>
  <w:footnote w:id="54">
    <w:p w:rsidR="0075243A" w:rsidRPr="0088680E" w:rsidRDefault="0075243A" w:rsidP="0075243A">
      <w:pPr>
        <w:pStyle w:val="Testonotaapidipagina"/>
        <w:rPr>
          <w:lang w:val="fr-FR"/>
        </w:rPr>
      </w:pPr>
      <w:r>
        <w:rPr>
          <w:rStyle w:val="Rimandonotaapidipagina"/>
        </w:rPr>
        <w:footnoteRef/>
      </w:r>
      <w:r w:rsidRPr="0088680E">
        <w:rPr>
          <w:lang w:val="fr-FR"/>
        </w:rPr>
        <w:t xml:space="preserve"> See for instance Decision n° 14-DCC-50, 2</w:t>
      </w:r>
      <w:r w:rsidRPr="0088680E">
        <w:rPr>
          <w:vertAlign w:val="superscript"/>
          <w:lang w:val="fr-FR"/>
        </w:rPr>
        <w:t>nd</w:t>
      </w:r>
      <w:r w:rsidRPr="0088680E">
        <w:rPr>
          <w:lang w:val="fr-FR"/>
        </w:rPr>
        <w:t xml:space="preserve"> of April 2014 </w:t>
      </w:r>
      <w:r w:rsidRPr="0088680E">
        <w:rPr>
          <w:i/>
          <w:lang w:val="fr-FR"/>
        </w:rPr>
        <w:t>relative à la prise de contrôle exclusif des sociétés Direct 8, Direct Star, Direct Productions, Direct Digital et Bolloré Intermédia par Vivendi SA et Groupe Canal Plus</w:t>
      </w:r>
      <w:r w:rsidRPr="0088680E">
        <w:rPr>
          <w:lang w:val="fr-FR"/>
        </w:rPr>
        <w:t>.</w:t>
      </w:r>
    </w:p>
  </w:footnote>
  <w:footnote w:id="55">
    <w:p w:rsidR="0075243A" w:rsidRPr="0088680E" w:rsidRDefault="0075243A">
      <w:pPr>
        <w:pStyle w:val="Testonotaapidipagina"/>
        <w:rPr>
          <w:lang w:val="fr-FR"/>
        </w:rPr>
      </w:pPr>
      <w:r>
        <w:rPr>
          <w:rStyle w:val="Rimandonotaapidipagina"/>
        </w:rPr>
        <w:footnoteRef/>
      </w:r>
      <w:r w:rsidRPr="0088680E">
        <w:rPr>
          <w:lang w:val="fr-FR"/>
        </w:rPr>
        <w:t xml:space="preserve"> See Décision n° 21-D-12, 11</w:t>
      </w:r>
      <w:r w:rsidRPr="0088680E">
        <w:rPr>
          <w:vertAlign w:val="superscript"/>
          <w:lang w:val="fr-FR"/>
        </w:rPr>
        <w:t>th</w:t>
      </w:r>
      <w:r w:rsidRPr="0088680E">
        <w:rPr>
          <w:lang w:val="fr-FR"/>
        </w:rPr>
        <w:t xml:space="preserve"> of June 2021, </w:t>
      </w:r>
      <w:r w:rsidRPr="0088680E">
        <w:rPr>
          <w:i/>
          <w:lang w:val="fr-FR"/>
        </w:rPr>
        <w:t>relative à des pratiques mises en œuvre par la Ligue de Football Professionnel dans le secteur de la vente de droits de diffusion télévisuelle de compétitions sportives</w:t>
      </w:r>
      <w:r w:rsidRPr="0088680E">
        <w:rPr>
          <w:lang w:val="fr-FR"/>
        </w:rPr>
        <w:t>.</w:t>
      </w:r>
    </w:p>
  </w:footnote>
  <w:footnote w:id="56">
    <w:p w:rsidR="0075243A" w:rsidRPr="0075243A" w:rsidRDefault="0075243A">
      <w:pPr>
        <w:pStyle w:val="Testonotaapidipagina"/>
        <w:rPr>
          <w:lang w:val="en-GB"/>
        </w:rPr>
      </w:pPr>
      <w:r>
        <w:rPr>
          <w:rStyle w:val="Rimandonotaapidipagina"/>
        </w:rPr>
        <w:footnoteRef/>
      </w:r>
      <w:r w:rsidRPr="0075243A">
        <w:rPr>
          <w:lang w:val="en-GB"/>
        </w:rPr>
        <w:t xml:space="preserve"> According to paragraph 4 of Article R. 333-3 of the French Sports Code, the commercialisation by the League of the </w:t>
      </w:r>
      <w:proofErr w:type="spellStart"/>
      <w:r w:rsidRPr="0075243A">
        <w:rPr>
          <w:lang w:val="en-GB"/>
        </w:rPr>
        <w:t>audiovisual</w:t>
      </w:r>
      <w:proofErr w:type="spellEnd"/>
      <w:r w:rsidRPr="0075243A">
        <w:rPr>
          <w:lang w:val="en-GB"/>
        </w:rPr>
        <w:t xml:space="preserve"> and broadcasting rights is carried out via a call for tender and the contract concluded may not exceed 4 years.</w:t>
      </w:r>
      <w:r>
        <w:rPr>
          <w:lang w:val="en-GB"/>
        </w:rPr>
        <w:t xml:space="preserve"> </w:t>
      </w:r>
      <w:r w:rsidR="00CA1724" w:rsidRPr="0075243A">
        <w:rPr>
          <w:lang w:val="en-GB"/>
        </w:rPr>
        <w:t>Therefore,</w:t>
      </w:r>
      <w:r w:rsidRPr="0075243A">
        <w:rPr>
          <w:lang w:val="en-GB"/>
        </w:rPr>
        <w:t xml:space="preserve"> the license can be concluded for a shorter period and be renewed in that window but it may not exceed 4 years.</w:t>
      </w:r>
    </w:p>
  </w:footnote>
  <w:footnote w:id="57">
    <w:p w:rsidR="00AD27EB" w:rsidRPr="00AD27EB" w:rsidRDefault="00AD27EB">
      <w:pPr>
        <w:pStyle w:val="Testonotaapidipagina"/>
        <w:rPr>
          <w:lang w:val="en-GB"/>
        </w:rPr>
      </w:pPr>
      <w:r>
        <w:rPr>
          <w:rStyle w:val="Rimandonotaapidipagina"/>
        </w:rPr>
        <w:footnoteRef/>
      </w:r>
      <w:r w:rsidRPr="00AD27EB">
        <w:rPr>
          <w:lang w:val="en-GB"/>
        </w:rPr>
        <w:t xml:space="preserve"> </w:t>
      </w:r>
      <w:r>
        <w:rPr>
          <w:lang w:val="en-GB"/>
        </w:rPr>
        <w:t xml:space="preserve">See </w:t>
      </w:r>
      <w:proofErr w:type="spellStart"/>
      <w:r w:rsidRPr="00AD27EB">
        <w:rPr>
          <w:lang w:val="en-GB"/>
        </w:rPr>
        <w:t>Beschlussabteilung</w:t>
      </w:r>
      <w:proofErr w:type="spellEnd"/>
      <w:r w:rsidRPr="00AD27EB">
        <w:rPr>
          <w:lang w:val="en-GB"/>
        </w:rPr>
        <w:t xml:space="preserve"> B 6-114/10</w:t>
      </w:r>
      <w:r>
        <w:rPr>
          <w:lang w:val="en-GB"/>
        </w:rPr>
        <w:t xml:space="preserve">; </w:t>
      </w:r>
      <w:proofErr w:type="spellStart"/>
      <w:r w:rsidRPr="00AD27EB">
        <w:rPr>
          <w:lang w:val="en-GB"/>
        </w:rPr>
        <w:t>Beschlussabteilung</w:t>
      </w:r>
      <w:proofErr w:type="spellEnd"/>
      <w:r w:rsidRPr="00AD27EB">
        <w:rPr>
          <w:lang w:val="en-GB"/>
        </w:rPr>
        <w:t xml:space="preserve"> B6 - 32/15</w:t>
      </w:r>
      <w:r>
        <w:rPr>
          <w:lang w:val="en-GB"/>
        </w:rPr>
        <w:t xml:space="preserve">; </w:t>
      </w:r>
      <w:proofErr w:type="spellStart"/>
      <w:r w:rsidRPr="00AD27EB">
        <w:rPr>
          <w:lang w:val="en-GB"/>
        </w:rPr>
        <w:t>Beschlussabteilung</w:t>
      </w:r>
      <w:proofErr w:type="spellEnd"/>
      <w:r w:rsidRPr="00AD27EB">
        <w:rPr>
          <w:lang w:val="en-GB"/>
        </w:rPr>
        <w:t xml:space="preserve"> B6 - 28/19</w:t>
      </w:r>
      <w:r>
        <w:rPr>
          <w:lang w:val="en-GB"/>
        </w:rPr>
        <w:t>.</w:t>
      </w:r>
    </w:p>
  </w:footnote>
  <w:footnote w:id="58">
    <w:p w:rsidR="00FE1B5E" w:rsidRPr="00FE1B5E" w:rsidRDefault="00FE1B5E">
      <w:pPr>
        <w:pStyle w:val="Testonotaapidipagina"/>
        <w:rPr>
          <w:lang w:val="en-GB"/>
        </w:rPr>
      </w:pPr>
      <w:r>
        <w:rPr>
          <w:rStyle w:val="Rimandonotaapidipagina"/>
        </w:rPr>
        <w:footnoteRef/>
      </w:r>
      <w:r w:rsidRPr="00FE1B5E">
        <w:rPr>
          <w:lang w:val="en-GB"/>
        </w:rPr>
        <w:t xml:space="preserve"> </w:t>
      </w:r>
      <w:r>
        <w:rPr>
          <w:lang w:val="en-GB"/>
        </w:rPr>
        <w:t>See</w:t>
      </w:r>
      <w:r w:rsidRPr="00FE1B5E">
        <w:rPr>
          <w:lang w:val="en-GB"/>
        </w:rPr>
        <w:t xml:space="preserve"> article 84 paras 1 and 2 of the Greek Law no 2725/1997.  </w:t>
      </w:r>
    </w:p>
  </w:footnote>
  <w:footnote w:id="59">
    <w:p w:rsidR="00FE1B5E" w:rsidRPr="00FE1B5E" w:rsidRDefault="00FE1B5E">
      <w:pPr>
        <w:pStyle w:val="Testonotaapidipagina"/>
        <w:rPr>
          <w:lang w:val="en-GB"/>
        </w:rPr>
      </w:pPr>
      <w:r>
        <w:rPr>
          <w:rStyle w:val="Rimandonotaapidipagina"/>
        </w:rPr>
        <w:footnoteRef/>
      </w:r>
      <w:r w:rsidRPr="00FE1B5E">
        <w:rPr>
          <w:lang w:val="en-GB"/>
        </w:rPr>
        <w:t xml:space="preserve"> </w:t>
      </w:r>
      <w:r>
        <w:rPr>
          <w:lang w:val="en-GB"/>
        </w:rPr>
        <w:t>See</w:t>
      </w:r>
      <w:r w:rsidRPr="00FE1B5E">
        <w:rPr>
          <w:lang w:val="en-GB"/>
        </w:rPr>
        <w:t xml:space="preserve"> article 84 para 4 of the Greek Law no 2725/1997</w:t>
      </w:r>
      <w:r>
        <w:rPr>
          <w:lang w:val="en-GB"/>
        </w:rPr>
        <w:t>.</w:t>
      </w:r>
    </w:p>
  </w:footnote>
  <w:footnote w:id="60">
    <w:p w:rsidR="00276E59" w:rsidRPr="00276E59" w:rsidRDefault="00276E59">
      <w:pPr>
        <w:pStyle w:val="Testonotaapidipagina"/>
        <w:rPr>
          <w:lang w:val="en-GB"/>
        </w:rPr>
      </w:pPr>
      <w:r>
        <w:rPr>
          <w:rStyle w:val="Rimandonotaapidipagina"/>
        </w:rPr>
        <w:footnoteRef/>
      </w:r>
      <w:r w:rsidRPr="00276E59">
        <w:rPr>
          <w:lang w:val="en-GB"/>
        </w:rPr>
        <w:t xml:space="preserve"> </w:t>
      </w:r>
      <w:r>
        <w:rPr>
          <w:lang w:val="en-GB"/>
        </w:rPr>
        <w:t xml:space="preserve">See </w:t>
      </w:r>
      <w:proofErr w:type="spellStart"/>
      <w:r w:rsidRPr="00276E59">
        <w:rPr>
          <w:lang w:val="en-GB"/>
        </w:rPr>
        <w:t>Jelentés</w:t>
      </w:r>
      <w:proofErr w:type="spellEnd"/>
      <w:r w:rsidRPr="00276E59">
        <w:rPr>
          <w:lang w:val="en-GB"/>
        </w:rPr>
        <w:t xml:space="preserve"> a </w:t>
      </w:r>
      <w:proofErr w:type="spellStart"/>
      <w:r w:rsidRPr="00276E59">
        <w:rPr>
          <w:lang w:val="en-GB"/>
        </w:rPr>
        <w:t>magyarországi</w:t>
      </w:r>
      <w:proofErr w:type="spellEnd"/>
      <w:r w:rsidRPr="00276E59">
        <w:rPr>
          <w:lang w:val="en-GB"/>
        </w:rPr>
        <w:t xml:space="preserve"> </w:t>
      </w:r>
      <w:proofErr w:type="spellStart"/>
      <w:r w:rsidRPr="00276E59">
        <w:rPr>
          <w:lang w:val="en-GB"/>
        </w:rPr>
        <w:t>műsorterjesztési</w:t>
      </w:r>
      <w:proofErr w:type="spellEnd"/>
      <w:r w:rsidRPr="00276E59">
        <w:rPr>
          <w:lang w:val="en-GB"/>
        </w:rPr>
        <w:t xml:space="preserve"> </w:t>
      </w:r>
      <w:proofErr w:type="spellStart"/>
      <w:r w:rsidRPr="00276E59">
        <w:rPr>
          <w:lang w:val="en-GB"/>
        </w:rPr>
        <w:t>és</w:t>
      </w:r>
      <w:proofErr w:type="spellEnd"/>
      <w:r w:rsidRPr="00276E59">
        <w:rPr>
          <w:lang w:val="en-GB"/>
        </w:rPr>
        <w:t xml:space="preserve"> </w:t>
      </w:r>
      <w:proofErr w:type="spellStart"/>
      <w:r w:rsidRPr="00276E59">
        <w:rPr>
          <w:lang w:val="en-GB"/>
        </w:rPr>
        <w:t>médiaszolgáltatási</w:t>
      </w:r>
      <w:proofErr w:type="spellEnd"/>
      <w:r w:rsidRPr="00276E59">
        <w:rPr>
          <w:lang w:val="en-GB"/>
        </w:rPr>
        <w:t xml:space="preserve"> </w:t>
      </w:r>
      <w:proofErr w:type="spellStart"/>
      <w:r w:rsidRPr="00276E59">
        <w:rPr>
          <w:lang w:val="en-GB"/>
        </w:rPr>
        <w:t>piacon</w:t>
      </w:r>
      <w:proofErr w:type="spellEnd"/>
      <w:r w:rsidRPr="00276E59">
        <w:rPr>
          <w:lang w:val="en-GB"/>
        </w:rPr>
        <w:t xml:space="preserve"> </w:t>
      </w:r>
      <w:proofErr w:type="spellStart"/>
      <w:r w:rsidRPr="00276E59">
        <w:rPr>
          <w:lang w:val="en-GB"/>
        </w:rPr>
        <w:t>lefolytatott</w:t>
      </w:r>
      <w:proofErr w:type="spellEnd"/>
      <w:r w:rsidRPr="00276E59">
        <w:rPr>
          <w:lang w:val="en-GB"/>
        </w:rPr>
        <w:t xml:space="preserve"> </w:t>
      </w:r>
      <w:proofErr w:type="spellStart"/>
      <w:r w:rsidRPr="00276E59">
        <w:rPr>
          <w:lang w:val="en-GB"/>
        </w:rPr>
        <w:t>ágazati</w:t>
      </w:r>
      <w:proofErr w:type="spellEnd"/>
      <w:r w:rsidRPr="00276E59">
        <w:rPr>
          <w:lang w:val="en-GB"/>
        </w:rPr>
        <w:t xml:space="preserve"> </w:t>
      </w:r>
      <w:proofErr w:type="spellStart"/>
      <w:r w:rsidRPr="00276E59">
        <w:rPr>
          <w:lang w:val="en-GB"/>
        </w:rPr>
        <w:t>vizsgálatról</w:t>
      </w:r>
      <w:proofErr w:type="spellEnd"/>
      <w:r>
        <w:rPr>
          <w:lang w:val="en-GB"/>
        </w:rPr>
        <w:t xml:space="preserve"> (2021) (</w:t>
      </w:r>
      <w:r>
        <w:rPr>
          <w:i/>
          <w:lang w:val="en-GB"/>
        </w:rPr>
        <w:t>Report</w:t>
      </w:r>
      <w:r w:rsidRPr="00276E59">
        <w:rPr>
          <w:i/>
          <w:lang w:val="en-GB"/>
        </w:rPr>
        <w:t xml:space="preserve"> on the sectoral investigation conducted in the Hungarian broadcasting and media services market</w:t>
      </w:r>
      <w:r>
        <w:rPr>
          <w:lang w:val="en-GB"/>
        </w:rPr>
        <w:t>).</w:t>
      </w:r>
    </w:p>
  </w:footnote>
  <w:footnote w:id="61">
    <w:p w:rsidR="00B87304" w:rsidRPr="002E47F0" w:rsidRDefault="00B87304">
      <w:pPr>
        <w:pStyle w:val="Testonotaapidipagina"/>
        <w:rPr>
          <w:lang w:val="en-GB"/>
        </w:rPr>
      </w:pPr>
      <w:r>
        <w:rPr>
          <w:rStyle w:val="Rimandonotaapidipagina"/>
        </w:rPr>
        <w:footnoteRef/>
      </w:r>
      <w:r w:rsidRPr="002E47F0">
        <w:rPr>
          <w:lang w:val="en-GB"/>
        </w:rPr>
        <w:t xml:space="preserve"> </w:t>
      </w:r>
      <w:r>
        <w:rPr>
          <w:lang w:val="en-GB"/>
        </w:rPr>
        <w:t>I</w:t>
      </w:r>
      <w:r w:rsidRPr="002E47F0">
        <w:rPr>
          <w:lang w:val="en-GB"/>
        </w:rPr>
        <w:t xml:space="preserve">n line with Article 9, paragraph 4, of the </w:t>
      </w:r>
      <w:proofErr w:type="spellStart"/>
      <w:r w:rsidRPr="002E47F0">
        <w:rPr>
          <w:lang w:val="en-GB"/>
        </w:rPr>
        <w:t>Decreto</w:t>
      </w:r>
      <w:proofErr w:type="spellEnd"/>
      <w:r w:rsidRPr="002E47F0">
        <w:rPr>
          <w:lang w:val="en-GB"/>
        </w:rPr>
        <w:t xml:space="preserve"> </w:t>
      </w:r>
      <w:proofErr w:type="spellStart"/>
      <w:r w:rsidRPr="002E47F0">
        <w:rPr>
          <w:lang w:val="en-GB"/>
        </w:rPr>
        <w:t>Legislativo</w:t>
      </w:r>
      <w:proofErr w:type="spellEnd"/>
      <w:r w:rsidRPr="002E47F0">
        <w:rPr>
          <w:lang w:val="en-GB"/>
        </w:rPr>
        <w:t xml:space="preserve"> n. 9/2008</w:t>
      </w:r>
      <w:r>
        <w:rPr>
          <w:lang w:val="en-GB"/>
        </w:rPr>
        <w:t>.</w:t>
      </w:r>
    </w:p>
  </w:footnote>
  <w:footnote w:id="62">
    <w:p w:rsidR="00B87304" w:rsidRPr="00A13ABD" w:rsidRDefault="00B87304">
      <w:pPr>
        <w:pStyle w:val="Testonotaapidipagina"/>
        <w:rPr>
          <w:lang w:val="en-GB"/>
        </w:rPr>
      </w:pPr>
      <w:r>
        <w:rPr>
          <w:rStyle w:val="Rimandonotaapidipagina"/>
        </w:rPr>
        <w:footnoteRef/>
      </w:r>
      <w:r w:rsidRPr="00A13ABD">
        <w:rPr>
          <w:lang w:val="en-GB"/>
        </w:rPr>
        <w:t xml:space="preserve"> </w:t>
      </w:r>
      <w:r>
        <w:rPr>
          <w:lang w:val="en-GB"/>
        </w:rPr>
        <w:t>F</w:t>
      </w:r>
      <w:r w:rsidRPr="00A13ABD">
        <w:rPr>
          <w:lang w:val="en-GB"/>
        </w:rPr>
        <w:t>ollowing the law conversion of the "</w:t>
      </w:r>
      <w:proofErr w:type="spellStart"/>
      <w:r w:rsidRPr="00A13ABD">
        <w:rPr>
          <w:lang w:val="en-GB"/>
        </w:rPr>
        <w:t>Decreto-Legge</w:t>
      </w:r>
      <w:proofErr w:type="spellEnd"/>
      <w:r w:rsidRPr="00A13ABD">
        <w:rPr>
          <w:lang w:val="en-GB"/>
        </w:rPr>
        <w:t xml:space="preserve"> 18 </w:t>
      </w:r>
      <w:proofErr w:type="spellStart"/>
      <w:r w:rsidRPr="00A13ABD">
        <w:rPr>
          <w:lang w:val="en-GB"/>
        </w:rPr>
        <w:t>novembre</w:t>
      </w:r>
      <w:proofErr w:type="spellEnd"/>
      <w:r w:rsidRPr="00A13ABD">
        <w:rPr>
          <w:lang w:val="en-GB"/>
        </w:rPr>
        <w:t xml:space="preserve"> 2022, n. 176" (the "</w:t>
      </w:r>
      <w:proofErr w:type="spellStart"/>
      <w:r w:rsidRPr="00A13ABD">
        <w:rPr>
          <w:lang w:val="en-GB"/>
        </w:rPr>
        <w:t>Aiuti-quater</w:t>
      </w:r>
      <w:proofErr w:type="spellEnd"/>
      <w:r w:rsidRPr="00A13ABD">
        <w:rPr>
          <w:lang w:val="en-GB"/>
        </w:rPr>
        <w:t>" decree</w:t>
      </w:r>
      <w:r>
        <w:rPr>
          <w:lang w:val="en-GB"/>
        </w:rPr>
        <w:t>).</w:t>
      </w:r>
    </w:p>
  </w:footnote>
  <w:footnote w:id="63">
    <w:p w:rsidR="00B87304" w:rsidRDefault="00B87304">
      <w:pPr>
        <w:pStyle w:val="Testonotaapidipagina"/>
      </w:pPr>
      <w:r>
        <w:rPr>
          <w:rStyle w:val="Rimandonotaapidipagina"/>
        </w:rPr>
        <w:footnoteRef/>
      </w:r>
      <w:r>
        <w:t xml:space="preserve"> </w:t>
      </w:r>
      <w:proofErr w:type="spellStart"/>
      <w:r>
        <w:t>See</w:t>
      </w:r>
      <w:proofErr w:type="spellEnd"/>
      <w:r>
        <w:t xml:space="preserve"> </w:t>
      </w:r>
      <w:proofErr w:type="spellStart"/>
      <w:r>
        <w:t>Proceeding</w:t>
      </w:r>
      <w:proofErr w:type="spellEnd"/>
      <w:r>
        <w:t xml:space="preserve"> I857 – Accordo TIM/DAZN 2021-2024. </w:t>
      </w:r>
    </w:p>
  </w:footnote>
  <w:footnote w:id="64">
    <w:p w:rsidR="00B87304" w:rsidRPr="0088680E" w:rsidRDefault="00B87304" w:rsidP="00E92AEF">
      <w:pPr>
        <w:pStyle w:val="Testonotaapidipagina"/>
        <w:rPr>
          <w:lang w:val="en-GB"/>
        </w:rPr>
      </w:pPr>
      <w:r>
        <w:rPr>
          <w:rStyle w:val="Rimandonotaapidipagina"/>
        </w:rPr>
        <w:footnoteRef/>
      </w:r>
      <w:r>
        <w:t xml:space="preserve"> </w:t>
      </w:r>
      <w:proofErr w:type="spellStart"/>
      <w:r>
        <w:t>See</w:t>
      </w:r>
      <w:proofErr w:type="spellEnd"/>
      <w:r>
        <w:t xml:space="preserve"> </w:t>
      </w:r>
      <w:proofErr w:type="spellStart"/>
      <w:r>
        <w:t>Proceeding</w:t>
      </w:r>
      <w:proofErr w:type="spellEnd"/>
      <w:r>
        <w:t xml:space="preserve"> </w:t>
      </w:r>
      <w:r w:rsidRPr="00E92AEF">
        <w:t xml:space="preserve">I790 </w:t>
      </w:r>
      <w:r>
        <w:t>–</w:t>
      </w:r>
      <w:r w:rsidRPr="00E92AEF">
        <w:t xml:space="preserve"> </w:t>
      </w:r>
      <w:r>
        <w:t>Vendita Diritti Televisivi serie</w:t>
      </w:r>
      <w:r w:rsidRPr="00E92AEF">
        <w:t xml:space="preserve"> A 2015-2018</w:t>
      </w:r>
      <w:r>
        <w:t xml:space="preserve">. </w:t>
      </w:r>
      <w:r w:rsidRPr="0088680E">
        <w:rPr>
          <w:lang w:val="en-GB"/>
        </w:rPr>
        <w:t>The ruling was not upheld by the administrative courts.</w:t>
      </w:r>
    </w:p>
  </w:footnote>
  <w:footnote w:id="65">
    <w:p w:rsidR="00BB4A3F" w:rsidRPr="00BB4A3F" w:rsidRDefault="00BB4A3F" w:rsidP="00BB4A3F">
      <w:pPr>
        <w:pStyle w:val="Testonotaapidipagina"/>
        <w:rPr>
          <w:lang w:val="en-GB"/>
        </w:rPr>
      </w:pPr>
      <w:r>
        <w:rPr>
          <w:rStyle w:val="Rimandonotaapidipagina"/>
        </w:rPr>
        <w:footnoteRef/>
      </w:r>
      <w:r w:rsidRPr="00BB4A3F">
        <w:rPr>
          <w:lang w:val="en-GB"/>
        </w:rPr>
        <w:t xml:space="preserve"> . According to the Dutch Media Act 2008 it can be decided that events of significant importance to society and events of great importance should be accessible by at least seventy-five percent of all households in the Netherlands, for which no costs are owed other than the rate for the regular TV package and the costs of purchasing technical facilities to watch TV. Currently the following events are considered of significant importance by the Dutch Media Decree:</w:t>
      </w:r>
    </w:p>
    <w:p w:rsidR="00BB4A3F" w:rsidRPr="00BB4A3F" w:rsidRDefault="00BB4A3F" w:rsidP="00BB4A3F">
      <w:pPr>
        <w:pStyle w:val="Testonotaapidipagina"/>
        <w:rPr>
          <w:lang w:val="en-GB"/>
        </w:rPr>
      </w:pPr>
      <w:r w:rsidRPr="00BB4A3F">
        <w:rPr>
          <w:lang w:val="en-GB"/>
        </w:rPr>
        <w:t>a.</w:t>
      </w:r>
      <w:r w:rsidRPr="00BB4A3F">
        <w:rPr>
          <w:lang w:val="en-GB"/>
        </w:rPr>
        <w:tab/>
        <w:t>World championships and European championships.</w:t>
      </w:r>
    </w:p>
    <w:p w:rsidR="00BB4A3F" w:rsidRPr="00BB4A3F" w:rsidRDefault="00BB4A3F" w:rsidP="00BB4A3F">
      <w:pPr>
        <w:pStyle w:val="Testonotaapidipagina"/>
        <w:rPr>
          <w:lang w:val="en-GB"/>
        </w:rPr>
      </w:pPr>
      <w:r w:rsidRPr="00BB4A3F">
        <w:rPr>
          <w:lang w:val="en-GB"/>
        </w:rPr>
        <w:t>b.</w:t>
      </w:r>
      <w:r w:rsidRPr="00BB4A3F">
        <w:rPr>
          <w:lang w:val="en-GB"/>
        </w:rPr>
        <w:tab/>
      </w:r>
      <w:proofErr w:type="spellStart"/>
      <w:r w:rsidRPr="00BB4A3F">
        <w:rPr>
          <w:lang w:val="en-GB"/>
        </w:rPr>
        <w:t>Interlands</w:t>
      </w:r>
      <w:proofErr w:type="spellEnd"/>
      <w:r w:rsidRPr="00BB4A3F">
        <w:rPr>
          <w:lang w:val="en-GB"/>
        </w:rPr>
        <w:t xml:space="preserve"> of the national team.</w:t>
      </w:r>
    </w:p>
    <w:p w:rsidR="00BB4A3F" w:rsidRPr="00BB4A3F" w:rsidRDefault="00BB4A3F" w:rsidP="00BB4A3F">
      <w:pPr>
        <w:pStyle w:val="Testonotaapidipagina"/>
        <w:rPr>
          <w:lang w:val="en-GB"/>
        </w:rPr>
      </w:pPr>
      <w:r w:rsidRPr="00BB4A3F">
        <w:rPr>
          <w:lang w:val="en-GB"/>
        </w:rPr>
        <w:t>c.</w:t>
      </w:r>
      <w:r w:rsidRPr="00BB4A3F">
        <w:rPr>
          <w:lang w:val="en-GB"/>
        </w:rPr>
        <w:tab/>
        <w:t>Champions League and Europa League (matches of Dutch clubs and the final, regardless of Dutch participation).</w:t>
      </w:r>
    </w:p>
    <w:p w:rsidR="00BB4A3F" w:rsidRPr="00BB4A3F" w:rsidRDefault="00BB4A3F" w:rsidP="00BB4A3F">
      <w:pPr>
        <w:pStyle w:val="Testonotaapidipagina"/>
        <w:rPr>
          <w:lang w:val="en-GB"/>
        </w:rPr>
      </w:pPr>
      <w:r w:rsidRPr="00BB4A3F">
        <w:rPr>
          <w:lang w:val="en-GB"/>
        </w:rPr>
        <w:t>d.</w:t>
      </w:r>
      <w:r w:rsidRPr="00BB4A3F">
        <w:rPr>
          <w:lang w:val="en-GB"/>
        </w:rPr>
        <w:tab/>
        <w:t>Super Cup and World Cup if a Dutch club participates.</w:t>
      </w:r>
    </w:p>
    <w:p w:rsidR="00BB4A3F" w:rsidRPr="00BB4A3F" w:rsidRDefault="00BB4A3F" w:rsidP="00BB4A3F">
      <w:pPr>
        <w:pStyle w:val="Testonotaapidipagina"/>
        <w:rPr>
          <w:lang w:val="en-GB"/>
        </w:rPr>
      </w:pPr>
      <w:r w:rsidRPr="00BB4A3F">
        <w:rPr>
          <w:lang w:val="en-GB"/>
        </w:rPr>
        <w:t>e.</w:t>
      </w:r>
      <w:r w:rsidRPr="00BB4A3F">
        <w:rPr>
          <w:lang w:val="en-GB"/>
        </w:rPr>
        <w:tab/>
        <w:t>National cup competitions: the semi-finals and the final.</w:t>
      </w:r>
    </w:p>
  </w:footnote>
  <w:footnote w:id="66">
    <w:p w:rsidR="00BB4A3F" w:rsidRPr="00BB4A3F" w:rsidRDefault="00BB4A3F" w:rsidP="00BB4A3F">
      <w:pPr>
        <w:pStyle w:val="Testonotaapidipagina"/>
        <w:rPr>
          <w:lang w:val="en-GB"/>
        </w:rPr>
      </w:pPr>
      <w:r>
        <w:rPr>
          <w:rStyle w:val="Rimandonotaapidipagina"/>
        </w:rPr>
        <w:footnoteRef/>
      </w:r>
      <w:r w:rsidRPr="00BB4A3F">
        <w:rPr>
          <w:lang w:val="en-GB"/>
        </w:rPr>
        <w:t xml:space="preserve"> See Decision 16.0708.29, 19th of July 2</w:t>
      </w:r>
      <w:r>
        <w:rPr>
          <w:lang w:val="en-GB"/>
        </w:rPr>
        <w:t xml:space="preserve">017. </w:t>
      </w:r>
    </w:p>
  </w:footnote>
  <w:footnote w:id="67">
    <w:p w:rsidR="00B82B8C" w:rsidRPr="0088680E" w:rsidRDefault="00B82B8C" w:rsidP="00B82B8C">
      <w:pPr>
        <w:pStyle w:val="Testonotaapidipagina"/>
        <w:rPr>
          <w:lang w:val="es-ES"/>
        </w:rPr>
      </w:pPr>
      <w:r>
        <w:rPr>
          <w:rStyle w:val="Rimandonotaapidipagina"/>
        </w:rPr>
        <w:footnoteRef/>
      </w:r>
      <w:r w:rsidRPr="0088680E">
        <w:rPr>
          <w:lang w:val="es-ES"/>
        </w:rPr>
        <w:t xml:space="preserve"> </w:t>
      </w:r>
      <w:r w:rsidRPr="0088680E">
        <w:rPr>
          <w:i/>
          <w:lang w:val="es-ES"/>
        </w:rPr>
        <w:t xml:space="preserve">Recomendação relativa a alterações na comercialização dos direitos de transmissão televisiva e multimédia da Primeira e Segunda Ligas de futebol </w:t>
      </w:r>
      <w:r w:rsidRPr="0088680E">
        <w:rPr>
          <w:lang w:val="es-ES"/>
        </w:rPr>
        <w:t>(2018).</w:t>
      </w:r>
    </w:p>
  </w:footnote>
  <w:footnote w:id="68">
    <w:p w:rsidR="00232BE7" w:rsidRPr="00232BE7" w:rsidRDefault="00232BE7">
      <w:pPr>
        <w:pStyle w:val="Testonotaapidipagina"/>
        <w:rPr>
          <w:lang w:val="en-GB"/>
        </w:rPr>
      </w:pPr>
      <w:r>
        <w:rPr>
          <w:rStyle w:val="Rimandonotaapidipagina"/>
        </w:rPr>
        <w:footnoteRef/>
      </w:r>
      <w:r w:rsidRPr="00232BE7">
        <w:rPr>
          <w:lang w:val="en-GB"/>
        </w:rPr>
        <w:t xml:space="preserve"> The sport activities are regulated by Law no. 69 of 28th of April 2000, but this law does not contain any specific provisions concerning the sale of audio-visual rights for the sport in general and for football competitions in particular.</w:t>
      </w:r>
    </w:p>
  </w:footnote>
  <w:footnote w:id="69">
    <w:p w:rsidR="00232BE7" w:rsidRPr="00232BE7" w:rsidRDefault="00232BE7">
      <w:pPr>
        <w:pStyle w:val="Testonotaapidipagina"/>
        <w:rPr>
          <w:lang w:val="en-GB"/>
        </w:rPr>
      </w:pPr>
      <w:r>
        <w:rPr>
          <w:rStyle w:val="Rimandonotaapidipagina"/>
        </w:rPr>
        <w:footnoteRef/>
      </w:r>
      <w:r w:rsidRPr="00232BE7">
        <w:rPr>
          <w:lang w:val="en-GB"/>
        </w:rPr>
        <w:t xml:space="preserve"> The </w:t>
      </w:r>
      <w:r>
        <w:rPr>
          <w:lang w:val="en-GB"/>
        </w:rPr>
        <w:t xml:space="preserve">RCC </w:t>
      </w:r>
      <w:r w:rsidRPr="00232BE7">
        <w:rPr>
          <w:lang w:val="en-GB"/>
        </w:rPr>
        <w:t>has dealt with the problem of the joint selling of audio-visual (broadcasting rights) within the investigation opened by order of the RCC President no. 119/15th of April 2009.</w:t>
      </w:r>
    </w:p>
  </w:footnote>
  <w:footnote w:id="70">
    <w:p w:rsidR="00313E0F" w:rsidRPr="00313E0F" w:rsidRDefault="00313E0F">
      <w:pPr>
        <w:pStyle w:val="Testonotaapidipagina"/>
        <w:rPr>
          <w:lang w:val="en-GB"/>
        </w:rPr>
      </w:pPr>
      <w:r>
        <w:rPr>
          <w:rStyle w:val="Rimandonotaapidipagina"/>
        </w:rPr>
        <w:footnoteRef/>
      </w:r>
      <w:r w:rsidRPr="00313E0F">
        <w:rPr>
          <w:lang w:val="en-GB"/>
        </w:rPr>
        <w:t xml:space="preserve"> </w:t>
      </w:r>
      <w:r>
        <w:rPr>
          <w:lang w:val="en-GB"/>
        </w:rPr>
        <w:t>T</w:t>
      </w:r>
      <w:r w:rsidRPr="00313E0F">
        <w:rPr>
          <w:lang w:val="en-GB"/>
        </w:rPr>
        <w:t>he RCC decision no. 13</w:t>
      </w:r>
      <w:r>
        <w:rPr>
          <w:lang w:val="en-GB"/>
        </w:rPr>
        <w:t xml:space="preserve">, </w:t>
      </w:r>
      <w:r w:rsidRPr="00313E0F">
        <w:rPr>
          <w:lang w:val="en-GB"/>
        </w:rPr>
        <w:t>19th of April 2011</w:t>
      </w:r>
    </w:p>
  </w:footnote>
  <w:footnote w:id="71">
    <w:p w:rsidR="003D4994" w:rsidRPr="0088680E" w:rsidRDefault="003D4994">
      <w:pPr>
        <w:pStyle w:val="Testonotaapidipagina"/>
        <w:rPr>
          <w:lang w:val="es-ES"/>
        </w:rPr>
      </w:pPr>
      <w:r>
        <w:rPr>
          <w:rStyle w:val="Rimandonotaapidipagina"/>
        </w:rPr>
        <w:footnoteRef/>
      </w:r>
      <w:r w:rsidRPr="0088680E">
        <w:rPr>
          <w:lang w:val="es-ES"/>
        </w:rPr>
        <w:t xml:space="preserve"> S/0006/07: AVS MEDIAPRO SOGECABLE Y CLUBS DE FUTBOL DE 1ª Y 2ª DIVISION.</w:t>
      </w:r>
    </w:p>
  </w:footnote>
  <w:footnote w:id="72">
    <w:p w:rsidR="003D4994" w:rsidRPr="0088680E" w:rsidRDefault="003D4994">
      <w:pPr>
        <w:pStyle w:val="Testonotaapidipagina"/>
        <w:rPr>
          <w:lang w:val="es-ES"/>
        </w:rPr>
      </w:pPr>
      <w:r>
        <w:rPr>
          <w:rStyle w:val="Rimandonotaapidipagina"/>
        </w:rPr>
        <w:footnoteRef/>
      </w:r>
      <w:r w:rsidRPr="0088680E">
        <w:rPr>
          <w:lang w:val="es-ES"/>
        </w:rPr>
        <w:t xml:space="preserve"> S/0153/09: MEDIAPRO.</w:t>
      </w:r>
    </w:p>
  </w:footnote>
  <w:footnote w:id="73">
    <w:p w:rsidR="003D4994" w:rsidRPr="0088680E" w:rsidRDefault="003D4994">
      <w:pPr>
        <w:pStyle w:val="Testonotaapidipagina"/>
        <w:rPr>
          <w:lang w:val="es-ES"/>
        </w:rPr>
      </w:pPr>
      <w:r>
        <w:rPr>
          <w:rStyle w:val="Rimandonotaapidipagina"/>
        </w:rPr>
        <w:footnoteRef/>
      </w:r>
      <w:r w:rsidRPr="0088680E">
        <w:rPr>
          <w:lang w:val="es-ES"/>
        </w:rPr>
        <w:t xml:space="preserve"> S/0421/12: MEDIAPRO- DERECHOS RETRANSMISION FUTBOL.</w:t>
      </w:r>
    </w:p>
  </w:footnote>
  <w:footnote w:id="74">
    <w:p w:rsidR="009E46E2" w:rsidRPr="0088680E" w:rsidRDefault="009E46E2">
      <w:pPr>
        <w:pStyle w:val="Testonotaapidipagina"/>
        <w:rPr>
          <w:lang w:val="es-ES"/>
        </w:rPr>
      </w:pPr>
      <w:r>
        <w:rPr>
          <w:rStyle w:val="Rimandonotaapidipagina"/>
        </w:rPr>
        <w:footnoteRef/>
      </w:r>
      <w:r w:rsidRPr="0088680E">
        <w:rPr>
          <w:lang w:val="es-ES"/>
        </w:rPr>
        <w:t xml:space="preserve"> S/0436/12: DTS DISTRIBUIDORA DE TV DIGITAL.</w:t>
      </w:r>
    </w:p>
  </w:footnote>
  <w:footnote w:id="75">
    <w:p w:rsidR="009E46E2" w:rsidRDefault="009E46E2">
      <w:pPr>
        <w:pStyle w:val="Testonotaapidipagina"/>
      </w:pPr>
      <w:r>
        <w:rPr>
          <w:rStyle w:val="Rimandonotaapidipagina"/>
        </w:rPr>
        <w:footnoteRef/>
      </w:r>
      <w:r>
        <w:t xml:space="preserve"> </w:t>
      </w:r>
      <w:r w:rsidRPr="009E46E2">
        <w:t>S/DC/0604/17: MEDIAPRO FÚTBOL</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A0A7B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E0B6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CCCA3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232C0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56098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082A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685D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EE0FA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D7C27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DA32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409A3"/>
    <w:multiLevelType w:val="multilevel"/>
    <w:tmpl w:val="4B16F168"/>
    <w:lvl w:ilvl="0">
      <w:start w:val="1"/>
      <w:numFmt w:val="upperRoman"/>
      <w:lvlText w:val="%1."/>
      <w:lvlJc w:val="left"/>
      <w:pPr>
        <w:ind w:left="567" w:hanging="567"/>
      </w:pPr>
      <w:rPr>
        <w:rFonts w:ascii="Times New Roman" w:hAnsi="Times New Roman" w:hint="default"/>
        <w:b/>
        <w:i w:val="0"/>
        <w:caps/>
        <w:sz w:val="28"/>
      </w:rPr>
    </w:lvl>
    <w:lvl w:ilvl="1">
      <w:start w:val="1"/>
      <w:numFmt w:val="decimal"/>
      <w:lvlText w:val="%1.%2."/>
      <w:lvlJc w:val="left"/>
      <w:pPr>
        <w:ind w:left="737" w:hanging="737"/>
      </w:pPr>
      <w:rPr>
        <w:rFonts w:ascii="Times New Roman" w:hAnsi="Times New Roman" w:hint="default"/>
        <w:b/>
        <w:i/>
        <w:sz w:val="28"/>
      </w:rPr>
    </w:lvl>
    <w:lvl w:ilvl="2">
      <w:start w:val="1"/>
      <w:numFmt w:val="decimal"/>
      <w:lvlText w:val="%1.%2.%3."/>
      <w:lvlJc w:val="left"/>
      <w:pPr>
        <w:ind w:left="1134" w:hanging="1134"/>
      </w:pPr>
      <w:rPr>
        <w:rFonts w:ascii="Times New Roman" w:hAnsi="Times New Roman" w:hint="default"/>
        <w:b w:val="0"/>
        <w:i/>
        <w:sz w:val="28"/>
      </w:rPr>
    </w:lvl>
    <w:lvl w:ilvl="3">
      <w:start w:val="1"/>
      <w:numFmt w:val="lowerLetter"/>
      <w:lvlText w:val="%1.%2.%3.%4."/>
      <w:lvlJc w:val="left"/>
      <w:pPr>
        <w:ind w:left="1134" w:hanging="1134"/>
      </w:pPr>
      <w:rPr>
        <w:rFonts w:ascii="Times New Roman" w:hAnsi="Times New Roman" w:hint="default"/>
        <w:b w:val="0"/>
        <w:i/>
        <w:sz w:val="28"/>
      </w:rPr>
    </w:lvl>
    <w:lvl w:ilvl="4">
      <w:start w:val="1"/>
      <w:numFmt w:val="decimal"/>
      <w:lvlText w:val="%1.%2.%3.%4.%5."/>
      <w:lvlJc w:val="left"/>
      <w:pPr>
        <w:ind w:left="1418" w:hanging="1418"/>
      </w:pPr>
      <w:rPr>
        <w:rFonts w:ascii="Times New Roman" w:hAnsi="Times New Roman" w:hint="default"/>
        <w:b w:val="0"/>
        <w:i/>
        <w:sz w:val="28"/>
      </w:rPr>
    </w:lvl>
    <w:lvl w:ilvl="5">
      <w:start w:val="1"/>
      <w:numFmt w:val="decimal"/>
      <w:lvlText w:val="%1.%2.%3.%4.%5.%6"/>
      <w:lvlJc w:val="left"/>
      <w:pPr>
        <w:ind w:left="1588" w:hanging="1588"/>
      </w:pPr>
      <w:rPr>
        <w:rFonts w:ascii="Times New Roman" w:hAnsi="Times New Roman" w:hint="default"/>
        <w:b w:val="0"/>
        <w:i w:val="0"/>
        <w:sz w:val="28"/>
      </w:rPr>
    </w:lvl>
    <w:lvl w:ilvl="6">
      <w:start w:val="1"/>
      <w:numFmt w:val="decimal"/>
      <w:lvlText w:val="%1.%2.%3.%4.%5.%6.%7"/>
      <w:lvlJc w:val="left"/>
      <w:pPr>
        <w:ind w:left="2714" w:hanging="1296"/>
      </w:pPr>
      <w:rPr>
        <w:rFonts w:hint="default"/>
      </w:rPr>
    </w:lvl>
    <w:lvl w:ilvl="7">
      <w:start w:val="1"/>
      <w:numFmt w:val="decimal"/>
      <w:lvlText w:val="%1.%2.%3.%4.%5.%6.%7.%8"/>
      <w:lvlJc w:val="left"/>
      <w:pPr>
        <w:ind w:left="2858" w:hanging="1440"/>
      </w:pPr>
      <w:rPr>
        <w:rFonts w:hint="default"/>
      </w:rPr>
    </w:lvl>
    <w:lvl w:ilvl="8">
      <w:start w:val="1"/>
      <w:numFmt w:val="decimal"/>
      <w:lvlText w:val="%1.%2.%3.%4.%5.%6.%7.%8.%9"/>
      <w:lvlJc w:val="left"/>
      <w:pPr>
        <w:ind w:left="3002" w:hanging="1584"/>
      </w:pPr>
      <w:rPr>
        <w:rFonts w:hint="default"/>
      </w:rPr>
    </w:lvl>
  </w:abstractNum>
  <w:abstractNum w:abstractNumId="11" w15:restartNumberingAfterBreak="0">
    <w:nsid w:val="0FE14EB6"/>
    <w:multiLevelType w:val="multilevel"/>
    <w:tmpl w:val="4B16F168"/>
    <w:numStyleLink w:val="ProvvTitoli"/>
  </w:abstractNum>
  <w:abstractNum w:abstractNumId="12" w15:restartNumberingAfterBreak="0">
    <w:nsid w:val="11273E22"/>
    <w:multiLevelType w:val="multilevel"/>
    <w:tmpl w:val="4B16F168"/>
    <w:numStyleLink w:val="ProvvTitoli"/>
  </w:abstractNum>
  <w:abstractNum w:abstractNumId="13" w15:restartNumberingAfterBreak="0">
    <w:nsid w:val="18A9344B"/>
    <w:multiLevelType w:val="multilevel"/>
    <w:tmpl w:val="4B16F168"/>
    <w:numStyleLink w:val="ProvvTitoli"/>
  </w:abstractNum>
  <w:abstractNum w:abstractNumId="14" w15:restartNumberingAfterBreak="0">
    <w:nsid w:val="27E70A3E"/>
    <w:multiLevelType w:val="multilevel"/>
    <w:tmpl w:val="884C3D00"/>
    <w:lvl w:ilvl="0">
      <w:start w:val="1"/>
      <w:numFmt w:val="upperRoman"/>
      <w:pStyle w:val="ProvvTitolo10"/>
      <w:lvlText w:val="%1."/>
      <w:lvlJc w:val="left"/>
      <w:pPr>
        <w:ind w:left="567" w:hanging="567"/>
      </w:pPr>
      <w:rPr>
        <w:rFonts w:ascii="Times New Roman" w:hAnsi="Times New Roman" w:hint="default"/>
        <w:b/>
        <w:i w:val="0"/>
        <w:caps/>
        <w:sz w:val="28"/>
      </w:rPr>
    </w:lvl>
    <w:lvl w:ilvl="1">
      <w:start w:val="1"/>
      <w:numFmt w:val="decimal"/>
      <w:pStyle w:val="ProvvTitolo20"/>
      <w:lvlText w:val="%1.%2."/>
      <w:lvlJc w:val="left"/>
      <w:pPr>
        <w:ind w:left="737" w:hanging="737"/>
      </w:pPr>
      <w:rPr>
        <w:rFonts w:ascii="Times New Roman" w:hAnsi="Times New Roman" w:hint="default"/>
        <w:b/>
        <w:i/>
        <w:sz w:val="28"/>
      </w:rPr>
    </w:lvl>
    <w:lvl w:ilvl="2">
      <w:start w:val="1"/>
      <w:numFmt w:val="decimal"/>
      <w:pStyle w:val="ProvvTitolo30"/>
      <w:lvlText w:val="%1.%2.%3."/>
      <w:lvlJc w:val="left"/>
      <w:pPr>
        <w:ind w:left="1134" w:hanging="1134"/>
      </w:pPr>
      <w:rPr>
        <w:rFonts w:ascii="Times New Roman" w:hAnsi="Times New Roman" w:hint="default"/>
        <w:b w:val="0"/>
        <w:i/>
        <w:sz w:val="28"/>
      </w:rPr>
    </w:lvl>
    <w:lvl w:ilvl="3">
      <w:start w:val="1"/>
      <w:numFmt w:val="lowerLetter"/>
      <w:pStyle w:val="ProvvTitolo40"/>
      <w:lvlText w:val="%1.%2.%3.%4."/>
      <w:lvlJc w:val="left"/>
      <w:pPr>
        <w:ind w:left="1134" w:hanging="1134"/>
      </w:pPr>
      <w:rPr>
        <w:rFonts w:ascii="Times New Roman" w:hAnsi="Times New Roman" w:hint="default"/>
        <w:b w:val="0"/>
        <w:i/>
        <w:sz w:val="28"/>
      </w:rPr>
    </w:lvl>
    <w:lvl w:ilvl="4">
      <w:start w:val="1"/>
      <w:numFmt w:val="decimal"/>
      <w:pStyle w:val="ProvvTitolo50"/>
      <w:lvlText w:val="%1.%2.%3.%4.%5."/>
      <w:lvlJc w:val="left"/>
      <w:pPr>
        <w:ind w:left="1418" w:hanging="1418"/>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588" w:hanging="1588"/>
      </w:pPr>
      <w:rPr>
        <w:rFonts w:ascii="Times New Roman" w:hAnsi="Times New Roman" w:hint="default"/>
        <w:b w:val="0"/>
        <w:i w:val="0"/>
        <w:sz w:val="28"/>
      </w:rPr>
    </w:lvl>
    <w:lvl w:ilvl="6">
      <w:start w:val="1"/>
      <w:numFmt w:val="decimal"/>
      <w:lvlText w:val="%1.%2.%3.%4.%5.%6.%7"/>
      <w:lvlJc w:val="left"/>
      <w:pPr>
        <w:ind w:left="2714" w:hanging="2714"/>
      </w:pPr>
      <w:rPr>
        <w:rFonts w:hint="default"/>
      </w:rPr>
    </w:lvl>
    <w:lvl w:ilvl="7">
      <w:start w:val="1"/>
      <w:numFmt w:val="decimal"/>
      <w:lvlText w:val="%1.%2.%3.%4.%5.%6.%7.%8"/>
      <w:lvlJc w:val="left"/>
      <w:pPr>
        <w:ind w:left="2858" w:hanging="2858"/>
      </w:pPr>
      <w:rPr>
        <w:rFonts w:hint="default"/>
      </w:rPr>
    </w:lvl>
    <w:lvl w:ilvl="8">
      <w:start w:val="1"/>
      <w:numFmt w:val="decimal"/>
      <w:lvlText w:val="%1.%2.%3.%4.%5.%6.%7.%8.%9"/>
      <w:lvlJc w:val="left"/>
      <w:pPr>
        <w:ind w:left="3002" w:hanging="3002"/>
      </w:pPr>
      <w:rPr>
        <w:rFonts w:hint="default"/>
      </w:rPr>
    </w:lvl>
  </w:abstractNum>
  <w:abstractNum w:abstractNumId="15" w15:restartNumberingAfterBreak="0">
    <w:nsid w:val="29072F59"/>
    <w:multiLevelType w:val="multilevel"/>
    <w:tmpl w:val="448C2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E26077"/>
    <w:multiLevelType w:val="multilevel"/>
    <w:tmpl w:val="448C2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DD3FB1"/>
    <w:multiLevelType w:val="hybridMultilevel"/>
    <w:tmpl w:val="B290EFCE"/>
    <w:lvl w:ilvl="0" w:tplc="967452F0">
      <w:start w:val="1"/>
      <w:numFmt w:val="decimal"/>
      <w:pStyle w:val="ProvvParagrafoNumerato"/>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16F2F04"/>
    <w:multiLevelType w:val="multilevel"/>
    <w:tmpl w:val="CB424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B40AE9"/>
    <w:multiLevelType w:val="multilevel"/>
    <w:tmpl w:val="9986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8905FC"/>
    <w:multiLevelType w:val="multilevel"/>
    <w:tmpl w:val="807A4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4D65CD"/>
    <w:multiLevelType w:val="multilevel"/>
    <w:tmpl w:val="4B16F168"/>
    <w:numStyleLink w:val="ProvvTitoli"/>
  </w:abstractNum>
  <w:abstractNum w:abstractNumId="22" w15:restartNumberingAfterBreak="0">
    <w:nsid w:val="435E1E23"/>
    <w:multiLevelType w:val="multilevel"/>
    <w:tmpl w:val="BD54B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DA483D"/>
    <w:multiLevelType w:val="multilevel"/>
    <w:tmpl w:val="128E2398"/>
    <w:lvl w:ilvl="0">
      <w:start w:val="1"/>
      <w:numFmt w:val="decimal"/>
      <w:pStyle w:val="Titolo1"/>
      <w:lvlText w:val="%1"/>
      <w:lvlJc w:val="left"/>
      <w:pPr>
        <w:ind w:left="432" w:hanging="432"/>
      </w:pPr>
    </w:lvl>
    <w:lvl w:ilvl="1">
      <w:start w:val="1"/>
      <w:numFmt w:val="decimal"/>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24" w15:restartNumberingAfterBreak="0">
    <w:nsid w:val="54ED3EFB"/>
    <w:multiLevelType w:val="multilevel"/>
    <w:tmpl w:val="4B16F168"/>
    <w:numStyleLink w:val="ProvvTitoli"/>
  </w:abstractNum>
  <w:abstractNum w:abstractNumId="25" w15:restartNumberingAfterBreak="0">
    <w:nsid w:val="56A66D49"/>
    <w:multiLevelType w:val="multilevel"/>
    <w:tmpl w:val="AE626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327083"/>
    <w:multiLevelType w:val="multilevel"/>
    <w:tmpl w:val="4B16F168"/>
    <w:numStyleLink w:val="ProvvTitoli"/>
  </w:abstractNum>
  <w:abstractNum w:abstractNumId="27" w15:restartNumberingAfterBreak="0">
    <w:nsid w:val="6F473A16"/>
    <w:multiLevelType w:val="hybridMultilevel"/>
    <w:tmpl w:val="A394F0B4"/>
    <w:lvl w:ilvl="0" w:tplc="B6C085EA">
      <w:start w:val="1"/>
      <w:numFmt w:val="bullet"/>
      <w:pStyle w:val="ProvvPuntoElenco"/>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0720F66"/>
    <w:multiLevelType w:val="multilevel"/>
    <w:tmpl w:val="448C2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EF0BDC"/>
    <w:multiLevelType w:val="multilevel"/>
    <w:tmpl w:val="4B16F168"/>
    <w:styleLink w:val="ProvvTitoli"/>
    <w:lvl w:ilvl="0">
      <w:start w:val="1"/>
      <w:numFmt w:val="upperRoman"/>
      <w:lvlText w:val="%1."/>
      <w:lvlJc w:val="left"/>
      <w:pPr>
        <w:ind w:left="567" w:hanging="567"/>
      </w:pPr>
      <w:rPr>
        <w:rFonts w:ascii="Times New Roman" w:hAnsi="Times New Roman" w:hint="default"/>
        <w:b/>
        <w:i w:val="0"/>
        <w:caps/>
        <w:sz w:val="28"/>
      </w:rPr>
    </w:lvl>
    <w:lvl w:ilvl="1">
      <w:start w:val="1"/>
      <w:numFmt w:val="decimal"/>
      <w:lvlText w:val="%1.%2."/>
      <w:lvlJc w:val="left"/>
      <w:pPr>
        <w:ind w:left="737" w:hanging="737"/>
      </w:pPr>
      <w:rPr>
        <w:rFonts w:ascii="Times New Roman" w:hAnsi="Times New Roman" w:hint="default"/>
        <w:b/>
        <w:i/>
        <w:sz w:val="28"/>
      </w:rPr>
    </w:lvl>
    <w:lvl w:ilvl="2">
      <w:start w:val="1"/>
      <w:numFmt w:val="decimal"/>
      <w:lvlText w:val="%1.%2.%3."/>
      <w:lvlJc w:val="left"/>
      <w:pPr>
        <w:ind w:left="1134" w:hanging="1134"/>
      </w:pPr>
      <w:rPr>
        <w:rFonts w:ascii="Times New Roman" w:hAnsi="Times New Roman" w:hint="default"/>
        <w:b w:val="0"/>
        <w:i/>
        <w:sz w:val="28"/>
      </w:rPr>
    </w:lvl>
    <w:lvl w:ilvl="3">
      <w:start w:val="1"/>
      <w:numFmt w:val="lowerLetter"/>
      <w:lvlText w:val="%1.%2.%3.%4."/>
      <w:lvlJc w:val="left"/>
      <w:pPr>
        <w:ind w:left="1134" w:hanging="1134"/>
      </w:pPr>
      <w:rPr>
        <w:rFonts w:ascii="Times New Roman" w:hAnsi="Times New Roman" w:hint="default"/>
        <w:b w:val="0"/>
        <w:i/>
        <w:sz w:val="28"/>
      </w:rPr>
    </w:lvl>
    <w:lvl w:ilvl="4">
      <w:start w:val="1"/>
      <w:numFmt w:val="decimal"/>
      <w:lvlText w:val="%1.%2.%3.%4.%5."/>
      <w:lvlJc w:val="left"/>
      <w:pPr>
        <w:ind w:left="1418" w:hanging="1418"/>
      </w:pPr>
      <w:rPr>
        <w:rFonts w:ascii="Times New Roman" w:hAnsi="Times New Roman" w:hint="default"/>
        <w:b w:val="0"/>
        <w:i/>
        <w:sz w:val="28"/>
      </w:rPr>
    </w:lvl>
    <w:lvl w:ilvl="5">
      <w:start w:val="1"/>
      <w:numFmt w:val="decimal"/>
      <w:lvlText w:val="%1.%2.%3.%4.%5.%6"/>
      <w:lvlJc w:val="left"/>
      <w:pPr>
        <w:ind w:left="1588" w:hanging="1588"/>
      </w:pPr>
      <w:rPr>
        <w:rFonts w:ascii="Times New Roman" w:hAnsi="Times New Roman" w:hint="default"/>
        <w:b w:val="0"/>
        <w:i w:val="0"/>
        <w:sz w:val="28"/>
      </w:rPr>
    </w:lvl>
    <w:lvl w:ilvl="6">
      <w:start w:val="1"/>
      <w:numFmt w:val="decimal"/>
      <w:lvlText w:val="%1.%2.%3.%4.%5.%6.%7"/>
      <w:lvlJc w:val="left"/>
      <w:pPr>
        <w:ind w:left="2714" w:hanging="1296"/>
      </w:pPr>
      <w:rPr>
        <w:rFonts w:hint="default"/>
      </w:rPr>
    </w:lvl>
    <w:lvl w:ilvl="7">
      <w:start w:val="1"/>
      <w:numFmt w:val="decimal"/>
      <w:lvlText w:val="%1.%2.%3.%4.%5.%6.%7.%8"/>
      <w:lvlJc w:val="left"/>
      <w:pPr>
        <w:ind w:left="2858" w:hanging="1440"/>
      </w:pPr>
      <w:rPr>
        <w:rFonts w:hint="default"/>
      </w:rPr>
    </w:lvl>
    <w:lvl w:ilvl="8">
      <w:start w:val="1"/>
      <w:numFmt w:val="decimal"/>
      <w:lvlText w:val="%1.%2.%3.%4.%5.%6.%7.%8.%9"/>
      <w:lvlJc w:val="left"/>
      <w:pPr>
        <w:ind w:left="3002" w:hanging="1584"/>
      </w:pPr>
      <w:rPr>
        <w:rFonts w:hint="default"/>
      </w:rPr>
    </w:lvl>
  </w:abstractNum>
  <w:abstractNum w:abstractNumId="30" w15:restartNumberingAfterBreak="0">
    <w:nsid w:val="77567137"/>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CB57E1B"/>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F053E21"/>
    <w:multiLevelType w:val="multilevel"/>
    <w:tmpl w:val="4B16F168"/>
    <w:numStyleLink w:val="ProvvTitoli"/>
  </w:abstractNum>
  <w:num w:numId="1">
    <w:abstractNumId w:val="27"/>
  </w:num>
  <w:num w:numId="2">
    <w:abstractNumId w:val="9"/>
  </w:num>
  <w:num w:numId="3">
    <w:abstractNumId w:val="17"/>
  </w:num>
  <w:num w:numId="4">
    <w:abstractNumId w:val="24"/>
  </w:num>
  <w:num w:numId="5">
    <w:abstractNumId w:val="31"/>
  </w:num>
  <w:num w:numId="6">
    <w:abstractNumId w:val="23"/>
  </w:num>
  <w:num w:numId="7">
    <w:abstractNumId w:val="29"/>
  </w:num>
  <w:num w:numId="8">
    <w:abstractNumId w:val="30"/>
  </w:num>
  <w:num w:numId="9">
    <w:abstractNumId w:val="13"/>
  </w:num>
  <w:num w:numId="10">
    <w:abstractNumId w:val="11"/>
  </w:num>
  <w:num w:numId="11">
    <w:abstractNumId w:val="10"/>
  </w:num>
  <w:num w:numId="12">
    <w:abstractNumId w:val="12"/>
  </w:num>
  <w:num w:numId="13">
    <w:abstractNumId w:val="26"/>
  </w:num>
  <w:num w:numId="14">
    <w:abstractNumId w:val="32"/>
  </w:num>
  <w:num w:numId="15">
    <w:abstractNumId w:val="21"/>
  </w:num>
  <w:num w:numId="16">
    <w:abstractNumId w:val="1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3"/>
  </w:num>
  <w:num w:numId="20">
    <w:abstractNumId w:val="2"/>
  </w:num>
  <w:num w:numId="21">
    <w:abstractNumId w:val="1"/>
  </w:num>
  <w:num w:numId="22">
    <w:abstractNumId w:val="0"/>
  </w:num>
  <w:num w:numId="23">
    <w:abstractNumId w:val="7"/>
  </w:num>
  <w:num w:numId="24">
    <w:abstractNumId w:val="6"/>
  </w:num>
  <w:num w:numId="25">
    <w:abstractNumId w:val="5"/>
  </w:num>
  <w:num w:numId="26">
    <w:abstractNumId w:val="4"/>
  </w:num>
  <w:num w:numId="27">
    <w:abstractNumId w:val="23"/>
  </w:num>
  <w:num w:numId="28">
    <w:abstractNumId w:val="23"/>
  </w:num>
  <w:num w:numId="29">
    <w:abstractNumId w:val="23"/>
  </w:num>
  <w:num w:numId="30">
    <w:abstractNumId w:val="23"/>
  </w:num>
  <w:num w:numId="31">
    <w:abstractNumId w:val="23"/>
  </w:num>
  <w:num w:numId="32">
    <w:abstractNumId w:val="23"/>
  </w:num>
  <w:num w:numId="33">
    <w:abstractNumId w:val="23"/>
  </w:num>
  <w:num w:numId="34">
    <w:abstractNumId w:val="23"/>
  </w:num>
  <w:num w:numId="35">
    <w:abstractNumId w:val="23"/>
  </w:num>
  <w:num w:numId="36">
    <w:abstractNumId w:val="14"/>
  </w:num>
  <w:num w:numId="37">
    <w:abstractNumId w:val="14"/>
  </w:num>
  <w:num w:numId="38">
    <w:abstractNumId w:val="14"/>
  </w:num>
  <w:num w:numId="39">
    <w:abstractNumId w:val="14"/>
  </w:num>
  <w:num w:numId="40">
    <w:abstractNumId w:val="14"/>
  </w:num>
  <w:num w:numId="41">
    <w:abstractNumId w:val="27"/>
  </w:num>
  <w:num w:numId="42">
    <w:abstractNumId w:val="17"/>
  </w:num>
  <w:num w:numId="43">
    <w:abstractNumId w:val="15"/>
  </w:num>
  <w:num w:numId="44">
    <w:abstractNumId w:val="28"/>
  </w:num>
  <w:num w:numId="45">
    <w:abstractNumId w:val="22"/>
  </w:num>
  <w:num w:numId="46">
    <w:abstractNumId w:val="19"/>
  </w:num>
  <w:num w:numId="47">
    <w:abstractNumId w:val="25"/>
  </w:num>
  <w:num w:numId="48">
    <w:abstractNumId w:val="20"/>
  </w:num>
  <w:num w:numId="49">
    <w:abstractNumId w:val="18"/>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hyphenationZone w:val="283"/>
  <w:drawingGridHorizontalSpacing w:val="120"/>
  <w:displayHorizontalDrawingGridEvery w:val="2"/>
  <w:displayVerticalDrawingGridEvery w:val="2"/>
  <w:noPunctuationKerning/>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C79"/>
    <w:rsid w:val="00016270"/>
    <w:rsid w:val="000200BE"/>
    <w:rsid w:val="0005010E"/>
    <w:rsid w:val="00051C3F"/>
    <w:rsid w:val="00053715"/>
    <w:rsid w:val="00056A30"/>
    <w:rsid w:val="00060189"/>
    <w:rsid w:val="000A08E8"/>
    <w:rsid w:val="000D2DDE"/>
    <w:rsid w:val="000D5B27"/>
    <w:rsid w:val="000F22A0"/>
    <w:rsid w:val="00107163"/>
    <w:rsid w:val="001316BC"/>
    <w:rsid w:val="001351C0"/>
    <w:rsid w:val="00156115"/>
    <w:rsid w:val="00164673"/>
    <w:rsid w:val="001661C4"/>
    <w:rsid w:val="00175849"/>
    <w:rsid w:val="00180DB2"/>
    <w:rsid w:val="00186BA3"/>
    <w:rsid w:val="0019703B"/>
    <w:rsid w:val="0019750B"/>
    <w:rsid w:val="001A003F"/>
    <w:rsid w:val="001A0C2C"/>
    <w:rsid w:val="001A3612"/>
    <w:rsid w:val="001B1287"/>
    <w:rsid w:val="001B66D1"/>
    <w:rsid w:val="001C21AD"/>
    <w:rsid w:val="001D5933"/>
    <w:rsid w:val="001E7EAD"/>
    <w:rsid w:val="00221A06"/>
    <w:rsid w:val="00232BE7"/>
    <w:rsid w:val="00235C99"/>
    <w:rsid w:val="0025142F"/>
    <w:rsid w:val="00253825"/>
    <w:rsid w:val="00257C5A"/>
    <w:rsid w:val="00276E59"/>
    <w:rsid w:val="002828C7"/>
    <w:rsid w:val="00294AC8"/>
    <w:rsid w:val="002B274F"/>
    <w:rsid w:val="002D0944"/>
    <w:rsid w:val="002D4C5B"/>
    <w:rsid w:val="002E47F0"/>
    <w:rsid w:val="002E709C"/>
    <w:rsid w:val="002F152C"/>
    <w:rsid w:val="00313E0F"/>
    <w:rsid w:val="00337543"/>
    <w:rsid w:val="00341845"/>
    <w:rsid w:val="0034221E"/>
    <w:rsid w:val="00364D0D"/>
    <w:rsid w:val="00367892"/>
    <w:rsid w:val="003912F1"/>
    <w:rsid w:val="003B02FC"/>
    <w:rsid w:val="003B3E87"/>
    <w:rsid w:val="003C03C8"/>
    <w:rsid w:val="003C0C4C"/>
    <w:rsid w:val="003C5E10"/>
    <w:rsid w:val="003D2121"/>
    <w:rsid w:val="003D48A6"/>
    <w:rsid w:val="003D4994"/>
    <w:rsid w:val="003D77CC"/>
    <w:rsid w:val="003E33E1"/>
    <w:rsid w:val="003F0310"/>
    <w:rsid w:val="0040612E"/>
    <w:rsid w:val="00406566"/>
    <w:rsid w:val="00414458"/>
    <w:rsid w:val="004170F5"/>
    <w:rsid w:val="00424B9D"/>
    <w:rsid w:val="00427AD5"/>
    <w:rsid w:val="00432134"/>
    <w:rsid w:val="00433172"/>
    <w:rsid w:val="0045659D"/>
    <w:rsid w:val="0047313B"/>
    <w:rsid w:val="0047612C"/>
    <w:rsid w:val="00491E17"/>
    <w:rsid w:val="004B4969"/>
    <w:rsid w:val="004C3AA8"/>
    <w:rsid w:val="004C3CFB"/>
    <w:rsid w:val="005109F2"/>
    <w:rsid w:val="005119AF"/>
    <w:rsid w:val="00521E16"/>
    <w:rsid w:val="00523A12"/>
    <w:rsid w:val="00532F36"/>
    <w:rsid w:val="00537373"/>
    <w:rsid w:val="00537BCE"/>
    <w:rsid w:val="005458B4"/>
    <w:rsid w:val="00557B61"/>
    <w:rsid w:val="00560149"/>
    <w:rsid w:val="00570BE6"/>
    <w:rsid w:val="00594CC3"/>
    <w:rsid w:val="005A5582"/>
    <w:rsid w:val="005A6C21"/>
    <w:rsid w:val="005C1F55"/>
    <w:rsid w:val="005D0901"/>
    <w:rsid w:val="005E1051"/>
    <w:rsid w:val="005E164F"/>
    <w:rsid w:val="005E1BEF"/>
    <w:rsid w:val="005E4473"/>
    <w:rsid w:val="005E64C9"/>
    <w:rsid w:val="005F13F0"/>
    <w:rsid w:val="006215A6"/>
    <w:rsid w:val="00621B7C"/>
    <w:rsid w:val="006408D4"/>
    <w:rsid w:val="00645F5B"/>
    <w:rsid w:val="006515C7"/>
    <w:rsid w:val="00655AEF"/>
    <w:rsid w:val="0068524C"/>
    <w:rsid w:val="00694CE1"/>
    <w:rsid w:val="006A4DEF"/>
    <w:rsid w:val="006B3A3F"/>
    <w:rsid w:val="006C5DDB"/>
    <w:rsid w:val="006C6B23"/>
    <w:rsid w:val="006D372C"/>
    <w:rsid w:val="006F5243"/>
    <w:rsid w:val="0070711F"/>
    <w:rsid w:val="00725071"/>
    <w:rsid w:val="007408DE"/>
    <w:rsid w:val="007429E0"/>
    <w:rsid w:val="00742AD3"/>
    <w:rsid w:val="0074572B"/>
    <w:rsid w:val="0075243A"/>
    <w:rsid w:val="00762450"/>
    <w:rsid w:val="0077197A"/>
    <w:rsid w:val="0077490C"/>
    <w:rsid w:val="00774A6E"/>
    <w:rsid w:val="00786343"/>
    <w:rsid w:val="00797FC0"/>
    <w:rsid w:val="007B3A1D"/>
    <w:rsid w:val="007B7FE3"/>
    <w:rsid w:val="007C1162"/>
    <w:rsid w:val="007C1F70"/>
    <w:rsid w:val="007D08A7"/>
    <w:rsid w:val="007D3BE0"/>
    <w:rsid w:val="007D7710"/>
    <w:rsid w:val="008164A1"/>
    <w:rsid w:val="0082526C"/>
    <w:rsid w:val="008267A3"/>
    <w:rsid w:val="0085437C"/>
    <w:rsid w:val="0086247E"/>
    <w:rsid w:val="008639BE"/>
    <w:rsid w:val="00877464"/>
    <w:rsid w:val="008849DE"/>
    <w:rsid w:val="0088680E"/>
    <w:rsid w:val="0088789E"/>
    <w:rsid w:val="008926B5"/>
    <w:rsid w:val="00894A8A"/>
    <w:rsid w:val="00897D9E"/>
    <w:rsid w:val="008A35BF"/>
    <w:rsid w:val="008B026F"/>
    <w:rsid w:val="008B60DC"/>
    <w:rsid w:val="008C038C"/>
    <w:rsid w:val="008D21D9"/>
    <w:rsid w:val="008D5173"/>
    <w:rsid w:val="008F32FA"/>
    <w:rsid w:val="008F7497"/>
    <w:rsid w:val="00901FBA"/>
    <w:rsid w:val="009055B4"/>
    <w:rsid w:val="00946A73"/>
    <w:rsid w:val="00975C33"/>
    <w:rsid w:val="009870F5"/>
    <w:rsid w:val="009A1CDD"/>
    <w:rsid w:val="009D5FB5"/>
    <w:rsid w:val="009E3D9E"/>
    <w:rsid w:val="009E46E2"/>
    <w:rsid w:val="009F53AD"/>
    <w:rsid w:val="00A13ABD"/>
    <w:rsid w:val="00A176DB"/>
    <w:rsid w:val="00A34B31"/>
    <w:rsid w:val="00A37BEC"/>
    <w:rsid w:val="00A40299"/>
    <w:rsid w:val="00A43EC6"/>
    <w:rsid w:val="00A44943"/>
    <w:rsid w:val="00A4572F"/>
    <w:rsid w:val="00A51C7F"/>
    <w:rsid w:val="00A54655"/>
    <w:rsid w:val="00A64F85"/>
    <w:rsid w:val="00A814A1"/>
    <w:rsid w:val="00A82A33"/>
    <w:rsid w:val="00A83DC0"/>
    <w:rsid w:val="00A86235"/>
    <w:rsid w:val="00AB111C"/>
    <w:rsid w:val="00AB6F35"/>
    <w:rsid w:val="00AD0747"/>
    <w:rsid w:val="00AD1C18"/>
    <w:rsid w:val="00AD27EB"/>
    <w:rsid w:val="00AE619C"/>
    <w:rsid w:val="00B03642"/>
    <w:rsid w:val="00B12C23"/>
    <w:rsid w:val="00B406B0"/>
    <w:rsid w:val="00B44FCA"/>
    <w:rsid w:val="00B529B1"/>
    <w:rsid w:val="00B5369B"/>
    <w:rsid w:val="00B67F6F"/>
    <w:rsid w:val="00B75661"/>
    <w:rsid w:val="00B82B8C"/>
    <w:rsid w:val="00B87304"/>
    <w:rsid w:val="00B9265B"/>
    <w:rsid w:val="00B97B77"/>
    <w:rsid w:val="00BA224E"/>
    <w:rsid w:val="00BB189E"/>
    <w:rsid w:val="00BB4A3F"/>
    <w:rsid w:val="00BB781A"/>
    <w:rsid w:val="00BC0E8E"/>
    <w:rsid w:val="00BD5EF1"/>
    <w:rsid w:val="00BF0825"/>
    <w:rsid w:val="00C02D35"/>
    <w:rsid w:val="00C17EBF"/>
    <w:rsid w:val="00C31023"/>
    <w:rsid w:val="00C84D91"/>
    <w:rsid w:val="00C977E2"/>
    <w:rsid w:val="00CA0F9F"/>
    <w:rsid w:val="00CA1724"/>
    <w:rsid w:val="00CB76CD"/>
    <w:rsid w:val="00CC092D"/>
    <w:rsid w:val="00D05140"/>
    <w:rsid w:val="00D11C3C"/>
    <w:rsid w:val="00D12837"/>
    <w:rsid w:val="00D258C2"/>
    <w:rsid w:val="00D51B77"/>
    <w:rsid w:val="00D57ED0"/>
    <w:rsid w:val="00D63EE8"/>
    <w:rsid w:val="00D77A7A"/>
    <w:rsid w:val="00D80DA4"/>
    <w:rsid w:val="00DB579D"/>
    <w:rsid w:val="00DC3183"/>
    <w:rsid w:val="00DC3C3E"/>
    <w:rsid w:val="00DC3DE6"/>
    <w:rsid w:val="00DD57E5"/>
    <w:rsid w:val="00E01AE0"/>
    <w:rsid w:val="00E03567"/>
    <w:rsid w:val="00E036A5"/>
    <w:rsid w:val="00E26795"/>
    <w:rsid w:val="00E30F87"/>
    <w:rsid w:val="00E46AA6"/>
    <w:rsid w:val="00E51202"/>
    <w:rsid w:val="00E55F6A"/>
    <w:rsid w:val="00E67EA6"/>
    <w:rsid w:val="00E67FF0"/>
    <w:rsid w:val="00E754A6"/>
    <w:rsid w:val="00E775CE"/>
    <w:rsid w:val="00E8401D"/>
    <w:rsid w:val="00E92AEF"/>
    <w:rsid w:val="00E9440F"/>
    <w:rsid w:val="00EA094D"/>
    <w:rsid w:val="00EA3AF7"/>
    <w:rsid w:val="00ED2F1C"/>
    <w:rsid w:val="00ED5EDE"/>
    <w:rsid w:val="00EE1CA9"/>
    <w:rsid w:val="00EE2E19"/>
    <w:rsid w:val="00EE6A5F"/>
    <w:rsid w:val="00F27DD2"/>
    <w:rsid w:val="00F3451E"/>
    <w:rsid w:val="00F37A82"/>
    <w:rsid w:val="00F649CA"/>
    <w:rsid w:val="00F83C2D"/>
    <w:rsid w:val="00F84C8B"/>
    <w:rsid w:val="00F867DB"/>
    <w:rsid w:val="00F87995"/>
    <w:rsid w:val="00F92025"/>
    <w:rsid w:val="00F976B6"/>
    <w:rsid w:val="00F97BE6"/>
    <w:rsid w:val="00FC2F1C"/>
    <w:rsid w:val="00FD02CA"/>
    <w:rsid w:val="00FD0C16"/>
    <w:rsid w:val="00FE1B5E"/>
    <w:rsid w:val="00FE2177"/>
    <w:rsid w:val="00FF2C79"/>
    <w:rsid w:val="00FF49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458140"/>
  <w15:chartTrackingRefBased/>
  <w15:docId w15:val="{C5B4D466-6944-48E6-8033-A459B789B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FF2C79"/>
    <w:pPr>
      <w:spacing w:after="160" w:line="259" w:lineRule="auto"/>
    </w:pPr>
    <w:rPr>
      <w:rFonts w:asciiTheme="minorHAnsi" w:eastAsiaTheme="minorHAnsi" w:hAnsiTheme="minorHAnsi" w:cstheme="minorBidi"/>
      <w:sz w:val="22"/>
      <w:szCs w:val="22"/>
      <w:lang w:eastAsia="en-US"/>
    </w:rPr>
  </w:style>
  <w:style w:type="paragraph" w:styleId="Titolo1">
    <w:name w:val="heading 1"/>
    <w:basedOn w:val="Normale"/>
    <w:next w:val="Normale"/>
    <w:link w:val="Titolo1Carattere"/>
    <w:qFormat/>
    <w:rsid w:val="00424B9D"/>
    <w:pPr>
      <w:keepNext/>
      <w:keepLines/>
      <w:numPr>
        <w:numId w:val="35"/>
      </w:numPr>
      <w:spacing w:before="240" w:after="0" w:line="360" w:lineRule="atLeast"/>
      <w:jc w:val="both"/>
      <w:outlineLvl w:val="0"/>
    </w:pPr>
    <w:rPr>
      <w:rFonts w:asciiTheme="majorHAnsi" w:eastAsiaTheme="majorEastAsia" w:hAnsiTheme="majorHAnsi" w:cstheme="majorBidi"/>
      <w:color w:val="365F91" w:themeColor="accent1" w:themeShade="BF"/>
      <w:sz w:val="32"/>
      <w:szCs w:val="32"/>
      <w:lang w:eastAsia="it-IT"/>
    </w:rPr>
  </w:style>
  <w:style w:type="paragraph" w:styleId="Titolo2">
    <w:name w:val="heading 2"/>
    <w:basedOn w:val="Normale"/>
    <w:next w:val="Normale"/>
    <w:link w:val="Titolo2Carattere"/>
    <w:unhideWhenUsed/>
    <w:qFormat/>
    <w:rsid w:val="00424B9D"/>
    <w:pPr>
      <w:keepNext/>
      <w:keepLines/>
      <w:spacing w:before="40" w:after="0" w:line="360" w:lineRule="atLeast"/>
      <w:jc w:val="both"/>
      <w:outlineLvl w:val="1"/>
    </w:pPr>
    <w:rPr>
      <w:rFonts w:asciiTheme="majorHAnsi" w:eastAsiaTheme="majorEastAsia" w:hAnsiTheme="majorHAnsi" w:cstheme="majorBidi"/>
      <w:color w:val="365F91" w:themeColor="accent1" w:themeShade="BF"/>
      <w:sz w:val="26"/>
      <w:szCs w:val="26"/>
      <w:lang w:eastAsia="it-IT"/>
    </w:rPr>
  </w:style>
  <w:style w:type="paragraph" w:styleId="Titolo3">
    <w:name w:val="heading 3"/>
    <w:basedOn w:val="Normale"/>
    <w:next w:val="Normale"/>
    <w:link w:val="Titolo3Carattere"/>
    <w:uiPriority w:val="9"/>
    <w:unhideWhenUsed/>
    <w:qFormat/>
    <w:rsid w:val="00424B9D"/>
    <w:pPr>
      <w:keepNext/>
      <w:keepLines/>
      <w:numPr>
        <w:ilvl w:val="2"/>
        <w:numId w:val="35"/>
      </w:numPr>
      <w:spacing w:before="40" w:after="0" w:line="360" w:lineRule="atLeast"/>
      <w:jc w:val="both"/>
      <w:outlineLvl w:val="2"/>
    </w:pPr>
    <w:rPr>
      <w:rFonts w:asciiTheme="majorHAnsi" w:eastAsiaTheme="majorEastAsia" w:hAnsiTheme="majorHAnsi" w:cstheme="majorBidi"/>
      <w:color w:val="243F60" w:themeColor="accent1" w:themeShade="7F"/>
      <w:sz w:val="24"/>
      <w:szCs w:val="24"/>
      <w:lang w:eastAsia="it-IT"/>
    </w:rPr>
  </w:style>
  <w:style w:type="paragraph" w:styleId="Titolo4">
    <w:name w:val="heading 4"/>
    <w:basedOn w:val="Normale"/>
    <w:next w:val="Normale"/>
    <w:link w:val="Titolo4Carattere"/>
    <w:uiPriority w:val="9"/>
    <w:unhideWhenUsed/>
    <w:qFormat/>
    <w:rsid w:val="00424B9D"/>
    <w:pPr>
      <w:keepNext/>
      <w:keepLines/>
      <w:numPr>
        <w:ilvl w:val="3"/>
        <w:numId w:val="35"/>
      </w:numPr>
      <w:spacing w:before="40" w:after="0" w:line="360" w:lineRule="atLeast"/>
      <w:jc w:val="both"/>
      <w:outlineLvl w:val="3"/>
    </w:pPr>
    <w:rPr>
      <w:rFonts w:asciiTheme="majorHAnsi" w:eastAsiaTheme="majorEastAsia" w:hAnsiTheme="majorHAnsi" w:cstheme="majorBidi"/>
      <w:i/>
      <w:iCs/>
      <w:color w:val="365F91" w:themeColor="accent1" w:themeShade="BF"/>
      <w:sz w:val="28"/>
      <w:szCs w:val="24"/>
      <w:lang w:eastAsia="it-IT"/>
    </w:rPr>
  </w:style>
  <w:style w:type="paragraph" w:styleId="Titolo5">
    <w:name w:val="heading 5"/>
    <w:basedOn w:val="Normale"/>
    <w:next w:val="Normale"/>
    <w:link w:val="Titolo5Carattere"/>
    <w:uiPriority w:val="9"/>
    <w:unhideWhenUsed/>
    <w:qFormat/>
    <w:rsid w:val="00424B9D"/>
    <w:pPr>
      <w:keepNext/>
      <w:keepLines/>
      <w:numPr>
        <w:ilvl w:val="4"/>
        <w:numId w:val="35"/>
      </w:numPr>
      <w:spacing w:before="40" w:after="0" w:line="360" w:lineRule="atLeast"/>
      <w:jc w:val="both"/>
      <w:outlineLvl w:val="4"/>
    </w:pPr>
    <w:rPr>
      <w:rFonts w:asciiTheme="majorHAnsi" w:eastAsiaTheme="majorEastAsia" w:hAnsiTheme="majorHAnsi" w:cstheme="majorBidi"/>
      <w:color w:val="365F91" w:themeColor="accent1" w:themeShade="BF"/>
      <w:sz w:val="28"/>
      <w:szCs w:val="24"/>
      <w:lang w:eastAsia="it-IT"/>
    </w:rPr>
  </w:style>
  <w:style w:type="paragraph" w:styleId="Titolo6">
    <w:name w:val="heading 6"/>
    <w:basedOn w:val="Normale"/>
    <w:next w:val="Normale"/>
    <w:link w:val="Titolo6Carattere"/>
    <w:semiHidden/>
    <w:unhideWhenUsed/>
    <w:qFormat/>
    <w:rsid w:val="00424B9D"/>
    <w:pPr>
      <w:keepNext/>
      <w:keepLines/>
      <w:numPr>
        <w:ilvl w:val="5"/>
        <w:numId w:val="35"/>
      </w:numPr>
      <w:spacing w:before="40" w:after="0" w:line="360" w:lineRule="atLeast"/>
      <w:jc w:val="both"/>
      <w:outlineLvl w:val="5"/>
    </w:pPr>
    <w:rPr>
      <w:rFonts w:asciiTheme="majorHAnsi" w:eastAsiaTheme="majorEastAsia" w:hAnsiTheme="majorHAnsi" w:cstheme="majorBidi"/>
      <w:color w:val="243F60" w:themeColor="accent1" w:themeShade="7F"/>
      <w:sz w:val="28"/>
      <w:szCs w:val="24"/>
      <w:lang w:eastAsia="it-IT"/>
    </w:rPr>
  </w:style>
  <w:style w:type="paragraph" w:styleId="Titolo7">
    <w:name w:val="heading 7"/>
    <w:basedOn w:val="Normale"/>
    <w:next w:val="Normale"/>
    <w:link w:val="Titolo7Carattere"/>
    <w:semiHidden/>
    <w:unhideWhenUsed/>
    <w:qFormat/>
    <w:rsid w:val="00424B9D"/>
    <w:pPr>
      <w:keepNext/>
      <w:keepLines/>
      <w:numPr>
        <w:ilvl w:val="6"/>
        <w:numId w:val="35"/>
      </w:numPr>
      <w:spacing w:before="40" w:after="0" w:line="360" w:lineRule="atLeast"/>
      <w:jc w:val="both"/>
      <w:outlineLvl w:val="6"/>
    </w:pPr>
    <w:rPr>
      <w:rFonts w:asciiTheme="majorHAnsi" w:eastAsiaTheme="majorEastAsia" w:hAnsiTheme="majorHAnsi" w:cstheme="majorBidi"/>
      <w:i/>
      <w:iCs/>
      <w:color w:val="243F60" w:themeColor="accent1" w:themeShade="7F"/>
      <w:sz w:val="28"/>
      <w:szCs w:val="24"/>
      <w:lang w:eastAsia="it-IT"/>
    </w:rPr>
  </w:style>
  <w:style w:type="paragraph" w:styleId="Titolo8">
    <w:name w:val="heading 8"/>
    <w:basedOn w:val="Normale"/>
    <w:next w:val="Normale"/>
    <w:link w:val="Titolo8Carattere"/>
    <w:semiHidden/>
    <w:unhideWhenUsed/>
    <w:qFormat/>
    <w:rsid w:val="00424B9D"/>
    <w:pPr>
      <w:keepNext/>
      <w:keepLines/>
      <w:numPr>
        <w:ilvl w:val="7"/>
        <w:numId w:val="35"/>
      </w:numPr>
      <w:spacing w:before="40" w:after="0" w:line="360" w:lineRule="atLeast"/>
      <w:jc w:val="both"/>
      <w:outlineLvl w:val="7"/>
    </w:pPr>
    <w:rPr>
      <w:rFonts w:asciiTheme="majorHAnsi" w:eastAsiaTheme="majorEastAsia" w:hAnsiTheme="majorHAnsi" w:cstheme="majorBidi"/>
      <w:color w:val="272727" w:themeColor="text1" w:themeTint="D8"/>
      <w:sz w:val="21"/>
      <w:szCs w:val="21"/>
      <w:lang w:eastAsia="it-IT"/>
    </w:rPr>
  </w:style>
  <w:style w:type="paragraph" w:styleId="Titolo9">
    <w:name w:val="heading 9"/>
    <w:basedOn w:val="Normale"/>
    <w:next w:val="Normale"/>
    <w:link w:val="Titolo9Carattere"/>
    <w:semiHidden/>
    <w:unhideWhenUsed/>
    <w:qFormat/>
    <w:rsid w:val="00424B9D"/>
    <w:pPr>
      <w:keepNext/>
      <w:keepLines/>
      <w:numPr>
        <w:ilvl w:val="8"/>
        <w:numId w:val="6"/>
      </w:numPr>
      <w:spacing w:before="40" w:after="0" w:line="360" w:lineRule="atLeast"/>
      <w:jc w:val="both"/>
      <w:outlineLvl w:val="8"/>
    </w:pPr>
    <w:rPr>
      <w:rFonts w:asciiTheme="majorHAnsi" w:eastAsiaTheme="majorEastAsia" w:hAnsiTheme="majorHAnsi" w:cstheme="majorBidi"/>
      <w:i/>
      <w:iCs/>
      <w:color w:val="272727" w:themeColor="text1" w:themeTint="D8"/>
      <w:sz w:val="21"/>
      <w:szCs w:val="21"/>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rovvTabellaFonti">
    <w:name w:val="Provv Tabella Fonti"/>
    <w:basedOn w:val="Normale"/>
    <w:next w:val="Normale"/>
    <w:qFormat/>
    <w:rsid w:val="00424B9D"/>
    <w:pPr>
      <w:tabs>
        <w:tab w:val="left" w:pos="4842"/>
      </w:tabs>
      <w:spacing w:after="0" w:line="240" w:lineRule="atLeast"/>
    </w:pPr>
    <w:rPr>
      <w:rFonts w:ascii="Times New Roman" w:eastAsia="Times New Roman" w:hAnsi="Times New Roman" w:cs="Times New Roman"/>
      <w:sz w:val="18"/>
      <w:szCs w:val="20"/>
      <w:lang w:eastAsia="it-IT"/>
    </w:rPr>
  </w:style>
  <w:style w:type="paragraph" w:customStyle="1" w:styleId="ProvvTitolo10">
    <w:name w:val="Provv Titolo 1.0"/>
    <w:next w:val="Normale"/>
    <w:qFormat/>
    <w:rsid w:val="00424B9D"/>
    <w:pPr>
      <w:keepNext/>
      <w:numPr>
        <w:numId w:val="40"/>
      </w:numPr>
      <w:spacing w:line="360" w:lineRule="atLeast"/>
    </w:pPr>
    <w:rPr>
      <w:b/>
      <w:caps/>
      <w:sz w:val="28"/>
    </w:rPr>
  </w:style>
  <w:style w:type="paragraph" w:customStyle="1" w:styleId="ProvvTitolo40">
    <w:name w:val="Provv Titolo 4.0"/>
    <w:next w:val="Normale"/>
    <w:qFormat/>
    <w:rsid w:val="00424B9D"/>
    <w:pPr>
      <w:keepNext/>
      <w:numPr>
        <w:ilvl w:val="3"/>
        <w:numId w:val="40"/>
      </w:numPr>
      <w:spacing w:line="360" w:lineRule="atLeast"/>
    </w:pPr>
    <w:rPr>
      <w:i/>
      <w:sz w:val="28"/>
    </w:rPr>
  </w:style>
  <w:style w:type="paragraph" w:customStyle="1" w:styleId="ProvvTitolo20">
    <w:name w:val="Provv Titolo 2.0"/>
    <w:next w:val="Normale"/>
    <w:qFormat/>
    <w:rsid w:val="00424B9D"/>
    <w:pPr>
      <w:keepNext/>
      <w:numPr>
        <w:ilvl w:val="1"/>
        <w:numId w:val="40"/>
      </w:numPr>
      <w:spacing w:line="360" w:lineRule="atLeast"/>
    </w:pPr>
    <w:rPr>
      <w:b/>
      <w:i/>
      <w:sz w:val="28"/>
    </w:rPr>
  </w:style>
  <w:style w:type="paragraph" w:customStyle="1" w:styleId="ProvvTitolo50">
    <w:name w:val="Provv Titolo 5.0"/>
    <w:next w:val="Normale"/>
    <w:qFormat/>
    <w:rsid w:val="00424B9D"/>
    <w:pPr>
      <w:keepNext/>
      <w:numPr>
        <w:ilvl w:val="4"/>
        <w:numId w:val="40"/>
      </w:numPr>
      <w:spacing w:line="360" w:lineRule="atLeast"/>
    </w:pPr>
    <w:rPr>
      <w:i/>
      <w:sz w:val="28"/>
    </w:rPr>
  </w:style>
  <w:style w:type="paragraph" w:customStyle="1" w:styleId="ProvvTitolo30">
    <w:name w:val="Provv Titolo 3.0"/>
    <w:next w:val="Normale"/>
    <w:qFormat/>
    <w:rsid w:val="00424B9D"/>
    <w:pPr>
      <w:keepNext/>
      <w:numPr>
        <w:ilvl w:val="2"/>
        <w:numId w:val="40"/>
      </w:numPr>
      <w:spacing w:line="360" w:lineRule="atLeast"/>
    </w:pPr>
    <w:rPr>
      <w:i/>
      <w:sz w:val="28"/>
    </w:rPr>
  </w:style>
  <w:style w:type="paragraph" w:styleId="Titolo">
    <w:name w:val="Title"/>
    <w:basedOn w:val="Normale"/>
    <w:next w:val="Normale"/>
    <w:link w:val="TitoloCarattere"/>
    <w:qFormat/>
    <w:rsid w:val="00424B9D"/>
    <w:pPr>
      <w:spacing w:after="0" w:line="360" w:lineRule="atLeast"/>
      <w:contextualSpacing/>
      <w:jc w:val="both"/>
    </w:pPr>
    <w:rPr>
      <w:rFonts w:asciiTheme="majorHAnsi" w:eastAsiaTheme="majorEastAsia" w:hAnsiTheme="majorHAnsi" w:cstheme="majorBidi"/>
      <w:spacing w:val="-10"/>
      <w:kern w:val="28"/>
      <w:sz w:val="56"/>
      <w:szCs w:val="56"/>
      <w:lang w:eastAsia="it-IT"/>
    </w:rPr>
  </w:style>
  <w:style w:type="character" w:customStyle="1" w:styleId="TitoloCarattere">
    <w:name w:val="Titolo Carattere"/>
    <w:basedOn w:val="Carpredefinitoparagrafo"/>
    <w:link w:val="Titolo"/>
    <w:rsid w:val="00424B9D"/>
    <w:rPr>
      <w:rFonts w:asciiTheme="majorHAnsi" w:eastAsiaTheme="majorEastAsia" w:hAnsiTheme="majorHAnsi" w:cstheme="majorBidi"/>
      <w:spacing w:val="-10"/>
      <w:kern w:val="28"/>
      <w:sz w:val="56"/>
      <w:szCs w:val="56"/>
    </w:rPr>
  </w:style>
  <w:style w:type="character" w:styleId="Riferimentointenso">
    <w:name w:val="Intense Reference"/>
    <w:basedOn w:val="Carpredefinitoparagrafo"/>
    <w:uiPriority w:val="32"/>
    <w:qFormat/>
    <w:rsid w:val="00424B9D"/>
    <w:rPr>
      <w:b/>
      <w:bCs/>
      <w:smallCaps/>
      <w:color w:val="4F81BD" w:themeColor="accent1"/>
      <w:spacing w:val="5"/>
    </w:rPr>
  </w:style>
  <w:style w:type="paragraph" w:customStyle="1" w:styleId="ProvvTabellaTesto">
    <w:name w:val="Provv Tabella Testo"/>
    <w:basedOn w:val="Normale"/>
    <w:link w:val="ProvvTabellaTestoCarattere"/>
    <w:qFormat/>
    <w:rsid w:val="00424B9D"/>
    <w:pPr>
      <w:spacing w:before="60" w:after="60" w:line="240" w:lineRule="auto"/>
      <w:jc w:val="both"/>
    </w:pPr>
    <w:rPr>
      <w:rFonts w:ascii="Times New Roman" w:eastAsia="Times New Roman" w:hAnsi="Times New Roman" w:cs="Times New Roman"/>
      <w:sz w:val="20"/>
      <w:szCs w:val="20"/>
      <w:lang w:eastAsia="it-IT"/>
    </w:rPr>
  </w:style>
  <w:style w:type="table" w:styleId="Grigliatabella">
    <w:name w:val="Table Grid"/>
    <w:basedOn w:val="Tabellanormale"/>
    <w:rsid w:val="00F84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vvTabellaTestoCarattere">
    <w:name w:val="Provv Tabella Testo Carattere"/>
    <w:basedOn w:val="Carpredefinitoparagrafo"/>
    <w:link w:val="ProvvTabellaTesto"/>
    <w:rsid w:val="00424B9D"/>
  </w:style>
  <w:style w:type="paragraph" w:customStyle="1" w:styleId="ProvvTabellaTitolo">
    <w:name w:val="Provv Tabella Titolo"/>
    <w:basedOn w:val="ProvvTabellaTesto"/>
    <w:next w:val="Normale"/>
    <w:link w:val="ProvvTabellaTitoloCarattere"/>
    <w:qFormat/>
    <w:rsid w:val="00424B9D"/>
    <w:rPr>
      <w:b/>
      <w:sz w:val="22"/>
      <w:szCs w:val="22"/>
    </w:rPr>
  </w:style>
  <w:style w:type="paragraph" w:styleId="Testonotaapidipagina">
    <w:name w:val="footnote text"/>
    <w:basedOn w:val="Normale"/>
    <w:link w:val="TestonotaapidipaginaCarattere"/>
    <w:unhideWhenUsed/>
    <w:rsid w:val="00F84C8B"/>
    <w:pPr>
      <w:spacing w:after="0" w:line="240" w:lineRule="auto"/>
      <w:jc w:val="both"/>
    </w:pPr>
    <w:rPr>
      <w:rFonts w:ascii="Times New Roman" w:eastAsia="Times New Roman" w:hAnsi="Times New Roman" w:cs="Times New Roman"/>
      <w:sz w:val="20"/>
      <w:szCs w:val="20"/>
      <w:lang w:eastAsia="it-IT"/>
    </w:rPr>
  </w:style>
  <w:style w:type="character" w:customStyle="1" w:styleId="ProvvTabellaTitoloCarattere">
    <w:name w:val="Provv Tabella Titolo Carattere"/>
    <w:basedOn w:val="ProvvTabellaTestoCarattere"/>
    <w:link w:val="ProvvTabellaTitolo"/>
    <w:rsid w:val="00424B9D"/>
    <w:rPr>
      <w:b/>
      <w:sz w:val="22"/>
      <w:szCs w:val="22"/>
    </w:rPr>
  </w:style>
  <w:style w:type="character" w:customStyle="1" w:styleId="TestonotaapidipaginaCarattere">
    <w:name w:val="Testo nota a piè di pagina Carattere"/>
    <w:basedOn w:val="Carpredefinitoparagrafo"/>
    <w:link w:val="Testonotaapidipagina"/>
    <w:rsid w:val="00F84C8B"/>
  </w:style>
  <w:style w:type="character" w:styleId="Rimandonotaapidipagina">
    <w:name w:val="footnote reference"/>
    <w:aliases w:val="Footnote number"/>
    <w:basedOn w:val="Carpredefinitoparagrafo"/>
    <w:unhideWhenUsed/>
    <w:rsid w:val="00F84C8B"/>
    <w:rPr>
      <w:vertAlign w:val="superscript"/>
    </w:rPr>
  </w:style>
  <w:style w:type="paragraph" w:customStyle="1" w:styleId="ProvvTestoNotaPiPagina">
    <w:name w:val="Provv Testo Nota Piè Pagina"/>
    <w:basedOn w:val="Testonotaapidipagina"/>
    <w:link w:val="ProvvTestoNotaPiPaginaCarattere"/>
    <w:qFormat/>
    <w:rsid w:val="00424B9D"/>
    <w:pPr>
      <w:jc w:val="left"/>
    </w:pPr>
  </w:style>
  <w:style w:type="paragraph" w:styleId="Intestazione">
    <w:name w:val="header"/>
    <w:basedOn w:val="Normale"/>
    <w:link w:val="IntestazioneCarattere"/>
    <w:uiPriority w:val="99"/>
    <w:unhideWhenUsed/>
    <w:rsid w:val="007C1162"/>
    <w:pPr>
      <w:tabs>
        <w:tab w:val="center" w:pos="4819"/>
        <w:tab w:val="right" w:pos="9638"/>
      </w:tabs>
      <w:spacing w:after="0" w:line="240" w:lineRule="auto"/>
      <w:jc w:val="both"/>
    </w:pPr>
    <w:rPr>
      <w:rFonts w:ascii="Times New Roman" w:eastAsia="Times New Roman" w:hAnsi="Times New Roman" w:cs="Times New Roman"/>
      <w:sz w:val="28"/>
      <w:szCs w:val="24"/>
      <w:lang w:eastAsia="it-IT"/>
    </w:rPr>
  </w:style>
  <w:style w:type="character" w:customStyle="1" w:styleId="ProvvTestoNotaPiPaginaCarattere">
    <w:name w:val="Provv Testo Nota Piè Pagina Carattere"/>
    <w:basedOn w:val="TestonotaapidipaginaCarattere"/>
    <w:link w:val="ProvvTestoNotaPiPagina"/>
    <w:rsid w:val="00424B9D"/>
  </w:style>
  <w:style w:type="character" w:customStyle="1" w:styleId="IntestazioneCarattere">
    <w:name w:val="Intestazione Carattere"/>
    <w:basedOn w:val="Carpredefinitoparagrafo"/>
    <w:link w:val="Intestazione"/>
    <w:uiPriority w:val="99"/>
    <w:rsid w:val="007C1162"/>
    <w:rPr>
      <w:sz w:val="28"/>
      <w:szCs w:val="24"/>
    </w:rPr>
  </w:style>
  <w:style w:type="paragraph" w:styleId="Pidipagina">
    <w:name w:val="footer"/>
    <w:basedOn w:val="Normale"/>
    <w:link w:val="PidipaginaCarattere"/>
    <w:uiPriority w:val="99"/>
    <w:unhideWhenUsed/>
    <w:rsid w:val="007C1162"/>
    <w:pPr>
      <w:tabs>
        <w:tab w:val="center" w:pos="4819"/>
        <w:tab w:val="right" w:pos="9638"/>
      </w:tabs>
      <w:spacing w:after="0" w:line="240" w:lineRule="auto"/>
      <w:jc w:val="both"/>
    </w:pPr>
    <w:rPr>
      <w:rFonts w:ascii="Times New Roman" w:eastAsia="Times New Roman" w:hAnsi="Times New Roman" w:cs="Times New Roman"/>
      <w:sz w:val="28"/>
      <w:szCs w:val="24"/>
      <w:lang w:eastAsia="it-IT"/>
    </w:rPr>
  </w:style>
  <w:style w:type="character" w:customStyle="1" w:styleId="PidipaginaCarattere">
    <w:name w:val="Piè di pagina Carattere"/>
    <w:basedOn w:val="Carpredefinitoparagrafo"/>
    <w:link w:val="Pidipagina"/>
    <w:uiPriority w:val="99"/>
    <w:rsid w:val="007C1162"/>
    <w:rPr>
      <w:sz w:val="28"/>
      <w:szCs w:val="24"/>
    </w:rPr>
  </w:style>
  <w:style w:type="paragraph" w:customStyle="1" w:styleId="ProvvNumeroPagina">
    <w:name w:val="Provv Numero Pagina"/>
    <w:basedOn w:val="Pidipagina"/>
    <w:link w:val="ProvvNumeroPaginaCarattere"/>
    <w:qFormat/>
    <w:rsid w:val="00424B9D"/>
    <w:pPr>
      <w:jc w:val="right"/>
    </w:pPr>
    <w:rPr>
      <w:sz w:val="22"/>
      <w:szCs w:val="22"/>
    </w:rPr>
  </w:style>
  <w:style w:type="character" w:styleId="Enfasiintensa">
    <w:name w:val="Intense Emphasis"/>
    <w:basedOn w:val="Carpredefinitoparagrafo"/>
    <w:uiPriority w:val="21"/>
    <w:rsid w:val="007C1162"/>
    <w:rPr>
      <w:i/>
      <w:iCs/>
      <w:color w:val="4F81BD" w:themeColor="accent1"/>
    </w:rPr>
  </w:style>
  <w:style w:type="character" w:customStyle="1" w:styleId="ProvvNumeroPaginaCarattere">
    <w:name w:val="Provv Numero Pagina Carattere"/>
    <w:basedOn w:val="PidipaginaCarattere"/>
    <w:link w:val="ProvvNumeroPagina"/>
    <w:rsid w:val="00424B9D"/>
    <w:rPr>
      <w:sz w:val="22"/>
      <w:szCs w:val="22"/>
    </w:rPr>
  </w:style>
  <w:style w:type="paragraph" w:styleId="Paragrafoelenco">
    <w:name w:val="List Paragraph"/>
    <w:basedOn w:val="Normale"/>
    <w:uiPriority w:val="34"/>
    <w:qFormat/>
    <w:rsid w:val="00424B9D"/>
    <w:pPr>
      <w:spacing w:after="0" w:line="360" w:lineRule="atLeast"/>
      <w:ind w:left="720"/>
      <w:contextualSpacing/>
      <w:jc w:val="both"/>
    </w:pPr>
    <w:rPr>
      <w:rFonts w:ascii="Times New Roman" w:eastAsia="Times New Roman" w:hAnsi="Times New Roman" w:cs="Times New Roman"/>
      <w:sz w:val="28"/>
      <w:szCs w:val="24"/>
      <w:lang w:eastAsia="it-IT"/>
    </w:rPr>
  </w:style>
  <w:style w:type="paragraph" w:customStyle="1" w:styleId="ProvvPuntoElenco">
    <w:name w:val="Provv Punto Elenco"/>
    <w:basedOn w:val="Normale"/>
    <w:link w:val="ProvvPuntoElencoCarattere"/>
    <w:qFormat/>
    <w:rsid w:val="00424B9D"/>
    <w:pPr>
      <w:numPr>
        <w:numId w:val="1"/>
      </w:numPr>
      <w:spacing w:line="360" w:lineRule="atLeast"/>
      <w:contextualSpacing/>
      <w:jc w:val="both"/>
    </w:pPr>
    <w:rPr>
      <w:rFonts w:ascii="Times New Roman" w:hAnsi="Times New Roman"/>
      <w:sz w:val="28"/>
    </w:rPr>
  </w:style>
  <w:style w:type="paragraph" w:customStyle="1" w:styleId="ProvvParagrafoNumerato">
    <w:name w:val="Provv Paragrafo Numerato"/>
    <w:basedOn w:val="Normale"/>
    <w:link w:val="ProvvParagrafoNumeratoCarattere"/>
    <w:qFormat/>
    <w:rsid w:val="00424B9D"/>
    <w:pPr>
      <w:numPr>
        <w:numId w:val="3"/>
      </w:numPr>
      <w:spacing w:after="0" w:line="360" w:lineRule="atLeast"/>
      <w:ind w:left="0" w:firstLine="0"/>
      <w:jc w:val="both"/>
    </w:pPr>
    <w:rPr>
      <w:rFonts w:ascii="Times New Roman" w:eastAsia="Times New Roman" w:hAnsi="Times New Roman" w:cs="Times New Roman"/>
      <w:sz w:val="28"/>
      <w:szCs w:val="24"/>
      <w:lang w:eastAsia="it-IT"/>
    </w:rPr>
  </w:style>
  <w:style w:type="character" w:customStyle="1" w:styleId="ProvvPuntoElencoCarattere">
    <w:name w:val="Provv Punto Elenco Carattere"/>
    <w:basedOn w:val="Carpredefinitoparagrafo"/>
    <w:link w:val="ProvvPuntoElenco"/>
    <w:rsid w:val="00424B9D"/>
    <w:rPr>
      <w:rFonts w:eastAsiaTheme="minorHAnsi" w:cstheme="minorBidi"/>
      <w:sz w:val="28"/>
      <w:szCs w:val="22"/>
      <w:lang w:eastAsia="en-US"/>
    </w:rPr>
  </w:style>
  <w:style w:type="character" w:customStyle="1" w:styleId="ProvvParagrafoNumeratoCarattere">
    <w:name w:val="Provv Paragrafo Numerato Carattere"/>
    <w:basedOn w:val="Carpredefinitoparagrafo"/>
    <w:link w:val="ProvvParagrafoNumerato"/>
    <w:rsid w:val="00424B9D"/>
    <w:rPr>
      <w:sz w:val="28"/>
      <w:szCs w:val="24"/>
    </w:rPr>
  </w:style>
  <w:style w:type="character" w:customStyle="1" w:styleId="Titolo1Carattere">
    <w:name w:val="Titolo 1 Carattere"/>
    <w:basedOn w:val="Carpredefinitoparagrafo"/>
    <w:link w:val="Titolo1"/>
    <w:rsid w:val="00424B9D"/>
    <w:rPr>
      <w:rFonts w:asciiTheme="majorHAnsi" w:eastAsiaTheme="majorEastAsia" w:hAnsiTheme="majorHAnsi" w:cstheme="majorBidi"/>
      <w:color w:val="365F91" w:themeColor="accent1" w:themeShade="BF"/>
      <w:sz w:val="32"/>
      <w:szCs w:val="32"/>
    </w:rPr>
  </w:style>
  <w:style w:type="character" w:customStyle="1" w:styleId="Titolo2Carattere">
    <w:name w:val="Titolo 2 Carattere"/>
    <w:basedOn w:val="Carpredefinitoparagrafo"/>
    <w:link w:val="Titolo2"/>
    <w:rsid w:val="00424B9D"/>
    <w:rPr>
      <w:rFonts w:asciiTheme="majorHAnsi" w:eastAsiaTheme="majorEastAsia" w:hAnsiTheme="majorHAnsi" w:cstheme="majorBidi"/>
      <w:color w:val="365F91" w:themeColor="accent1" w:themeShade="BF"/>
      <w:sz w:val="26"/>
      <w:szCs w:val="26"/>
    </w:rPr>
  </w:style>
  <w:style w:type="character" w:customStyle="1" w:styleId="Titolo3Carattere">
    <w:name w:val="Titolo 3 Carattere"/>
    <w:basedOn w:val="Carpredefinitoparagrafo"/>
    <w:link w:val="Titolo3"/>
    <w:semiHidden/>
    <w:rsid w:val="00424B9D"/>
    <w:rPr>
      <w:rFonts w:asciiTheme="majorHAnsi" w:eastAsiaTheme="majorEastAsia" w:hAnsiTheme="majorHAnsi" w:cstheme="majorBidi"/>
      <w:color w:val="243F60" w:themeColor="accent1" w:themeShade="7F"/>
      <w:sz w:val="24"/>
      <w:szCs w:val="24"/>
    </w:rPr>
  </w:style>
  <w:style w:type="character" w:customStyle="1" w:styleId="Titolo4Carattere">
    <w:name w:val="Titolo 4 Carattere"/>
    <w:basedOn w:val="Carpredefinitoparagrafo"/>
    <w:link w:val="Titolo4"/>
    <w:semiHidden/>
    <w:rsid w:val="00424B9D"/>
    <w:rPr>
      <w:rFonts w:asciiTheme="majorHAnsi" w:eastAsiaTheme="majorEastAsia" w:hAnsiTheme="majorHAnsi" w:cstheme="majorBidi"/>
      <w:i/>
      <w:iCs/>
      <w:color w:val="365F91" w:themeColor="accent1" w:themeShade="BF"/>
      <w:sz w:val="28"/>
      <w:szCs w:val="24"/>
    </w:rPr>
  </w:style>
  <w:style w:type="character" w:customStyle="1" w:styleId="Titolo5Carattere">
    <w:name w:val="Titolo 5 Carattere"/>
    <w:basedOn w:val="Carpredefinitoparagrafo"/>
    <w:link w:val="Titolo5"/>
    <w:semiHidden/>
    <w:rsid w:val="00424B9D"/>
    <w:rPr>
      <w:rFonts w:asciiTheme="majorHAnsi" w:eastAsiaTheme="majorEastAsia" w:hAnsiTheme="majorHAnsi" w:cstheme="majorBidi"/>
      <w:color w:val="365F91" w:themeColor="accent1" w:themeShade="BF"/>
      <w:sz w:val="28"/>
      <w:szCs w:val="24"/>
    </w:rPr>
  </w:style>
  <w:style w:type="character" w:customStyle="1" w:styleId="Titolo6Carattere">
    <w:name w:val="Titolo 6 Carattere"/>
    <w:basedOn w:val="Carpredefinitoparagrafo"/>
    <w:link w:val="Titolo6"/>
    <w:semiHidden/>
    <w:rsid w:val="00424B9D"/>
    <w:rPr>
      <w:rFonts w:asciiTheme="majorHAnsi" w:eastAsiaTheme="majorEastAsia" w:hAnsiTheme="majorHAnsi" w:cstheme="majorBidi"/>
      <w:color w:val="243F60" w:themeColor="accent1" w:themeShade="7F"/>
      <w:sz w:val="28"/>
      <w:szCs w:val="24"/>
    </w:rPr>
  </w:style>
  <w:style w:type="character" w:customStyle="1" w:styleId="Titolo7Carattere">
    <w:name w:val="Titolo 7 Carattere"/>
    <w:basedOn w:val="Carpredefinitoparagrafo"/>
    <w:link w:val="Titolo7"/>
    <w:semiHidden/>
    <w:rsid w:val="00424B9D"/>
    <w:rPr>
      <w:rFonts w:asciiTheme="majorHAnsi" w:eastAsiaTheme="majorEastAsia" w:hAnsiTheme="majorHAnsi" w:cstheme="majorBidi"/>
      <w:i/>
      <w:iCs/>
      <w:color w:val="243F60" w:themeColor="accent1" w:themeShade="7F"/>
      <w:sz w:val="28"/>
      <w:szCs w:val="24"/>
    </w:rPr>
  </w:style>
  <w:style w:type="character" w:customStyle="1" w:styleId="Titolo8Carattere">
    <w:name w:val="Titolo 8 Carattere"/>
    <w:basedOn w:val="Carpredefinitoparagrafo"/>
    <w:link w:val="Titolo8"/>
    <w:semiHidden/>
    <w:rsid w:val="00424B9D"/>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semiHidden/>
    <w:rsid w:val="00424B9D"/>
    <w:rPr>
      <w:rFonts w:asciiTheme="majorHAnsi" w:eastAsiaTheme="majorEastAsia" w:hAnsiTheme="majorHAnsi" w:cstheme="majorBidi"/>
      <w:i/>
      <w:iCs/>
      <w:color w:val="272727" w:themeColor="text1" w:themeTint="D8"/>
      <w:sz w:val="21"/>
      <w:szCs w:val="21"/>
    </w:rPr>
  </w:style>
  <w:style w:type="numbering" w:customStyle="1" w:styleId="ProvvTitoli">
    <w:name w:val="Provv_Titoli"/>
    <w:uiPriority w:val="99"/>
    <w:rsid w:val="0074572B"/>
    <w:pPr>
      <w:numPr>
        <w:numId w:val="7"/>
      </w:numPr>
    </w:pPr>
  </w:style>
  <w:style w:type="paragraph" w:styleId="Sottotitolo">
    <w:name w:val="Subtitle"/>
    <w:basedOn w:val="Normale"/>
    <w:next w:val="Normale"/>
    <w:link w:val="SottotitoloCarattere"/>
    <w:qFormat/>
    <w:rsid w:val="00424B9D"/>
    <w:pPr>
      <w:numPr>
        <w:ilvl w:val="1"/>
      </w:numPr>
      <w:spacing w:line="360" w:lineRule="atLeast"/>
      <w:jc w:val="both"/>
    </w:pPr>
    <w:rPr>
      <w:rFonts w:eastAsiaTheme="minorEastAsia"/>
      <w:color w:val="5A5A5A" w:themeColor="text1" w:themeTint="A5"/>
      <w:spacing w:val="15"/>
      <w:lang w:eastAsia="it-IT"/>
    </w:rPr>
  </w:style>
  <w:style w:type="character" w:customStyle="1" w:styleId="SottotitoloCarattere">
    <w:name w:val="Sottotitolo Carattere"/>
    <w:basedOn w:val="Carpredefinitoparagrafo"/>
    <w:link w:val="Sottotitolo"/>
    <w:rsid w:val="00424B9D"/>
    <w:rPr>
      <w:rFonts w:asciiTheme="minorHAnsi" w:eastAsiaTheme="minorEastAsia" w:hAnsiTheme="minorHAnsi" w:cstheme="minorBidi"/>
      <w:color w:val="5A5A5A" w:themeColor="text1" w:themeTint="A5"/>
      <w:spacing w:val="15"/>
      <w:sz w:val="22"/>
      <w:szCs w:val="22"/>
    </w:rPr>
  </w:style>
  <w:style w:type="paragraph" w:customStyle="1" w:styleId="ProvvTabellaPrimaRiga">
    <w:name w:val="Provv Tabella Prima Riga"/>
    <w:basedOn w:val="ProvvTabellaTitolo"/>
    <w:link w:val="ProvvTabellaPrimaRigaCarattere"/>
    <w:qFormat/>
    <w:rsid w:val="00424B9D"/>
  </w:style>
  <w:style w:type="character" w:customStyle="1" w:styleId="ProvvTabellaPrimaRigaCarattere">
    <w:name w:val="Provv Tabella Prima Riga Carattere"/>
    <w:basedOn w:val="ProvvTabellaTitoloCarattere"/>
    <w:link w:val="ProvvTabellaPrimaRiga"/>
    <w:rsid w:val="00424B9D"/>
    <w:rPr>
      <w:b/>
      <w:sz w:val="22"/>
      <w:szCs w:val="22"/>
    </w:rPr>
  </w:style>
  <w:style w:type="paragraph" w:styleId="NormaleWeb">
    <w:name w:val="Normal (Web)"/>
    <w:basedOn w:val="Normale"/>
    <w:uiPriority w:val="99"/>
    <w:unhideWhenUsed/>
    <w:rsid w:val="0010716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nfasigrassetto">
    <w:name w:val="Strong"/>
    <w:basedOn w:val="Carpredefinitoparagrafo"/>
    <w:uiPriority w:val="22"/>
    <w:qFormat/>
    <w:rsid w:val="00107163"/>
    <w:rPr>
      <w:b/>
      <w:bCs/>
    </w:rPr>
  </w:style>
  <w:style w:type="paragraph" w:styleId="Testonotadichiusura">
    <w:name w:val="endnote text"/>
    <w:basedOn w:val="Normale"/>
    <w:link w:val="TestonotadichiusuraCarattere"/>
    <w:semiHidden/>
    <w:unhideWhenUsed/>
    <w:rsid w:val="00F97BE6"/>
    <w:pPr>
      <w:spacing w:after="0" w:line="240" w:lineRule="auto"/>
    </w:pPr>
    <w:rPr>
      <w:sz w:val="20"/>
      <w:szCs w:val="20"/>
    </w:rPr>
  </w:style>
  <w:style w:type="character" w:customStyle="1" w:styleId="TestonotadichiusuraCarattere">
    <w:name w:val="Testo nota di chiusura Carattere"/>
    <w:basedOn w:val="Carpredefinitoparagrafo"/>
    <w:link w:val="Testonotadichiusura"/>
    <w:semiHidden/>
    <w:rsid w:val="00F97BE6"/>
    <w:rPr>
      <w:rFonts w:asciiTheme="minorHAnsi" w:eastAsiaTheme="minorHAnsi" w:hAnsiTheme="minorHAnsi" w:cstheme="minorBidi"/>
      <w:lang w:eastAsia="en-US"/>
    </w:rPr>
  </w:style>
  <w:style w:type="character" w:styleId="Rimandonotadichiusura">
    <w:name w:val="endnote reference"/>
    <w:basedOn w:val="Carpredefinitoparagrafo"/>
    <w:semiHidden/>
    <w:unhideWhenUsed/>
    <w:rsid w:val="00F97BE6"/>
    <w:rPr>
      <w:vertAlign w:val="superscript"/>
    </w:rPr>
  </w:style>
  <w:style w:type="character" w:customStyle="1" w:styleId="overflow-hidden">
    <w:name w:val="overflow-hidden"/>
    <w:basedOn w:val="Carpredefinitoparagrafo"/>
    <w:rsid w:val="0085437C"/>
  </w:style>
  <w:style w:type="character" w:styleId="Enfasicorsivo">
    <w:name w:val="Emphasis"/>
    <w:basedOn w:val="Carpredefinitoparagrafo"/>
    <w:uiPriority w:val="20"/>
    <w:qFormat/>
    <w:rsid w:val="0085437C"/>
    <w:rPr>
      <w:i/>
      <w:iCs/>
    </w:rPr>
  </w:style>
  <w:style w:type="character" w:customStyle="1" w:styleId="text-token-text-secondary">
    <w:name w:val="text-token-text-secondary"/>
    <w:basedOn w:val="Carpredefinitoparagrafo"/>
    <w:rsid w:val="00570BE6"/>
  </w:style>
  <w:style w:type="character" w:styleId="Collegamentoipertestuale">
    <w:name w:val="Hyperlink"/>
    <w:basedOn w:val="Carpredefinitoparagrafo"/>
    <w:uiPriority w:val="99"/>
    <w:unhideWhenUsed/>
    <w:rsid w:val="00570BE6"/>
    <w:rPr>
      <w:color w:val="0000FF"/>
      <w:u w:val="single"/>
    </w:rPr>
  </w:style>
  <w:style w:type="paragraph" w:styleId="Titolosommario">
    <w:name w:val="TOC Heading"/>
    <w:basedOn w:val="Titolo1"/>
    <w:next w:val="Normale"/>
    <w:uiPriority w:val="39"/>
    <w:unhideWhenUsed/>
    <w:qFormat/>
    <w:rsid w:val="00A54655"/>
    <w:pPr>
      <w:numPr>
        <w:numId w:val="0"/>
      </w:numPr>
      <w:spacing w:line="259" w:lineRule="auto"/>
      <w:jc w:val="left"/>
      <w:outlineLvl w:val="9"/>
    </w:pPr>
    <w:rPr>
      <w:lang w:val="en-GB" w:eastAsia="en-GB"/>
    </w:rPr>
  </w:style>
  <w:style w:type="paragraph" w:styleId="Sommario3">
    <w:name w:val="toc 3"/>
    <w:basedOn w:val="Normale"/>
    <w:next w:val="Normale"/>
    <w:autoRedefine/>
    <w:uiPriority w:val="39"/>
    <w:unhideWhenUsed/>
    <w:rsid w:val="00A54655"/>
    <w:pPr>
      <w:spacing w:after="100"/>
      <w:ind w:left="440"/>
    </w:pPr>
  </w:style>
  <w:style w:type="paragraph" w:styleId="Sommario2">
    <w:name w:val="toc 2"/>
    <w:basedOn w:val="Normale"/>
    <w:next w:val="Normale"/>
    <w:autoRedefine/>
    <w:uiPriority w:val="39"/>
    <w:unhideWhenUsed/>
    <w:rsid w:val="00A54655"/>
    <w:pPr>
      <w:spacing w:after="100"/>
      <w:ind w:left="220"/>
    </w:pPr>
    <w:rPr>
      <w:rFonts w:eastAsiaTheme="minorEastAsia" w:cs="Times New Roman"/>
      <w:lang w:val="en-GB" w:eastAsia="en-GB"/>
    </w:rPr>
  </w:style>
  <w:style w:type="paragraph" w:styleId="Sommario1">
    <w:name w:val="toc 1"/>
    <w:basedOn w:val="Normale"/>
    <w:next w:val="Normale"/>
    <w:autoRedefine/>
    <w:uiPriority w:val="39"/>
    <w:unhideWhenUsed/>
    <w:rsid w:val="00A54655"/>
    <w:pPr>
      <w:spacing w:after="100"/>
    </w:pPr>
    <w:rPr>
      <w:rFonts w:eastAsiaTheme="minorEastAsia" w:cs="Times New Roman"/>
      <w:lang w:val="en-GB" w:eastAsia="en-GB"/>
    </w:rPr>
  </w:style>
  <w:style w:type="paragraph" w:styleId="Testofumetto">
    <w:name w:val="Balloon Text"/>
    <w:basedOn w:val="Normale"/>
    <w:link w:val="TestofumettoCarattere"/>
    <w:rsid w:val="00B7566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rsid w:val="00B75661"/>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076213">
      <w:bodyDiv w:val="1"/>
      <w:marLeft w:val="0"/>
      <w:marRight w:val="0"/>
      <w:marTop w:val="0"/>
      <w:marBottom w:val="0"/>
      <w:divBdr>
        <w:top w:val="none" w:sz="0" w:space="0" w:color="auto"/>
        <w:left w:val="none" w:sz="0" w:space="0" w:color="auto"/>
        <w:bottom w:val="none" w:sz="0" w:space="0" w:color="auto"/>
        <w:right w:val="none" w:sz="0" w:space="0" w:color="auto"/>
      </w:divBdr>
    </w:div>
    <w:div w:id="200944699">
      <w:bodyDiv w:val="1"/>
      <w:marLeft w:val="0"/>
      <w:marRight w:val="0"/>
      <w:marTop w:val="0"/>
      <w:marBottom w:val="0"/>
      <w:divBdr>
        <w:top w:val="none" w:sz="0" w:space="0" w:color="auto"/>
        <w:left w:val="none" w:sz="0" w:space="0" w:color="auto"/>
        <w:bottom w:val="none" w:sz="0" w:space="0" w:color="auto"/>
        <w:right w:val="none" w:sz="0" w:space="0" w:color="auto"/>
      </w:divBdr>
    </w:div>
    <w:div w:id="462386842">
      <w:bodyDiv w:val="1"/>
      <w:marLeft w:val="0"/>
      <w:marRight w:val="0"/>
      <w:marTop w:val="0"/>
      <w:marBottom w:val="0"/>
      <w:divBdr>
        <w:top w:val="none" w:sz="0" w:space="0" w:color="auto"/>
        <w:left w:val="none" w:sz="0" w:space="0" w:color="auto"/>
        <w:bottom w:val="none" w:sz="0" w:space="0" w:color="auto"/>
        <w:right w:val="none" w:sz="0" w:space="0" w:color="auto"/>
      </w:divBdr>
    </w:div>
    <w:div w:id="478494523">
      <w:bodyDiv w:val="1"/>
      <w:marLeft w:val="0"/>
      <w:marRight w:val="0"/>
      <w:marTop w:val="0"/>
      <w:marBottom w:val="0"/>
      <w:divBdr>
        <w:top w:val="none" w:sz="0" w:space="0" w:color="auto"/>
        <w:left w:val="none" w:sz="0" w:space="0" w:color="auto"/>
        <w:bottom w:val="none" w:sz="0" w:space="0" w:color="auto"/>
        <w:right w:val="none" w:sz="0" w:space="0" w:color="auto"/>
      </w:divBdr>
    </w:div>
    <w:div w:id="606041625">
      <w:bodyDiv w:val="1"/>
      <w:marLeft w:val="0"/>
      <w:marRight w:val="0"/>
      <w:marTop w:val="0"/>
      <w:marBottom w:val="0"/>
      <w:divBdr>
        <w:top w:val="none" w:sz="0" w:space="0" w:color="auto"/>
        <w:left w:val="none" w:sz="0" w:space="0" w:color="auto"/>
        <w:bottom w:val="none" w:sz="0" w:space="0" w:color="auto"/>
        <w:right w:val="none" w:sz="0" w:space="0" w:color="auto"/>
      </w:divBdr>
    </w:div>
    <w:div w:id="607389119">
      <w:bodyDiv w:val="1"/>
      <w:marLeft w:val="0"/>
      <w:marRight w:val="0"/>
      <w:marTop w:val="0"/>
      <w:marBottom w:val="0"/>
      <w:divBdr>
        <w:top w:val="none" w:sz="0" w:space="0" w:color="auto"/>
        <w:left w:val="none" w:sz="0" w:space="0" w:color="auto"/>
        <w:bottom w:val="none" w:sz="0" w:space="0" w:color="auto"/>
        <w:right w:val="none" w:sz="0" w:space="0" w:color="auto"/>
      </w:divBdr>
    </w:div>
    <w:div w:id="617376803">
      <w:bodyDiv w:val="1"/>
      <w:marLeft w:val="0"/>
      <w:marRight w:val="0"/>
      <w:marTop w:val="0"/>
      <w:marBottom w:val="0"/>
      <w:divBdr>
        <w:top w:val="none" w:sz="0" w:space="0" w:color="auto"/>
        <w:left w:val="none" w:sz="0" w:space="0" w:color="auto"/>
        <w:bottom w:val="none" w:sz="0" w:space="0" w:color="auto"/>
        <w:right w:val="none" w:sz="0" w:space="0" w:color="auto"/>
      </w:divBdr>
    </w:div>
    <w:div w:id="619532930">
      <w:bodyDiv w:val="1"/>
      <w:marLeft w:val="0"/>
      <w:marRight w:val="0"/>
      <w:marTop w:val="0"/>
      <w:marBottom w:val="0"/>
      <w:divBdr>
        <w:top w:val="none" w:sz="0" w:space="0" w:color="auto"/>
        <w:left w:val="none" w:sz="0" w:space="0" w:color="auto"/>
        <w:bottom w:val="none" w:sz="0" w:space="0" w:color="auto"/>
        <w:right w:val="none" w:sz="0" w:space="0" w:color="auto"/>
      </w:divBdr>
    </w:div>
    <w:div w:id="659892482">
      <w:bodyDiv w:val="1"/>
      <w:marLeft w:val="0"/>
      <w:marRight w:val="0"/>
      <w:marTop w:val="0"/>
      <w:marBottom w:val="0"/>
      <w:divBdr>
        <w:top w:val="none" w:sz="0" w:space="0" w:color="auto"/>
        <w:left w:val="none" w:sz="0" w:space="0" w:color="auto"/>
        <w:bottom w:val="none" w:sz="0" w:space="0" w:color="auto"/>
        <w:right w:val="none" w:sz="0" w:space="0" w:color="auto"/>
      </w:divBdr>
    </w:div>
    <w:div w:id="740910994">
      <w:bodyDiv w:val="1"/>
      <w:marLeft w:val="0"/>
      <w:marRight w:val="0"/>
      <w:marTop w:val="0"/>
      <w:marBottom w:val="0"/>
      <w:divBdr>
        <w:top w:val="none" w:sz="0" w:space="0" w:color="auto"/>
        <w:left w:val="none" w:sz="0" w:space="0" w:color="auto"/>
        <w:bottom w:val="none" w:sz="0" w:space="0" w:color="auto"/>
        <w:right w:val="none" w:sz="0" w:space="0" w:color="auto"/>
      </w:divBdr>
    </w:div>
    <w:div w:id="745422714">
      <w:bodyDiv w:val="1"/>
      <w:marLeft w:val="0"/>
      <w:marRight w:val="0"/>
      <w:marTop w:val="0"/>
      <w:marBottom w:val="0"/>
      <w:divBdr>
        <w:top w:val="none" w:sz="0" w:space="0" w:color="auto"/>
        <w:left w:val="none" w:sz="0" w:space="0" w:color="auto"/>
        <w:bottom w:val="none" w:sz="0" w:space="0" w:color="auto"/>
        <w:right w:val="none" w:sz="0" w:space="0" w:color="auto"/>
      </w:divBdr>
    </w:div>
    <w:div w:id="783228288">
      <w:bodyDiv w:val="1"/>
      <w:marLeft w:val="0"/>
      <w:marRight w:val="0"/>
      <w:marTop w:val="0"/>
      <w:marBottom w:val="0"/>
      <w:divBdr>
        <w:top w:val="none" w:sz="0" w:space="0" w:color="auto"/>
        <w:left w:val="none" w:sz="0" w:space="0" w:color="auto"/>
        <w:bottom w:val="none" w:sz="0" w:space="0" w:color="auto"/>
        <w:right w:val="none" w:sz="0" w:space="0" w:color="auto"/>
      </w:divBdr>
    </w:div>
    <w:div w:id="811992703">
      <w:bodyDiv w:val="1"/>
      <w:marLeft w:val="0"/>
      <w:marRight w:val="0"/>
      <w:marTop w:val="0"/>
      <w:marBottom w:val="0"/>
      <w:divBdr>
        <w:top w:val="none" w:sz="0" w:space="0" w:color="auto"/>
        <w:left w:val="none" w:sz="0" w:space="0" w:color="auto"/>
        <w:bottom w:val="none" w:sz="0" w:space="0" w:color="auto"/>
        <w:right w:val="none" w:sz="0" w:space="0" w:color="auto"/>
      </w:divBdr>
    </w:div>
    <w:div w:id="820659117">
      <w:bodyDiv w:val="1"/>
      <w:marLeft w:val="0"/>
      <w:marRight w:val="0"/>
      <w:marTop w:val="0"/>
      <w:marBottom w:val="0"/>
      <w:divBdr>
        <w:top w:val="none" w:sz="0" w:space="0" w:color="auto"/>
        <w:left w:val="none" w:sz="0" w:space="0" w:color="auto"/>
        <w:bottom w:val="none" w:sz="0" w:space="0" w:color="auto"/>
        <w:right w:val="none" w:sz="0" w:space="0" w:color="auto"/>
      </w:divBdr>
    </w:div>
    <w:div w:id="846943366">
      <w:bodyDiv w:val="1"/>
      <w:marLeft w:val="0"/>
      <w:marRight w:val="0"/>
      <w:marTop w:val="0"/>
      <w:marBottom w:val="0"/>
      <w:divBdr>
        <w:top w:val="none" w:sz="0" w:space="0" w:color="auto"/>
        <w:left w:val="none" w:sz="0" w:space="0" w:color="auto"/>
        <w:bottom w:val="none" w:sz="0" w:space="0" w:color="auto"/>
        <w:right w:val="none" w:sz="0" w:space="0" w:color="auto"/>
      </w:divBdr>
    </w:div>
    <w:div w:id="878591624">
      <w:bodyDiv w:val="1"/>
      <w:marLeft w:val="0"/>
      <w:marRight w:val="0"/>
      <w:marTop w:val="0"/>
      <w:marBottom w:val="0"/>
      <w:divBdr>
        <w:top w:val="none" w:sz="0" w:space="0" w:color="auto"/>
        <w:left w:val="none" w:sz="0" w:space="0" w:color="auto"/>
        <w:bottom w:val="none" w:sz="0" w:space="0" w:color="auto"/>
        <w:right w:val="none" w:sz="0" w:space="0" w:color="auto"/>
      </w:divBdr>
    </w:div>
    <w:div w:id="887037588">
      <w:bodyDiv w:val="1"/>
      <w:marLeft w:val="0"/>
      <w:marRight w:val="0"/>
      <w:marTop w:val="0"/>
      <w:marBottom w:val="0"/>
      <w:divBdr>
        <w:top w:val="none" w:sz="0" w:space="0" w:color="auto"/>
        <w:left w:val="none" w:sz="0" w:space="0" w:color="auto"/>
        <w:bottom w:val="none" w:sz="0" w:space="0" w:color="auto"/>
        <w:right w:val="none" w:sz="0" w:space="0" w:color="auto"/>
      </w:divBdr>
    </w:div>
    <w:div w:id="1000307127">
      <w:bodyDiv w:val="1"/>
      <w:marLeft w:val="0"/>
      <w:marRight w:val="0"/>
      <w:marTop w:val="0"/>
      <w:marBottom w:val="0"/>
      <w:divBdr>
        <w:top w:val="none" w:sz="0" w:space="0" w:color="auto"/>
        <w:left w:val="none" w:sz="0" w:space="0" w:color="auto"/>
        <w:bottom w:val="none" w:sz="0" w:space="0" w:color="auto"/>
        <w:right w:val="none" w:sz="0" w:space="0" w:color="auto"/>
      </w:divBdr>
    </w:div>
    <w:div w:id="1014038897">
      <w:bodyDiv w:val="1"/>
      <w:marLeft w:val="0"/>
      <w:marRight w:val="0"/>
      <w:marTop w:val="0"/>
      <w:marBottom w:val="0"/>
      <w:divBdr>
        <w:top w:val="none" w:sz="0" w:space="0" w:color="auto"/>
        <w:left w:val="none" w:sz="0" w:space="0" w:color="auto"/>
        <w:bottom w:val="none" w:sz="0" w:space="0" w:color="auto"/>
        <w:right w:val="none" w:sz="0" w:space="0" w:color="auto"/>
      </w:divBdr>
    </w:div>
    <w:div w:id="1220701384">
      <w:bodyDiv w:val="1"/>
      <w:marLeft w:val="0"/>
      <w:marRight w:val="0"/>
      <w:marTop w:val="0"/>
      <w:marBottom w:val="0"/>
      <w:divBdr>
        <w:top w:val="none" w:sz="0" w:space="0" w:color="auto"/>
        <w:left w:val="none" w:sz="0" w:space="0" w:color="auto"/>
        <w:bottom w:val="none" w:sz="0" w:space="0" w:color="auto"/>
        <w:right w:val="none" w:sz="0" w:space="0" w:color="auto"/>
      </w:divBdr>
      <w:divsChild>
        <w:div w:id="340743357">
          <w:marLeft w:val="0"/>
          <w:marRight w:val="0"/>
          <w:marTop w:val="0"/>
          <w:marBottom w:val="0"/>
          <w:divBdr>
            <w:top w:val="none" w:sz="0" w:space="0" w:color="auto"/>
            <w:left w:val="none" w:sz="0" w:space="0" w:color="auto"/>
            <w:bottom w:val="none" w:sz="0" w:space="0" w:color="auto"/>
            <w:right w:val="none" w:sz="0" w:space="0" w:color="auto"/>
          </w:divBdr>
          <w:divsChild>
            <w:div w:id="137966679">
              <w:marLeft w:val="0"/>
              <w:marRight w:val="0"/>
              <w:marTop w:val="0"/>
              <w:marBottom w:val="0"/>
              <w:divBdr>
                <w:top w:val="none" w:sz="0" w:space="0" w:color="auto"/>
                <w:left w:val="none" w:sz="0" w:space="0" w:color="auto"/>
                <w:bottom w:val="none" w:sz="0" w:space="0" w:color="auto"/>
                <w:right w:val="none" w:sz="0" w:space="0" w:color="auto"/>
              </w:divBdr>
              <w:divsChild>
                <w:div w:id="1662392982">
                  <w:marLeft w:val="0"/>
                  <w:marRight w:val="0"/>
                  <w:marTop w:val="0"/>
                  <w:marBottom w:val="0"/>
                  <w:divBdr>
                    <w:top w:val="none" w:sz="0" w:space="0" w:color="auto"/>
                    <w:left w:val="none" w:sz="0" w:space="0" w:color="auto"/>
                    <w:bottom w:val="none" w:sz="0" w:space="0" w:color="auto"/>
                    <w:right w:val="none" w:sz="0" w:space="0" w:color="auto"/>
                  </w:divBdr>
                  <w:divsChild>
                    <w:div w:id="158757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068900">
          <w:marLeft w:val="0"/>
          <w:marRight w:val="0"/>
          <w:marTop w:val="0"/>
          <w:marBottom w:val="0"/>
          <w:divBdr>
            <w:top w:val="none" w:sz="0" w:space="0" w:color="auto"/>
            <w:left w:val="none" w:sz="0" w:space="0" w:color="auto"/>
            <w:bottom w:val="none" w:sz="0" w:space="0" w:color="auto"/>
            <w:right w:val="none" w:sz="0" w:space="0" w:color="auto"/>
          </w:divBdr>
          <w:divsChild>
            <w:div w:id="293609850">
              <w:marLeft w:val="0"/>
              <w:marRight w:val="0"/>
              <w:marTop w:val="0"/>
              <w:marBottom w:val="0"/>
              <w:divBdr>
                <w:top w:val="none" w:sz="0" w:space="0" w:color="auto"/>
                <w:left w:val="none" w:sz="0" w:space="0" w:color="auto"/>
                <w:bottom w:val="none" w:sz="0" w:space="0" w:color="auto"/>
                <w:right w:val="none" w:sz="0" w:space="0" w:color="auto"/>
              </w:divBdr>
              <w:divsChild>
                <w:div w:id="190727570">
                  <w:marLeft w:val="0"/>
                  <w:marRight w:val="0"/>
                  <w:marTop w:val="0"/>
                  <w:marBottom w:val="0"/>
                  <w:divBdr>
                    <w:top w:val="none" w:sz="0" w:space="0" w:color="auto"/>
                    <w:left w:val="none" w:sz="0" w:space="0" w:color="auto"/>
                    <w:bottom w:val="none" w:sz="0" w:space="0" w:color="auto"/>
                    <w:right w:val="none" w:sz="0" w:space="0" w:color="auto"/>
                  </w:divBdr>
                  <w:divsChild>
                    <w:div w:id="195574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801035">
      <w:bodyDiv w:val="1"/>
      <w:marLeft w:val="0"/>
      <w:marRight w:val="0"/>
      <w:marTop w:val="0"/>
      <w:marBottom w:val="0"/>
      <w:divBdr>
        <w:top w:val="none" w:sz="0" w:space="0" w:color="auto"/>
        <w:left w:val="none" w:sz="0" w:space="0" w:color="auto"/>
        <w:bottom w:val="none" w:sz="0" w:space="0" w:color="auto"/>
        <w:right w:val="none" w:sz="0" w:space="0" w:color="auto"/>
      </w:divBdr>
    </w:div>
    <w:div w:id="1307972232">
      <w:bodyDiv w:val="1"/>
      <w:marLeft w:val="0"/>
      <w:marRight w:val="0"/>
      <w:marTop w:val="0"/>
      <w:marBottom w:val="0"/>
      <w:divBdr>
        <w:top w:val="none" w:sz="0" w:space="0" w:color="auto"/>
        <w:left w:val="none" w:sz="0" w:space="0" w:color="auto"/>
        <w:bottom w:val="none" w:sz="0" w:space="0" w:color="auto"/>
        <w:right w:val="none" w:sz="0" w:space="0" w:color="auto"/>
      </w:divBdr>
    </w:div>
    <w:div w:id="1347445307">
      <w:bodyDiv w:val="1"/>
      <w:marLeft w:val="0"/>
      <w:marRight w:val="0"/>
      <w:marTop w:val="0"/>
      <w:marBottom w:val="0"/>
      <w:divBdr>
        <w:top w:val="none" w:sz="0" w:space="0" w:color="auto"/>
        <w:left w:val="none" w:sz="0" w:space="0" w:color="auto"/>
        <w:bottom w:val="none" w:sz="0" w:space="0" w:color="auto"/>
        <w:right w:val="none" w:sz="0" w:space="0" w:color="auto"/>
      </w:divBdr>
      <w:divsChild>
        <w:div w:id="1913857662">
          <w:marLeft w:val="0"/>
          <w:marRight w:val="0"/>
          <w:marTop w:val="0"/>
          <w:marBottom w:val="0"/>
          <w:divBdr>
            <w:top w:val="none" w:sz="0" w:space="0" w:color="auto"/>
            <w:left w:val="none" w:sz="0" w:space="0" w:color="auto"/>
            <w:bottom w:val="none" w:sz="0" w:space="0" w:color="auto"/>
            <w:right w:val="none" w:sz="0" w:space="0" w:color="auto"/>
          </w:divBdr>
          <w:divsChild>
            <w:div w:id="335694833">
              <w:marLeft w:val="0"/>
              <w:marRight w:val="0"/>
              <w:marTop w:val="0"/>
              <w:marBottom w:val="0"/>
              <w:divBdr>
                <w:top w:val="none" w:sz="0" w:space="0" w:color="auto"/>
                <w:left w:val="none" w:sz="0" w:space="0" w:color="auto"/>
                <w:bottom w:val="none" w:sz="0" w:space="0" w:color="auto"/>
                <w:right w:val="none" w:sz="0" w:space="0" w:color="auto"/>
              </w:divBdr>
              <w:divsChild>
                <w:div w:id="630399546">
                  <w:marLeft w:val="0"/>
                  <w:marRight w:val="0"/>
                  <w:marTop w:val="0"/>
                  <w:marBottom w:val="0"/>
                  <w:divBdr>
                    <w:top w:val="none" w:sz="0" w:space="0" w:color="auto"/>
                    <w:left w:val="none" w:sz="0" w:space="0" w:color="auto"/>
                    <w:bottom w:val="none" w:sz="0" w:space="0" w:color="auto"/>
                    <w:right w:val="none" w:sz="0" w:space="0" w:color="auto"/>
                  </w:divBdr>
                  <w:divsChild>
                    <w:div w:id="163552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422881">
          <w:marLeft w:val="0"/>
          <w:marRight w:val="0"/>
          <w:marTop w:val="0"/>
          <w:marBottom w:val="0"/>
          <w:divBdr>
            <w:top w:val="none" w:sz="0" w:space="0" w:color="auto"/>
            <w:left w:val="none" w:sz="0" w:space="0" w:color="auto"/>
            <w:bottom w:val="none" w:sz="0" w:space="0" w:color="auto"/>
            <w:right w:val="none" w:sz="0" w:space="0" w:color="auto"/>
          </w:divBdr>
          <w:divsChild>
            <w:div w:id="1615552179">
              <w:marLeft w:val="0"/>
              <w:marRight w:val="0"/>
              <w:marTop w:val="0"/>
              <w:marBottom w:val="0"/>
              <w:divBdr>
                <w:top w:val="none" w:sz="0" w:space="0" w:color="auto"/>
                <w:left w:val="none" w:sz="0" w:space="0" w:color="auto"/>
                <w:bottom w:val="none" w:sz="0" w:space="0" w:color="auto"/>
                <w:right w:val="none" w:sz="0" w:space="0" w:color="auto"/>
              </w:divBdr>
              <w:divsChild>
                <w:div w:id="1844934407">
                  <w:marLeft w:val="0"/>
                  <w:marRight w:val="0"/>
                  <w:marTop w:val="0"/>
                  <w:marBottom w:val="0"/>
                  <w:divBdr>
                    <w:top w:val="none" w:sz="0" w:space="0" w:color="auto"/>
                    <w:left w:val="none" w:sz="0" w:space="0" w:color="auto"/>
                    <w:bottom w:val="none" w:sz="0" w:space="0" w:color="auto"/>
                    <w:right w:val="none" w:sz="0" w:space="0" w:color="auto"/>
                  </w:divBdr>
                  <w:divsChild>
                    <w:div w:id="101889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341645">
      <w:bodyDiv w:val="1"/>
      <w:marLeft w:val="0"/>
      <w:marRight w:val="0"/>
      <w:marTop w:val="0"/>
      <w:marBottom w:val="0"/>
      <w:divBdr>
        <w:top w:val="none" w:sz="0" w:space="0" w:color="auto"/>
        <w:left w:val="none" w:sz="0" w:space="0" w:color="auto"/>
        <w:bottom w:val="none" w:sz="0" w:space="0" w:color="auto"/>
        <w:right w:val="none" w:sz="0" w:space="0" w:color="auto"/>
      </w:divBdr>
    </w:div>
    <w:div w:id="1512721078">
      <w:bodyDiv w:val="1"/>
      <w:marLeft w:val="0"/>
      <w:marRight w:val="0"/>
      <w:marTop w:val="0"/>
      <w:marBottom w:val="0"/>
      <w:divBdr>
        <w:top w:val="none" w:sz="0" w:space="0" w:color="auto"/>
        <w:left w:val="none" w:sz="0" w:space="0" w:color="auto"/>
        <w:bottom w:val="none" w:sz="0" w:space="0" w:color="auto"/>
        <w:right w:val="none" w:sz="0" w:space="0" w:color="auto"/>
      </w:divBdr>
    </w:div>
    <w:div w:id="1513177515">
      <w:bodyDiv w:val="1"/>
      <w:marLeft w:val="0"/>
      <w:marRight w:val="0"/>
      <w:marTop w:val="0"/>
      <w:marBottom w:val="0"/>
      <w:divBdr>
        <w:top w:val="none" w:sz="0" w:space="0" w:color="auto"/>
        <w:left w:val="none" w:sz="0" w:space="0" w:color="auto"/>
        <w:bottom w:val="none" w:sz="0" w:space="0" w:color="auto"/>
        <w:right w:val="none" w:sz="0" w:space="0" w:color="auto"/>
      </w:divBdr>
    </w:div>
    <w:div w:id="1590656667">
      <w:bodyDiv w:val="1"/>
      <w:marLeft w:val="0"/>
      <w:marRight w:val="0"/>
      <w:marTop w:val="0"/>
      <w:marBottom w:val="0"/>
      <w:divBdr>
        <w:top w:val="none" w:sz="0" w:space="0" w:color="auto"/>
        <w:left w:val="none" w:sz="0" w:space="0" w:color="auto"/>
        <w:bottom w:val="none" w:sz="0" w:space="0" w:color="auto"/>
        <w:right w:val="none" w:sz="0" w:space="0" w:color="auto"/>
      </w:divBdr>
    </w:div>
    <w:div w:id="1639411521">
      <w:bodyDiv w:val="1"/>
      <w:marLeft w:val="0"/>
      <w:marRight w:val="0"/>
      <w:marTop w:val="0"/>
      <w:marBottom w:val="0"/>
      <w:divBdr>
        <w:top w:val="none" w:sz="0" w:space="0" w:color="auto"/>
        <w:left w:val="none" w:sz="0" w:space="0" w:color="auto"/>
        <w:bottom w:val="none" w:sz="0" w:space="0" w:color="auto"/>
        <w:right w:val="none" w:sz="0" w:space="0" w:color="auto"/>
      </w:divBdr>
    </w:div>
    <w:div w:id="1729835618">
      <w:bodyDiv w:val="1"/>
      <w:marLeft w:val="0"/>
      <w:marRight w:val="0"/>
      <w:marTop w:val="0"/>
      <w:marBottom w:val="0"/>
      <w:divBdr>
        <w:top w:val="none" w:sz="0" w:space="0" w:color="auto"/>
        <w:left w:val="none" w:sz="0" w:space="0" w:color="auto"/>
        <w:bottom w:val="none" w:sz="0" w:space="0" w:color="auto"/>
        <w:right w:val="none" w:sz="0" w:space="0" w:color="auto"/>
      </w:divBdr>
    </w:div>
    <w:div w:id="1747148094">
      <w:bodyDiv w:val="1"/>
      <w:marLeft w:val="0"/>
      <w:marRight w:val="0"/>
      <w:marTop w:val="0"/>
      <w:marBottom w:val="0"/>
      <w:divBdr>
        <w:top w:val="none" w:sz="0" w:space="0" w:color="auto"/>
        <w:left w:val="none" w:sz="0" w:space="0" w:color="auto"/>
        <w:bottom w:val="none" w:sz="0" w:space="0" w:color="auto"/>
        <w:right w:val="none" w:sz="0" w:space="0" w:color="auto"/>
      </w:divBdr>
    </w:div>
    <w:div w:id="1956136486">
      <w:bodyDiv w:val="1"/>
      <w:marLeft w:val="0"/>
      <w:marRight w:val="0"/>
      <w:marTop w:val="0"/>
      <w:marBottom w:val="0"/>
      <w:divBdr>
        <w:top w:val="none" w:sz="0" w:space="0" w:color="auto"/>
        <w:left w:val="none" w:sz="0" w:space="0" w:color="auto"/>
        <w:bottom w:val="none" w:sz="0" w:space="0" w:color="auto"/>
        <w:right w:val="none" w:sz="0" w:space="0" w:color="auto"/>
      </w:divBdr>
      <w:divsChild>
        <w:div w:id="1305887088">
          <w:marLeft w:val="0"/>
          <w:marRight w:val="0"/>
          <w:marTop w:val="0"/>
          <w:marBottom w:val="0"/>
          <w:divBdr>
            <w:top w:val="none" w:sz="0" w:space="0" w:color="auto"/>
            <w:left w:val="none" w:sz="0" w:space="0" w:color="auto"/>
            <w:bottom w:val="none" w:sz="0" w:space="0" w:color="auto"/>
            <w:right w:val="none" w:sz="0" w:space="0" w:color="auto"/>
          </w:divBdr>
          <w:divsChild>
            <w:div w:id="320281137">
              <w:marLeft w:val="0"/>
              <w:marRight w:val="0"/>
              <w:marTop w:val="0"/>
              <w:marBottom w:val="0"/>
              <w:divBdr>
                <w:top w:val="none" w:sz="0" w:space="0" w:color="auto"/>
                <w:left w:val="none" w:sz="0" w:space="0" w:color="auto"/>
                <w:bottom w:val="none" w:sz="0" w:space="0" w:color="auto"/>
                <w:right w:val="none" w:sz="0" w:space="0" w:color="auto"/>
              </w:divBdr>
              <w:divsChild>
                <w:div w:id="1260675610">
                  <w:marLeft w:val="0"/>
                  <w:marRight w:val="0"/>
                  <w:marTop w:val="0"/>
                  <w:marBottom w:val="0"/>
                  <w:divBdr>
                    <w:top w:val="none" w:sz="0" w:space="0" w:color="auto"/>
                    <w:left w:val="none" w:sz="0" w:space="0" w:color="auto"/>
                    <w:bottom w:val="none" w:sz="0" w:space="0" w:color="auto"/>
                    <w:right w:val="none" w:sz="0" w:space="0" w:color="auto"/>
                  </w:divBdr>
                  <w:divsChild>
                    <w:div w:id="1717391598">
                      <w:marLeft w:val="0"/>
                      <w:marRight w:val="0"/>
                      <w:marTop w:val="0"/>
                      <w:marBottom w:val="0"/>
                      <w:divBdr>
                        <w:top w:val="none" w:sz="0" w:space="0" w:color="auto"/>
                        <w:left w:val="none" w:sz="0" w:space="0" w:color="auto"/>
                        <w:bottom w:val="none" w:sz="0" w:space="0" w:color="auto"/>
                        <w:right w:val="none" w:sz="0" w:space="0" w:color="auto"/>
                      </w:divBdr>
                      <w:divsChild>
                        <w:div w:id="79764821">
                          <w:marLeft w:val="0"/>
                          <w:marRight w:val="0"/>
                          <w:marTop w:val="0"/>
                          <w:marBottom w:val="0"/>
                          <w:divBdr>
                            <w:top w:val="none" w:sz="0" w:space="0" w:color="auto"/>
                            <w:left w:val="none" w:sz="0" w:space="0" w:color="auto"/>
                            <w:bottom w:val="none" w:sz="0" w:space="0" w:color="auto"/>
                            <w:right w:val="none" w:sz="0" w:space="0" w:color="auto"/>
                          </w:divBdr>
                          <w:divsChild>
                            <w:div w:id="38314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5011970">
      <w:bodyDiv w:val="1"/>
      <w:marLeft w:val="0"/>
      <w:marRight w:val="0"/>
      <w:marTop w:val="0"/>
      <w:marBottom w:val="0"/>
      <w:divBdr>
        <w:top w:val="none" w:sz="0" w:space="0" w:color="auto"/>
        <w:left w:val="none" w:sz="0" w:space="0" w:color="auto"/>
        <w:bottom w:val="none" w:sz="0" w:space="0" w:color="auto"/>
        <w:right w:val="none" w:sz="0" w:space="0" w:color="auto"/>
      </w:divBdr>
    </w:div>
    <w:div w:id="200928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25976-C94B-403C-8554-E391DFFA0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22</Pages>
  <Words>6966</Words>
  <Characters>39707</Characters>
  <Application>Microsoft Office Word</Application>
  <DocSecurity>0</DocSecurity>
  <Lines>330</Lines>
  <Paragraphs>93</Paragraphs>
  <ScaleCrop>false</ScaleCrop>
  <HeadingPairs>
    <vt:vector size="2" baseType="variant">
      <vt:variant>
        <vt:lpstr>Titolo</vt:lpstr>
      </vt:variant>
      <vt:variant>
        <vt:i4>1</vt:i4>
      </vt:variant>
    </vt:vector>
  </HeadingPairs>
  <TitlesOfParts>
    <vt:vector size="1" baseType="lpstr">
      <vt:lpstr>y</vt:lpstr>
    </vt:vector>
  </TitlesOfParts>
  <Company/>
  <LinksUpToDate>false</LinksUpToDate>
  <CharactersWithSpaces>46580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dc:title>
  <dc:subject>y</dc:subject>
  <dc:creator>Antonello Schettino</dc:creator>
  <cp:keywords>LP/COMP</cp:keywords>
  <dc:description/>
  <cp:lastModifiedBy>Lorenzo Clementi</cp:lastModifiedBy>
  <cp:revision>6</cp:revision>
  <cp:lastPrinted>2024-09-12T14:53:00Z</cp:lastPrinted>
  <dcterms:created xsi:type="dcterms:W3CDTF">2024-09-12T14:48:00Z</dcterms:created>
  <dcterms:modified xsi:type="dcterms:W3CDTF">2024-09-12T15:06:00Z</dcterms:modified>
</cp:coreProperties>
</file>