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1A53" w14:textId="77777777" w:rsidR="004F26C4" w:rsidRPr="00DC5C65" w:rsidRDefault="004F26C4" w:rsidP="004F26C4">
      <w:pPr>
        <w:jc w:val="center"/>
        <w:rPr>
          <w:rFonts w:ascii="Unicode" w:hAnsi="Unicode"/>
          <w:b/>
          <w:bCs/>
          <w:sz w:val="24"/>
          <w:szCs w:val="24"/>
        </w:rPr>
      </w:pPr>
      <w:r w:rsidRPr="00DC5C65">
        <w:rPr>
          <w:rFonts w:ascii="Unicode" w:hAnsi="Unicode"/>
          <w:b/>
          <w:bCs/>
          <w:sz w:val="24"/>
          <w:szCs w:val="24"/>
        </w:rPr>
        <w:t xml:space="preserve">The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interplay</w:t>
      </w:r>
      <w:proofErr w:type="spellEnd"/>
      <w:r w:rsidRPr="00DC5C65">
        <w:rPr>
          <w:rFonts w:ascii="Unicode" w:hAnsi="Unicode"/>
          <w:b/>
          <w:bCs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between</w:t>
      </w:r>
      <w:proofErr w:type="spellEnd"/>
      <w:r w:rsidRPr="00DC5C65">
        <w:rPr>
          <w:rFonts w:ascii="Unicode" w:hAnsi="Unicode"/>
          <w:b/>
          <w:bCs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b/>
          <w:bCs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renewal</w:t>
      </w:r>
      <w:proofErr w:type="spellEnd"/>
      <w:r w:rsidRPr="00DC5C65">
        <w:rPr>
          <w:rFonts w:ascii="Unicode" w:hAnsi="Unicode"/>
          <w:b/>
          <w:bCs/>
          <w:sz w:val="24"/>
          <w:szCs w:val="24"/>
        </w:rPr>
        <w:t xml:space="preserve"> and rule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conformity</w:t>
      </w:r>
      <w:proofErr w:type="spellEnd"/>
      <w:r w:rsidRPr="00DC5C65">
        <w:rPr>
          <w:rFonts w:ascii="Unicode" w:hAnsi="Unicode"/>
          <w:b/>
          <w:bCs/>
          <w:sz w:val="24"/>
          <w:szCs w:val="24"/>
        </w:rPr>
        <w:t xml:space="preserve"> in the production of public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goods</w:t>
      </w:r>
      <w:proofErr w:type="spellEnd"/>
      <w:r w:rsidRPr="00DC5C65">
        <w:rPr>
          <w:rFonts w:ascii="Unicode" w:hAnsi="Unicode"/>
          <w:b/>
          <w:bCs/>
          <w:sz w:val="24"/>
          <w:szCs w:val="24"/>
        </w:rPr>
        <w:t xml:space="preserve">. An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application</w:t>
      </w:r>
      <w:proofErr w:type="spellEnd"/>
      <w:r w:rsidRPr="00DC5C65">
        <w:rPr>
          <w:rFonts w:ascii="Unicode" w:hAnsi="Unicode"/>
          <w:b/>
          <w:bCs/>
          <w:sz w:val="24"/>
          <w:szCs w:val="24"/>
        </w:rPr>
        <w:t xml:space="preserve"> to music </w:t>
      </w:r>
      <w:proofErr w:type="spellStart"/>
      <w:r w:rsidRPr="00DC5C65">
        <w:rPr>
          <w:rFonts w:ascii="Unicode" w:hAnsi="Unicode"/>
          <w:b/>
          <w:bCs/>
          <w:sz w:val="24"/>
          <w:szCs w:val="24"/>
        </w:rPr>
        <w:t>education</w:t>
      </w:r>
      <w:proofErr w:type="spellEnd"/>
    </w:p>
    <w:p w14:paraId="18709921" w14:textId="3F2351A0" w:rsidR="004F26C4" w:rsidRPr="00DC5C65" w:rsidRDefault="004F26C4" w:rsidP="004F26C4">
      <w:pPr>
        <w:jc w:val="center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>Silvia Sacchetti, University of Trento</w:t>
      </w:r>
    </w:p>
    <w:p w14:paraId="3B17D72F" w14:textId="20AB85FB" w:rsidR="004F26C4" w:rsidRPr="00DC5C65" w:rsidRDefault="004F26C4" w:rsidP="004F26C4">
      <w:pPr>
        <w:jc w:val="center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Position paper </w:t>
      </w:r>
      <w:proofErr w:type="spellStart"/>
      <w:r w:rsidRPr="00DC5C65">
        <w:rPr>
          <w:rFonts w:ascii="Unicode" w:hAnsi="Unicode"/>
          <w:sz w:val="24"/>
          <w:szCs w:val="24"/>
        </w:rPr>
        <w:t>preparred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SIDE Conference, Sapienza University, Rome, </w:t>
      </w:r>
      <w:proofErr w:type="spellStart"/>
      <w:r w:rsidRPr="00DC5C65">
        <w:rPr>
          <w:rFonts w:ascii="Unicode" w:hAnsi="Unicode"/>
          <w:sz w:val="24"/>
          <w:szCs w:val="24"/>
        </w:rPr>
        <w:t>December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2024</w:t>
      </w:r>
    </w:p>
    <w:p w14:paraId="4D4FEA35" w14:textId="77777777" w:rsidR="004F26C4" w:rsidRPr="00DC5C65" w:rsidRDefault="004F26C4" w:rsidP="004F26C4">
      <w:pPr>
        <w:rPr>
          <w:rFonts w:ascii="Unicode" w:hAnsi="Unicode"/>
          <w:sz w:val="24"/>
          <w:szCs w:val="24"/>
        </w:rPr>
      </w:pPr>
    </w:p>
    <w:p w14:paraId="7C4796F2" w14:textId="1CA6FD4B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proofErr w:type="spellStart"/>
      <w:r w:rsidRPr="00DC5C65">
        <w:rPr>
          <w:rFonts w:ascii="Unicode" w:hAnsi="Unicode"/>
          <w:sz w:val="24"/>
          <w:szCs w:val="24"/>
        </w:rPr>
        <w:t>Introduction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context</w:t>
      </w:r>
      <w:proofErr w:type="spellEnd"/>
    </w:p>
    <w:p w14:paraId="03AF1748" w14:textId="77777777" w:rsidR="00DC5C65" w:rsidRPr="00DC5C65" w:rsidRDefault="00DC5C65" w:rsidP="00DC5C65">
      <w:pPr>
        <w:jc w:val="both"/>
        <w:rPr>
          <w:rFonts w:ascii="Unicode" w:hAnsi="Unicode"/>
          <w:sz w:val="24"/>
          <w:szCs w:val="24"/>
        </w:rPr>
      </w:pPr>
    </w:p>
    <w:p w14:paraId="6176BF6B" w14:textId="5D223098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Building on </w:t>
      </w:r>
      <w:proofErr w:type="spellStart"/>
      <w:r w:rsidRPr="00DC5C65">
        <w:rPr>
          <w:rFonts w:ascii="Unicode" w:hAnsi="Unicode"/>
          <w:sz w:val="24"/>
          <w:szCs w:val="24"/>
        </w:rPr>
        <w:t>idata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collected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2021 and 2023 </w:t>
      </w:r>
      <w:proofErr w:type="spellStart"/>
      <w:r w:rsidRPr="00DC5C65">
        <w:rPr>
          <w:rFonts w:ascii="Unicode" w:hAnsi="Unicode"/>
          <w:sz w:val="24"/>
          <w:szCs w:val="24"/>
        </w:rPr>
        <w:t>among</w:t>
      </w:r>
      <w:proofErr w:type="spellEnd"/>
      <w:r w:rsidRPr="00DC5C65">
        <w:rPr>
          <w:rFonts w:ascii="Unicode" w:hAnsi="Unicode"/>
          <w:sz w:val="24"/>
          <w:szCs w:val="24"/>
        </w:rPr>
        <w:t xml:space="preserve"> Trentino music schools,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work </w:t>
      </w:r>
      <w:proofErr w:type="spellStart"/>
      <w:r w:rsidRPr="00DC5C65">
        <w:rPr>
          <w:rFonts w:ascii="Unicode" w:hAnsi="Unicode"/>
          <w:sz w:val="24"/>
          <w:szCs w:val="24"/>
        </w:rPr>
        <w:t>explores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music 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their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towards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profession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conformity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</w:t>
      </w:r>
      <w:proofErr w:type="spellStart"/>
      <w:r w:rsidRPr="00DC5C65">
        <w:rPr>
          <w:rFonts w:ascii="Unicode" w:hAnsi="Unicode"/>
          <w:sz w:val="24"/>
          <w:szCs w:val="24"/>
        </w:rPr>
        <w:t>institutional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regulates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service. The </w:t>
      </w:r>
      <w:proofErr w:type="spellStart"/>
      <w:r w:rsidRPr="00DC5C65">
        <w:rPr>
          <w:rFonts w:ascii="Unicode" w:hAnsi="Unicode"/>
          <w:sz w:val="24"/>
          <w:szCs w:val="24"/>
        </w:rPr>
        <w:t>justification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focus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nature of the </w:t>
      </w:r>
      <w:proofErr w:type="spellStart"/>
      <w:r w:rsidRPr="00DC5C65">
        <w:rPr>
          <w:rFonts w:ascii="Unicode" w:hAnsi="Unicode"/>
          <w:sz w:val="24"/>
          <w:szCs w:val="24"/>
        </w:rPr>
        <w:t>economic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coordination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regulates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production of the service. Basic music </w:t>
      </w:r>
      <w:proofErr w:type="spellStart"/>
      <w:r w:rsidRPr="00DC5C65">
        <w:rPr>
          <w:rFonts w:ascii="Unicode" w:hAnsi="Unicode"/>
          <w:sz w:val="24"/>
          <w:szCs w:val="24"/>
        </w:rPr>
        <w:t>eduction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Italian</w:t>
      </w:r>
      <w:proofErr w:type="spellEnd"/>
      <w:r w:rsidRPr="00DC5C65">
        <w:rPr>
          <w:rFonts w:ascii="Unicode" w:hAnsi="Unicode"/>
          <w:sz w:val="24"/>
          <w:szCs w:val="24"/>
        </w:rPr>
        <w:t xml:space="preserve"> province </w:t>
      </w:r>
      <w:proofErr w:type="spellStart"/>
      <w:r w:rsidRPr="00DC5C65">
        <w:rPr>
          <w:rFonts w:ascii="Unicode" w:hAnsi="Unicode"/>
          <w:sz w:val="24"/>
          <w:szCs w:val="24"/>
        </w:rPr>
        <w:t>occurs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a public-private </w:t>
      </w:r>
      <w:proofErr w:type="spellStart"/>
      <w:r w:rsidRPr="00DC5C65">
        <w:rPr>
          <w:rFonts w:ascii="Unicode" w:hAnsi="Unicode"/>
          <w:sz w:val="24"/>
          <w:szCs w:val="24"/>
        </w:rPr>
        <w:t>pact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province and </w:t>
      </w:r>
      <w:proofErr w:type="spellStart"/>
      <w:r w:rsidRPr="00DC5C65">
        <w:rPr>
          <w:rFonts w:ascii="Unicode" w:hAnsi="Unicode"/>
          <w:sz w:val="24"/>
          <w:szCs w:val="24"/>
        </w:rPr>
        <w:t>thirteen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music schools,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take the </w:t>
      </w:r>
      <w:proofErr w:type="spellStart"/>
      <w:r w:rsidRPr="00DC5C65">
        <w:rPr>
          <w:rFonts w:ascii="Unicode" w:hAnsi="Unicode"/>
          <w:sz w:val="24"/>
          <w:szCs w:val="24"/>
        </w:rPr>
        <w:t>form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worker </w:t>
      </w:r>
      <w:proofErr w:type="spellStart"/>
      <w:r w:rsidRPr="00DC5C65">
        <w:rPr>
          <w:rFonts w:ascii="Unicode" w:hAnsi="Unicode"/>
          <w:sz w:val="24"/>
          <w:szCs w:val="24"/>
        </w:rPr>
        <w:t>cooperatives</w:t>
      </w:r>
      <w:proofErr w:type="spellEnd"/>
      <w:r w:rsidRPr="00DC5C65">
        <w:rPr>
          <w:rFonts w:ascii="Unicode" w:hAnsi="Unicode"/>
          <w:sz w:val="24"/>
          <w:szCs w:val="24"/>
        </w:rPr>
        <w:t xml:space="preserve"> or </w:t>
      </w:r>
      <w:proofErr w:type="spellStart"/>
      <w:r w:rsidRPr="00DC5C65">
        <w:rPr>
          <w:rFonts w:ascii="Unicode" w:hAnsi="Unicode"/>
          <w:sz w:val="24"/>
          <w:szCs w:val="24"/>
        </w:rPr>
        <w:t>associations</w:t>
      </w:r>
      <w:proofErr w:type="spellEnd"/>
      <w:r w:rsidRPr="00DC5C65">
        <w:rPr>
          <w:rFonts w:ascii="Unicode" w:hAnsi="Unicode"/>
          <w:sz w:val="24"/>
          <w:szCs w:val="24"/>
        </w:rPr>
        <w:t xml:space="preserve"> (Sacchetti, </w:t>
      </w:r>
      <w:proofErr w:type="spellStart"/>
      <w:r w:rsidRPr="00DC5C65">
        <w:rPr>
          <w:rFonts w:ascii="Unicode" w:hAnsi="Unicode"/>
          <w:sz w:val="24"/>
          <w:szCs w:val="24"/>
        </w:rPr>
        <w:t>Ianes</w:t>
      </w:r>
      <w:proofErr w:type="spellEnd"/>
      <w:r w:rsidRPr="00DC5C65">
        <w:rPr>
          <w:rFonts w:ascii="Unicode" w:hAnsi="Unicode"/>
          <w:sz w:val="24"/>
          <w:szCs w:val="24"/>
        </w:rPr>
        <w:t xml:space="preserve"> 2022). The schools </w:t>
      </w:r>
      <w:proofErr w:type="spellStart"/>
      <w:r w:rsidRPr="00DC5C65">
        <w:rPr>
          <w:rFonts w:ascii="Unicode" w:hAnsi="Unicode"/>
          <w:sz w:val="24"/>
          <w:szCs w:val="24"/>
        </w:rPr>
        <w:t>abide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rules and the </w:t>
      </w:r>
      <w:proofErr w:type="spellStart"/>
      <w:r w:rsidRPr="00DC5C65">
        <w:rPr>
          <w:rFonts w:ascii="Unicode" w:hAnsi="Unicode"/>
          <w:sz w:val="24"/>
          <w:szCs w:val="24"/>
        </w:rPr>
        <w:t>pedagogical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orientations</w:t>
      </w:r>
      <w:proofErr w:type="spellEnd"/>
      <w:r w:rsidRPr="00DC5C65">
        <w:rPr>
          <w:rFonts w:ascii="Unicode" w:hAnsi="Unicode"/>
          <w:sz w:val="24"/>
          <w:szCs w:val="24"/>
        </w:rPr>
        <w:t xml:space="preserve"> set </w:t>
      </w:r>
      <w:proofErr w:type="spellStart"/>
      <w:r w:rsidRPr="00DC5C65">
        <w:rPr>
          <w:rFonts w:ascii="Unicode" w:hAnsi="Unicode"/>
          <w:sz w:val="24"/>
          <w:szCs w:val="24"/>
        </w:rPr>
        <w:t>at</w:t>
      </w:r>
      <w:proofErr w:type="spellEnd"/>
      <w:r w:rsidRPr="00DC5C65">
        <w:rPr>
          <w:rFonts w:ascii="Unicode" w:hAnsi="Unicode"/>
          <w:sz w:val="24"/>
          <w:szCs w:val="24"/>
        </w:rPr>
        <w:t xml:space="preserve"> provincial </w:t>
      </w:r>
      <w:proofErr w:type="spellStart"/>
      <w:r w:rsidRPr="00DC5C65">
        <w:rPr>
          <w:rFonts w:ascii="Unicode" w:hAnsi="Unicode"/>
          <w:sz w:val="24"/>
          <w:szCs w:val="24"/>
        </w:rPr>
        <w:t>level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order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access public funding.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implies</w:t>
      </w:r>
      <w:proofErr w:type="spellEnd"/>
      <w:r w:rsidRPr="00DC5C65">
        <w:rPr>
          <w:rFonts w:ascii="Unicode" w:hAnsi="Unicode"/>
          <w:sz w:val="24"/>
          <w:szCs w:val="24"/>
        </w:rPr>
        <w:t>--</w:t>
      </w:r>
      <w:proofErr w:type="spellStart"/>
      <w:r w:rsidRPr="00DC5C65">
        <w:rPr>
          <w:rFonts w:ascii="Unicode" w:hAnsi="Unicode"/>
          <w:sz w:val="24"/>
          <w:szCs w:val="24"/>
        </w:rPr>
        <w:t>within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certain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spaces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freedom</w:t>
      </w:r>
      <w:proofErr w:type="spellEnd"/>
      <w:r w:rsidRPr="00DC5C65">
        <w:rPr>
          <w:rFonts w:ascii="Unicode" w:hAnsi="Unicode"/>
          <w:sz w:val="24"/>
          <w:szCs w:val="24"/>
        </w:rPr>
        <w:t xml:space="preserve">--a service </w:t>
      </w:r>
      <w:proofErr w:type="spellStart"/>
      <w:r w:rsidRPr="00DC5C65">
        <w:rPr>
          <w:rFonts w:ascii="Unicode" w:hAnsi="Unicode"/>
          <w:sz w:val="24"/>
          <w:szCs w:val="24"/>
        </w:rPr>
        <w:t>standardization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economic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sustainability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criteria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use of </w:t>
      </w:r>
      <w:proofErr w:type="spellStart"/>
      <w:r w:rsidRPr="00DC5C65">
        <w:rPr>
          <w:rFonts w:ascii="Unicode" w:hAnsi="Unicode"/>
          <w:sz w:val="24"/>
          <w:szCs w:val="24"/>
        </w:rPr>
        <w:t>resources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schools. A first </w:t>
      </w:r>
      <w:proofErr w:type="spellStart"/>
      <w:r w:rsidRPr="00DC5C65">
        <w:rPr>
          <w:rFonts w:ascii="Unicode" w:hAnsi="Unicode"/>
          <w:sz w:val="24"/>
          <w:szCs w:val="24"/>
        </w:rPr>
        <w:t>level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coordination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thus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be </w:t>
      </w:r>
      <w:proofErr w:type="spellStart"/>
      <w:r w:rsidRPr="00DC5C65">
        <w:rPr>
          <w:rFonts w:ascii="Unicode" w:hAnsi="Unicode"/>
          <w:sz w:val="24"/>
          <w:szCs w:val="24"/>
        </w:rPr>
        <w:t>appreciated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at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public-private system </w:t>
      </w:r>
      <w:proofErr w:type="spellStart"/>
      <w:r w:rsidRPr="00DC5C65">
        <w:rPr>
          <w:rFonts w:ascii="Unicode" w:hAnsi="Unicode"/>
          <w:sz w:val="24"/>
          <w:szCs w:val="24"/>
        </w:rPr>
        <w:t>level</w:t>
      </w:r>
      <w:proofErr w:type="spellEnd"/>
      <w:r w:rsidRPr="00DC5C65">
        <w:rPr>
          <w:rFonts w:ascii="Unicode" w:hAnsi="Unicode"/>
          <w:sz w:val="24"/>
          <w:szCs w:val="24"/>
        </w:rPr>
        <w:t xml:space="preserve">. The second </w:t>
      </w:r>
      <w:proofErr w:type="spellStart"/>
      <w:r w:rsidRPr="00DC5C65">
        <w:rPr>
          <w:rFonts w:ascii="Unicode" w:hAnsi="Unicode"/>
          <w:sz w:val="24"/>
          <w:szCs w:val="24"/>
        </w:rPr>
        <w:t>level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coordination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provided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</w:t>
      </w:r>
      <w:proofErr w:type="spellStart"/>
      <w:r w:rsidRPr="00DC5C65">
        <w:rPr>
          <w:rFonts w:ascii="Unicode" w:hAnsi="Unicode"/>
          <w:sz w:val="24"/>
          <w:szCs w:val="24"/>
        </w:rPr>
        <w:t>individual</w:t>
      </w:r>
      <w:proofErr w:type="spellEnd"/>
      <w:r w:rsidRPr="00DC5C65">
        <w:rPr>
          <w:rFonts w:ascii="Unicode" w:hAnsi="Unicode"/>
          <w:sz w:val="24"/>
          <w:szCs w:val="24"/>
        </w:rPr>
        <w:t xml:space="preserve"> schools,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exist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coordinate </w:t>
      </w:r>
      <w:proofErr w:type="spellStart"/>
      <w:r w:rsidRPr="00DC5C65">
        <w:rPr>
          <w:rFonts w:ascii="Unicode" w:hAnsi="Unicode"/>
          <w:sz w:val="24"/>
          <w:szCs w:val="24"/>
        </w:rPr>
        <w:t>resources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according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planned</w:t>
      </w:r>
      <w:proofErr w:type="spellEnd"/>
      <w:r w:rsidRPr="00DC5C65">
        <w:rPr>
          <w:rFonts w:ascii="Unicode" w:hAnsi="Unicode"/>
          <w:sz w:val="24"/>
          <w:szCs w:val="24"/>
        </w:rPr>
        <w:t xml:space="preserve"> goals and activities, </w:t>
      </w:r>
      <w:proofErr w:type="spellStart"/>
      <w:r w:rsidRPr="00DC5C65">
        <w:rPr>
          <w:rFonts w:ascii="Unicode" w:hAnsi="Unicode"/>
          <w:sz w:val="24"/>
          <w:szCs w:val="24"/>
        </w:rPr>
        <w:t>regardless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the </w:t>
      </w:r>
      <w:proofErr w:type="spellStart"/>
      <w:r w:rsidRPr="00DC5C65">
        <w:rPr>
          <w:rFonts w:ascii="Unicode" w:hAnsi="Unicode"/>
          <w:sz w:val="24"/>
          <w:szCs w:val="24"/>
        </w:rPr>
        <w:t>fact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formal</w:t>
      </w:r>
      <w:proofErr w:type="spellEnd"/>
      <w:r w:rsidRPr="00DC5C65">
        <w:rPr>
          <w:rFonts w:ascii="Unicode" w:hAnsi="Unicode"/>
          <w:sz w:val="24"/>
          <w:szCs w:val="24"/>
        </w:rPr>
        <w:t xml:space="preserve"> control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predominantly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democratic</w:t>
      </w:r>
      <w:proofErr w:type="spellEnd"/>
      <w:r w:rsidRPr="00DC5C65">
        <w:rPr>
          <w:rFonts w:ascii="Unicode" w:hAnsi="Unicode"/>
          <w:sz w:val="24"/>
          <w:szCs w:val="24"/>
        </w:rPr>
        <w:t xml:space="preserve">, i.e., the prerogative of worker </w:t>
      </w:r>
      <w:proofErr w:type="spellStart"/>
      <w:r w:rsidRPr="00DC5C65">
        <w:rPr>
          <w:rFonts w:ascii="Unicode" w:hAnsi="Unicode"/>
          <w:sz w:val="24"/>
          <w:szCs w:val="24"/>
        </w:rPr>
        <w:t>members</w:t>
      </w:r>
      <w:proofErr w:type="spellEnd"/>
      <w:r w:rsidRPr="00DC5C65">
        <w:rPr>
          <w:rFonts w:ascii="Unicode" w:hAnsi="Unicode"/>
          <w:sz w:val="24"/>
          <w:szCs w:val="24"/>
        </w:rPr>
        <w:t xml:space="preserve">. On the one hand the success of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defined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</w:t>
      </w:r>
      <w:proofErr w:type="spellStart"/>
      <w:r w:rsidRPr="00DC5C65">
        <w:rPr>
          <w:rFonts w:ascii="Unicode" w:hAnsi="Unicode"/>
          <w:sz w:val="24"/>
          <w:szCs w:val="24"/>
        </w:rPr>
        <w:t>its</w:t>
      </w:r>
      <w:proofErr w:type="spellEnd"/>
      <w:r w:rsidRPr="00DC5C65">
        <w:rPr>
          <w:rFonts w:ascii="Unicode" w:hAnsi="Unicode"/>
          <w:sz w:val="24"/>
          <w:szCs w:val="24"/>
        </w:rPr>
        <w:t xml:space="preserve"> rules and by the </w:t>
      </w:r>
      <w:proofErr w:type="spellStart"/>
      <w:r w:rsidRPr="00DC5C65">
        <w:rPr>
          <w:rFonts w:ascii="Unicode" w:hAnsi="Unicode"/>
          <w:sz w:val="24"/>
          <w:szCs w:val="24"/>
        </w:rPr>
        <w:t>resources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associated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cultural policies for public good </w:t>
      </w:r>
      <w:proofErr w:type="spellStart"/>
      <w:r w:rsidRPr="00DC5C65">
        <w:rPr>
          <w:rFonts w:ascii="Unicode" w:hAnsi="Unicode"/>
          <w:sz w:val="24"/>
          <w:szCs w:val="24"/>
        </w:rPr>
        <w:t>creation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. On the </w:t>
      </w:r>
      <w:proofErr w:type="spellStart"/>
      <w:r w:rsidRPr="00DC5C65">
        <w:rPr>
          <w:rFonts w:ascii="Unicode" w:hAnsi="Unicode"/>
          <w:sz w:val="24"/>
          <w:szCs w:val="24"/>
        </w:rPr>
        <w:t>other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complementary</w:t>
      </w:r>
      <w:proofErr w:type="spellEnd"/>
      <w:r w:rsidRPr="00DC5C65">
        <w:rPr>
          <w:rFonts w:ascii="Unicode" w:hAnsi="Unicode"/>
          <w:sz w:val="24"/>
          <w:szCs w:val="24"/>
        </w:rPr>
        <w:t xml:space="preserve">, with the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abide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 and </w:t>
      </w:r>
      <w:proofErr w:type="spellStart"/>
      <w:r w:rsidRPr="00DC5C65">
        <w:rPr>
          <w:rFonts w:ascii="Unicode" w:hAnsi="Unicode"/>
          <w:sz w:val="24"/>
          <w:szCs w:val="24"/>
        </w:rPr>
        <w:t>contribute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music </w:t>
      </w:r>
      <w:proofErr w:type="spellStart"/>
      <w:r w:rsidRPr="00DC5C65">
        <w:rPr>
          <w:rFonts w:ascii="Unicode" w:hAnsi="Unicode"/>
          <w:sz w:val="24"/>
          <w:szCs w:val="24"/>
        </w:rPr>
        <w:t>education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. The </w:t>
      </w:r>
      <w:proofErr w:type="spellStart"/>
      <w:r w:rsidRPr="00DC5C65">
        <w:rPr>
          <w:rFonts w:ascii="Unicode" w:hAnsi="Unicode"/>
          <w:sz w:val="24"/>
          <w:szCs w:val="24"/>
        </w:rPr>
        <w:t>aim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uncover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if</w:t>
      </w:r>
      <w:proofErr w:type="spellEnd"/>
      <w:r w:rsidRPr="00DC5C65">
        <w:rPr>
          <w:rFonts w:ascii="Unicode" w:hAnsi="Unicode"/>
          <w:sz w:val="24"/>
          <w:szCs w:val="24"/>
        </w:rPr>
        <w:t>--over time--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' </w:t>
      </w:r>
      <w:proofErr w:type="spellStart"/>
      <w:r w:rsidRPr="00DC5C65">
        <w:rPr>
          <w:rFonts w:ascii="Unicode" w:hAnsi="Unicode"/>
          <w:sz w:val="24"/>
          <w:szCs w:val="24"/>
        </w:rPr>
        <w:t>motives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get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renewed</w:t>
      </w:r>
      <w:proofErr w:type="spellEnd"/>
      <w:r w:rsidRPr="00DC5C65">
        <w:rPr>
          <w:rFonts w:ascii="Unicode" w:hAnsi="Unicode"/>
          <w:sz w:val="24"/>
          <w:szCs w:val="24"/>
        </w:rPr>
        <w:t xml:space="preserve"> so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production system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supported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</w:p>
    <w:p w14:paraId="239A4F4E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The history of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school system </w:t>
      </w:r>
      <w:proofErr w:type="spellStart"/>
      <w:r w:rsidRPr="00DC5C65">
        <w:rPr>
          <w:rFonts w:ascii="Unicode" w:hAnsi="Unicode"/>
          <w:sz w:val="24"/>
          <w:szCs w:val="24"/>
        </w:rPr>
        <w:t>allows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us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speak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an </w:t>
      </w:r>
      <w:proofErr w:type="spellStart"/>
      <w:r w:rsidRPr="00DC5C65">
        <w:rPr>
          <w:rFonts w:ascii="Unicode" w:hAnsi="Unicode"/>
          <w:sz w:val="24"/>
          <w:szCs w:val="24"/>
        </w:rPr>
        <w:t>enduring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system,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able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produce </w:t>
      </w:r>
      <w:proofErr w:type="spellStart"/>
      <w:r w:rsidRPr="00DC5C65">
        <w:rPr>
          <w:rFonts w:ascii="Unicode" w:hAnsi="Unicode"/>
          <w:sz w:val="24"/>
          <w:szCs w:val="24"/>
        </w:rPr>
        <w:t>different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outcomes</w:t>
      </w:r>
      <w:proofErr w:type="spellEnd"/>
      <w:r w:rsidRPr="00DC5C65">
        <w:rPr>
          <w:rFonts w:ascii="Unicode" w:hAnsi="Unicode"/>
          <w:sz w:val="24"/>
          <w:szCs w:val="24"/>
        </w:rPr>
        <w:t xml:space="preserve">, in an </w:t>
      </w:r>
      <w:proofErr w:type="spellStart"/>
      <w:r w:rsidRPr="00DC5C65">
        <w:rPr>
          <w:rFonts w:ascii="Unicode" w:hAnsi="Unicode"/>
          <w:sz w:val="24"/>
          <w:szCs w:val="24"/>
        </w:rPr>
        <w:t>ongoing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way in general and for the benefit of users and </w:t>
      </w:r>
      <w:proofErr w:type="spellStart"/>
      <w:r w:rsidRPr="00DC5C65">
        <w:rPr>
          <w:rFonts w:ascii="Unicode" w:hAnsi="Unicode"/>
          <w:sz w:val="24"/>
          <w:szCs w:val="24"/>
        </w:rPr>
        <w:t>members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</w:p>
    <w:p w14:paraId="71E1183C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With the </w:t>
      </w:r>
      <w:proofErr w:type="spellStart"/>
      <w:r w:rsidRPr="00DC5C65">
        <w:rPr>
          <w:rFonts w:ascii="Unicode" w:hAnsi="Unicode"/>
          <w:sz w:val="24"/>
          <w:szCs w:val="24"/>
        </w:rPr>
        <w:t>passage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time, </w:t>
      </w:r>
      <w:proofErr w:type="spellStart"/>
      <w:r w:rsidRPr="00DC5C65">
        <w:rPr>
          <w:rFonts w:ascii="Unicode" w:hAnsi="Unicode"/>
          <w:sz w:val="24"/>
          <w:szCs w:val="24"/>
        </w:rPr>
        <w:t>however</w:t>
      </w:r>
      <w:proofErr w:type="spellEnd"/>
      <w:r w:rsidRPr="00DC5C65">
        <w:rPr>
          <w:rFonts w:ascii="Unicode" w:hAnsi="Unicode"/>
          <w:sz w:val="24"/>
          <w:szCs w:val="24"/>
        </w:rPr>
        <w:t xml:space="preserve">, the </w:t>
      </w:r>
      <w:proofErr w:type="spellStart"/>
      <w:r w:rsidRPr="00DC5C65">
        <w:rPr>
          <w:rFonts w:ascii="Unicode" w:hAnsi="Unicode"/>
          <w:sz w:val="24"/>
          <w:szCs w:val="24"/>
        </w:rPr>
        <w:t>initial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creative state </w:t>
      </w:r>
      <w:proofErr w:type="spellStart"/>
      <w:r w:rsidRPr="00DC5C65">
        <w:rPr>
          <w:rFonts w:ascii="Unicode" w:hAnsi="Unicode"/>
          <w:sz w:val="24"/>
          <w:szCs w:val="24"/>
        </w:rPr>
        <w:t>gives</w:t>
      </w:r>
      <w:proofErr w:type="spellEnd"/>
      <w:r w:rsidRPr="00DC5C65">
        <w:rPr>
          <w:rFonts w:ascii="Unicode" w:hAnsi="Unicode"/>
          <w:sz w:val="24"/>
          <w:szCs w:val="24"/>
        </w:rPr>
        <w:t xml:space="preserve"> way to a more </w:t>
      </w:r>
      <w:proofErr w:type="spellStart"/>
      <w:r w:rsidRPr="00DC5C65">
        <w:rPr>
          <w:rFonts w:ascii="Unicode" w:hAnsi="Unicode"/>
          <w:sz w:val="24"/>
          <w:szCs w:val="24"/>
        </w:rPr>
        <w:t>operational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mode of </w:t>
      </w:r>
      <w:proofErr w:type="spellStart"/>
      <w:r w:rsidRPr="00DC5C65">
        <w:rPr>
          <w:rFonts w:ascii="Unicode" w:hAnsi="Unicode"/>
          <w:sz w:val="24"/>
          <w:szCs w:val="24"/>
        </w:rPr>
        <w:t>operation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embedded in a system of </w:t>
      </w:r>
      <w:proofErr w:type="spellStart"/>
      <w:r w:rsidRPr="00DC5C65">
        <w:rPr>
          <w:rFonts w:ascii="Unicode" w:hAnsi="Unicode"/>
          <w:sz w:val="24"/>
          <w:szCs w:val="24"/>
        </w:rPr>
        <w:t>enabling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institutional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rules and practices, </w:t>
      </w:r>
      <w:proofErr w:type="spellStart"/>
      <w:r w:rsidRPr="00DC5C65">
        <w:rPr>
          <w:rFonts w:ascii="Unicode" w:hAnsi="Unicode"/>
          <w:sz w:val="24"/>
          <w:szCs w:val="24"/>
        </w:rPr>
        <w:t>but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at</w:t>
      </w:r>
      <w:proofErr w:type="spellEnd"/>
      <w:r w:rsidRPr="00DC5C65">
        <w:rPr>
          <w:rFonts w:ascii="Unicode" w:hAnsi="Unicode"/>
          <w:sz w:val="24"/>
          <w:szCs w:val="24"/>
        </w:rPr>
        <w:t xml:space="preserve"> times </w:t>
      </w:r>
      <w:proofErr w:type="spellStart"/>
      <w:r w:rsidRPr="00DC5C65">
        <w:rPr>
          <w:rFonts w:ascii="Unicode" w:hAnsi="Unicode"/>
          <w:sz w:val="24"/>
          <w:szCs w:val="24"/>
        </w:rPr>
        <w:t>have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risked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becoming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rigid</w:t>
      </w:r>
      <w:proofErr w:type="spellEnd"/>
      <w:r w:rsidRPr="00DC5C65">
        <w:rPr>
          <w:rFonts w:ascii="Unicode" w:hAnsi="Unicode"/>
          <w:sz w:val="24"/>
          <w:szCs w:val="24"/>
        </w:rPr>
        <w:t xml:space="preserve">, net of </w:t>
      </w:r>
      <w:proofErr w:type="spellStart"/>
      <w:r w:rsidRPr="00DC5C65">
        <w:rPr>
          <w:rFonts w:ascii="Unicode" w:hAnsi="Unicode"/>
          <w:sz w:val="24"/>
          <w:szCs w:val="24"/>
        </w:rPr>
        <w:t>marginal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adaptations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Indeed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various</w:t>
      </w:r>
      <w:proofErr w:type="spellEnd"/>
      <w:r w:rsidRPr="00DC5C65">
        <w:rPr>
          <w:rFonts w:ascii="Unicode" w:hAnsi="Unicode"/>
          <w:sz w:val="24"/>
          <w:szCs w:val="24"/>
        </w:rPr>
        <w:t xml:space="preserve"> times the </w:t>
      </w:r>
      <w:proofErr w:type="spellStart"/>
      <w:r w:rsidRPr="00DC5C65">
        <w:rPr>
          <w:rFonts w:ascii="Unicode" w:hAnsi="Unicode"/>
          <w:sz w:val="24"/>
          <w:szCs w:val="24"/>
        </w:rPr>
        <w:t>need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emerged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actors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system to </w:t>
      </w:r>
      <w:proofErr w:type="spellStart"/>
      <w:r w:rsidRPr="00DC5C65">
        <w:rPr>
          <w:rFonts w:ascii="Unicode" w:hAnsi="Unicode"/>
          <w:sz w:val="24"/>
          <w:szCs w:val="24"/>
        </w:rPr>
        <w:t>revise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their</w:t>
      </w:r>
      <w:proofErr w:type="spellEnd"/>
      <w:r w:rsidRPr="00DC5C65">
        <w:rPr>
          <w:rFonts w:ascii="Unicode" w:hAnsi="Unicode"/>
          <w:sz w:val="24"/>
          <w:szCs w:val="24"/>
        </w:rPr>
        <w:t xml:space="preserve"> rules and </w:t>
      </w:r>
      <w:proofErr w:type="spellStart"/>
      <w:r w:rsidRPr="00DC5C65">
        <w:rPr>
          <w:rFonts w:ascii="Unicode" w:hAnsi="Unicode"/>
          <w:sz w:val="24"/>
          <w:szCs w:val="24"/>
        </w:rPr>
        <w:t>give</w:t>
      </w:r>
      <w:proofErr w:type="spellEnd"/>
      <w:r w:rsidRPr="00DC5C65">
        <w:rPr>
          <w:rFonts w:ascii="Unicode" w:hAnsi="Unicode"/>
          <w:sz w:val="24"/>
          <w:szCs w:val="24"/>
        </w:rPr>
        <w:t xml:space="preserve"> rise to </w:t>
      </w:r>
      <w:proofErr w:type="spellStart"/>
      <w:r w:rsidRPr="00DC5C65">
        <w:rPr>
          <w:rFonts w:ascii="Unicode" w:hAnsi="Unicode"/>
          <w:sz w:val="24"/>
          <w:szCs w:val="24"/>
        </w:rPr>
        <w:t>regenerative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instances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pathways. Over time, the cultural </w:t>
      </w:r>
      <w:proofErr w:type="spellStart"/>
      <w:r w:rsidRPr="00DC5C65">
        <w:rPr>
          <w:rFonts w:ascii="Unicode" w:hAnsi="Unicode"/>
          <w:sz w:val="24"/>
          <w:szCs w:val="24"/>
        </w:rPr>
        <w:t>context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habits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families </w:t>
      </w:r>
      <w:proofErr w:type="spellStart"/>
      <w:r w:rsidRPr="00DC5C65">
        <w:rPr>
          <w:rFonts w:ascii="Unicode" w:hAnsi="Unicode"/>
          <w:sz w:val="24"/>
          <w:szCs w:val="24"/>
        </w:rPr>
        <w:t>have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also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changed</w:t>
      </w:r>
      <w:proofErr w:type="spellEnd"/>
      <w:r w:rsidRPr="00DC5C65">
        <w:rPr>
          <w:rFonts w:ascii="Unicode" w:hAnsi="Unicode"/>
          <w:sz w:val="24"/>
          <w:szCs w:val="24"/>
        </w:rPr>
        <w:t xml:space="preserve">, new </w:t>
      </w:r>
      <w:proofErr w:type="spellStart"/>
      <w:r w:rsidRPr="00DC5C65">
        <w:rPr>
          <w:rFonts w:ascii="Unicode" w:hAnsi="Unicode"/>
          <w:sz w:val="24"/>
          <w:szCs w:val="24"/>
        </w:rPr>
        <w:t>needs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have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emerged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within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community, and new music </w:t>
      </w:r>
      <w:proofErr w:type="spellStart"/>
      <w:r w:rsidRPr="00DC5C65">
        <w:rPr>
          <w:rFonts w:ascii="Unicode" w:hAnsi="Unicode"/>
          <w:sz w:val="24"/>
          <w:szCs w:val="24"/>
        </w:rPr>
        <w:t>education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initiatives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have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emerged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outside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regulated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provincial system.</w:t>
      </w:r>
    </w:p>
    <w:p w14:paraId="636B98C6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</w:p>
    <w:p w14:paraId="3FE65994" w14:textId="65602607" w:rsid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>Methods</w:t>
      </w:r>
    </w:p>
    <w:p w14:paraId="736C84FF" w14:textId="77777777" w:rsidR="00DC5C65" w:rsidRPr="00DC5C65" w:rsidRDefault="00DC5C65" w:rsidP="00DC5C65">
      <w:pPr>
        <w:jc w:val="both"/>
        <w:rPr>
          <w:rFonts w:ascii="Unicode" w:hAnsi="Unicode"/>
          <w:sz w:val="24"/>
          <w:szCs w:val="24"/>
        </w:rPr>
      </w:pPr>
    </w:p>
    <w:p w14:paraId="577C0469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To estimate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context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use </w:t>
      </w:r>
      <w:proofErr w:type="spellStart"/>
      <w:r w:rsidRPr="00DC5C65">
        <w:rPr>
          <w:rFonts w:ascii="Unicode" w:hAnsi="Unicode"/>
          <w:sz w:val="24"/>
          <w:szCs w:val="24"/>
        </w:rPr>
        <w:t>ordered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logistic</w:t>
      </w:r>
      <w:proofErr w:type="spellEnd"/>
      <w:r w:rsidRPr="00DC5C65">
        <w:rPr>
          <w:rFonts w:ascii="Unicode" w:hAnsi="Unicode"/>
          <w:sz w:val="24"/>
          <w:szCs w:val="24"/>
        </w:rPr>
        <w:t xml:space="preserve"> models with </w:t>
      </w:r>
      <w:proofErr w:type="spellStart"/>
      <w:r w:rsidRPr="00DC5C65">
        <w:rPr>
          <w:rFonts w:ascii="Unicode" w:hAnsi="Unicode"/>
          <w:sz w:val="24"/>
          <w:szCs w:val="24"/>
        </w:rPr>
        <w:t>predictors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indicate the </w:t>
      </w:r>
      <w:proofErr w:type="spellStart"/>
      <w:r w:rsidRPr="00DC5C65">
        <w:rPr>
          <w:rFonts w:ascii="Unicode" w:hAnsi="Unicode"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educational system and </w:t>
      </w:r>
      <w:proofErr w:type="spellStart"/>
      <w:r w:rsidRPr="00DC5C65">
        <w:rPr>
          <w:rFonts w:ascii="Unicode" w:hAnsi="Unicode"/>
          <w:sz w:val="24"/>
          <w:szCs w:val="24"/>
        </w:rPr>
        <w:t>its</w:t>
      </w:r>
      <w:proofErr w:type="spellEnd"/>
      <w:r w:rsidRPr="00DC5C65">
        <w:rPr>
          <w:rFonts w:ascii="Unicode" w:hAnsi="Unicode"/>
          <w:sz w:val="24"/>
          <w:szCs w:val="24"/>
        </w:rPr>
        <w:t xml:space="preserve"> rules </w:t>
      </w:r>
      <w:r w:rsidRPr="00DC5C65">
        <w:rPr>
          <w:rFonts w:ascii="Unicode" w:hAnsi="Unicode"/>
          <w:sz w:val="24"/>
          <w:szCs w:val="24"/>
        </w:rPr>
        <w:lastRenderedPageBreak/>
        <w:t xml:space="preserve">and with the </w:t>
      </w:r>
      <w:proofErr w:type="spellStart"/>
      <w:r w:rsidRPr="00DC5C65">
        <w:rPr>
          <w:rFonts w:ascii="Unicode" w:hAnsi="Unicode"/>
          <w:sz w:val="24"/>
          <w:szCs w:val="24"/>
        </w:rPr>
        <w:t>involvement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their</w:t>
      </w:r>
      <w:proofErr w:type="spellEnd"/>
      <w:r w:rsidRPr="00DC5C65">
        <w:rPr>
          <w:rFonts w:ascii="Unicode" w:hAnsi="Unicode"/>
          <w:sz w:val="24"/>
          <w:szCs w:val="24"/>
        </w:rPr>
        <w:t xml:space="preserve"> school </w:t>
      </w:r>
      <w:proofErr w:type="spellStart"/>
      <w:r w:rsidRPr="00DC5C65">
        <w:rPr>
          <w:rFonts w:ascii="Unicode" w:hAnsi="Unicode"/>
          <w:sz w:val="24"/>
          <w:szCs w:val="24"/>
        </w:rPr>
        <w:t>choices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element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our</w:t>
      </w:r>
      <w:proofErr w:type="spellEnd"/>
      <w:r w:rsidRPr="00DC5C65">
        <w:rPr>
          <w:rFonts w:ascii="Unicode" w:hAnsi="Unicode"/>
          <w:sz w:val="24"/>
          <w:szCs w:val="24"/>
        </w:rPr>
        <w:t xml:space="preserve"> model </w:t>
      </w:r>
      <w:proofErr w:type="spellStart"/>
      <w:r w:rsidRPr="00DC5C65">
        <w:rPr>
          <w:rFonts w:ascii="Unicode" w:hAnsi="Unicode"/>
          <w:sz w:val="24"/>
          <w:szCs w:val="24"/>
        </w:rPr>
        <w:t>reflects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Ostrom's</w:t>
      </w:r>
      <w:proofErr w:type="spellEnd"/>
      <w:r w:rsidRPr="00DC5C65">
        <w:rPr>
          <w:rFonts w:ascii="Unicode" w:hAnsi="Unicode"/>
          <w:sz w:val="24"/>
          <w:szCs w:val="24"/>
        </w:rPr>
        <w:t xml:space="preserve"> highlights of rule </w:t>
      </w:r>
      <w:proofErr w:type="spellStart"/>
      <w:r w:rsidRPr="00DC5C65">
        <w:rPr>
          <w:rFonts w:ascii="Unicode" w:hAnsi="Unicode"/>
          <w:sz w:val="24"/>
          <w:szCs w:val="24"/>
        </w:rPr>
        <w:t>conformity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the </w:t>
      </w:r>
      <w:proofErr w:type="spellStart"/>
      <w:r w:rsidRPr="00DC5C65">
        <w:rPr>
          <w:rFonts w:ascii="Unicode" w:hAnsi="Unicode"/>
          <w:sz w:val="24"/>
          <w:szCs w:val="24"/>
        </w:rPr>
        <w:t>reproduction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commons</w:t>
      </w:r>
      <w:proofErr w:type="spellEnd"/>
      <w:r w:rsidRPr="00DC5C65">
        <w:rPr>
          <w:rFonts w:ascii="Unicode" w:hAnsi="Unicode"/>
          <w:sz w:val="24"/>
          <w:szCs w:val="24"/>
        </w:rPr>
        <w:t xml:space="preserve"> (Ostrom, 1998).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also</w:t>
      </w:r>
      <w:proofErr w:type="spellEnd"/>
      <w:r w:rsidRPr="00DC5C65">
        <w:rPr>
          <w:rFonts w:ascii="Unicode" w:hAnsi="Unicode"/>
          <w:sz w:val="24"/>
          <w:szCs w:val="24"/>
        </w:rPr>
        <w:t xml:space="preserve"> include </w:t>
      </w:r>
      <w:proofErr w:type="spellStart"/>
      <w:r w:rsidRPr="00DC5C65">
        <w:rPr>
          <w:rFonts w:ascii="Unicode" w:hAnsi="Unicode"/>
          <w:sz w:val="24"/>
          <w:szCs w:val="24"/>
        </w:rPr>
        <w:t>indicators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about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musicians</w:t>
      </w:r>
      <w:proofErr w:type="spellEnd"/>
      <w:r w:rsidRPr="00DC5C65">
        <w:rPr>
          <w:rFonts w:ascii="Unicode" w:hAnsi="Unicode"/>
          <w:sz w:val="24"/>
          <w:szCs w:val="24"/>
        </w:rPr>
        <w:t xml:space="preserve">'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regarding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school, </w:t>
      </w:r>
      <w:proofErr w:type="spellStart"/>
      <w:r w:rsidRPr="00DC5C65">
        <w:rPr>
          <w:rFonts w:ascii="Unicode" w:hAnsi="Unicode"/>
          <w:sz w:val="24"/>
          <w:szCs w:val="24"/>
        </w:rPr>
        <w:t>discriminating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market </w:t>
      </w:r>
      <w:proofErr w:type="spellStart"/>
      <w:r w:rsidRPr="00DC5C65">
        <w:rPr>
          <w:rFonts w:ascii="Unicode" w:hAnsi="Unicode"/>
          <w:sz w:val="24"/>
          <w:szCs w:val="24"/>
        </w:rPr>
        <w:t>exchange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type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(work </w:t>
      </w:r>
      <w:proofErr w:type="spellStart"/>
      <w:r w:rsidRPr="00DC5C65">
        <w:rPr>
          <w:rFonts w:ascii="Unicode" w:hAnsi="Unicode"/>
          <w:sz w:val="24"/>
          <w:szCs w:val="24"/>
        </w:rPr>
        <w:t>against</w:t>
      </w:r>
      <w:proofErr w:type="spellEnd"/>
      <w:r w:rsidRPr="00DC5C65">
        <w:rPr>
          <w:rFonts w:ascii="Unicode" w:hAnsi="Unicode"/>
          <w:sz w:val="24"/>
          <w:szCs w:val="24"/>
        </w:rPr>
        <w:t xml:space="preserve"> a </w:t>
      </w:r>
      <w:proofErr w:type="spellStart"/>
      <w:r w:rsidRPr="00DC5C65">
        <w:rPr>
          <w:rFonts w:ascii="Unicode" w:hAnsi="Unicode"/>
          <w:sz w:val="24"/>
          <w:szCs w:val="24"/>
        </w:rPr>
        <w:t>salary</w:t>
      </w:r>
      <w:proofErr w:type="spellEnd"/>
      <w:r w:rsidRPr="00DC5C65">
        <w:rPr>
          <w:rFonts w:ascii="Unicode" w:hAnsi="Unicode"/>
          <w:sz w:val="24"/>
          <w:szCs w:val="24"/>
        </w:rPr>
        <w:t xml:space="preserve">), cooperative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(working </w:t>
      </w:r>
      <w:proofErr w:type="spellStart"/>
      <w:r w:rsidRPr="00DC5C65">
        <w:rPr>
          <w:rFonts w:ascii="Unicode" w:hAnsi="Unicode"/>
          <w:sz w:val="24"/>
          <w:szCs w:val="24"/>
        </w:rPr>
        <w:t>towards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common educational </w:t>
      </w:r>
      <w:proofErr w:type="spellStart"/>
      <w:r w:rsidRPr="00DC5C65">
        <w:rPr>
          <w:rFonts w:ascii="Unicode" w:hAnsi="Unicode"/>
          <w:sz w:val="24"/>
          <w:szCs w:val="24"/>
        </w:rPr>
        <w:t>aim</w:t>
      </w:r>
      <w:proofErr w:type="spellEnd"/>
      <w:r w:rsidRPr="00DC5C65">
        <w:rPr>
          <w:rFonts w:ascii="Unicode" w:hAnsi="Unicode"/>
          <w:sz w:val="24"/>
          <w:szCs w:val="24"/>
        </w:rPr>
        <w:t>), self-</w:t>
      </w:r>
      <w:proofErr w:type="spellStart"/>
      <w:r w:rsidRPr="00DC5C65">
        <w:rPr>
          <w:rFonts w:ascii="Unicode" w:hAnsi="Unicode"/>
          <w:sz w:val="24"/>
          <w:szCs w:val="24"/>
        </w:rPr>
        <w:t>seeking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nonmonetary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towards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professionalisation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check for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' age, gender, </w:t>
      </w:r>
      <w:proofErr w:type="spellStart"/>
      <w:r w:rsidRPr="00DC5C65">
        <w:rPr>
          <w:rFonts w:ascii="Unicode" w:hAnsi="Unicode"/>
          <w:sz w:val="24"/>
          <w:szCs w:val="24"/>
        </w:rPr>
        <w:t>hourly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salary</w:t>
      </w:r>
      <w:proofErr w:type="spellEnd"/>
      <w:r w:rsidRPr="00DC5C65">
        <w:rPr>
          <w:rFonts w:ascii="Unicode" w:hAnsi="Unicode"/>
          <w:sz w:val="24"/>
          <w:szCs w:val="24"/>
        </w:rPr>
        <w:t xml:space="preserve">, hours </w:t>
      </w:r>
      <w:proofErr w:type="spellStart"/>
      <w:r w:rsidRPr="00DC5C65">
        <w:rPr>
          <w:rFonts w:ascii="Unicode" w:hAnsi="Unicode"/>
          <w:sz w:val="24"/>
          <w:szCs w:val="24"/>
        </w:rPr>
        <w:t>worked</w:t>
      </w:r>
      <w:proofErr w:type="spellEnd"/>
      <w:r w:rsidRPr="00DC5C65">
        <w:rPr>
          <w:rFonts w:ascii="Unicode" w:hAnsi="Unicode"/>
          <w:sz w:val="24"/>
          <w:szCs w:val="24"/>
        </w:rPr>
        <w:t>.</w:t>
      </w:r>
    </w:p>
    <w:p w14:paraId="4BC21AFE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</w:p>
    <w:p w14:paraId="70925CDC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proofErr w:type="spellStart"/>
      <w:r w:rsidRPr="00DC5C65">
        <w:rPr>
          <w:rFonts w:ascii="Unicode" w:hAnsi="Unicode"/>
          <w:sz w:val="24"/>
          <w:szCs w:val="24"/>
        </w:rPr>
        <w:t>Results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discussion</w:t>
      </w:r>
      <w:proofErr w:type="spellEnd"/>
    </w:p>
    <w:p w14:paraId="3A0154EA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</w:p>
    <w:p w14:paraId="60236B8C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 and the </w:t>
      </w:r>
      <w:proofErr w:type="spellStart"/>
      <w:r w:rsidRPr="00DC5C65">
        <w:rPr>
          <w:rFonts w:ascii="Unicode" w:hAnsi="Unicode"/>
          <w:sz w:val="24"/>
          <w:szCs w:val="24"/>
        </w:rPr>
        <w:t>attitude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toward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generally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shaped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the </w:t>
      </w:r>
      <w:proofErr w:type="spellStart"/>
      <w:r w:rsidRPr="00DC5C65">
        <w:rPr>
          <w:rFonts w:ascii="Unicode" w:hAnsi="Unicode"/>
          <w:sz w:val="24"/>
          <w:szCs w:val="24"/>
        </w:rPr>
        <w:t>pursuit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a common goal--the cultural and educational goal--on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individual's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quest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professional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growth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grafted</w:t>
      </w:r>
      <w:proofErr w:type="spellEnd"/>
      <w:r w:rsidRPr="00DC5C65">
        <w:rPr>
          <w:rFonts w:ascii="Unicode" w:hAnsi="Unicode"/>
          <w:sz w:val="24"/>
          <w:szCs w:val="24"/>
        </w:rPr>
        <w:t xml:space="preserve">. On the </w:t>
      </w:r>
      <w:proofErr w:type="spellStart"/>
      <w:r w:rsidRPr="00DC5C65">
        <w:rPr>
          <w:rFonts w:ascii="Unicode" w:hAnsi="Unicode"/>
          <w:sz w:val="24"/>
          <w:szCs w:val="24"/>
        </w:rPr>
        <w:t>whole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attach</w:t>
      </w:r>
      <w:proofErr w:type="spellEnd"/>
      <w:r w:rsidRPr="00DC5C65">
        <w:rPr>
          <w:rFonts w:ascii="Unicode" w:hAnsi="Unicode"/>
          <w:sz w:val="24"/>
          <w:szCs w:val="24"/>
        </w:rPr>
        <w:t xml:space="preserve"> a cooperative </w:t>
      </w:r>
      <w:proofErr w:type="spellStart"/>
      <w:r w:rsidRPr="00DC5C65">
        <w:rPr>
          <w:rFonts w:ascii="Unicode" w:hAnsi="Unicode"/>
          <w:sz w:val="24"/>
          <w:szCs w:val="24"/>
        </w:rPr>
        <w:t>value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school. </w:t>
      </w:r>
      <w:proofErr w:type="spellStart"/>
      <w:r w:rsidRPr="00DC5C65">
        <w:rPr>
          <w:rFonts w:ascii="Unicode" w:hAnsi="Unicode"/>
          <w:sz w:val="24"/>
          <w:szCs w:val="24"/>
        </w:rPr>
        <w:t>It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functional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achieving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shared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goal of </w:t>
      </w:r>
      <w:proofErr w:type="spellStart"/>
      <w:r w:rsidRPr="00DC5C65">
        <w:rPr>
          <w:rFonts w:ascii="Unicode" w:hAnsi="Unicode"/>
          <w:sz w:val="24"/>
          <w:szCs w:val="24"/>
        </w:rPr>
        <w:t>creating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public </w:t>
      </w:r>
      <w:proofErr w:type="spellStart"/>
      <w:r w:rsidRPr="00DC5C65">
        <w:rPr>
          <w:rFonts w:ascii="Unicode" w:hAnsi="Unicode"/>
          <w:sz w:val="24"/>
          <w:szCs w:val="24"/>
        </w:rPr>
        <w:t>goods</w:t>
      </w:r>
      <w:proofErr w:type="spellEnd"/>
      <w:r w:rsidRPr="00DC5C65">
        <w:rPr>
          <w:rFonts w:ascii="Unicode" w:hAnsi="Unicode"/>
          <w:sz w:val="24"/>
          <w:szCs w:val="24"/>
        </w:rPr>
        <w:t xml:space="preserve">. In </w:t>
      </w:r>
      <w:proofErr w:type="spellStart"/>
      <w:r w:rsidRPr="00DC5C65">
        <w:rPr>
          <w:rFonts w:ascii="Unicode" w:hAnsi="Unicode"/>
          <w:sz w:val="24"/>
          <w:szCs w:val="24"/>
        </w:rPr>
        <w:t>fact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they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speak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a school-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conceived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primarily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common educational </w:t>
      </w:r>
      <w:proofErr w:type="spellStart"/>
      <w:r w:rsidRPr="00DC5C65">
        <w:rPr>
          <w:rFonts w:ascii="Unicode" w:hAnsi="Unicode"/>
          <w:sz w:val="24"/>
          <w:szCs w:val="24"/>
        </w:rPr>
        <w:t>endeavor</w:t>
      </w:r>
      <w:proofErr w:type="spellEnd"/>
      <w:r w:rsidRPr="00DC5C65">
        <w:rPr>
          <w:rFonts w:ascii="Unicode" w:hAnsi="Unicode"/>
          <w:sz w:val="24"/>
          <w:szCs w:val="24"/>
        </w:rPr>
        <w:t xml:space="preserve"> (5.19 on </w:t>
      </w:r>
      <w:proofErr w:type="spellStart"/>
      <w:r w:rsidRPr="00DC5C65">
        <w:rPr>
          <w:rFonts w:ascii="Unicode" w:hAnsi="Unicode"/>
          <w:sz w:val="24"/>
          <w:szCs w:val="24"/>
        </w:rPr>
        <w:t>average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scales</w:t>
      </w:r>
      <w:proofErr w:type="spellEnd"/>
      <w:r w:rsidRPr="00DC5C65">
        <w:rPr>
          <w:rFonts w:ascii="Unicode" w:hAnsi="Unicode"/>
          <w:sz w:val="24"/>
          <w:szCs w:val="24"/>
        </w:rPr>
        <w:t xml:space="preserve"> 1 - 7), </w:t>
      </w:r>
      <w:proofErr w:type="spellStart"/>
      <w:r w:rsidRPr="00DC5C65">
        <w:rPr>
          <w:rFonts w:ascii="Unicode" w:hAnsi="Unicode"/>
          <w:sz w:val="24"/>
          <w:szCs w:val="24"/>
        </w:rPr>
        <w:t>but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also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more personal </w:t>
      </w:r>
      <w:proofErr w:type="spellStart"/>
      <w:r w:rsidRPr="00DC5C65">
        <w:rPr>
          <w:rFonts w:ascii="Unicode" w:hAnsi="Unicode"/>
          <w:sz w:val="24"/>
          <w:szCs w:val="24"/>
        </w:rPr>
        <w:t>purposes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concerning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growth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(5.11 on </w:t>
      </w:r>
      <w:proofErr w:type="spellStart"/>
      <w:r w:rsidRPr="00DC5C65">
        <w:rPr>
          <w:rFonts w:ascii="Unicode" w:hAnsi="Unicode"/>
          <w:sz w:val="24"/>
          <w:szCs w:val="24"/>
        </w:rPr>
        <w:t>average</w:t>
      </w:r>
      <w:proofErr w:type="spellEnd"/>
      <w:r w:rsidRPr="00DC5C65">
        <w:rPr>
          <w:rFonts w:ascii="Unicode" w:hAnsi="Unicode"/>
          <w:sz w:val="24"/>
          <w:szCs w:val="24"/>
        </w:rPr>
        <w:t xml:space="preserve">). </w:t>
      </w:r>
      <w:proofErr w:type="spellStart"/>
      <w:r w:rsidRPr="00DC5C65">
        <w:rPr>
          <w:rFonts w:ascii="Unicode" w:hAnsi="Unicode"/>
          <w:sz w:val="24"/>
          <w:szCs w:val="24"/>
        </w:rPr>
        <w:t>Marginally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(in 66 </w:t>
      </w:r>
      <w:proofErr w:type="spellStart"/>
      <w:r w:rsidRPr="00DC5C65">
        <w:rPr>
          <w:rFonts w:ascii="Unicode" w:hAnsi="Unicode"/>
          <w:sz w:val="24"/>
          <w:szCs w:val="24"/>
        </w:rPr>
        <w:t>percent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cases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an </w:t>
      </w:r>
      <w:proofErr w:type="spellStart"/>
      <w:r w:rsidRPr="00DC5C65">
        <w:rPr>
          <w:rFonts w:ascii="Unicode" w:hAnsi="Unicode"/>
          <w:sz w:val="24"/>
          <w:szCs w:val="24"/>
        </w:rPr>
        <w:t>average</w:t>
      </w:r>
      <w:proofErr w:type="spellEnd"/>
      <w:r w:rsidRPr="00DC5C65">
        <w:rPr>
          <w:rFonts w:ascii="Unicode" w:hAnsi="Unicode"/>
          <w:sz w:val="24"/>
          <w:szCs w:val="24"/>
        </w:rPr>
        <w:t xml:space="preserve"> score of 4.57) </w:t>
      </w:r>
      <w:proofErr w:type="spellStart"/>
      <w:r w:rsidRPr="00DC5C65">
        <w:rPr>
          <w:rFonts w:ascii="Unicode" w:hAnsi="Unicode"/>
          <w:sz w:val="24"/>
          <w:szCs w:val="24"/>
        </w:rPr>
        <w:t>see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set of </w:t>
      </w:r>
      <w:proofErr w:type="spellStart"/>
      <w:r w:rsidRPr="00DC5C65">
        <w:rPr>
          <w:rFonts w:ascii="Unicode" w:hAnsi="Unicode"/>
          <w:sz w:val="24"/>
          <w:szCs w:val="24"/>
        </w:rPr>
        <w:t>relationships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goes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beyond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pure </w:t>
      </w:r>
      <w:proofErr w:type="spellStart"/>
      <w:r w:rsidRPr="00DC5C65">
        <w:rPr>
          <w:rFonts w:ascii="Unicode" w:hAnsi="Unicode"/>
          <w:sz w:val="24"/>
          <w:szCs w:val="24"/>
        </w:rPr>
        <w:t>labor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contract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thus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concerning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creation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relational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goods</w:t>
      </w:r>
      <w:proofErr w:type="spellEnd"/>
      <w:r w:rsidRPr="00DC5C65">
        <w:rPr>
          <w:rFonts w:ascii="Unicode" w:hAnsi="Unicode"/>
          <w:sz w:val="24"/>
          <w:szCs w:val="24"/>
        </w:rPr>
        <w:t xml:space="preserve"> (Becchetti et a. 2008; Donati 1996) </w:t>
      </w:r>
      <w:proofErr w:type="spellStart"/>
      <w:r w:rsidRPr="00DC5C65">
        <w:rPr>
          <w:rFonts w:ascii="Unicode" w:hAnsi="Unicode"/>
          <w:sz w:val="24"/>
          <w:szCs w:val="24"/>
        </w:rPr>
        <w:t>through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established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school.</w:t>
      </w:r>
    </w:p>
    <w:p w14:paraId="7749970F" w14:textId="52D3E964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The more, the </w:t>
      </w:r>
      <w:proofErr w:type="spellStart"/>
      <w:r w:rsidRPr="00DC5C65">
        <w:rPr>
          <w:rFonts w:ascii="Unicode" w:hAnsi="Unicode"/>
          <w:sz w:val="24"/>
          <w:szCs w:val="24"/>
        </w:rPr>
        <w:t>conventional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economic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view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sees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individual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the </w:t>
      </w:r>
      <w:proofErr w:type="spellStart"/>
      <w:r w:rsidRPr="00DC5C65">
        <w:rPr>
          <w:rFonts w:ascii="Unicode" w:hAnsi="Unicode"/>
          <w:sz w:val="24"/>
          <w:szCs w:val="24"/>
        </w:rPr>
        <w:t>firm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centered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on the market </w:t>
      </w:r>
      <w:proofErr w:type="spellStart"/>
      <w:r w:rsidRPr="00DC5C65">
        <w:rPr>
          <w:rFonts w:ascii="Unicode" w:hAnsi="Unicode"/>
          <w:sz w:val="24"/>
          <w:szCs w:val="24"/>
        </w:rPr>
        <w:t>exchange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labor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wages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appears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relatively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marginal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compared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</w:t>
      </w:r>
      <w:proofErr w:type="spellStart"/>
      <w:r w:rsidRPr="00DC5C65">
        <w:rPr>
          <w:rFonts w:ascii="Unicode" w:hAnsi="Unicode"/>
          <w:sz w:val="24"/>
          <w:szCs w:val="24"/>
        </w:rPr>
        <w:t>other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expressed</w:t>
      </w:r>
      <w:proofErr w:type="spellEnd"/>
      <w:r w:rsidRPr="00DC5C65">
        <w:rPr>
          <w:rFonts w:ascii="Unicode" w:hAnsi="Unicode"/>
          <w:sz w:val="24"/>
          <w:szCs w:val="24"/>
        </w:rPr>
        <w:t xml:space="preserve"> (4.16 out of 7, on </w:t>
      </w:r>
      <w:proofErr w:type="spellStart"/>
      <w:r w:rsidRPr="00DC5C65">
        <w:rPr>
          <w:rFonts w:ascii="Unicode" w:hAnsi="Unicode"/>
          <w:sz w:val="24"/>
          <w:szCs w:val="24"/>
        </w:rPr>
        <w:t>average</w:t>
      </w:r>
      <w:proofErr w:type="spellEnd"/>
      <w:r w:rsidRPr="00DC5C65">
        <w:rPr>
          <w:rFonts w:ascii="Unicode" w:hAnsi="Unicode"/>
          <w:sz w:val="24"/>
          <w:szCs w:val="24"/>
        </w:rPr>
        <w:t xml:space="preserve">). </w:t>
      </w:r>
      <w:proofErr w:type="spellStart"/>
      <w:r w:rsidRPr="00DC5C65">
        <w:rPr>
          <w:rFonts w:ascii="Unicode" w:hAnsi="Unicode"/>
          <w:sz w:val="24"/>
          <w:szCs w:val="24"/>
        </w:rPr>
        <w:t>Where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primarily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contractual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less</w:t>
      </w:r>
      <w:proofErr w:type="spellEnd"/>
      <w:r w:rsidRPr="00DC5C65">
        <w:rPr>
          <w:rFonts w:ascii="Unicode" w:hAnsi="Unicode"/>
          <w:sz w:val="24"/>
          <w:szCs w:val="24"/>
        </w:rPr>
        <w:t xml:space="preserve"> personal </w:t>
      </w:r>
      <w:proofErr w:type="spellStart"/>
      <w:r w:rsidRPr="00DC5C65">
        <w:rPr>
          <w:rFonts w:ascii="Unicode" w:hAnsi="Unicode"/>
          <w:sz w:val="24"/>
          <w:szCs w:val="24"/>
        </w:rPr>
        <w:t>fulfillment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can be </w:t>
      </w:r>
      <w:proofErr w:type="spellStart"/>
      <w:r w:rsidRPr="00DC5C65">
        <w:rPr>
          <w:rFonts w:ascii="Unicode" w:hAnsi="Unicode"/>
          <w:sz w:val="24"/>
          <w:szCs w:val="24"/>
        </w:rPr>
        <w:t>expected</w:t>
      </w:r>
      <w:proofErr w:type="spellEnd"/>
      <w:r w:rsidRPr="00DC5C65">
        <w:rPr>
          <w:rFonts w:ascii="Unicode" w:hAnsi="Unicode"/>
          <w:sz w:val="24"/>
          <w:szCs w:val="24"/>
        </w:rPr>
        <w:t xml:space="preserve">. The </w:t>
      </w:r>
      <w:proofErr w:type="spellStart"/>
      <w:r w:rsidRPr="00DC5C65">
        <w:rPr>
          <w:rFonts w:ascii="Unicode" w:hAnsi="Unicode"/>
          <w:sz w:val="24"/>
          <w:szCs w:val="24"/>
        </w:rPr>
        <w:t>reason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attitude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might</w:t>
      </w:r>
      <w:proofErr w:type="spellEnd"/>
      <w:r w:rsidRPr="00DC5C65">
        <w:rPr>
          <w:rFonts w:ascii="Unicode" w:hAnsi="Unicode"/>
          <w:sz w:val="24"/>
          <w:szCs w:val="24"/>
        </w:rPr>
        <w:t xml:space="preserve">, by </w:t>
      </w:r>
      <w:proofErr w:type="spellStart"/>
      <w:r w:rsidRPr="00DC5C65">
        <w:rPr>
          <w:rFonts w:ascii="Unicode" w:hAnsi="Unicode"/>
          <w:sz w:val="24"/>
          <w:szCs w:val="24"/>
        </w:rPr>
        <w:t>hypothesis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limit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teacher's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experience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colleagues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Indeed</w:t>
      </w:r>
      <w:proofErr w:type="spellEnd"/>
      <w:r w:rsidRPr="00DC5C65">
        <w:rPr>
          <w:rFonts w:ascii="Unicode" w:hAnsi="Unicode"/>
          <w:sz w:val="24"/>
          <w:szCs w:val="24"/>
        </w:rPr>
        <w:t xml:space="preserve">, the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requires</w:t>
      </w:r>
      <w:proofErr w:type="spellEnd"/>
      <w:r w:rsidRPr="00DC5C65">
        <w:rPr>
          <w:rFonts w:ascii="Unicode" w:hAnsi="Unicode"/>
          <w:sz w:val="24"/>
          <w:szCs w:val="24"/>
        </w:rPr>
        <w:t xml:space="preserve"> one to </w:t>
      </w:r>
      <w:proofErr w:type="spellStart"/>
      <w:r w:rsidRPr="00DC5C65">
        <w:rPr>
          <w:rFonts w:ascii="Unicode" w:hAnsi="Unicode"/>
          <w:sz w:val="24"/>
          <w:szCs w:val="24"/>
        </w:rPr>
        <w:t>approach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working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sharing a </w:t>
      </w:r>
      <w:proofErr w:type="spellStart"/>
      <w:r w:rsidRPr="00DC5C65">
        <w:rPr>
          <w:rFonts w:ascii="Unicode" w:hAnsi="Unicode"/>
          <w:sz w:val="24"/>
          <w:szCs w:val="24"/>
        </w:rPr>
        <w:t>substantive</w:t>
      </w:r>
      <w:proofErr w:type="spellEnd"/>
      <w:r w:rsidRPr="00DC5C65">
        <w:rPr>
          <w:rFonts w:ascii="Unicode" w:hAnsi="Unicode"/>
          <w:sz w:val="24"/>
          <w:szCs w:val="24"/>
        </w:rPr>
        <w:t xml:space="preserve"> vision of the educational project. </w:t>
      </w:r>
      <w:proofErr w:type="spellStart"/>
      <w:r w:rsidRPr="00DC5C65">
        <w:rPr>
          <w:rFonts w:ascii="Unicode" w:hAnsi="Unicode"/>
          <w:sz w:val="24"/>
          <w:szCs w:val="24"/>
        </w:rPr>
        <w:t>Privileging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financial</w:t>
      </w:r>
      <w:proofErr w:type="spellEnd"/>
      <w:r w:rsidRPr="00DC5C65">
        <w:rPr>
          <w:rFonts w:ascii="Unicode" w:hAnsi="Unicode"/>
          <w:sz w:val="24"/>
          <w:szCs w:val="24"/>
        </w:rPr>
        <w:t xml:space="preserve"> incentives in a </w:t>
      </w:r>
      <w:proofErr w:type="spellStart"/>
      <w:r w:rsidRPr="00DC5C65">
        <w:rPr>
          <w:rFonts w:ascii="Unicode" w:hAnsi="Unicode"/>
          <w:sz w:val="24"/>
          <w:szCs w:val="24"/>
        </w:rPr>
        <w:t>purely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transactional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context</w:t>
      </w:r>
      <w:proofErr w:type="spellEnd"/>
      <w:r w:rsidRPr="00DC5C65">
        <w:rPr>
          <w:rFonts w:ascii="Unicode" w:hAnsi="Unicode"/>
          <w:sz w:val="24"/>
          <w:szCs w:val="24"/>
        </w:rPr>
        <w:t xml:space="preserve">, on the </w:t>
      </w:r>
      <w:proofErr w:type="spellStart"/>
      <w:r w:rsidRPr="00DC5C65">
        <w:rPr>
          <w:rFonts w:ascii="Unicode" w:hAnsi="Unicode"/>
          <w:sz w:val="24"/>
          <w:szCs w:val="24"/>
        </w:rPr>
        <w:t>other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hand, can lead to neglect of activities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are </w:t>
      </w:r>
      <w:proofErr w:type="spellStart"/>
      <w:r w:rsidRPr="00DC5C65">
        <w:rPr>
          <w:rFonts w:ascii="Unicode" w:hAnsi="Unicode"/>
          <w:sz w:val="24"/>
          <w:szCs w:val="24"/>
        </w:rPr>
        <w:t>not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explicable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</w:t>
      </w:r>
      <w:proofErr w:type="spellStart"/>
      <w:r w:rsidRPr="00DC5C65">
        <w:rPr>
          <w:rFonts w:ascii="Unicode" w:hAnsi="Unicode"/>
          <w:sz w:val="24"/>
          <w:szCs w:val="24"/>
        </w:rPr>
        <w:t>contract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Indeed</w:t>
      </w:r>
      <w:proofErr w:type="spellEnd"/>
      <w:r w:rsidRPr="00DC5C65">
        <w:rPr>
          <w:rFonts w:ascii="Unicode" w:hAnsi="Unicode"/>
          <w:sz w:val="24"/>
          <w:szCs w:val="24"/>
        </w:rPr>
        <w:t xml:space="preserve">, in a market </w:t>
      </w:r>
      <w:proofErr w:type="spellStart"/>
      <w:r w:rsidRPr="00DC5C65">
        <w:rPr>
          <w:rFonts w:ascii="Unicode" w:hAnsi="Unicode"/>
          <w:sz w:val="24"/>
          <w:szCs w:val="24"/>
        </w:rPr>
        <w:t>exchange</w:t>
      </w:r>
      <w:proofErr w:type="spellEnd"/>
      <w:r w:rsidRPr="00DC5C65">
        <w:rPr>
          <w:rFonts w:ascii="Unicode" w:hAnsi="Unicode"/>
          <w:sz w:val="24"/>
          <w:szCs w:val="24"/>
        </w:rPr>
        <w:t xml:space="preserve">, the </w:t>
      </w:r>
      <w:proofErr w:type="spellStart"/>
      <w:r w:rsidRPr="00DC5C65">
        <w:rPr>
          <w:rFonts w:ascii="Unicode" w:hAnsi="Unicode"/>
          <w:sz w:val="24"/>
          <w:szCs w:val="24"/>
        </w:rPr>
        <w:t>object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the </w:t>
      </w:r>
      <w:proofErr w:type="spellStart"/>
      <w:r w:rsidRPr="00DC5C65">
        <w:rPr>
          <w:rFonts w:ascii="Unicode" w:hAnsi="Unicode"/>
          <w:sz w:val="24"/>
          <w:szCs w:val="24"/>
        </w:rPr>
        <w:t>transaction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teacher's</w:t>
      </w:r>
      <w:proofErr w:type="spellEnd"/>
      <w:r w:rsidRPr="00DC5C65">
        <w:rPr>
          <w:rFonts w:ascii="Unicode" w:hAnsi="Unicode"/>
          <w:sz w:val="24"/>
          <w:szCs w:val="24"/>
        </w:rPr>
        <w:t xml:space="preserve"> time to </w:t>
      </w:r>
      <w:proofErr w:type="spellStart"/>
      <w:r w:rsidRPr="00DC5C65">
        <w:rPr>
          <w:rFonts w:ascii="Unicode" w:hAnsi="Unicode"/>
          <w:sz w:val="24"/>
          <w:szCs w:val="24"/>
        </w:rPr>
        <w:t>whom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monetary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compensation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paid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return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conception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can lead people to refrain from </w:t>
      </w:r>
      <w:proofErr w:type="spellStart"/>
      <w:r w:rsidRPr="00DC5C65">
        <w:rPr>
          <w:rFonts w:ascii="Unicode" w:hAnsi="Unicode"/>
          <w:sz w:val="24"/>
          <w:szCs w:val="24"/>
        </w:rPr>
        <w:t>developing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quality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relationships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characterized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the </w:t>
      </w:r>
      <w:proofErr w:type="spellStart"/>
      <w:r w:rsidRPr="00DC5C65">
        <w:rPr>
          <w:rFonts w:ascii="Unicode" w:hAnsi="Unicode"/>
          <w:sz w:val="24"/>
          <w:szCs w:val="24"/>
        </w:rPr>
        <w:t>exchange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ideas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mutual</w:t>
      </w:r>
      <w:proofErr w:type="spellEnd"/>
      <w:r w:rsidRPr="00DC5C65">
        <w:rPr>
          <w:rFonts w:ascii="Unicode" w:hAnsi="Unicode"/>
          <w:sz w:val="24"/>
          <w:szCs w:val="24"/>
        </w:rPr>
        <w:t xml:space="preserve"> help--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are </w:t>
      </w:r>
      <w:proofErr w:type="spellStart"/>
      <w:r w:rsidRPr="00DC5C65">
        <w:rPr>
          <w:rFonts w:ascii="Unicode" w:hAnsi="Unicode"/>
          <w:sz w:val="24"/>
          <w:szCs w:val="24"/>
        </w:rPr>
        <w:t>outside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tasks and </w:t>
      </w:r>
      <w:proofErr w:type="spellStart"/>
      <w:r w:rsidRPr="00DC5C65">
        <w:rPr>
          <w:rFonts w:ascii="Unicode" w:hAnsi="Unicode"/>
          <w:sz w:val="24"/>
          <w:szCs w:val="24"/>
        </w:rPr>
        <w:t>circumstances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strictly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stipulated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</w:t>
      </w:r>
      <w:proofErr w:type="spellStart"/>
      <w:r w:rsidRPr="00DC5C65">
        <w:rPr>
          <w:rFonts w:ascii="Unicode" w:hAnsi="Unicode"/>
          <w:sz w:val="24"/>
          <w:szCs w:val="24"/>
        </w:rPr>
        <w:t>contract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type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inefficiency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known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X-</w:t>
      </w:r>
      <w:proofErr w:type="spellStart"/>
      <w:r w:rsidRPr="00DC5C65">
        <w:rPr>
          <w:rFonts w:ascii="Unicode" w:hAnsi="Unicode"/>
          <w:sz w:val="24"/>
          <w:szCs w:val="24"/>
        </w:rPr>
        <w:t>inefficiency</w:t>
      </w:r>
      <w:proofErr w:type="spellEnd"/>
      <w:r w:rsidRPr="00DC5C65">
        <w:rPr>
          <w:rFonts w:ascii="Unicode" w:hAnsi="Unicode"/>
          <w:sz w:val="24"/>
          <w:szCs w:val="24"/>
        </w:rPr>
        <w:t xml:space="preserve"> (</w:t>
      </w:r>
      <w:proofErr w:type="spellStart"/>
      <w:r w:rsidRPr="00DC5C65">
        <w:rPr>
          <w:rFonts w:ascii="Unicode" w:hAnsi="Unicode"/>
          <w:sz w:val="24"/>
          <w:szCs w:val="24"/>
        </w:rPr>
        <w:t>Leibenstein</w:t>
      </w:r>
      <w:proofErr w:type="spellEnd"/>
      <w:r w:rsidRPr="00DC5C65">
        <w:rPr>
          <w:rFonts w:ascii="Unicode" w:hAnsi="Unicode"/>
          <w:sz w:val="24"/>
          <w:szCs w:val="24"/>
        </w:rPr>
        <w:t>, 1966).</w:t>
      </w:r>
    </w:p>
    <w:p w14:paraId="5D3524EA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In </w:t>
      </w:r>
      <w:proofErr w:type="spellStart"/>
      <w:r w:rsidRPr="00DC5C65">
        <w:rPr>
          <w:rFonts w:ascii="Unicode" w:hAnsi="Unicode"/>
          <w:sz w:val="24"/>
          <w:szCs w:val="24"/>
        </w:rPr>
        <w:t>order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understand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dynamics of </w:t>
      </w:r>
      <w:proofErr w:type="spellStart"/>
      <w:r w:rsidRPr="00DC5C65">
        <w:rPr>
          <w:rFonts w:ascii="Unicode" w:hAnsi="Unicode"/>
          <w:sz w:val="24"/>
          <w:szCs w:val="24"/>
        </w:rPr>
        <w:t>initial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asked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how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their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teach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changed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since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time </w:t>
      </w:r>
      <w:proofErr w:type="spellStart"/>
      <w:r w:rsidRPr="00DC5C65">
        <w:rPr>
          <w:rFonts w:ascii="Unicode" w:hAnsi="Unicode"/>
          <w:sz w:val="24"/>
          <w:szCs w:val="24"/>
        </w:rPr>
        <w:t>they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started</w:t>
      </w:r>
      <w:proofErr w:type="spellEnd"/>
      <w:r w:rsidRPr="00DC5C65">
        <w:rPr>
          <w:rFonts w:ascii="Unicode" w:hAnsi="Unicode"/>
          <w:sz w:val="24"/>
          <w:szCs w:val="24"/>
        </w:rPr>
        <w:t xml:space="preserve">. 11% of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reported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a </w:t>
      </w:r>
      <w:proofErr w:type="spellStart"/>
      <w:r w:rsidRPr="00DC5C65">
        <w:rPr>
          <w:rFonts w:ascii="Unicode" w:hAnsi="Unicode"/>
          <w:sz w:val="24"/>
          <w:szCs w:val="24"/>
        </w:rPr>
        <w:t>decrease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39% </w:t>
      </w:r>
      <w:proofErr w:type="spellStart"/>
      <w:r w:rsidRPr="00DC5C65">
        <w:rPr>
          <w:rFonts w:ascii="Unicode" w:hAnsi="Unicode"/>
          <w:sz w:val="24"/>
          <w:szCs w:val="24"/>
        </w:rPr>
        <w:t>said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remained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same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50% </w:t>
      </w:r>
      <w:proofErr w:type="spellStart"/>
      <w:r w:rsidRPr="00DC5C65">
        <w:rPr>
          <w:rFonts w:ascii="Unicode" w:hAnsi="Unicode"/>
          <w:sz w:val="24"/>
          <w:szCs w:val="24"/>
        </w:rPr>
        <w:t>said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increased</w:t>
      </w:r>
      <w:proofErr w:type="spellEnd"/>
      <w:r w:rsidRPr="00DC5C65">
        <w:rPr>
          <w:rFonts w:ascii="Unicode" w:hAnsi="Unicode"/>
          <w:sz w:val="24"/>
          <w:szCs w:val="24"/>
        </w:rPr>
        <w:t xml:space="preserve"> over time. I </w:t>
      </w:r>
      <w:proofErr w:type="spellStart"/>
      <w:r w:rsidRPr="00DC5C65">
        <w:rPr>
          <w:rFonts w:ascii="Unicode" w:hAnsi="Unicode"/>
          <w:sz w:val="24"/>
          <w:szCs w:val="24"/>
        </w:rPr>
        <w:t>then</w:t>
      </w:r>
      <w:proofErr w:type="spellEnd"/>
      <w:r w:rsidRPr="00DC5C65">
        <w:rPr>
          <w:rFonts w:ascii="Unicode" w:hAnsi="Unicode"/>
          <w:sz w:val="24"/>
          <w:szCs w:val="24"/>
        </w:rPr>
        <w:t xml:space="preserve"> cross-</w:t>
      </w:r>
      <w:proofErr w:type="spellStart"/>
      <w:r w:rsidRPr="00DC5C65">
        <w:rPr>
          <w:rFonts w:ascii="Unicode" w:hAnsi="Unicode"/>
          <w:sz w:val="24"/>
          <w:szCs w:val="24"/>
        </w:rPr>
        <w:t>referenced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responses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' </w:t>
      </w:r>
      <w:proofErr w:type="spellStart"/>
      <w:r w:rsidRPr="00DC5C65">
        <w:rPr>
          <w:rFonts w:ascii="Unicode" w:hAnsi="Unicode"/>
          <w:sz w:val="24"/>
          <w:szCs w:val="24"/>
        </w:rPr>
        <w:t>level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provincial music </w:t>
      </w:r>
      <w:proofErr w:type="spellStart"/>
      <w:r w:rsidRPr="00DC5C65">
        <w:rPr>
          <w:rFonts w:ascii="Unicode" w:hAnsi="Unicode"/>
          <w:sz w:val="24"/>
          <w:szCs w:val="24"/>
        </w:rPr>
        <w:t>education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system, </w:t>
      </w:r>
      <w:proofErr w:type="spellStart"/>
      <w:r w:rsidRPr="00DC5C65">
        <w:rPr>
          <w:rFonts w:ascii="Unicode" w:hAnsi="Unicode"/>
          <w:sz w:val="24"/>
          <w:szCs w:val="24"/>
        </w:rPr>
        <w:t>rated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on a scale of 1 to 7 (</w:t>
      </w:r>
      <w:proofErr w:type="spellStart"/>
      <w:r w:rsidRPr="00DC5C65">
        <w:rPr>
          <w:rFonts w:ascii="Unicode" w:hAnsi="Unicode"/>
          <w:sz w:val="24"/>
          <w:szCs w:val="24"/>
        </w:rPr>
        <w:t>mean</w:t>
      </w:r>
      <w:proofErr w:type="spellEnd"/>
      <w:r w:rsidRPr="00DC5C65">
        <w:rPr>
          <w:rFonts w:ascii="Unicode" w:hAnsi="Unicode"/>
          <w:sz w:val="24"/>
          <w:szCs w:val="24"/>
        </w:rPr>
        <w:t xml:space="preserve"> 4.79, standard </w:t>
      </w:r>
      <w:proofErr w:type="spellStart"/>
      <w:r w:rsidRPr="00DC5C65">
        <w:rPr>
          <w:rFonts w:ascii="Unicode" w:hAnsi="Unicode"/>
          <w:sz w:val="24"/>
          <w:szCs w:val="24"/>
        </w:rPr>
        <w:t>deviation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1.55, </w:t>
      </w:r>
      <w:proofErr w:type="spellStart"/>
      <w:r w:rsidRPr="00DC5C65">
        <w:rPr>
          <w:rFonts w:ascii="Unicode" w:hAnsi="Unicode"/>
          <w:sz w:val="24"/>
          <w:szCs w:val="24"/>
        </w:rPr>
        <w:t>observations</w:t>
      </w:r>
      <w:proofErr w:type="spellEnd"/>
      <w:r w:rsidRPr="00DC5C65">
        <w:rPr>
          <w:rFonts w:ascii="Unicode" w:hAnsi="Unicode"/>
          <w:sz w:val="24"/>
          <w:szCs w:val="24"/>
        </w:rPr>
        <w:t xml:space="preserve"> = 138). A </w:t>
      </w:r>
      <w:proofErr w:type="spellStart"/>
      <w:r w:rsidRPr="00DC5C65">
        <w:rPr>
          <w:rFonts w:ascii="Unicode" w:hAnsi="Unicode"/>
          <w:sz w:val="24"/>
          <w:szCs w:val="24"/>
        </w:rPr>
        <w:t>significant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correlation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evident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'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persistence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their</w:t>
      </w:r>
      <w:proofErr w:type="spellEnd"/>
      <w:r w:rsidRPr="00DC5C65">
        <w:rPr>
          <w:rFonts w:ascii="Unicode" w:hAnsi="Unicode"/>
          <w:sz w:val="24"/>
          <w:szCs w:val="24"/>
        </w:rPr>
        <w:t xml:space="preserve"> degree of </w:t>
      </w:r>
      <w:proofErr w:type="spellStart"/>
      <w:r w:rsidRPr="00DC5C65">
        <w:rPr>
          <w:rFonts w:ascii="Unicode" w:hAnsi="Unicode"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provincial </w:t>
      </w:r>
      <w:proofErr w:type="spellStart"/>
      <w:r w:rsidRPr="00DC5C65">
        <w:rPr>
          <w:rFonts w:ascii="Unicode" w:hAnsi="Unicode"/>
          <w:sz w:val="24"/>
          <w:szCs w:val="24"/>
        </w:rPr>
        <w:t>guidelines</w:t>
      </w:r>
      <w:proofErr w:type="spellEnd"/>
      <w:r w:rsidRPr="00DC5C65">
        <w:rPr>
          <w:rFonts w:ascii="Unicode" w:hAnsi="Unicode"/>
          <w:sz w:val="24"/>
          <w:szCs w:val="24"/>
        </w:rPr>
        <w:t xml:space="preserve"> (</w:t>
      </w:r>
      <w:proofErr w:type="spellStart"/>
      <w:r w:rsidRPr="00DC5C65">
        <w:rPr>
          <w:rFonts w:ascii="Unicode" w:hAnsi="Unicode"/>
          <w:sz w:val="24"/>
          <w:szCs w:val="24"/>
        </w:rPr>
        <w:t>correlation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0.377). </w:t>
      </w:r>
      <w:proofErr w:type="spellStart"/>
      <w:r w:rsidRPr="00DC5C65">
        <w:rPr>
          <w:rFonts w:ascii="Unicode" w:hAnsi="Unicode"/>
          <w:sz w:val="24"/>
          <w:szCs w:val="24"/>
        </w:rPr>
        <w:t>Levels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alignment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shared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standards are </w:t>
      </w:r>
      <w:proofErr w:type="spellStart"/>
      <w:r w:rsidRPr="00DC5C65">
        <w:rPr>
          <w:rFonts w:ascii="Unicode" w:hAnsi="Unicode"/>
          <w:sz w:val="24"/>
          <w:szCs w:val="24"/>
        </w:rPr>
        <w:t>lowest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those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experienced</w:t>
      </w:r>
      <w:proofErr w:type="spellEnd"/>
      <w:r w:rsidRPr="00DC5C65">
        <w:rPr>
          <w:rFonts w:ascii="Unicode" w:hAnsi="Unicode"/>
          <w:sz w:val="24"/>
          <w:szCs w:val="24"/>
        </w:rPr>
        <w:t xml:space="preserve"> a </w:t>
      </w:r>
      <w:proofErr w:type="spellStart"/>
      <w:r w:rsidRPr="00DC5C65">
        <w:rPr>
          <w:rFonts w:ascii="Unicode" w:hAnsi="Unicode"/>
          <w:sz w:val="24"/>
          <w:szCs w:val="24"/>
        </w:rPr>
        <w:t>decrease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lastRenderedPageBreak/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increase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those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maintained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same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</w:t>
      </w:r>
      <w:proofErr w:type="spellStart"/>
      <w:r w:rsidRPr="00DC5C65">
        <w:rPr>
          <w:rFonts w:ascii="Unicode" w:hAnsi="Unicode"/>
          <w:sz w:val="24"/>
          <w:szCs w:val="24"/>
        </w:rPr>
        <w:t>reach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highest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level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those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renewed</w:t>
      </w:r>
      <w:proofErr w:type="spellEnd"/>
      <w:r w:rsidRPr="00DC5C65">
        <w:rPr>
          <w:rFonts w:ascii="Unicode" w:hAnsi="Unicode"/>
          <w:sz w:val="24"/>
          <w:szCs w:val="24"/>
        </w:rPr>
        <w:t xml:space="preserve"> or </w:t>
      </w:r>
      <w:proofErr w:type="spellStart"/>
      <w:r w:rsidRPr="00DC5C65">
        <w:rPr>
          <w:rFonts w:ascii="Unicode" w:hAnsi="Unicode"/>
          <w:sz w:val="24"/>
          <w:szCs w:val="24"/>
        </w:rPr>
        <w:t>increased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their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over time.</w:t>
      </w:r>
    </w:p>
    <w:p w14:paraId="6B342E48" w14:textId="77777777" w:rsidR="00D52E57" w:rsidRPr="00DC5C65" w:rsidRDefault="00D52E57" w:rsidP="00DC5C65">
      <w:pPr>
        <w:jc w:val="both"/>
        <w:rPr>
          <w:rFonts w:ascii="Unicode" w:hAnsi="Unicode"/>
          <w:sz w:val="24"/>
          <w:szCs w:val="24"/>
        </w:rPr>
      </w:pPr>
    </w:p>
    <w:p w14:paraId="7A1044AC" w14:textId="40D452F7" w:rsidR="00D52E57" w:rsidRPr="00DC5C65" w:rsidRDefault="00D52E57" w:rsidP="00DC5C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Unicode" w:hAnsi="Unicode"/>
          <w:i/>
          <w:sz w:val="24"/>
          <w:szCs w:val="24"/>
        </w:rPr>
      </w:pPr>
      <w:proofErr w:type="spellStart"/>
      <w:r w:rsidRPr="00DC5C65">
        <w:rPr>
          <w:rFonts w:ascii="Unicode" w:hAnsi="Unicode"/>
          <w:i/>
          <w:sz w:val="24"/>
          <w:szCs w:val="24"/>
        </w:rPr>
        <w:t>Table</w:t>
      </w:r>
      <w:proofErr w:type="spellEnd"/>
      <w:r w:rsidRPr="00DC5C65">
        <w:rPr>
          <w:rFonts w:ascii="Unicode" w:hAnsi="Unicode"/>
          <w:i/>
          <w:sz w:val="24"/>
          <w:szCs w:val="24"/>
        </w:rPr>
        <w:t xml:space="preserve"> 1</w:t>
      </w:r>
      <w:r w:rsidRPr="00DC5C65">
        <w:rPr>
          <w:rFonts w:ascii="Unicode" w:hAnsi="Unicode"/>
          <w:i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i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i/>
          <w:sz w:val="24"/>
          <w:szCs w:val="24"/>
        </w:rPr>
        <w:t xml:space="preserve"> with the system rules and </w:t>
      </w:r>
      <w:proofErr w:type="spellStart"/>
      <w:r w:rsidRPr="00DC5C65">
        <w:rPr>
          <w:rFonts w:ascii="Unicode" w:hAnsi="Unicode"/>
          <w:i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i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i/>
          <w:sz w:val="24"/>
          <w:szCs w:val="24"/>
        </w:rPr>
        <w:t>renewal</w:t>
      </w:r>
      <w:proofErr w:type="spellEnd"/>
      <w:r w:rsidRPr="00DC5C65">
        <w:rPr>
          <w:rFonts w:ascii="Unicode" w:hAnsi="Unicode"/>
          <w:i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i/>
          <w:sz w:val="24"/>
          <w:szCs w:val="24"/>
        </w:rPr>
        <w:t>teachers</w:t>
      </w:r>
      <w:proofErr w:type="spellEnd"/>
    </w:p>
    <w:p w14:paraId="5D276F4C" w14:textId="77777777" w:rsidR="00D52E57" w:rsidRPr="00DC5C65" w:rsidRDefault="00D52E57" w:rsidP="00D52E5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Unicode" w:hAnsi="Unicode"/>
          <w:i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364"/>
        <w:gridCol w:w="797"/>
        <w:gridCol w:w="816"/>
        <w:gridCol w:w="1357"/>
        <w:gridCol w:w="1837"/>
      </w:tblGrid>
      <w:tr w:rsidR="00D52E57" w:rsidRPr="00DC5C65" w14:paraId="51B8B880" w14:textId="77777777" w:rsidTr="005A6385">
        <w:trPr>
          <w:trHeight w:val="288"/>
          <w:jc w:val="center"/>
        </w:trPr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E59757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EBD18E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b/>
                <w:bCs/>
                <w:sz w:val="24"/>
                <w:szCs w:val="24"/>
              </w:rPr>
            </w:pPr>
          </w:p>
        </w:tc>
        <w:tc>
          <w:tcPr>
            <w:tcW w:w="474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D2EC1B" w14:textId="64277955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b/>
                <w:bCs/>
                <w:sz w:val="24"/>
                <w:szCs w:val="24"/>
              </w:rPr>
            </w:pPr>
            <w:proofErr w:type="spellStart"/>
            <w:r w:rsidRPr="00DC5C65">
              <w:rPr>
                <w:rFonts w:ascii="Unicode" w:hAnsi="Unicode"/>
                <w:i/>
                <w:sz w:val="24"/>
                <w:szCs w:val="24"/>
              </w:rPr>
              <w:t>Satisfaction</w:t>
            </w:r>
            <w:proofErr w:type="spellEnd"/>
            <w:r w:rsidRPr="00DC5C65">
              <w:rPr>
                <w:rFonts w:ascii="Unicode" w:hAnsi="Unicode"/>
                <w:i/>
                <w:sz w:val="24"/>
                <w:szCs w:val="24"/>
              </w:rPr>
              <w:t xml:space="preserve"> with the system rules</w:t>
            </w:r>
          </w:p>
        </w:tc>
      </w:tr>
      <w:tr w:rsidR="00D52E57" w:rsidRPr="00DC5C65" w14:paraId="1128A092" w14:textId="77777777" w:rsidTr="005A6385">
        <w:trPr>
          <w:trHeight w:val="288"/>
          <w:jc w:val="center"/>
        </w:trPr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8AE788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E12EDE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CFA1B0" w14:textId="112A652E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Mean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7AA8C4" w14:textId="173E8F3A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 xml:space="preserve">St. </w:t>
            </w:r>
            <w:proofErr w:type="spellStart"/>
            <w:r w:rsidRPr="00DC5C65">
              <w:rPr>
                <w:rFonts w:ascii="Unicode" w:hAnsi="Unicode"/>
                <w:sz w:val="24"/>
                <w:szCs w:val="24"/>
              </w:rPr>
              <w:t>error</w:t>
            </w:r>
            <w:proofErr w:type="spellEnd"/>
          </w:p>
        </w:tc>
        <w:tc>
          <w:tcPr>
            <w:tcW w:w="319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A93A26" w14:textId="43B36069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proofErr w:type="spellStart"/>
            <w:r w:rsidRPr="00DC5C65">
              <w:rPr>
                <w:rFonts w:ascii="Unicode" w:hAnsi="Unicode"/>
                <w:sz w:val="24"/>
                <w:szCs w:val="24"/>
              </w:rPr>
              <w:t>Conf</w:t>
            </w:r>
            <w:proofErr w:type="spellEnd"/>
            <w:r w:rsidRPr="00DC5C65">
              <w:rPr>
                <w:rFonts w:ascii="Unicode" w:hAnsi="Unicode"/>
                <w:sz w:val="24"/>
                <w:szCs w:val="24"/>
              </w:rPr>
              <w:t xml:space="preserve"> </w:t>
            </w:r>
            <w:proofErr w:type="spellStart"/>
            <w:r w:rsidRPr="00DC5C65">
              <w:rPr>
                <w:rFonts w:ascii="Unicode" w:hAnsi="Unicode"/>
                <w:sz w:val="24"/>
                <w:szCs w:val="24"/>
              </w:rPr>
              <w:t>int</w:t>
            </w:r>
            <w:proofErr w:type="spellEnd"/>
            <w:r w:rsidRPr="00DC5C65">
              <w:rPr>
                <w:rFonts w:ascii="Unicode" w:hAnsi="Unicode"/>
                <w:sz w:val="24"/>
                <w:szCs w:val="24"/>
              </w:rPr>
              <w:t xml:space="preserve"> </w:t>
            </w:r>
            <w:r w:rsidRPr="00DC5C65">
              <w:rPr>
                <w:rFonts w:ascii="Unicode" w:hAnsi="Unicode"/>
                <w:sz w:val="24"/>
                <w:szCs w:val="24"/>
              </w:rPr>
              <w:t xml:space="preserve">95% </w:t>
            </w:r>
          </w:p>
        </w:tc>
      </w:tr>
      <w:tr w:rsidR="00D52E57" w:rsidRPr="00DC5C65" w14:paraId="7D206EE2" w14:textId="77777777" w:rsidTr="005A6385">
        <w:trPr>
          <w:trHeight w:val="288"/>
          <w:jc w:val="center"/>
        </w:trPr>
        <w:tc>
          <w:tcPr>
            <w:tcW w:w="2657" w:type="dxa"/>
            <w:tcBorders>
              <w:top w:val="single" w:sz="4" w:space="0" w:color="auto"/>
            </w:tcBorders>
            <w:noWrap/>
            <w:hideMark/>
          </w:tcPr>
          <w:p w14:paraId="5EA4AF91" w14:textId="4DF5AFA5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b/>
                <w:bCs/>
                <w:sz w:val="24"/>
                <w:szCs w:val="24"/>
              </w:rPr>
            </w:pPr>
            <w:proofErr w:type="spellStart"/>
            <w:r w:rsidRPr="00DC5C65">
              <w:rPr>
                <w:rFonts w:ascii="Unicode" w:hAnsi="Unicode"/>
                <w:b/>
                <w:bCs/>
                <w:sz w:val="24"/>
                <w:szCs w:val="24"/>
              </w:rPr>
              <w:t>Motivational</w:t>
            </w:r>
            <w:proofErr w:type="spellEnd"/>
            <w:r w:rsidRPr="00DC5C65">
              <w:rPr>
                <w:rFonts w:ascii="Unicode" w:hAnsi="Unicod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65">
              <w:rPr>
                <w:rFonts w:ascii="Unicode" w:hAnsi="Unicode"/>
                <w:b/>
                <w:bCs/>
                <w:sz w:val="24"/>
                <w:szCs w:val="24"/>
              </w:rPr>
              <w:t>rene</w:t>
            </w:r>
            <w:r w:rsidR="00DC5C65">
              <w:rPr>
                <w:rFonts w:ascii="Unicode" w:hAnsi="Unicode"/>
                <w:b/>
                <w:bCs/>
                <w:sz w:val="24"/>
                <w:szCs w:val="24"/>
              </w:rPr>
              <w:t>wal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</w:tcBorders>
            <w:noWrap/>
            <w:hideMark/>
          </w:tcPr>
          <w:p w14:paraId="6EF04628" w14:textId="4E6516F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Lower</w:t>
            </w: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hideMark/>
          </w:tcPr>
          <w:p w14:paraId="12C06FBC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3,313</w:t>
            </w:r>
          </w:p>
        </w:tc>
        <w:tc>
          <w:tcPr>
            <w:tcW w:w="816" w:type="dxa"/>
            <w:tcBorders>
              <w:top w:val="single" w:sz="4" w:space="0" w:color="auto"/>
            </w:tcBorders>
            <w:noWrap/>
            <w:hideMark/>
          </w:tcPr>
          <w:p w14:paraId="7B8B34DE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0,416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noWrap/>
            <w:hideMark/>
          </w:tcPr>
          <w:p w14:paraId="267823FB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2,491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noWrap/>
            <w:hideMark/>
          </w:tcPr>
          <w:p w14:paraId="6A092D6C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4,134</w:t>
            </w:r>
          </w:p>
        </w:tc>
      </w:tr>
      <w:tr w:rsidR="00D52E57" w:rsidRPr="00DC5C65" w14:paraId="1FAD5305" w14:textId="77777777" w:rsidTr="005A6385">
        <w:trPr>
          <w:trHeight w:val="288"/>
          <w:jc w:val="center"/>
        </w:trPr>
        <w:tc>
          <w:tcPr>
            <w:tcW w:w="2657" w:type="dxa"/>
            <w:noWrap/>
            <w:hideMark/>
          </w:tcPr>
          <w:p w14:paraId="604ACE75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</w:p>
        </w:tc>
        <w:tc>
          <w:tcPr>
            <w:tcW w:w="1239" w:type="dxa"/>
            <w:noWrap/>
            <w:hideMark/>
          </w:tcPr>
          <w:p w14:paraId="30DF502C" w14:textId="37603955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proofErr w:type="spellStart"/>
            <w:r w:rsidRPr="00DC5C65">
              <w:rPr>
                <w:rFonts w:ascii="Unicode" w:hAnsi="Unicode"/>
                <w:sz w:val="24"/>
                <w:szCs w:val="24"/>
              </w:rPr>
              <w:t>Unchanged</w:t>
            </w:r>
            <w:proofErr w:type="spellEnd"/>
          </w:p>
        </w:tc>
        <w:tc>
          <w:tcPr>
            <w:tcW w:w="736" w:type="dxa"/>
            <w:noWrap/>
            <w:hideMark/>
          </w:tcPr>
          <w:p w14:paraId="02137085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4,648</w:t>
            </w:r>
          </w:p>
        </w:tc>
        <w:tc>
          <w:tcPr>
            <w:tcW w:w="816" w:type="dxa"/>
            <w:noWrap/>
            <w:hideMark/>
          </w:tcPr>
          <w:p w14:paraId="3ED04B33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0,217</w:t>
            </w:r>
          </w:p>
        </w:tc>
        <w:tc>
          <w:tcPr>
            <w:tcW w:w="1357" w:type="dxa"/>
            <w:noWrap/>
            <w:hideMark/>
          </w:tcPr>
          <w:p w14:paraId="57E1B5CD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4,220</w:t>
            </w:r>
          </w:p>
        </w:tc>
        <w:tc>
          <w:tcPr>
            <w:tcW w:w="1837" w:type="dxa"/>
            <w:noWrap/>
            <w:hideMark/>
          </w:tcPr>
          <w:p w14:paraId="090854E4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5,077</w:t>
            </w:r>
          </w:p>
        </w:tc>
      </w:tr>
      <w:tr w:rsidR="00D52E57" w:rsidRPr="00DC5C65" w14:paraId="3747ED88" w14:textId="77777777" w:rsidTr="005A6385">
        <w:trPr>
          <w:trHeight w:val="288"/>
          <w:jc w:val="center"/>
        </w:trPr>
        <w:tc>
          <w:tcPr>
            <w:tcW w:w="2657" w:type="dxa"/>
            <w:tcBorders>
              <w:bottom w:val="single" w:sz="4" w:space="0" w:color="auto"/>
            </w:tcBorders>
            <w:noWrap/>
            <w:hideMark/>
          </w:tcPr>
          <w:p w14:paraId="5756B664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hideMark/>
          </w:tcPr>
          <w:p w14:paraId="349FF06C" w14:textId="649665D1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proofErr w:type="spellStart"/>
            <w:r w:rsidRPr="00DC5C65">
              <w:rPr>
                <w:rFonts w:ascii="Unicode" w:hAnsi="Unicode"/>
                <w:sz w:val="24"/>
                <w:szCs w:val="24"/>
              </w:rPr>
              <w:t>Higher</w:t>
            </w:r>
            <w:proofErr w:type="spellEnd"/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hideMark/>
          </w:tcPr>
          <w:p w14:paraId="76D72DC2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5,250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noWrap/>
            <w:hideMark/>
          </w:tcPr>
          <w:p w14:paraId="3803531A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0,150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noWrap/>
            <w:hideMark/>
          </w:tcPr>
          <w:p w14:paraId="7297EE60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4,953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noWrap/>
            <w:hideMark/>
          </w:tcPr>
          <w:p w14:paraId="49A0C239" w14:textId="77777777" w:rsidR="00D52E57" w:rsidRPr="00DC5C65" w:rsidRDefault="00D52E57" w:rsidP="005A6385">
            <w:pPr>
              <w:spacing w:after="120" w:line="276" w:lineRule="auto"/>
              <w:jc w:val="center"/>
              <w:rPr>
                <w:rFonts w:ascii="Unicode" w:hAnsi="Unicode"/>
                <w:sz w:val="24"/>
                <w:szCs w:val="24"/>
              </w:rPr>
            </w:pPr>
            <w:r w:rsidRPr="00DC5C65">
              <w:rPr>
                <w:rFonts w:ascii="Unicode" w:hAnsi="Unicode"/>
                <w:sz w:val="24"/>
                <w:szCs w:val="24"/>
              </w:rPr>
              <w:t>5,547</w:t>
            </w:r>
          </w:p>
        </w:tc>
      </w:tr>
    </w:tbl>
    <w:p w14:paraId="5D7058AA" w14:textId="77777777" w:rsidR="00D52E57" w:rsidRPr="00DC5C65" w:rsidRDefault="00D52E57" w:rsidP="00D52E57">
      <w:pPr>
        <w:spacing w:after="120" w:line="276" w:lineRule="auto"/>
        <w:rPr>
          <w:rFonts w:ascii="Unicode" w:hAnsi="Unicode"/>
          <w:i/>
          <w:sz w:val="24"/>
          <w:szCs w:val="24"/>
        </w:rPr>
      </w:pPr>
      <w:r w:rsidRPr="00DC5C65">
        <w:rPr>
          <w:rFonts w:ascii="Unicode" w:hAnsi="Unicode"/>
          <w:i/>
          <w:sz w:val="24"/>
          <w:szCs w:val="24"/>
        </w:rPr>
        <w:t>Osservazioni =  138, media della variabile soddisfazione per il sistema di educazione di base provinciale (scala 1-7). Fonte - ns elaborazione da survey insegnanti 2021.</w:t>
      </w:r>
    </w:p>
    <w:p w14:paraId="7B36A2CB" w14:textId="77777777" w:rsidR="00D52E57" w:rsidRPr="00DC5C65" w:rsidRDefault="00D52E57" w:rsidP="004F26C4">
      <w:pPr>
        <w:rPr>
          <w:rFonts w:ascii="Unicode" w:hAnsi="Unicode"/>
          <w:sz w:val="24"/>
          <w:szCs w:val="24"/>
        </w:rPr>
      </w:pPr>
    </w:p>
    <w:p w14:paraId="5AD6189F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proofErr w:type="spellStart"/>
      <w:r w:rsidRPr="00DC5C65">
        <w:rPr>
          <w:rFonts w:ascii="Unicode" w:hAnsi="Unicode"/>
          <w:sz w:val="24"/>
          <w:szCs w:val="24"/>
        </w:rPr>
        <w:t>Even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adding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other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variables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study of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persistence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, provincial standards </w:t>
      </w:r>
      <w:proofErr w:type="spellStart"/>
      <w:r w:rsidRPr="00DC5C65">
        <w:rPr>
          <w:rFonts w:ascii="Unicode" w:hAnsi="Unicode"/>
          <w:sz w:val="24"/>
          <w:szCs w:val="24"/>
        </w:rPr>
        <w:t>maintain</w:t>
      </w:r>
      <w:proofErr w:type="spellEnd"/>
      <w:r w:rsidRPr="00DC5C65">
        <w:rPr>
          <w:rFonts w:ascii="Unicode" w:hAnsi="Unicode"/>
          <w:sz w:val="24"/>
          <w:szCs w:val="24"/>
        </w:rPr>
        <w:t xml:space="preserve"> a </w:t>
      </w:r>
      <w:proofErr w:type="spellStart"/>
      <w:r w:rsidRPr="00DC5C65">
        <w:rPr>
          <w:rFonts w:ascii="Unicode" w:hAnsi="Unicode"/>
          <w:sz w:val="24"/>
          <w:szCs w:val="24"/>
        </w:rPr>
        <w:t>significant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persistence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along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</w:t>
      </w:r>
      <w:proofErr w:type="spellStart"/>
      <w:r w:rsidRPr="00DC5C65">
        <w:rPr>
          <w:rFonts w:ascii="Unicode" w:hAnsi="Unicode"/>
          <w:sz w:val="24"/>
          <w:szCs w:val="24"/>
        </w:rPr>
        <w:t>number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monthly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hours and age (Model 1).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where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there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conformity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provincial </w:t>
      </w:r>
      <w:proofErr w:type="spellStart"/>
      <w:r w:rsidRPr="00DC5C65">
        <w:rPr>
          <w:rFonts w:ascii="Unicode" w:hAnsi="Unicode"/>
          <w:sz w:val="24"/>
          <w:szCs w:val="24"/>
        </w:rPr>
        <w:t>guidelines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consistent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a </w:t>
      </w:r>
      <w:proofErr w:type="spellStart"/>
      <w:r w:rsidRPr="00DC5C65">
        <w:rPr>
          <w:rFonts w:ascii="Unicode" w:hAnsi="Unicode"/>
          <w:sz w:val="24"/>
          <w:szCs w:val="24"/>
        </w:rPr>
        <w:t>higher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number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hours </w:t>
      </w:r>
      <w:proofErr w:type="spellStart"/>
      <w:r w:rsidRPr="00DC5C65">
        <w:rPr>
          <w:rFonts w:ascii="Unicode" w:hAnsi="Unicode"/>
          <w:sz w:val="24"/>
          <w:szCs w:val="24"/>
        </w:rPr>
        <w:t>taught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while</w:t>
      </w:r>
      <w:proofErr w:type="spellEnd"/>
      <w:r w:rsidRPr="00DC5C65">
        <w:rPr>
          <w:rFonts w:ascii="Unicode" w:hAnsi="Unicode"/>
          <w:sz w:val="24"/>
          <w:szCs w:val="24"/>
        </w:rPr>
        <w:t xml:space="preserve"> age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</w:t>
      </w:r>
      <w:proofErr w:type="spellStart"/>
      <w:r w:rsidRPr="00DC5C65">
        <w:rPr>
          <w:rFonts w:ascii="Unicode" w:hAnsi="Unicode"/>
          <w:sz w:val="24"/>
          <w:szCs w:val="24"/>
        </w:rPr>
        <w:t>deterrent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>.</w:t>
      </w:r>
    </w:p>
    <w:p w14:paraId="627B7004" w14:textId="6AEE90B8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proofErr w:type="spellStart"/>
      <w:r w:rsidRPr="00DC5C65">
        <w:rPr>
          <w:rFonts w:ascii="Unicode" w:hAnsi="Unicode"/>
          <w:sz w:val="24"/>
          <w:szCs w:val="24"/>
        </w:rPr>
        <w:t>Subject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contractual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demographic</w:t>
      </w:r>
      <w:proofErr w:type="spellEnd"/>
      <w:r w:rsidRPr="00DC5C65">
        <w:rPr>
          <w:rFonts w:ascii="Unicode" w:hAnsi="Unicode"/>
          <w:sz w:val="24"/>
          <w:szCs w:val="24"/>
        </w:rPr>
        <w:t xml:space="preserve"> control </w:t>
      </w:r>
      <w:proofErr w:type="spellStart"/>
      <w:r w:rsidRPr="00DC5C65">
        <w:rPr>
          <w:rFonts w:ascii="Unicode" w:hAnsi="Unicode"/>
          <w:sz w:val="24"/>
          <w:szCs w:val="24"/>
        </w:rPr>
        <w:t>variables</w:t>
      </w:r>
      <w:proofErr w:type="spellEnd"/>
      <w:r w:rsidRPr="00DC5C65">
        <w:rPr>
          <w:rFonts w:ascii="Unicode" w:hAnsi="Unicode"/>
          <w:sz w:val="24"/>
          <w:szCs w:val="24"/>
        </w:rPr>
        <w:t xml:space="preserve">, in </w:t>
      </w:r>
      <w:r w:rsidRPr="00DC5C65">
        <w:rPr>
          <w:rFonts w:ascii="Unicode" w:hAnsi="Unicode"/>
          <w:sz w:val="24"/>
          <w:szCs w:val="24"/>
        </w:rPr>
        <w:t xml:space="preserve">the </w:t>
      </w:r>
      <w:r w:rsidRPr="00DC5C65">
        <w:rPr>
          <w:rFonts w:ascii="Unicode" w:hAnsi="Unicode"/>
          <w:sz w:val="24"/>
          <w:szCs w:val="24"/>
        </w:rPr>
        <w:t xml:space="preserve">second model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studied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balance </w:t>
      </w:r>
      <w:proofErr w:type="spellStart"/>
      <w:r w:rsidRPr="00DC5C65">
        <w:rPr>
          <w:rFonts w:ascii="Unicode" w:hAnsi="Unicode"/>
          <w:sz w:val="24"/>
          <w:szCs w:val="24"/>
        </w:rPr>
        <w:t>achieved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artistic</w:t>
      </w:r>
      <w:proofErr w:type="spellEnd"/>
      <w:r w:rsidRPr="00DC5C65">
        <w:rPr>
          <w:rFonts w:ascii="Unicode" w:hAnsi="Unicode"/>
          <w:sz w:val="24"/>
          <w:szCs w:val="24"/>
        </w:rPr>
        <w:t xml:space="preserve"> activity. </w:t>
      </w:r>
      <w:proofErr w:type="spellStart"/>
      <w:r w:rsidRPr="00DC5C65">
        <w:rPr>
          <w:rFonts w:ascii="Unicode" w:hAnsi="Unicode"/>
          <w:sz w:val="24"/>
          <w:szCs w:val="24"/>
        </w:rPr>
        <w:t>Most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are </w:t>
      </w:r>
      <w:proofErr w:type="spellStart"/>
      <w:r w:rsidRPr="00DC5C65">
        <w:rPr>
          <w:rFonts w:ascii="Unicode" w:hAnsi="Unicode"/>
          <w:sz w:val="24"/>
          <w:szCs w:val="24"/>
        </w:rPr>
        <w:t>keen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maintain</w:t>
      </w:r>
      <w:proofErr w:type="spellEnd"/>
      <w:r w:rsidRPr="00DC5C65">
        <w:rPr>
          <w:rFonts w:ascii="Unicode" w:hAnsi="Unicode"/>
          <w:sz w:val="24"/>
          <w:szCs w:val="24"/>
        </w:rPr>
        <w:t xml:space="preserve"> a double career </w:t>
      </w:r>
      <w:proofErr w:type="spellStart"/>
      <w:r w:rsidRPr="00DC5C65">
        <w:rPr>
          <w:rFonts w:ascii="Unicode" w:hAnsi="Unicode"/>
          <w:sz w:val="24"/>
          <w:szCs w:val="24"/>
        </w:rPr>
        <w:t>both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performers, </w:t>
      </w:r>
      <w:proofErr w:type="spellStart"/>
      <w:r w:rsidRPr="00DC5C65">
        <w:rPr>
          <w:rFonts w:ascii="Unicode" w:hAnsi="Unicode"/>
          <w:sz w:val="24"/>
          <w:szCs w:val="24"/>
        </w:rPr>
        <w:t>even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if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school system </w:t>
      </w:r>
      <w:proofErr w:type="spellStart"/>
      <w:r w:rsidRPr="00DC5C65">
        <w:rPr>
          <w:rFonts w:ascii="Unicode" w:hAnsi="Unicode"/>
          <w:sz w:val="24"/>
          <w:szCs w:val="24"/>
        </w:rPr>
        <w:t>focuses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most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foremost</w:t>
      </w:r>
      <w:proofErr w:type="spellEnd"/>
      <w:r w:rsidRPr="00DC5C65">
        <w:rPr>
          <w:rFonts w:ascii="Unicode" w:hAnsi="Unicode"/>
          <w:sz w:val="24"/>
          <w:szCs w:val="24"/>
        </w:rPr>
        <w:t xml:space="preserve"> on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so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there</w:t>
      </w:r>
      <w:proofErr w:type="spellEnd"/>
      <w:r w:rsidRPr="00DC5C65">
        <w:rPr>
          <w:rFonts w:ascii="Unicode" w:hAnsi="Unicode"/>
          <w:sz w:val="24"/>
          <w:szCs w:val="24"/>
        </w:rPr>
        <w:t xml:space="preserve"> can be a trade off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time </w:t>
      </w:r>
      <w:proofErr w:type="spellStart"/>
      <w:r w:rsidRPr="00DC5C65">
        <w:rPr>
          <w:rFonts w:ascii="Unicode" w:hAnsi="Unicode"/>
          <w:sz w:val="24"/>
          <w:szCs w:val="24"/>
        </w:rPr>
        <w:t>dedicated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independent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artistic</w:t>
      </w:r>
      <w:proofErr w:type="spellEnd"/>
      <w:r w:rsidRPr="00DC5C65">
        <w:rPr>
          <w:rFonts w:ascii="Unicode" w:hAnsi="Unicode"/>
          <w:sz w:val="24"/>
          <w:szCs w:val="24"/>
        </w:rPr>
        <w:t xml:space="preserve"> activity (Sacchetti, Salustri 2023; </w:t>
      </w:r>
      <w:proofErr w:type="spellStart"/>
      <w:r w:rsidRPr="00DC5C65">
        <w:rPr>
          <w:rFonts w:ascii="Unicode" w:hAnsi="Unicode"/>
          <w:sz w:val="24"/>
          <w:szCs w:val="24"/>
        </w:rPr>
        <w:t>Throsby</w:t>
      </w:r>
      <w:proofErr w:type="spellEnd"/>
      <w:r w:rsidRPr="00DC5C65">
        <w:rPr>
          <w:rFonts w:ascii="Unicode" w:hAnsi="Unicode"/>
          <w:sz w:val="24"/>
          <w:szCs w:val="24"/>
        </w:rPr>
        <w:t xml:space="preserve"> 1994). Given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correlation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monthly</w:t>
      </w:r>
      <w:proofErr w:type="spellEnd"/>
      <w:r w:rsidRPr="00DC5C65">
        <w:rPr>
          <w:rFonts w:ascii="Unicode" w:hAnsi="Unicode"/>
          <w:sz w:val="24"/>
          <w:szCs w:val="24"/>
        </w:rPr>
        <w:t xml:space="preserve"> hours </w:t>
      </w:r>
      <w:proofErr w:type="spellStart"/>
      <w:r w:rsidRPr="00DC5C65">
        <w:rPr>
          <w:rFonts w:ascii="Unicode" w:hAnsi="Unicode"/>
          <w:sz w:val="24"/>
          <w:szCs w:val="24"/>
        </w:rPr>
        <w:t>worked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</w:t>
      </w:r>
      <w:proofErr w:type="spellStart"/>
      <w:r w:rsidRPr="00DC5C65">
        <w:rPr>
          <w:rFonts w:ascii="Unicode" w:hAnsi="Unicode"/>
          <w:sz w:val="24"/>
          <w:szCs w:val="24"/>
        </w:rPr>
        <w:t>allocation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activities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performance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negative,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want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test </w:t>
      </w:r>
      <w:proofErr w:type="spellStart"/>
      <w:r w:rsidRPr="00DC5C65">
        <w:rPr>
          <w:rFonts w:ascii="Unicode" w:hAnsi="Unicode"/>
          <w:sz w:val="24"/>
          <w:szCs w:val="24"/>
        </w:rPr>
        <w:t>whether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given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potential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conflict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performing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activities, </w:t>
      </w:r>
      <w:proofErr w:type="spellStart"/>
      <w:r w:rsidRPr="00DC5C65">
        <w:rPr>
          <w:rFonts w:ascii="Unicode" w:hAnsi="Unicode"/>
          <w:sz w:val="24"/>
          <w:szCs w:val="24"/>
        </w:rPr>
        <w:t>believing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one </w:t>
      </w:r>
      <w:proofErr w:type="spellStart"/>
      <w:r w:rsidRPr="00DC5C65">
        <w:rPr>
          <w:rFonts w:ascii="Unicode" w:hAnsi="Unicode"/>
          <w:sz w:val="24"/>
          <w:szCs w:val="24"/>
        </w:rPr>
        <w:t>has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achieved</w:t>
      </w:r>
      <w:proofErr w:type="spellEnd"/>
      <w:r w:rsidRPr="00DC5C65">
        <w:rPr>
          <w:rFonts w:ascii="Unicode" w:hAnsi="Unicode"/>
          <w:sz w:val="24"/>
          <w:szCs w:val="24"/>
        </w:rPr>
        <w:t xml:space="preserve"> a good balance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two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spheres</w:t>
      </w:r>
      <w:proofErr w:type="spellEnd"/>
      <w:r w:rsidRPr="00DC5C65">
        <w:rPr>
          <w:rFonts w:ascii="Unicode" w:hAnsi="Unicode"/>
          <w:sz w:val="24"/>
          <w:szCs w:val="24"/>
        </w:rPr>
        <w:t xml:space="preserve"> helps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renew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itself</w:t>
      </w:r>
      <w:proofErr w:type="spellEnd"/>
      <w:r w:rsidRPr="00DC5C65">
        <w:rPr>
          <w:rFonts w:ascii="Unicode" w:hAnsi="Unicode"/>
          <w:sz w:val="24"/>
          <w:szCs w:val="24"/>
        </w:rPr>
        <w:t xml:space="preserve"> (Model 2).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hypothesis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confirmed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first model, </w:t>
      </w:r>
      <w:proofErr w:type="spellStart"/>
      <w:r w:rsidRPr="00DC5C65">
        <w:rPr>
          <w:rFonts w:ascii="Unicode" w:hAnsi="Unicode"/>
          <w:sz w:val="24"/>
          <w:szCs w:val="24"/>
        </w:rPr>
        <w:t>moreover</w:t>
      </w:r>
      <w:proofErr w:type="spellEnd"/>
      <w:r w:rsidRPr="00DC5C65">
        <w:rPr>
          <w:rFonts w:ascii="Unicode" w:hAnsi="Unicode"/>
          <w:sz w:val="24"/>
          <w:szCs w:val="24"/>
        </w:rPr>
        <w:t xml:space="preserve">, commitment </w:t>
      </w:r>
      <w:proofErr w:type="spellStart"/>
      <w:r w:rsidRPr="00DC5C65">
        <w:rPr>
          <w:rFonts w:ascii="Unicode" w:hAnsi="Unicode"/>
          <w:sz w:val="24"/>
          <w:szCs w:val="24"/>
        </w:rPr>
        <w:t>expressed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terms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monthly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hours </w:t>
      </w:r>
      <w:proofErr w:type="spellStart"/>
      <w:r w:rsidRPr="00DC5C65">
        <w:rPr>
          <w:rFonts w:ascii="Unicode" w:hAnsi="Unicode"/>
          <w:sz w:val="24"/>
          <w:szCs w:val="24"/>
        </w:rPr>
        <w:t>increases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while</w:t>
      </w:r>
      <w:proofErr w:type="spellEnd"/>
      <w:r w:rsidRPr="00DC5C65">
        <w:rPr>
          <w:rFonts w:ascii="Unicode" w:hAnsi="Unicode"/>
          <w:sz w:val="24"/>
          <w:szCs w:val="24"/>
        </w:rPr>
        <w:t xml:space="preserve"> age of age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associated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lower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persistence</w:t>
      </w:r>
      <w:proofErr w:type="spellEnd"/>
      <w:r w:rsidRPr="00DC5C65">
        <w:rPr>
          <w:rFonts w:ascii="Unicode" w:hAnsi="Unicode"/>
          <w:sz w:val="24"/>
          <w:szCs w:val="24"/>
        </w:rPr>
        <w:t>.</w:t>
      </w:r>
    </w:p>
    <w:p w14:paraId="348524A4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A </w:t>
      </w:r>
      <w:proofErr w:type="spellStart"/>
      <w:r w:rsidRPr="00DC5C65">
        <w:rPr>
          <w:rFonts w:ascii="Unicode" w:hAnsi="Unicode"/>
          <w:sz w:val="24"/>
          <w:szCs w:val="24"/>
        </w:rPr>
        <w:t>third</w:t>
      </w:r>
      <w:proofErr w:type="spellEnd"/>
      <w:r w:rsidRPr="00DC5C65">
        <w:rPr>
          <w:rFonts w:ascii="Unicode" w:hAnsi="Unicode"/>
          <w:sz w:val="24"/>
          <w:szCs w:val="24"/>
        </w:rPr>
        <w:t xml:space="preserve"> model </w:t>
      </w:r>
      <w:proofErr w:type="spellStart"/>
      <w:r w:rsidRPr="00DC5C65">
        <w:rPr>
          <w:rFonts w:ascii="Unicode" w:hAnsi="Unicode"/>
          <w:sz w:val="24"/>
          <w:szCs w:val="24"/>
        </w:rPr>
        <w:t>explains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through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involvement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school </w:t>
      </w:r>
      <w:proofErr w:type="spellStart"/>
      <w:r w:rsidRPr="00DC5C65">
        <w:rPr>
          <w:rFonts w:ascii="Unicode" w:hAnsi="Unicode"/>
          <w:sz w:val="24"/>
          <w:szCs w:val="24"/>
        </w:rPr>
        <w:t>decisions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Hypothetically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involvement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allows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directly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contribute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</w:t>
      </w:r>
      <w:proofErr w:type="spellStart"/>
      <w:r w:rsidRPr="00DC5C65">
        <w:rPr>
          <w:rFonts w:ascii="Unicode" w:hAnsi="Unicode"/>
          <w:sz w:val="24"/>
          <w:szCs w:val="24"/>
        </w:rPr>
        <w:t>definition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activities, </w:t>
      </w:r>
      <w:proofErr w:type="spellStart"/>
      <w:r w:rsidRPr="00DC5C65">
        <w:rPr>
          <w:rFonts w:ascii="Unicode" w:hAnsi="Unicode"/>
          <w:sz w:val="24"/>
          <w:szCs w:val="24"/>
        </w:rPr>
        <w:t>organization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</w:t>
      </w:r>
      <w:proofErr w:type="spellStart"/>
      <w:r w:rsidRPr="00DC5C65">
        <w:rPr>
          <w:rFonts w:ascii="Unicode" w:hAnsi="Unicode"/>
          <w:sz w:val="24"/>
          <w:szCs w:val="24"/>
        </w:rPr>
        <w:t>choices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the school in general. The idea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an inclusive </w:t>
      </w:r>
      <w:proofErr w:type="spellStart"/>
      <w:r w:rsidRPr="00DC5C65">
        <w:rPr>
          <w:rFonts w:ascii="Unicode" w:hAnsi="Unicode"/>
          <w:sz w:val="24"/>
          <w:szCs w:val="24"/>
        </w:rPr>
        <w:t>environment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people can </w:t>
      </w:r>
      <w:proofErr w:type="spellStart"/>
      <w:r w:rsidRPr="00DC5C65">
        <w:rPr>
          <w:rFonts w:ascii="Unicode" w:hAnsi="Unicode"/>
          <w:sz w:val="24"/>
          <w:szCs w:val="24"/>
        </w:rPr>
        <w:t>communicate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form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renew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shared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visions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about</w:t>
      </w:r>
      <w:proofErr w:type="spellEnd"/>
      <w:r w:rsidRPr="00DC5C65">
        <w:rPr>
          <w:rFonts w:ascii="Unicode" w:hAnsi="Unicode"/>
          <w:sz w:val="24"/>
          <w:szCs w:val="24"/>
        </w:rPr>
        <w:t xml:space="preserve"> a common educational project </w:t>
      </w:r>
      <w:proofErr w:type="spellStart"/>
      <w:r w:rsidRPr="00DC5C65">
        <w:rPr>
          <w:rFonts w:ascii="Unicode" w:hAnsi="Unicode"/>
          <w:sz w:val="24"/>
          <w:szCs w:val="24"/>
        </w:rPr>
        <w:t>facilitates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emergence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needs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an </w:t>
      </w:r>
      <w:proofErr w:type="spellStart"/>
      <w:r w:rsidRPr="00DC5C65">
        <w:rPr>
          <w:rFonts w:ascii="Unicode" w:hAnsi="Unicode"/>
          <w:sz w:val="24"/>
          <w:szCs w:val="24"/>
        </w:rPr>
        <w:t>informed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justified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manner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</w:t>
      </w:r>
      <w:proofErr w:type="spellStart"/>
      <w:r w:rsidRPr="00DC5C65">
        <w:rPr>
          <w:rFonts w:ascii="Unicode" w:hAnsi="Unicode"/>
          <w:sz w:val="24"/>
          <w:szCs w:val="24"/>
        </w:rPr>
        <w:t>interest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all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hypothesis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largely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confirmed</w:t>
      </w:r>
      <w:proofErr w:type="spellEnd"/>
      <w:r w:rsidRPr="00DC5C65">
        <w:rPr>
          <w:rFonts w:ascii="Unicode" w:hAnsi="Unicode"/>
          <w:sz w:val="24"/>
          <w:szCs w:val="24"/>
        </w:rPr>
        <w:t xml:space="preserve"> (Model 3). </w:t>
      </w:r>
      <w:proofErr w:type="spellStart"/>
      <w:r w:rsidRPr="00DC5C65">
        <w:rPr>
          <w:rFonts w:ascii="Unicode" w:hAnsi="Unicode"/>
          <w:sz w:val="24"/>
          <w:szCs w:val="24"/>
        </w:rPr>
        <w:t>Again</w:t>
      </w:r>
      <w:proofErr w:type="spellEnd"/>
      <w:r w:rsidRPr="00DC5C65">
        <w:rPr>
          <w:rFonts w:ascii="Unicode" w:hAnsi="Unicode"/>
          <w:sz w:val="24"/>
          <w:szCs w:val="24"/>
        </w:rPr>
        <w:t xml:space="preserve">, the age of the 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does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not</w:t>
      </w:r>
      <w:proofErr w:type="spellEnd"/>
      <w:r w:rsidRPr="00DC5C65">
        <w:rPr>
          <w:rFonts w:ascii="Unicode" w:hAnsi="Unicode"/>
          <w:sz w:val="24"/>
          <w:szCs w:val="24"/>
        </w:rPr>
        <w:t xml:space="preserve"> help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>.</w:t>
      </w:r>
    </w:p>
    <w:p w14:paraId="72DB8396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The </w:t>
      </w:r>
      <w:proofErr w:type="spellStart"/>
      <w:r w:rsidRPr="00DC5C65">
        <w:rPr>
          <w:rFonts w:ascii="Unicode" w:hAnsi="Unicode"/>
          <w:sz w:val="24"/>
          <w:szCs w:val="24"/>
        </w:rPr>
        <w:t>fourth</w:t>
      </w:r>
      <w:proofErr w:type="spellEnd"/>
      <w:r w:rsidRPr="00DC5C65">
        <w:rPr>
          <w:rFonts w:ascii="Unicode" w:hAnsi="Unicode"/>
          <w:sz w:val="24"/>
          <w:szCs w:val="24"/>
        </w:rPr>
        <w:t xml:space="preserve"> model </w:t>
      </w:r>
      <w:proofErr w:type="spellStart"/>
      <w:r w:rsidRPr="00DC5C65">
        <w:rPr>
          <w:rFonts w:ascii="Unicode" w:hAnsi="Unicode"/>
          <w:sz w:val="24"/>
          <w:szCs w:val="24"/>
        </w:rPr>
        <w:t>uses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three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variables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express the </w:t>
      </w:r>
      <w:proofErr w:type="spellStart"/>
      <w:r w:rsidRPr="00DC5C65">
        <w:rPr>
          <w:rFonts w:ascii="Unicode" w:hAnsi="Unicode"/>
          <w:sz w:val="24"/>
          <w:szCs w:val="24"/>
        </w:rPr>
        <w:t>value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placed</w:t>
      </w:r>
      <w:proofErr w:type="spellEnd"/>
      <w:r w:rsidRPr="00DC5C65">
        <w:rPr>
          <w:rFonts w:ascii="Unicode" w:hAnsi="Unicode"/>
          <w:sz w:val="24"/>
          <w:szCs w:val="24"/>
        </w:rPr>
        <w:t xml:space="preserve"> on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 by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indicated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earlier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 </w:t>
      </w:r>
      <w:proofErr w:type="spellStart"/>
      <w:r w:rsidRPr="00DC5C65">
        <w:rPr>
          <w:rFonts w:ascii="Unicode" w:hAnsi="Unicode"/>
          <w:sz w:val="24"/>
          <w:szCs w:val="24"/>
        </w:rPr>
        <w:lastRenderedPageBreak/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viewed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primarily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contractual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terms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expect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lower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levels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persistence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Conversely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when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viewed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cooperative </w:t>
      </w:r>
      <w:proofErr w:type="spellStart"/>
      <w:r w:rsidRPr="00DC5C65">
        <w:rPr>
          <w:rFonts w:ascii="Unicode" w:hAnsi="Unicode"/>
          <w:sz w:val="24"/>
          <w:szCs w:val="24"/>
        </w:rPr>
        <w:t>pact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the school </w:t>
      </w:r>
      <w:proofErr w:type="spellStart"/>
      <w:r w:rsidRPr="00DC5C65">
        <w:rPr>
          <w:rFonts w:ascii="Unicode" w:hAnsi="Unicode"/>
          <w:sz w:val="24"/>
          <w:szCs w:val="24"/>
        </w:rPr>
        <w:t>aimed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achieving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 common educational goal or on the </w:t>
      </w:r>
      <w:proofErr w:type="spellStart"/>
      <w:r w:rsidRPr="00DC5C65">
        <w:rPr>
          <w:rFonts w:ascii="Unicode" w:hAnsi="Unicode"/>
          <w:sz w:val="24"/>
          <w:szCs w:val="24"/>
        </w:rPr>
        <w:t>teacher's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growth</w:t>
      </w:r>
      <w:proofErr w:type="spellEnd"/>
      <w:r w:rsidRPr="00DC5C65">
        <w:rPr>
          <w:rFonts w:ascii="Unicode" w:hAnsi="Unicode"/>
          <w:sz w:val="24"/>
          <w:szCs w:val="24"/>
        </w:rPr>
        <w:t xml:space="preserve">, a positive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hypothesized</w:t>
      </w:r>
      <w:proofErr w:type="spellEnd"/>
      <w:r w:rsidRPr="00DC5C65">
        <w:rPr>
          <w:rFonts w:ascii="Unicode" w:hAnsi="Unicode"/>
          <w:sz w:val="24"/>
          <w:szCs w:val="24"/>
        </w:rPr>
        <w:t xml:space="preserve">. The </w:t>
      </w:r>
      <w:proofErr w:type="spellStart"/>
      <w:r w:rsidRPr="00DC5C65">
        <w:rPr>
          <w:rFonts w:ascii="Unicode" w:hAnsi="Unicode"/>
          <w:sz w:val="24"/>
          <w:szCs w:val="24"/>
        </w:rPr>
        <w:t>analysis</w:t>
      </w:r>
      <w:proofErr w:type="spellEnd"/>
      <w:r w:rsidRPr="00DC5C65">
        <w:rPr>
          <w:rFonts w:ascii="Unicode" w:hAnsi="Unicode"/>
          <w:sz w:val="24"/>
          <w:szCs w:val="24"/>
        </w:rPr>
        <w:t xml:space="preserve"> supports </w:t>
      </w:r>
      <w:proofErr w:type="spellStart"/>
      <w:r w:rsidRPr="00DC5C65">
        <w:rPr>
          <w:rFonts w:ascii="Unicode" w:hAnsi="Unicode"/>
          <w:sz w:val="24"/>
          <w:szCs w:val="24"/>
        </w:rPr>
        <w:t>these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hypotheses</w:t>
      </w:r>
      <w:proofErr w:type="spellEnd"/>
      <w:r w:rsidRPr="00DC5C65">
        <w:rPr>
          <w:rFonts w:ascii="Unicode" w:hAnsi="Unicode"/>
          <w:sz w:val="24"/>
          <w:szCs w:val="24"/>
        </w:rPr>
        <w:t xml:space="preserve"> (Model 4).</w:t>
      </w:r>
    </w:p>
    <w:p w14:paraId="368827CA" w14:textId="6871F142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proofErr w:type="spellStart"/>
      <w:r w:rsidRPr="00DC5C65">
        <w:rPr>
          <w:rFonts w:ascii="Unicode" w:hAnsi="Unicode"/>
          <w:sz w:val="24"/>
          <w:szCs w:val="24"/>
        </w:rPr>
        <w:t>Finally</w:t>
      </w:r>
      <w:proofErr w:type="spellEnd"/>
      <w:r w:rsidRPr="00DC5C65">
        <w:rPr>
          <w:rFonts w:ascii="Unicode" w:hAnsi="Unicode"/>
          <w:sz w:val="24"/>
          <w:szCs w:val="24"/>
        </w:rPr>
        <w:t xml:space="preserve">, in the last model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consider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predictors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simultaneously</w:t>
      </w:r>
      <w:proofErr w:type="spellEnd"/>
      <w:r w:rsidRPr="00DC5C65">
        <w:rPr>
          <w:rFonts w:ascii="Unicode" w:hAnsi="Unicode"/>
          <w:sz w:val="24"/>
          <w:szCs w:val="24"/>
        </w:rPr>
        <w:t xml:space="preserve"> (Model 5). </w:t>
      </w:r>
      <w:proofErr w:type="spellStart"/>
      <w:r w:rsidRPr="00DC5C65">
        <w:rPr>
          <w:rFonts w:ascii="Unicode" w:hAnsi="Unicode"/>
          <w:sz w:val="24"/>
          <w:szCs w:val="24"/>
        </w:rPr>
        <w:t>While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partial</w:t>
      </w:r>
      <w:proofErr w:type="spellEnd"/>
      <w:r w:rsidRPr="00DC5C65">
        <w:rPr>
          <w:rFonts w:ascii="Unicode" w:hAnsi="Unicode"/>
          <w:sz w:val="24"/>
          <w:szCs w:val="24"/>
        </w:rPr>
        <w:t xml:space="preserve"> models are </w:t>
      </w:r>
      <w:proofErr w:type="spellStart"/>
      <w:r w:rsidRPr="00DC5C65">
        <w:rPr>
          <w:rFonts w:ascii="Unicode" w:hAnsi="Unicode"/>
          <w:sz w:val="24"/>
          <w:szCs w:val="24"/>
        </w:rPr>
        <w:t>useful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isolating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individual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variables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interest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now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overall model, some </w:t>
      </w:r>
      <w:proofErr w:type="spellStart"/>
      <w:r w:rsidRPr="00DC5C65">
        <w:rPr>
          <w:rFonts w:ascii="Unicode" w:hAnsi="Unicode"/>
          <w:sz w:val="24"/>
          <w:szCs w:val="24"/>
        </w:rPr>
        <w:t>relationships</w:t>
      </w:r>
      <w:proofErr w:type="spellEnd"/>
      <w:r w:rsidRPr="00DC5C65">
        <w:rPr>
          <w:rFonts w:ascii="Unicode" w:hAnsi="Unicode"/>
          <w:sz w:val="24"/>
          <w:szCs w:val="24"/>
        </w:rPr>
        <w:t xml:space="preserve"> are </w:t>
      </w:r>
      <w:proofErr w:type="spellStart"/>
      <w:r w:rsidRPr="00DC5C65">
        <w:rPr>
          <w:rFonts w:ascii="Unicode" w:hAnsi="Unicode"/>
          <w:sz w:val="24"/>
          <w:szCs w:val="24"/>
        </w:rPr>
        <w:t>assimilated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</w:t>
      </w:r>
      <w:proofErr w:type="spellStart"/>
      <w:r w:rsidRPr="00DC5C65">
        <w:rPr>
          <w:rFonts w:ascii="Unicode" w:hAnsi="Unicode"/>
          <w:sz w:val="24"/>
          <w:szCs w:val="24"/>
        </w:rPr>
        <w:t>others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Therefore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fewer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significant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elements</w:t>
      </w:r>
      <w:proofErr w:type="spellEnd"/>
      <w:r w:rsidRPr="00DC5C65">
        <w:rPr>
          <w:rFonts w:ascii="Unicode" w:hAnsi="Unicode"/>
          <w:sz w:val="24"/>
          <w:szCs w:val="24"/>
        </w:rPr>
        <w:t xml:space="preserve"> emerge. </w:t>
      </w:r>
    </w:p>
    <w:p w14:paraId="206B5071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Overall,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persistence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making a </w:t>
      </w:r>
      <w:proofErr w:type="spellStart"/>
      <w:r w:rsidRPr="00DC5C65">
        <w:rPr>
          <w:rFonts w:ascii="Unicode" w:hAnsi="Unicode"/>
          <w:sz w:val="24"/>
          <w:szCs w:val="24"/>
        </w:rPr>
        <w:t>contribution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through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</w:t>
      </w:r>
      <w:proofErr w:type="spellStart"/>
      <w:r w:rsidRPr="00DC5C65">
        <w:rPr>
          <w:rFonts w:ascii="Unicode" w:hAnsi="Unicode"/>
          <w:sz w:val="24"/>
          <w:szCs w:val="24"/>
        </w:rPr>
        <w:t>organizational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capacity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the school to involve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but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also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an explicit personal </w:t>
      </w:r>
      <w:proofErr w:type="spellStart"/>
      <w:r w:rsidRPr="00DC5C65">
        <w:rPr>
          <w:rFonts w:ascii="Unicode" w:hAnsi="Unicode"/>
          <w:sz w:val="24"/>
          <w:szCs w:val="24"/>
        </w:rPr>
        <w:t>choice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the </w:t>
      </w:r>
      <w:proofErr w:type="spellStart"/>
      <w:r w:rsidRPr="00DC5C65">
        <w:rPr>
          <w:rFonts w:ascii="Unicode" w:hAnsi="Unicode"/>
          <w:sz w:val="24"/>
          <w:szCs w:val="24"/>
        </w:rPr>
        <w:t>musician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make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or </w:t>
      </w:r>
      <w:proofErr w:type="spellStart"/>
      <w:r w:rsidRPr="00DC5C65">
        <w:rPr>
          <w:rFonts w:ascii="Unicode" w:hAnsi="Unicode"/>
          <w:sz w:val="24"/>
          <w:szCs w:val="24"/>
        </w:rPr>
        <w:t>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main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inferred</w:t>
      </w:r>
      <w:proofErr w:type="spellEnd"/>
      <w:r w:rsidRPr="00DC5C65">
        <w:rPr>
          <w:rFonts w:ascii="Unicode" w:hAnsi="Unicode"/>
          <w:sz w:val="24"/>
          <w:szCs w:val="24"/>
        </w:rPr>
        <w:t xml:space="preserve"> from the </w:t>
      </w:r>
      <w:proofErr w:type="spellStart"/>
      <w:r w:rsidRPr="00DC5C65">
        <w:rPr>
          <w:rFonts w:ascii="Unicode" w:hAnsi="Unicode"/>
          <w:sz w:val="24"/>
          <w:szCs w:val="24"/>
        </w:rPr>
        <w:t>fact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they</w:t>
      </w:r>
      <w:proofErr w:type="spellEnd"/>
      <w:r w:rsidRPr="00DC5C65">
        <w:rPr>
          <w:rFonts w:ascii="Unicode" w:hAnsi="Unicode"/>
          <w:sz w:val="24"/>
          <w:szCs w:val="24"/>
        </w:rPr>
        <w:t xml:space="preserve"> are </w:t>
      </w:r>
      <w:proofErr w:type="spellStart"/>
      <w:r w:rsidRPr="00DC5C65">
        <w:rPr>
          <w:rFonts w:ascii="Unicode" w:hAnsi="Unicode"/>
          <w:sz w:val="24"/>
          <w:szCs w:val="24"/>
        </w:rPr>
        <w:t>oriented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toward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their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own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growth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, a skill </w:t>
      </w:r>
      <w:proofErr w:type="spellStart"/>
      <w:r w:rsidRPr="00DC5C65">
        <w:rPr>
          <w:rFonts w:ascii="Unicode" w:hAnsi="Unicode"/>
          <w:sz w:val="24"/>
          <w:szCs w:val="24"/>
        </w:rPr>
        <w:t>they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wish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develop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within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school </w:t>
      </w:r>
      <w:proofErr w:type="spellStart"/>
      <w:r w:rsidRPr="00DC5C65">
        <w:rPr>
          <w:rFonts w:ascii="Unicode" w:hAnsi="Unicode"/>
          <w:sz w:val="24"/>
          <w:szCs w:val="24"/>
        </w:rPr>
        <w:t>context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from the </w:t>
      </w:r>
      <w:proofErr w:type="spellStart"/>
      <w:r w:rsidRPr="00DC5C65">
        <w:rPr>
          <w:rFonts w:ascii="Unicode" w:hAnsi="Unicode"/>
          <w:sz w:val="24"/>
          <w:szCs w:val="24"/>
        </w:rPr>
        <w:t>number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monthly</w:t>
      </w:r>
      <w:proofErr w:type="spellEnd"/>
      <w:r w:rsidRPr="00DC5C65">
        <w:rPr>
          <w:rFonts w:ascii="Unicode" w:hAnsi="Unicode"/>
          <w:sz w:val="24"/>
          <w:szCs w:val="24"/>
        </w:rPr>
        <w:t xml:space="preserve"> hours </w:t>
      </w:r>
      <w:proofErr w:type="spellStart"/>
      <w:r w:rsidRPr="00DC5C65">
        <w:rPr>
          <w:rFonts w:ascii="Unicode" w:hAnsi="Unicode"/>
          <w:sz w:val="24"/>
          <w:szCs w:val="24"/>
        </w:rPr>
        <w:t>devoted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activities. </w:t>
      </w:r>
      <w:proofErr w:type="spellStart"/>
      <w:r w:rsidRPr="00DC5C65">
        <w:rPr>
          <w:rFonts w:ascii="Unicode" w:hAnsi="Unicode"/>
          <w:sz w:val="24"/>
          <w:szCs w:val="24"/>
        </w:rPr>
        <w:t>These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are in </w:t>
      </w:r>
      <w:proofErr w:type="spellStart"/>
      <w:r w:rsidRPr="00DC5C65">
        <w:rPr>
          <w:rFonts w:ascii="Unicode" w:hAnsi="Unicode"/>
          <w:sz w:val="24"/>
          <w:szCs w:val="24"/>
        </w:rPr>
        <w:t>tune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' </w:t>
      </w:r>
      <w:proofErr w:type="spellStart"/>
      <w:r w:rsidRPr="00DC5C65">
        <w:rPr>
          <w:rFonts w:ascii="Unicode" w:hAnsi="Unicode"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school </w:t>
      </w:r>
      <w:proofErr w:type="spellStart"/>
      <w:r w:rsidRPr="00DC5C65">
        <w:rPr>
          <w:rFonts w:ascii="Unicode" w:hAnsi="Unicode"/>
          <w:sz w:val="24"/>
          <w:szCs w:val="24"/>
        </w:rPr>
        <w:t>organizational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processes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we</w:t>
      </w:r>
      <w:proofErr w:type="spellEnd"/>
      <w:r w:rsidRPr="00DC5C65">
        <w:rPr>
          <w:rFonts w:ascii="Unicode" w:hAnsi="Unicode"/>
          <w:sz w:val="24"/>
          <w:szCs w:val="24"/>
        </w:rPr>
        <w:t xml:space="preserve"> know are </w:t>
      </w:r>
      <w:proofErr w:type="spellStart"/>
      <w:r w:rsidRPr="00DC5C65">
        <w:rPr>
          <w:rFonts w:ascii="Unicode" w:hAnsi="Unicode"/>
          <w:sz w:val="24"/>
          <w:szCs w:val="24"/>
        </w:rPr>
        <w:t>largely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guided</w:t>
      </w:r>
      <w:proofErr w:type="spellEnd"/>
      <w:r w:rsidRPr="00DC5C65">
        <w:rPr>
          <w:rFonts w:ascii="Unicode" w:hAnsi="Unicode"/>
          <w:sz w:val="24"/>
          <w:szCs w:val="24"/>
        </w:rPr>
        <w:t xml:space="preserve"> by superordinate rules. At the </w:t>
      </w:r>
      <w:proofErr w:type="spellStart"/>
      <w:r w:rsidRPr="00DC5C65">
        <w:rPr>
          <w:rFonts w:ascii="Unicode" w:hAnsi="Unicode"/>
          <w:sz w:val="24"/>
          <w:szCs w:val="24"/>
        </w:rPr>
        <w:t>same</w:t>
      </w:r>
      <w:proofErr w:type="spellEnd"/>
      <w:r w:rsidRPr="00DC5C65">
        <w:rPr>
          <w:rFonts w:ascii="Unicode" w:hAnsi="Unicode"/>
          <w:sz w:val="24"/>
          <w:szCs w:val="24"/>
        </w:rPr>
        <w:t xml:space="preserve"> time, </w:t>
      </w:r>
      <w:proofErr w:type="spellStart"/>
      <w:r w:rsidRPr="00DC5C65">
        <w:rPr>
          <w:rFonts w:ascii="Unicode" w:hAnsi="Unicode"/>
          <w:sz w:val="24"/>
          <w:szCs w:val="24"/>
        </w:rPr>
        <w:t>when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represents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second option (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opposed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a career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a performer for </w:t>
      </w:r>
      <w:proofErr w:type="spellStart"/>
      <w:r w:rsidRPr="00DC5C65">
        <w:rPr>
          <w:rFonts w:ascii="Unicode" w:hAnsi="Unicode"/>
          <w:sz w:val="24"/>
          <w:szCs w:val="24"/>
        </w:rPr>
        <w:t>example</w:t>
      </w:r>
      <w:proofErr w:type="spellEnd"/>
      <w:r w:rsidRPr="00DC5C65">
        <w:rPr>
          <w:rFonts w:ascii="Unicode" w:hAnsi="Unicode"/>
          <w:sz w:val="24"/>
          <w:szCs w:val="24"/>
        </w:rPr>
        <w:t xml:space="preserve">), or </w:t>
      </w:r>
      <w:proofErr w:type="spellStart"/>
      <w:r w:rsidRPr="00DC5C65">
        <w:rPr>
          <w:rFonts w:ascii="Unicode" w:hAnsi="Unicode"/>
          <w:sz w:val="24"/>
          <w:szCs w:val="24"/>
        </w:rPr>
        <w:t>when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relationship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school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primarily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an </w:t>
      </w:r>
      <w:proofErr w:type="spellStart"/>
      <w:r w:rsidRPr="00DC5C65">
        <w:rPr>
          <w:rFonts w:ascii="Unicode" w:hAnsi="Unicode"/>
          <w:sz w:val="24"/>
          <w:szCs w:val="24"/>
        </w:rPr>
        <w:t>exchange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salary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teach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tends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decline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also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occurs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grow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older</w:t>
      </w:r>
      <w:proofErr w:type="spellEnd"/>
      <w:r w:rsidRPr="00DC5C65">
        <w:rPr>
          <w:rFonts w:ascii="Unicode" w:hAnsi="Unicode"/>
          <w:sz w:val="24"/>
          <w:szCs w:val="24"/>
        </w:rPr>
        <w:t>.</w:t>
      </w:r>
    </w:p>
    <w:p w14:paraId="02DB84F1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</w:p>
    <w:p w14:paraId="08721C1D" w14:textId="1B7B8AC7" w:rsidR="004F26C4" w:rsidRPr="00DC5C65" w:rsidRDefault="00D52E57" w:rsidP="00DC5C6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Unicode" w:hAnsi="Unicode"/>
          <w:i/>
          <w:sz w:val="24"/>
          <w:szCs w:val="24"/>
        </w:rPr>
      </w:pPr>
      <w:proofErr w:type="spellStart"/>
      <w:r w:rsidRPr="00DC5C65">
        <w:rPr>
          <w:rFonts w:ascii="Unicode" w:hAnsi="Unicode"/>
          <w:i/>
          <w:sz w:val="24"/>
          <w:szCs w:val="24"/>
        </w:rPr>
        <w:t>Table</w:t>
      </w:r>
      <w:proofErr w:type="spellEnd"/>
      <w:r w:rsidRPr="00DC5C65">
        <w:rPr>
          <w:rFonts w:ascii="Unicode" w:hAnsi="Unicode"/>
          <w:i/>
          <w:sz w:val="24"/>
          <w:szCs w:val="24"/>
        </w:rPr>
        <w:t xml:space="preserve"> 1</w:t>
      </w:r>
      <w:r w:rsidR="004F26C4" w:rsidRPr="00DC5C65">
        <w:rPr>
          <w:rFonts w:ascii="Unicode" w:hAnsi="Unicode"/>
          <w:i/>
          <w:sz w:val="24"/>
          <w:szCs w:val="24"/>
        </w:rPr>
        <w:t xml:space="preserve"> </w:t>
      </w:r>
      <w:r w:rsidR="004F26C4" w:rsidRPr="00DC5C65">
        <w:rPr>
          <w:rFonts w:ascii="Unicode" w:hAnsi="Unicode"/>
          <w:i/>
          <w:sz w:val="24"/>
          <w:szCs w:val="24"/>
        </w:rPr>
        <w:t>1</w:t>
      </w:r>
      <w:r w:rsidR="004F26C4" w:rsidRPr="00DC5C65">
        <w:rPr>
          <w:rFonts w:ascii="Unicode" w:hAnsi="Unicode"/>
          <w:i/>
          <w:sz w:val="24"/>
          <w:szCs w:val="24"/>
        </w:rPr>
        <w:t xml:space="preserve">. </w:t>
      </w:r>
      <w:proofErr w:type="spellStart"/>
      <w:r w:rsidR="004F26C4" w:rsidRPr="00DC5C65">
        <w:rPr>
          <w:rFonts w:ascii="Unicode" w:hAnsi="Unicode"/>
          <w:i/>
          <w:sz w:val="24"/>
          <w:szCs w:val="24"/>
        </w:rPr>
        <w:t>Predictors</w:t>
      </w:r>
      <w:proofErr w:type="spellEnd"/>
      <w:r w:rsidR="004F26C4" w:rsidRPr="00DC5C65">
        <w:rPr>
          <w:rFonts w:ascii="Unicode" w:hAnsi="Unicode"/>
          <w:i/>
          <w:sz w:val="24"/>
          <w:szCs w:val="24"/>
        </w:rPr>
        <w:t xml:space="preserve"> of </w:t>
      </w:r>
      <w:proofErr w:type="spellStart"/>
      <w:r w:rsidR="004F26C4" w:rsidRPr="00DC5C65">
        <w:rPr>
          <w:rFonts w:ascii="Unicode" w:hAnsi="Unicode"/>
          <w:i/>
          <w:sz w:val="24"/>
          <w:szCs w:val="24"/>
        </w:rPr>
        <w:t>motivational</w:t>
      </w:r>
      <w:proofErr w:type="spellEnd"/>
      <w:r w:rsidR="004F26C4" w:rsidRPr="00DC5C65">
        <w:rPr>
          <w:rFonts w:ascii="Unicode" w:hAnsi="Unicode"/>
          <w:i/>
          <w:sz w:val="24"/>
          <w:szCs w:val="24"/>
        </w:rPr>
        <w:t xml:space="preserve"> </w:t>
      </w:r>
      <w:proofErr w:type="spellStart"/>
      <w:r w:rsidR="004F26C4" w:rsidRPr="00DC5C65">
        <w:rPr>
          <w:rFonts w:ascii="Unicode" w:hAnsi="Unicode"/>
          <w:i/>
          <w:sz w:val="24"/>
          <w:szCs w:val="24"/>
        </w:rPr>
        <w:t>renewal</w:t>
      </w:r>
      <w:proofErr w:type="spellEnd"/>
      <w:r w:rsidR="004F26C4" w:rsidRPr="00DC5C65">
        <w:rPr>
          <w:rFonts w:ascii="Unicode" w:hAnsi="Unicode"/>
          <w:i/>
          <w:sz w:val="24"/>
          <w:szCs w:val="24"/>
        </w:rPr>
        <w:t xml:space="preserve"> </w:t>
      </w:r>
      <w:r w:rsidR="004F26C4" w:rsidRPr="00DC5C65">
        <w:rPr>
          <w:rFonts w:ascii="Unicode" w:hAnsi="Unicode"/>
          <w:i/>
          <w:sz w:val="24"/>
          <w:szCs w:val="24"/>
        </w:rPr>
        <w:t xml:space="preserve"> (</w:t>
      </w:r>
      <w:proofErr w:type="spellStart"/>
      <w:r w:rsidR="004F26C4" w:rsidRPr="00DC5C65">
        <w:rPr>
          <w:rFonts w:ascii="Unicode" w:hAnsi="Unicode"/>
          <w:i/>
          <w:sz w:val="24"/>
          <w:szCs w:val="24"/>
        </w:rPr>
        <w:t>ordered</w:t>
      </w:r>
      <w:proofErr w:type="spellEnd"/>
      <w:r w:rsidR="004F26C4" w:rsidRPr="00DC5C65">
        <w:rPr>
          <w:rFonts w:ascii="Unicode" w:hAnsi="Unicode"/>
          <w:i/>
          <w:sz w:val="24"/>
          <w:szCs w:val="24"/>
        </w:rPr>
        <w:t xml:space="preserve"> </w:t>
      </w:r>
      <w:proofErr w:type="spellStart"/>
      <w:r w:rsidR="004F26C4" w:rsidRPr="00DC5C65">
        <w:rPr>
          <w:rFonts w:ascii="Unicode" w:hAnsi="Unicode"/>
          <w:i/>
          <w:sz w:val="24"/>
          <w:szCs w:val="24"/>
        </w:rPr>
        <w:t>logistic</w:t>
      </w:r>
      <w:proofErr w:type="spellEnd"/>
      <w:r w:rsidR="004F26C4" w:rsidRPr="00DC5C65">
        <w:rPr>
          <w:rFonts w:ascii="Unicode" w:hAnsi="Unicode"/>
          <w:i/>
          <w:sz w:val="24"/>
          <w:szCs w:val="24"/>
        </w:rPr>
        <w:t xml:space="preserve"> </w:t>
      </w:r>
      <w:proofErr w:type="spellStart"/>
      <w:r w:rsidR="004F26C4" w:rsidRPr="00DC5C65">
        <w:rPr>
          <w:rFonts w:ascii="Unicode" w:hAnsi="Unicode"/>
          <w:i/>
          <w:sz w:val="24"/>
          <w:szCs w:val="24"/>
        </w:rPr>
        <w:t>regression</w:t>
      </w:r>
      <w:proofErr w:type="spellEnd"/>
      <w:r w:rsidR="004F26C4" w:rsidRPr="00DC5C65">
        <w:rPr>
          <w:rFonts w:ascii="Unicode" w:hAnsi="Unicode"/>
          <w:i/>
          <w:sz w:val="24"/>
          <w:szCs w:val="24"/>
        </w:rPr>
        <w:t>)</w:t>
      </w:r>
      <w:bookmarkStart w:id="0" w:name="_heading=h.3eze420" w:colFirst="0" w:colLast="0"/>
      <w:bookmarkEnd w:id="0"/>
    </w:p>
    <w:p w14:paraId="1CAD49EC" w14:textId="77777777" w:rsidR="004F26C4" w:rsidRPr="00DC5C65" w:rsidRDefault="004F26C4" w:rsidP="004F26C4">
      <w:pPr>
        <w:pStyle w:val="Standard1"/>
        <w:spacing w:after="0" w:line="240" w:lineRule="auto"/>
        <w:rPr>
          <w:rFonts w:ascii="Unicode" w:hAnsi="Unicode" w:cs="Times New Roman"/>
          <w:bCs/>
          <w:i/>
          <w:iCs/>
          <w:color w:val="auto"/>
          <w:sz w:val="24"/>
          <w:szCs w:val="24"/>
          <w:lang w:val="en-GB"/>
        </w:rPr>
      </w:pPr>
    </w:p>
    <w:tbl>
      <w:tblPr>
        <w:tblW w:w="9054" w:type="dxa"/>
        <w:tblInd w:w="93" w:type="dxa"/>
        <w:tblBorders>
          <w:top w:val="double" w:sz="6" w:space="0" w:color="00000A"/>
        </w:tblBorders>
        <w:tblLook w:val="04A0" w:firstRow="1" w:lastRow="0" w:firstColumn="1" w:lastColumn="0" w:noHBand="0" w:noVBand="1"/>
      </w:tblPr>
      <w:tblGrid>
        <w:gridCol w:w="2160"/>
        <w:gridCol w:w="185"/>
        <w:gridCol w:w="145"/>
        <w:gridCol w:w="1002"/>
        <w:gridCol w:w="1249"/>
        <w:gridCol w:w="1717"/>
        <w:gridCol w:w="1422"/>
        <w:gridCol w:w="1174"/>
      </w:tblGrid>
      <w:tr w:rsidR="004F26C4" w:rsidRPr="00DC5C65" w14:paraId="1C098C1F" w14:textId="77777777" w:rsidTr="005A6385">
        <w:trPr>
          <w:trHeight w:val="6"/>
        </w:trPr>
        <w:tc>
          <w:tcPr>
            <w:tcW w:w="7755" w:type="dxa"/>
            <w:gridSpan w:val="7"/>
            <w:tcBorders>
              <w:top w:val="double" w:sz="6" w:space="0" w:color="00000A"/>
            </w:tcBorders>
            <w:shd w:val="clear" w:color="auto" w:fill="auto"/>
          </w:tcPr>
          <w:p w14:paraId="3EF99DDA" w14:textId="7E737C31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hAnsi="Unicode" w:cs="Times New Roman"/>
                <w:sz w:val="24"/>
                <w:szCs w:val="24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</w:rPr>
              <w:t>Motivational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</w:rPr>
              <w:t xml:space="preserve"> </w:t>
            </w: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</w:rPr>
              <w:t>renewal</w:t>
            </w:r>
            <w:proofErr w:type="spellEnd"/>
          </w:p>
        </w:tc>
        <w:tc>
          <w:tcPr>
            <w:tcW w:w="1299" w:type="dxa"/>
            <w:tcBorders>
              <w:top w:val="double" w:sz="6" w:space="0" w:color="00000A"/>
            </w:tcBorders>
          </w:tcPr>
          <w:p w14:paraId="09299A1A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</w:rPr>
            </w:pPr>
          </w:p>
        </w:tc>
      </w:tr>
      <w:tr w:rsidR="004F26C4" w:rsidRPr="00DC5C65" w14:paraId="6BF2A598" w14:textId="77777777" w:rsidTr="005A6385">
        <w:trPr>
          <w:trHeight w:val="16"/>
        </w:trPr>
        <w:tc>
          <w:tcPr>
            <w:tcW w:w="23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5514F57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0B5D7A6D" w14:textId="77C849B6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Model 1</w:t>
            </w:r>
          </w:p>
          <w:p w14:paraId="1C2E5575" w14:textId="24023DEF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Equil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Teaching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and playing</w:t>
            </w:r>
          </w:p>
        </w:tc>
        <w:tc>
          <w:tcPr>
            <w:tcW w:w="11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38912346" w14:textId="53A9A185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Model 2</w:t>
            </w:r>
          </w:p>
          <w:p w14:paraId="33030FFE" w14:textId="1E67A7FC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Provincial rules</w:t>
            </w:r>
          </w:p>
        </w:tc>
        <w:tc>
          <w:tcPr>
            <w:tcW w:w="1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17895BC4" w14:textId="4EF3225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Model</w:t>
            </w: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</w:t>
            </w: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3</w:t>
            </w:r>
          </w:p>
          <w:p w14:paraId="0B92358A" w14:textId="3BA08915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Organisational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involvement</w:t>
            </w:r>
            <w:proofErr w:type="spellEnd"/>
          </w:p>
          <w:p w14:paraId="031C9F9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C241183" w14:textId="26456F71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Model 4</w:t>
            </w:r>
          </w:p>
          <w:p w14:paraId="774587B6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Teachers’</w:t>
            </w:r>
            <w:proofErr w:type="spellEnd"/>
          </w:p>
          <w:p w14:paraId="0EC0D9BD" w14:textId="24891DBF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preferences</w:t>
            </w:r>
            <w:proofErr w:type="spellEnd"/>
          </w:p>
        </w:tc>
        <w:tc>
          <w:tcPr>
            <w:tcW w:w="1299" w:type="dxa"/>
            <w:tcBorders>
              <w:top w:val="single" w:sz="4" w:space="0" w:color="00000A"/>
              <w:bottom w:val="single" w:sz="4" w:space="0" w:color="00000A"/>
            </w:tcBorders>
          </w:tcPr>
          <w:p w14:paraId="176DD78B" w14:textId="00AD37ED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Model 5 </w:t>
            </w: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Total</w:t>
            </w:r>
          </w:p>
        </w:tc>
      </w:tr>
      <w:tr w:rsidR="004F26C4" w:rsidRPr="00DC5C65" w14:paraId="6C7693CE" w14:textId="77777777" w:rsidTr="005A6385">
        <w:trPr>
          <w:trHeight w:val="9"/>
        </w:trPr>
        <w:tc>
          <w:tcPr>
            <w:tcW w:w="23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6C7979A" w14:textId="77777777" w:rsidR="004F26C4" w:rsidRPr="00DC5C65" w:rsidRDefault="004F26C4" w:rsidP="005A6385">
            <w:pPr>
              <w:spacing w:line="360" w:lineRule="auto"/>
              <w:contextualSpacing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Variabile</w:t>
            </w:r>
          </w:p>
        </w:tc>
        <w:tc>
          <w:tcPr>
            <w:tcW w:w="142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420FD1A0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Coeff</w:t>
            </w:r>
            <w:proofErr w:type="spellEnd"/>
          </w:p>
        </w:tc>
        <w:tc>
          <w:tcPr>
            <w:tcW w:w="11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73E9C96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Coeff</w:t>
            </w:r>
            <w:proofErr w:type="spellEnd"/>
          </w:p>
        </w:tc>
        <w:tc>
          <w:tcPr>
            <w:tcW w:w="1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AE166C9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Coeff</w:t>
            </w:r>
            <w:proofErr w:type="spellEnd"/>
          </w:p>
        </w:tc>
        <w:tc>
          <w:tcPr>
            <w:tcW w:w="12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64312787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Coeff</w:t>
            </w:r>
            <w:proofErr w:type="spellEnd"/>
          </w:p>
        </w:tc>
        <w:tc>
          <w:tcPr>
            <w:tcW w:w="1299" w:type="dxa"/>
            <w:tcBorders>
              <w:top w:val="single" w:sz="4" w:space="0" w:color="00000A"/>
              <w:bottom w:val="single" w:sz="4" w:space="0" w:color="00000A"/>
            </w:tcBorders>
          </w:tcPr>
          <w:p w14:paraId="4CC63F48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Coeff</w:t>
            </w:r>
            <w:proofErr w:type="spellEnd"/>
          </w:p>
        </w:tc>
      </w:tr>
      <w:tr w:rsidR="004F26C4" w:rsidRPr="00DC5C65" w14:paraId="5CD88977" w14:textId="77777777" w:rsidTr="005A6385">
        <w:trPr>
          <w:trHeight w:val="9"/>
        </w:trPr>
        <w:tc>
          <w:tcPr>
            <w:tcW w:w="9054" w:type="dxa"/>
            <w:gridSpan w:val="8"/>
            <w:tcBorders>
              <w:top w:val="single" w:sz="4" w:space="0" w:color="00000A"/>
              <w:bottom w:val="nil"/>
            </w:tcBorders>
            <w:shd w:val="clear" w:color="auto" w:fill="auto"/>
            <w:vAlign w:val="bottom"/>
          </w:tcPr>
          <w:p w14:paraId="1C114032" w14:textId="18B4AA0C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Institutional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system (</w:t>
            </w: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satisfaction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4F26C4" w:rsidRPr="00DC5C65" w14:paraId="3C153EFE" w14:textId="77777777" w:rsidTr="005A6385">
        <w:trPr>
          <w:trHeight w:val="9"/>
        </w:trPr>
        <w:tc>
          <w:tcPr>
            <w:tcW w:w="2925" w:type="dxa"/>
            <w:gridSpan w:val="3"/>
            <w:tcBorders>
              <w:top w:val="single" w:sz="4" w:space="0" w:color="00000A"/>
              <w:bottom w:val="nil"/>
            </w:tcBorders>
            <w:shd w:val="clear" w:color="auto" w:fill="auto"/>
            <w:vAlign w:val="bottom"/>
          </w:tcPr>
          <w:p w14:paraId="7A1E891F" w14:textId="339719EB" w:rsidR="004F26C4" w:rsidRPr="00DC5C65" w:rsidRDefault="004F26C4" w:rsidP="005A6385">
            <w:pPr>
              <w:spacing w:line="360" w:lineRule="auto"/>
              <w:contextualSpacing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Equil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Teaching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playing</w:t>
            </w:r>
          </w:p>
        </w:tc>
        <w:tc>
          <w:tcPr>
            <w:tcW w:w="871" w:type="dxa"/>
            <w:tcBorders>
              <w:top w:val="single" w:sz="4" w:space="0" w:color="00000A"/>
              <w:bottom w:val="nil"/>
            </w:tcBorders>
            <w:shd w:val="clear" w:color="auto" w:fill="auto"/>
            <w:vAlign w:val="bottom"/>
          </w:tcPr>
          <w:p w14:paraId="007F63E0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0,269**</w:t>
            </w:r>
          </w:p>
        </w:tc>
        <w:tc>
          <w:tcPr>
            <w:tcW w:w="1183" w:type="dxa"/>
            <w:tcBorders>
              <w:top w:val="single" w:sz="4" w:space="0" w:color="00000A"/>
              <w:bottom w:val="nil"/>
            </w:tcBorders>
            <w:shd w:val="clear" w:color="auto" w:fill="auto"/>
            <w:vAlign w:val="bottom"/>
          </w:tcPr>
          <w:p w14:paraId="3227345C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7" w:type="dxa"/>
            <w:tcBorders>
              <w:top w:val="single" w:sz="4" w:space="0" w:color="00000A"/>
              <w:bottom w:val="nil"/>
            </w:tcBorders>
            <w:shd w:val="clear" w:color="auto" w:fill="auto"/>
            <w:vAlign w:val="bottom"/>
          </w:tcPr>
          <w:p w14:paraId="251078C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9" w:type="dxa"/>
            <w:tcBorders>
              <w:top w:val="single" w:sz="4" w:space="0" w:color="00000A"/>
              <w:bottom w:val="nil"/>
            </w:tcBorders>
            <w:shd w:val="clear" w:color="auto" w:fill="auto"/>
            <w:vAlign w:val="bottom"/>
          </w:tcPr>
          <w:p w14:paraId="03F72B7A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9" w:type="dxa"/>
            <w:tcBorders>
              <w:top w:val="single" w:sz="4" w:space="0" w:color="00000A"/>
              <w:bottom w:val="nil"/>
            </w:tcBorders>
          </w:tcPr>
          <w:p w14:paraId="3C4B9EBB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-0,097</w:t>
            </w:r>
          </w:p>
        </w:tc>
      </w:tr>
      <w:tr w:rsidR="004F26C4" w:rsidRPr="00DC5C65" w14:paraId="65B6BF2F" w14:textId="77777777" w:rsidTr="005A6385">
        <w:trPr>
          <w:trHeight w:val="9"/>
        </w:trPr>
        <w:tc>
          <w:tcPr>
            <w:tcW w:w="2925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161E6A59" w14:textId="69C887DF" w:rsidR="004F26C4" w:rsidRPr="00DC5C65" w:rsidRDefault="004F26C4" w:rsidP="005A6385">
            <w:pPr>
              <w:spacing w:line="360" w:lineRule="auto"/>
              <w:contextualSpacing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Provincial rules</w:t>
            </w: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</w:tcPr>
          <w:p w14:paraId="27E2842B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  <w:vAlign w:val="bottom"/>
          </w:tcPr>
          <w:p w14:paraId="37F52310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0,535***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auto"/>
            <w:vAlign w:val="bottom"/>
          </w:tcPr>
          <w:p w14:paraId="524EF48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9" w:type="dxa"/>
            <w:tcBorders>
              <w:top w:val="nil"/>
            </w:tcBorders>
            <w:shd w:val="clear" w:color="auto" w:fill="auto"/>
            <w:vAlign w:val="bottom"/>
          </w:tcPr>
          <w:p w14:paraId="3A08B9F6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9" w:type="dxa"/>
            <w:tcBorders>
              <w:top w:val="nil"/>
            </w:tcBorders>
          </w:tcPr>
          <w:p w14:paraId="7BD2EC0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0,228</w:t>
            </w:r>
          </w:p>
        </w:tc>
      </w:tr>
      <w:tr w:rsidR="004F26C4" w:rsidRPr="00DC5C65" w14:paraId="1DB13E2A" w14:textId="77777777" w:rsidTr="005A6385">
        <w:trPr>
          <w:trHeight w:val="9"/>
        </w:trPr>
        <w:tc>
          <w:tcPr>
            <w:tcW w:w="292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ED14FB5" w14:textId="098DC267" w:rsidR="004F26C4" w:rsidRPr="00DC5C65" w:rsidRDefault="004F26C4" w:rsidP="005A6385">
            <w:pPr>
              <w:spacing w:line="360" w:lineRule="auto"/>
              <w:contextualSpacing/>
              <w:rPr>
                <w:rFonts w:ascii="Unicode" w:hAnsi="Unicode"/>
                <w:bCs/>
                <w:sz w:val="24"/>
                <w:szCs w:val="24"/>
              </w:rPr>
            </w:pPr>
            <w:proofErr w:type="spellStart"/>
            <w:r w:rsidRPr="00DC5C65">
              <w:rPr>
                <w:rFonts w:ascii="Unicode" w:hAnsi="Unicode"/>
                <w:bCs/>
                <w:sz w:val="24"/>
                <w:szCs w:val="24"/>
              </w:rPr>
              <w:t>Organisational</w:t>
            </w:r>
            <w:proofErr w:type="spellEnd"/>
            <w:r w:rsidRPr="00DC5C65">
              <w:rPr>
                <w:rFonts w:ascii="Unicode" w:hAnsi="Unicode"/>
                <w:bCs/>
                <w:sz w:val="24"/>
                <w:szCs w:val="24"/>
              </w:rPr>
              <w:t xml:space="preserve"> </w:t>
            </w:r>
            <w:proofErr w:type="spellStart"/>
            <w:r w:rsidRPr="00DC5C65">
              <w:rPr>
                <w:rFonts w:ascii="Unicode" w:hAnsi="Unicode"/>
                <w:bCs/>
                <w:sz w:val="24"/>
                <w:szCs w:val="24"/>
              </w:rPr>
              <w:t>involvement</w:t>
            </w:r>
            <w:proofErr w:type="spellEnd"/>
          </w:p>
        </w:tc>
        <w:tc>
          <w:tcPr>
            <w:tcW w:w="87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EEBA03B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06ECA3B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5510842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0,500***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0B6A91D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1A828EE9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0,345**</w:t>
            </w:r>
          </w:p>
        </w:tc>
      </w:tr>
      <w:tr w:rsidR="004F26C4" w:rsidRPr="00DC5C65" w14:paraId="306DC990" w14:textId="77777777" w:rsidTr="005A6385">
        <w:trPr>
          <w:trHeight w:val="9"/>
        </w:trPr>
        <w:tc>
          <w:tcPr>
            <w:tcW w:w="90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AA899B" w14:textId="01C423ED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Preferences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towards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the job</w:t>
            </w:r>
          </w:p>
        </w:tc>
      </w:tr>
      <w:tr w:rsidR="004F26C4" w:rsidRPr="00DC5C65" w14:paraId="6BDA0EE2" w14:textId="77777777" w:rsidTr="005A6385">
        <w:trPr>
          <w:trHeight w:val="9"/>
        </w:trPr>
        <w:tc>
          <w:tcPr>
            <w:tcW w:w="265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DA735F" w14:textId="6394A932" w:rsidR="004F26C4" w:rsidRPr="00DC5C65" w:rsidRDefault="004F26C4" w:rsidP="005A6385">
            <w:pPr>
              <w:spacing w:line="360" w:lineRule="auto"/>
              <w:contextualSpacing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hAnsi="Unicode"/>
                <w:bCs/>
                <w:sz w:val="24"/>
                <w:szCs w:val="24"/>
              </w:rPr>
              <w:t>Work-</w:t>
            </w:r>
            <w:proofErr w:type="spellStart"/>
            <w:r w:rsidRPr="00DC5C65">
              <w:rPr>
                <w:rFonts w:ascii="Unicode" w:hAnsi="Unicode"/>
                <w:bCs/>
                <w:sz w:val="24"/>
                <w:szCs w:val="24"/>
              </w:rPr>
              <w:t>salary</w:t>
            </w:r>
            <w:proofErr w:type="spellEnd"/>
            <w:r w:rsidRPr="00DC5C65">
              <w:rPr>
                <w:rFonts w:ascii="Unicode" w:hAnsi="Unicode"/>
                <w:bCs/>
                <w:sz w:val="24"/>
                <w:szCs w:val="24"/>
              </w:rPr>
              <w:t xml:space="preserve"> </w:t>
            </w:r>
            <w:proofErr w:type="spellStart"/>
            <w:r w:rsidRPr="00DC5C65">
              <w:rPr>
                <w:rFonts w:ascii="Unicode" w:hAnsi="Unicode"/>
                <w:bCs/>
                <w:sz w:val="24"/>
                <w:szCs w:val="24"/>
              </w:rPr>
              <w:t>exchange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891074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48FF3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74C3D7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89F289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-0,191*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22A4D08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-0,173</w:t>
            </w:r>
          </w:p>
        </w:tc>
      </w:tr>
      <w:tr w:rsidR="004F26C4" w:rsidRPr="00DC5C65" w14:paraId="3690FFB1" w14:textId="77777777" w:rsidTr="005A6385">
        <w:trPr>
          <w:trHeight w:val="9"/>
        </w:trPr>
        <w:tc>
          <w:tcPr>
            <w:tcW w:w="265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2779F248" w14:textId="46B66545" w:rsidR="004F26C4" w:rsidRPr="00DC5C65" w:rsidRDefault="004F26C4" w:rsidP="005A6385">
            <w:pPr>
              <w:spacing w:line="360" w:lineRule="auto"/>
              <w:contextualSpacing/>
              <w:rPr>
                <w:rFonts w:ascii="Unicode" w:hAnsi="Unicode"/>
                <w:bCs/>
                <w:sz w:val="24"/>
                <w:szCs w:val="24"/>
              </w:rPr>
            </w:pPr>
            <w:proofErr w:type="spellStart"/>
            <w:r w:rsidRPr="00DC5C65">
              <w:rPr>
                <w:rFonts w:ascii="Unicode" w:hAnsi="Unicode"/>
                <w:bCs/>
                <w:sz w:val="24"/>
                <w:szCs w:val="24"/>
              </w:rPr>
              <w:lastRenderedPageBreak/>
              <w:t>Professionalisation</w:t>
            </w:r>
            <w:proofErr w:type="spellEnd"/>
          </w:p>
        </w:tc>
        <w:tc>
          <w:tcPr>
            <w:tcW w:w="114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C508981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  <w:vAlign w:val="bottom"/>
          </w:tcPr>
          <w:p w14:paraId="08B7C912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7" w:type="dxa"/>
            <w:tcBorders>
              <w:top w:val="nil"/>
            </w:tcBorders>
            <w:shd w:val="clear" w:color="auto" w:fill="auto"/>
            <w:vAlign w:val="bottom"/>
          </w:tcPr>
          <w:p w14:paraId="0DA97BA7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9" w:type="dxa"/>
            <w:tcBorders>
              <w:top w:val="nil"/>
            </w:tcBorders>
            <w:shd w:val="clear" w:color="auto" w:fill="auto"/>
            <w:vAlign w:val="bottom"/>
          </w:tcPr>
          <w:p w14:paraId="39F96D6A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0,510***</w:t>
            </w:r>
          </w:p>
        </w:tc>
        <w:tc>
          <w:tcPr>
            <w:tcW w:w="1299" w:type="dxa"/>
            <w:tcBorders>
              <w:top w:val="nil"/>
            </w:tcBorders>
          </w:tcPr>
          <w:p w14:paraId="30E75AB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0,562***</w:t>
            </w:r>
          </w:p>
        </w:tc>
      </w:tr>
      <w:tr w:rsidR="004F26C4" w:rsidRPr="00DC5C65" w14:paraId="2FEE3AC9" w14:textId="77777777" w:rsidTr="005A6385">
        <w:trPr>
          <w:trHeight w:val="9"/>
        </w:trPr>
        <w:tc>
          <w:tcPr>
            <w:tcW w:w="265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3AE0CE1" w14:textId="1B843C11" w:rsidR="004F26C4" w:rsidRPr="00DC5C65" w:rsidRDefault="004F26C4" w:rsidP="005A6385">
            <w:pPr>
              <w:spacing w:line="360" w:lineRule="auto"/>
              <w:contextualSpacing/>
              <w:rPr>
                <w:rFonts w:ascii="Unicode" w:hAnsi="Unicode"/>
                <w:bCs/>
                <w:sz w:val="24"/>
                <w:szCs w:val="24"/>
              </w:rPr>
            </w:pPr>
            <w:r w:rsidRPr="00DC5C65">
              <w:rPr>
                <w:rFonts w:ascii="Unicode" w:hAnsi="Unicode"/>
                <w:bCs/>
                <w:sz w:val="24"/>
                <w:szCs w:val="24"/>
              </w:rPr>
              <w:t xml:space="preserve">Common </w:t>
            </w:r>
            <w:proofErr w:type="spellStart"/>
            <w:r w:rsidRPr="00DC5C65">
              <w:rPr>
                <w:rFonts w:ascii="Unicode" w:hAnsi="Unicode"/>
                <w:bCs/>
                <w:sz w:val="24"/>
                <w:szCs w:val="24"/>
              </w:rPr>
              <w:t>aim</w:t>
            </w:r>
            <w:proofErr w:type="spellEnd"/>
            <w:r w:rsidRPr="00DC5C65">
              <w:rPr>
                <w:rFonts w:ascii="Unicode" w:hAnsi="Unicode"/>
                <w:bCs/>
                <w:sz w:val="24"/>
                <w:szCs w:val="24"/>
              </w:rPr>
              <w:t xml:space="preserve"> with the school</w:t>
            </w:r>
          </w:p>
        </w:tc>
        <w:tc>
          <w:tcPr>
            <w:tcW w:w="114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730FCEF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83" w:type="dxa"/>
            <w:tcBorders>
              <w:top w:val="nil"/>
            </w:tcBorders>
            <w:shd w:val="clear" w:color="auto" w:fill="auto"/>
            <w:vAlign w:val="bottom"/>
          </w:tcPr>
          <w:p w14:paraId="2D645DED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7" w:type="dxa"/>
            <w:tcBorders>
              <w:top w:val="nil"/>
            </w:tcBorders>
            <w:shd w:val="clear" w:color="auto" w:fill="auto"/>
            <w:vAlign w:val="bottom"/>
          </w:tcPr>
          <w:p w14:paraId="7E7425BC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09" w:type="dxa"/>
            <w:tcBorders>
              <w:top w:val="nil"/>
            </w:tcBorders>
            <w:shd w:val="clear" w:color="auto" w:fill="auto"/>
            <w:vAlign w:val="bottom"/>
          </w:tcPr>
          <w:p w14:paraId="48D898E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0,302*</w:t>
            </w:r>
          </w:p>
        </w:tc>
        <w:tc>
          <w:tcPr>
            <w:tcW w:w="1299" w:type="dxa"/>
            <w:tcBorders>
              <w:top w:val="nil"/>
            </w:tcBorders>
          </w:tcPr>
          <w:p w14:paraId="386FB136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0,047</w:t>
            </w:r>
          </w:p>
        </w:tc>
      </w:tr>
      <w:tr w:rsidR="004F26C4" w:rsidRPr="00DC5C65" w14:paraId="22D0B319" w14:textId="77777777" w:rsidTr="005A6385">
        <w:trPr>
          <w:trHeight w:val="9"/>
        </w:trPr>
        <w:tc>
          <w:tcPr>
            <w:tcW w:w="90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520683" w14:textId="202BF59F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Controls</w:t>
            </w:r>
          </w:p>
        </w:tc>
      </w:tr>
      <w:tr w:rsidR="004F26C4" w:rsidRPr="00DC5C65" w14:paraId="413D2883" w14:textId="77777777" w:rsidTr="005A6385">
        <w:trPr>
          <w:trHeight w:val="9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7381F3" w14:textId="5CDD35D9" w:rsidR="004F26C4" w:rsidRPr="00DC5C65" w:rsidRDefault="004F26C4" w:rsidP="005A6385">
            <w:pPr>
              <w:spacing w:line="360" w:lineRule="auto"/>
              <w:contextualSpacing/>
              <w:rPr>
                <w:rFonts w:ascii="Unicode" w:hAnsi="Unicode"/>
                <w:bCs/>
                <w:sz w:val="24"/>
                <w:szCs w:val="24"/>
              </w:rPr>
            </w:pPr>
            <w:r w:rsidRPr="00DC5C65">
              <w:rPr>
                <w:rFonts w:ascii="Unicode" w:hAnsi="Unicode"/>
                <w:bCs/>
                <w:sz w:val="24"/>
                <w:szCs w:val="24"/>
              </w:rPr>
              <w:t xml:space="preserve">Hours </w:t>
            </w:r>
            <w:proofErr w:type="spellStart"/>
            <w:r w:rsidRPr="00DC5C65">
              <w:rPr>
                <w:rFonts w:ascii="Unicode" w:hAnsi="Unicode"/>
                <w:bCs/>
                <w:sz w:val="24"/>
                <w:szCs w:val="24"/>
              </w:rPr>
              <w:t>monthly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4D2623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0,021**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BCE4E7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0,022**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66A1B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0,016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414EC5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0,027**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F77C7E9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0,021*</w:t>
            </w:r>
          </w:p>
        </w:tc>
      </w:tr>
      <w:tr w:rsidR="004F26C4" w:rsidRPr="00DC5C65" w14:paraId="1AC5F34D" w14:textId="77777777" w:rsidTr="005A6385">
        <w:trPr>
          <w:trHeight w:val="9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bottom"/>
          </w:tcPr>
          <w:p w14:paraId="6247EE86" w14:textId="0B3EA170" w:rsidR="004F26C4" w:rsidRPr="00DC5C65" w:rsidRDefault="004F26C4" w:rsidP="005A6385">
            <w:pPr>
              <w:spacing w:line="360" w:lineRule="auto"/>
              <w:contextualSpacing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proofErr w:type="spellStart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Salary</w:t>
            </w:r>
            <w:proofErr w:type="spellEnd"/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 xml:space="preserve"> (hour)</w:t>
            </w:r>
          </w:p>
        </w:tc>
        <w:tc>
          <w:tcPr>
            <w:tcW w:w="1420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7C9668B6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0,042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  <w:vAlign w:val="bottom"/>
          </w:tcPr>
          <w:p w14:paraId="313C0CBF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0,042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auto"/>
            <w:vAlign w:val="bottom"/>
          </w:tcPr>
          <w:p w14:paraId="67C1D453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-0,014</w:t>
            </w:r>
          </w:p>
        </w:tc>
        <w:tc>
          <w:tcPr>
            <w:tcW w:w="1209" w:type="dxa"/>
            <w:tcBorders>
              <w:top w:val="nil"/>
            </w:tcBorders>
            <w:shd w:val="clear" w:color="auto" w:fill="auto"/>
            <w:vAlign w:val="bottom"/>
          </w:tcPr>
          <w:p w14:paraId="11FB654C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0,046</w:t>
            </w:r>
          </w:p>
        </w:tc>
        <w:tc>
          <w:tcPr>
            <w:tcW w:w="1299" w:type="dxa"/>
            <w:tcBorders>
              <w:top w:val="nil"/>
            </w:tcBorders>
          </w:tcPr>
          <w:p w14:paraId="7469D2B9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-0,007</w:t>
            </w:r>
          </w:p>
        </w:tc>
      </w:tr>
      <w:tr w:rsidR="004F26C4" w:rsidRPr="00DC5C65" w14:paraId="2291A18E" w14:textId="77777777" w:rsidTr="005A6385">
        <w:trPr>
          <w:trHeight w:val="9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bottom"/>
          </w:tcPr>
          <w:p w14:paraId="3713A09F" w14:textId="455CB1D3" w:rsidR="004F26C4" w:rsidRPr="00DC5C65" w:rsidRDefault="004F26C4" w:rsidP="005A6385">
            <w:pPr>
              <w:spacing w:line="360" w:lineRule="auto"/>
              <w:contextualSpacing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1420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0705D0D4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- 0,044**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  <w:vAlign w:val="bottom"/>
          </w:tcPr>
          <w:p w14:paraId="0528F90F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-0,047**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auto"/>
            <w:vAlign w:val="bottom"/>
          </w:tcPr>
          <w:p w14:paraId="0FE77617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-0,046**</w:t>
            </w:r>
          </w:p>
        </w:tc>
        <w:tc>
          <w:tcPr>
            <w:tcW w:w="1209" w:type="dxa"/>
            <w:tcBorders>
              <w:top w:val="nil"/>
            </w:tcBorders>
            <w:shd w:val="clear" w:color="auto" w:fill="auto"/>
            <w:vAlign w:val="bottom"/>
          </w:tcPr>
          <w:p w14:paraId="3DAA0854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-0,068**</w:t>
            </w:r>
          </w:p>
        </w:tc>
        <w:tc>
          <w:tcPr>
            <w:tcW w:w="1299" w:type="dxa"/>
            <w:tcBorders>
              <w:top w:val="nil"/>
            </w:tcBorders>
          </w:tcPr>
          <w:p w14:paraId="3F0E4C4B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-0,070**</w:t>
            </w:r>
          </w:p>
        </w:tc>
      </w:tr>
      <w:tr w:rsidR="004F26C4" w:rsidRPr="00DC5C65" w14:paraId="091A0219" w14:textId="77777777" w:rsidTr="005A6385">
        <w:trPr>
          <w:trHeight w:val="9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bottom"/>
          </w:tcPr>
          <w:p w14:paraId="47EF82ED" w14:textId="2519529B" w:rsidR="004F26C4" w:rsidRPr="00DC5C65" w:rsidRDefault="004F26C4" w:rsidP="005A6385">
            <w:pPr>
              <w:spacing w:line="360" w:lineRule="auto"/>
              <w:contextualSpacing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1420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4A7E9CBB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- 0,318</w:t>
            </w:r>
          </w:p>
        </w:tc>
        <w:tc>
          <w:tcPr>
            <w:tcW w:w="1183" w:type="dxa"/>
            <w:tcBorders>
              <w:top w:val="nil"/>
            </w:tcBorders>
            <w:shd w:val="clear" w:color="auto" w:fill="auto"/>
            <w:vAlign w:val="bottom"/>
          </w:tcPr>
          <w:p w14:paraId="764F9B94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-0,230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auto"/>
            <w:vAlign w:val="bottom"/>
          </w:tcPr>
          <w:p w14:paraId="67108150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-0,629</w:t>
            </w:r>
          </w:p>
        </w:tc>
        <w:tc>
          <w:tcPr>
            <w:tcW w:w="1209" w:type="dxa"/>
            <w:tcBorders>
              <w:top w:val="nil"/>
            </w:tcBorders>
            <w:shd w:val="clear" w:color="auto" w:fill="auto"/>
            <w:vAlign w:val="bottom"/>
          </w:tcPr>
          <w:p w14:paraId="7F3DC056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-0,178</w:t>
            </w:r>
          </w:p>
        </w:tc>
        <w:tc>
          <w:tcPr>
            <w:tcW w:w="1299" w:type="dxa"/>
            <w:tcBorders>
              <w:top w:val="nil"/>
            </w:tcBorders>
          </w:tcPr>
          <w:p w14:paraId="7F08A11E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</w:pPr>
            <w:r w:rsidRPr="00DC5C65">
              <w:rPr>
                <w:rFonts w:ascii="Unicode" w:eastAsia="Times New Roman" w:hAnsi="Unicode" w:cs="Times New Roman"/>
                <w:sz w:val="24"/>
                <w:szCs w:val="24"/>
                <w:lang w:eastAsia="en-GB"/>
              </w:rPr>
              <w:t>-0,431</w:t>
            </w:r>
          </w:p>
        </w:tc>
      </w:tr>
      <w:tr w:rsidR="004F26C4" w:rsidRPr="00DC5C65" w14:paraId="44D8ABB1" w14:textId="77777777" w:rsidTr="005A6385">
        <w:trPr>
          <w:trHeight w:val="9"/>
        </w:trPr>
        <w:tc>
          <w:tcPr>
            <w:tcW w:w="23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5CF38D9" w14:textId="77777777" w:rsidR="004F26C4" w:rsidRPr="00DC5C65" w:rsidRDefault="004F26C4" w:rsidP="005A6385">
            <w:pPr>
              <w:spacing w:line="360" w:lineRule="auto"/>
              <w:contextualSpacing/>
              <w:rPr>
                <w:rFonts w:ascii="Unicode" w:hAnsi="Unicode" w:cs="Times New Roman"/>
                <w:sz w:val="24"/>
                <w:szCs w:val="24"/>
              </w:rPr>
            </w:pPr>
            <w:r w:rsidRPr="00DC5C65">
              <w:rPr>
                <w:rFonts w:ascii="Unicode" w:hAnsi="Unicode" w:cs="Times New Roman"/>
                <w:sz w:val="24"/>
                <w:szCs w:val="24"/>
              </w:rPr>
              <w:t xml:space="preserve">Pseudo R </w:t>
            </w:r>
            <w:proofErr w:type="spellStart"/>
            <w:r w:rsidRPr="00DC5C65">
              <w:rPr>
                <w:rFonts w:ascii="Unicode" w:hAnsi="Unicode" w:cs="Times New Roman"/>
                <w:sz w:val="24"/>
                <w:szCs w:val="24"/>
              </w:rPr>
              <w:t>square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39C4A66A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hAnsi="Unicode" w:cs="Times New Roman"/>
                <w:sz w:val="24"/>
                <w:szCs w:val="24"/>
              </w:rPr>
            </w:pPr>
            <w:r w:rsidRPr="00DC5C65">
              <w:rPr>
                <w:rFonts w:ascii="Unicode" w:hAnsi="Unicode" w:cs="Times New Roman"/>
                <w:sz w:val="24"/>
                <w:szCs w:val="24"/>
              </w:rPr>
              <w:t>0,05</w:t>
            </w:r>
          </w:p>
        </w:tc>
        <w:tc>
          <w:tcPr>
            <w:tcW w:w="11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830F238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hAnsi="Unicode" w:cs="Times New Roman"/>
                <w:sz w:val="24"/>
                <w:szCs w:val="24"/>
              </w:rPr>
            </w:pPr>
            <w:r w:rsidRPr="00DC5C65">
              <w:rPr>
                <w:rFonts w:ascii="Unicode" w:hAnsi="Unicode" w:cs="Times New Roman"/>
                <w:sz w:val="24"/>
                <w:szCs w:val="24"/>
              </w:rPr>
              <w:t>0,10</w:t>
            </w:r>
          </w:p>
        </w:tc>
        <w:tc>
          <w:tcPr>
            <w:tcW w:w="1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18C933A6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hAnsi="Unicode" w:cs="Times New Roman"/>
                <w:sz w:val="24"/>
                <w:szCs w:val="24"/>
              </w:rPr>
            </w:pPr>
            <w:r w:rsidRPr="00DC5C65">
              <w:rPr>
                <w:rFonts w:ascii="Unicode" w:hAnsi="Unicode" w:cs="Times New Roman"/>
                <w:sz w:val="24"/>
                <w:szCs w:val="24"/>
              </w:rPr>
              <w:t>0,14</w:t>
            </w:r>
          </w:p>
        </w:tc>
        <w:tc>
          <w:tcPr>
            <w:tcW w:w="12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9CF30F5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hAnsi="Unicode" w:cs="Times New Roman"/>
                <w:sz w:val="24"/>
                <w:szCs w:val="24"/>
              </w:rPr>
            </w:pPr>
            <w:r w:rsidRPr="00DC5C65">
              <w:rPr>
                <w:rFonts w:ascii="Unicode" w:hAnsi="Unicode" w:cs="Times New Roman"/>
                <w:sz w:val="24"/>
                <w:szCs w:val="24"/>
              </w:rPr>
              <w:t>0,19</w:t>
            </w:r>
          </w:p>
        </w:tc>
        <w:tc>
          <w:tcPr>
            <w:tcW w:w="1299" w:type="dxa"/>
            <w:tcBorders>
              <w:top w:val="single" w:sz="4" w:space="0" w:color="00000A"/>
              <w:bottom w:val="single" w:sz="4" w:space="0" w:color="00000A"/>
            </w:tcBorders>
          </w:tcPr>
          <w:p w14:paraId="1C96160D" w14:textId="77777777" w:rsidR="004F26C4" w:rsidRPr="00DC5C65" w:rsidRDefault="004F26C4" w:rsidP="005A6385">
            <w:pPr>
              <w:spacing w:line="360" w:lineRule="auto"/>
              <w:contextualSpacing/>
              <w:jc w:val="center"/>
              <w:rPr>
                <w:rFonts w:ascii="Unicode" w:hAnsi="Unicode" w:cs="Times New Roman"/>
                <w:sz w:val="24"/>
                <w:szCs w:val="24"/>
              </w:rPr>
            </w:pPr>
            <w:r w:rsidRPr="00DC5C65">
              <w:rPr>
                <w:rFonts w:ascii="Unicode" w:hAnsi="Unicode" w:cs="Times New Roman"/>
                <w:sz w:val="24"/>
                <w:szCs w:val="24"/>
              </w:rPr>
              <w:t>0,24</w:t>
            </w:r>
          </w:p>
        </w:tc>
      </w:tr>
    </w:tbl>
    <w:p w14:paraId="473F7D44" w14:textId="47583845" w:rsidR="004F26C4" w:rsidRPr="00DC5C65" w:rsidRDefault="004F26C4" w:rsidP="004F26C4">
      <w:pPr>
        <w:spacing w:line="360" w:lineRule="auto"/>
        <w:rPr>
          <w:rFonts w:ascii="Unicode" w:hAnsi="Unicode" w:cs="Times New Roman"/>
          <w:sz w:val="24"/>
          <w:szCs w:val="24"/>
        </w:rPr>
      </w:pPr>
      <w:proofErr w:type="spellStart"/>
      <w:r w:rsidRPr="00DC5C65">
        <w:rPr>
          <w:rFonts w:ascii="Unicode" w:hAnsi="Unicode" w:cs="Times New Roman"/>
          <w:iCs/>
          <w:sz w:val="24"/>
          <w:szCs w:val="24"/>
        </w:rPr>
        <w:t>Significance</w:t>
      </w:r>
      <w:proofErr w:type="spellEnd"/>
      <w:r w:rsidRPr="00DC5C65">
        <w:rPr>
          <w:rFonts w:ascii="Unicode" w:hAnsi="Unicode" w:cs="Times New Roman"/>
          <w:sz w:val="24"/>
          <w:szCs w:val="24"/>
        </w:rPr>
        <w:t xml:space="preserve">: </w:t>
      </w:r>
      <w:r w:rsidRPr="00DC5C65">
        <w:rPr>
          <w:rFonts w:ascii="Unicode" w:hAnsi="Unicode" w:cs="Times New Roman"/>
          <w:i/>
          <w:sz w:val="24"/>
          <w:szCs w:val="24"/>
        </w:rPr>
        <w:t>^ p &lt; .10.</w:t>
      </w:r>
      <w:r w:rsidRPr="00DC5C65">
        <w:rPr>
          <w:rFonts w:ascii="Unicode" w:hAnsi="Unicode" w:cs="Times New Roman"/>
          <w:sz w:val="24"/>
          <w:szCs w:val="24"/>
        </w:rPr>
        <w:t xml:space="preserve"> * </w:t>
      </w:r>
      <w:r w:rsidRPr="00DC5C65">
        <w:rPr>
          <w:rFonts w:ascii="Unicode" w:hAnsi="Unicode" w:cs="Times New Roman"/>
          <w:i/>
          <w:sz w:val="24"/>
          <w:szCs w:val="24"/>
        </w:rPr>
        <w:t>p</w:t>
      </w:r>
      <w:r w:rsidRPr="00DC5C65">
        <w:rPr>
          <w:rFonts w:ascii="Unicode" w:hAnsi="Unicode" w:cs="Times New Roman"/>
          <w:sz w:val="24"/>
          <w:szCs w:val="24"/>
        </w:rPr>
        <w:t xml:space="preserve"> &lt; .05. ** </w:t>
      </w:r>
      <w:r w:rsidRPr="00DC5C65">
        <w:rPr>
          <w:rFonts w:ascii="Unicode" w:hAnsi="Unicode" w:cs="Times New Roman"/>
          <w:i/>
          <w:sz w:val="24"/>
          <w:szCs w:val="24"/>
        </w:rPr>
        <w:t>p</w:t>
      </w:r>
      <w:r w:rsidRPr="00DC5C65">
        <w:rPr>
          <w:rFonts w:ascii="Unicode" w:hAnsi="Unicode" w:cs="Times New Roman"/>
          <w:sz w:val="24"/>
          <w:szCs w:val="24"/>
        </w:rPr>
        <w:t xml:space="preserve"> &lt; .01. *** </w:t>
      </w:r>
    </w:p>
    <w:p w14:paraId="06C681E7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</w:p>
    <w:p w14:paraId="3E393D8E" w14:textId="76414FC2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In light of the </w:t>
      </w:r>
      <w:proofErr w:type="spellStart"/>
      <w:r w:rsidRPr="00DC5C65">
        <w:rPr>
          <w:rFonts w:ascii="Unicode" w:hAnsi="Unicode"/>
          <w:sz w:val="24"/>
          <w:szCs w:val="24"/>
        </w:rPr>
        <w:t>relationships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explained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overall model, the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improves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if</w:t>
      </w:r>
      <w:proofErr w:type="spellEnd"/>
      <w:r w:rsidRPr="00DC5C65">
        <w:rPr>
          <w:rFonts w:ascii="Unicode" w:hAnsi="Unicode"/>
          <w:sz w:val="24"/>
          <w:szCs w:val="24"/>
        </w:rPr>
        <w:t xml:space="preserve"> a </w:t>
      </w:r>
      <w:proofErr w:type="spellStart"/>
      <w:r w:rsidRPr="00DC5C65">
        <w:rPr>
          <w:rFonts w:ascii="Unicode" w:hAnsi="Unicode"/>
          <w:sz w:val="24"/>
          <w:szCs w:val="24"/>
        </w:rPr>
        <w:t>combination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self-</w:t>
      </w:r>
      <w:proofErr w:type="spellStart"/>
      <w:r w:rsidRPr="00DC5C65">
        <w:rPr>
          <w:rFonts w:ascii="Unicode" w:hAnsi="Unicode"/>
          <w:sz w:val="24"/>
          <w:szCs w:val="24"/>
        </w:rPr>
        <w:t>interested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values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oriented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toward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professionalization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higher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hours, and an inclusive and </w:t>
      </w:r>
      <w:proofErr w:type="spellStart"/>
      <w:r w:rsidRPr="00DC5C65">
        <w:rPr>
          <w:rFonts w:ascii="Unicode" w:hAnsi="Unicode"/>
          <w:sz w:val="24"/>
          <w:szCs w:val="24"/>
        </w:rPr>
        <w:t>participatory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organizational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environment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gives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space</w:t>
      </w:r>
      <w:proofErr w:type="spellEnd"/>
      <w:r w:rsidRPr="00DC5C65">
        <w:rPr>
          <w:rFonts w:ascii="Unicode" w:hAnsi="Unicode"/>
          <w:sz w:val="24"/>
          <w:szCs w:val="24"/>
        </w:rPr>
        <w:t xml:space="preserve"> for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' voices are </w:t>
      </w:r>
      <w:proofErr w:type="spellStart"/>
      <w:r w:rsidRPr="00DC5C65">
        <w:rPr>
          <w:rFonts w:ascii="Unicode" w:hAnsi="Unicode"/>
          <w:sz w:val="24"/>
          <w:szCs w:val="24"/>
        </w:rPr>
        <w:t>present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It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tends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decrease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age of the 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increases</w:t>
      </w:r>
      <w:proofErr w:type="spellEnd"/>
      <w:r w:rsidRPr="00DC5C65">
        <w:rPr>
          <w:rFonts w:ascii="Unicode" w:hAnsi="Unicode"/>
          <w:sz w:val="24"/>
          <w:szCs w:val="24"/>
        </w:rPr>
        <w:t>.</w:t>
      </w:r>
    </w:p>
    <w:p w14:paraId="34FB378B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proofErr w:type="spellStart"/>
      <w:r w:rsidRPr="00DC5C65">
        <w:rPr>
          <w:rFonts w:ascii="Unicode" w:hAnsi="Unicode"/>
          <w:sz w:val="24"/>
          <w:szCs w:val="24"/>
        </w:rPr>
        <w:t>Specific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consideration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deserves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observed</w:t>
      </w:r>
      <w:proofErr w:type="spellEnd"/>
      <w:r w:rsidRPr="00DC5C65">
        <w:rPr>
          <w:rFonts w:ascii="Unicode" w:hAnsi="Unicode"/>
          <w:sz w:val="24"/>
          <w:szCs w:val="24"/>
        </w:rPr>
        <w:t xml:space="preserve"> positive link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motivational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renewal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compliance </w:t>
      </w:r>
      <w:proofErr w:type="spellStart"/>
      <w:r w:rsidRPr="00DC5C65">
        <w:rPr>
          <w:rFonts w:ascii="Unicode" w:hAnsi="Unicode"/>
          <w:sz w:val="24"/>
          <w:szCs w:val="24"/>
        </w:rPr>
        <w:t>between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individual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</w:t>
      </w:r>
      <w:proofErr w:type="spellStart"/>
      <w:r w:rsidRPr="00DC5C65">
        <w:rPr>
          <w:rFonts w:ascii="Unicode" w:hAnsi="Unicode"/>
          <w:sz w:val="24"/>
          <w:szCs w:val="24"/>
        </w:rPr>
        <w:t>institutional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system. </w:t>
      </w:r>
      <w:proofErr w:type="spellStart"/>
      <w:r w:rsidRPr="00DC5C65">
        <w:rPr>
          <w:rFonts w:ascii="Unicode" w:hAnsi="Unicode"/>
          <w:sz w:val="24"/>
          <w:szCs w:val="24"/>
        </w:rPr>
        <w:t>It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plausible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alignment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promoted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stability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the system, </w:t>
      </w:r>
      <w:proofErr w:type="spellStart"/>
      <w:r w:rsidRPr="00DC5C65">
        <w:rPr>
          <w:rFonts w:ascii="Unicode" w:hAnsi="Unicode"/>
          <w:sz w:val="24"/>
          <w:szCs w:val="24"/>
        </w:rPr>
        <w:t>but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does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not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necessarily</w:t>
      </w:r>
      <w:proofErr w:type="spellEnd"/>
      <w:r w:rsidRPr="00DC5C65">
        <w:rPr>
          <w:rFonts w:ascii="Unicode" w:hAnsi="Unicode"/>
          <w:sz w:val="24"/>
          <w:szCs w:val="24"/>
        </w:rPr>
        <w:t xml:space="preserve"> support </w:t>
      </w:r>
      <w:proofErr w:type="spellStart"/>
      <w:r w:rsidRPr="00DC5C65">
        <w:rPr>
          <w:rFonts w:ascii="Unicode" w:hAnsi="Unicode"/>
          <w:sz w:val="24"/>
          <w:szCs w:val="24"/>
        </w:rPr>
        <w:t>its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evolution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.  Teachers' compliance with provincial rules and the </w:t>
      </w:r>
      <w:proofErr w:type="spellStart"/>
      <w:r w:rsidRPr="00DC5C65">
        <w:rPr>
          <w:rFonts w:ascii="Unicode" w:hAnsi="Unicode"/>
          <w:sz w:val="24"/>
          <w:szCs w:val="24"/>
        </w:rPr>
        <w:t>fact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compliance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positively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related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the </w:t>
      </w:r>
      <w:proofErr w:type="spellStart"/>
      <w:r w:rsidRPr="00DC5C65">
        <w:rPr>
          <w:rFonts w:ascii="Unicode" w:hAnsi="Unicode"/>
          <w:sz w:val="24"/>
          <w:szCs w:val="24"/>
        </w:rPr>
        <w:t>persistence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allows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us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interpret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trajectory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the Trentino music </w:t>
      </w:r>
      <w:proofErr w:type="spellStart"/>
      <w:r w:rsidRPr="00DC5C65">
        <w:rPr>
          <w:rFonts w:ascii="Unicode" w:hAnsi="Unicode"/>
          <w:sz w:val="24"/>
          <w:szCs w:val="24"/>
        </w:rPr>
        <w:t>education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 in light of a </w:t>
      </w:r>
      <w:proofErr w:type="spellStart"/>
      <w:r w:rsidRPr="00DC5C65">
        <w:rPr>
          <w:rFonts w:ascii="Unicode" w:hAnsi="Unicode"/>
          <w:sz w:val="24"/>
          <w:szCs w:val="24"/>
        </w:rPr>
        <w:t>process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path-dependence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(</w:t>
      </w:r>
      <w:proofErr w:type="spellStart"/>
      <w:r w:rsidRPr="00DC5C65">
        <w:rPr>
          <w:rFonts w:ascii="Unicode" w:hAnsi="Unicode"/>
          <w:sz w:val="24"/>
          <w:szCs w:val="24"/>
        </w:rPr>
        <w:t>initially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developed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</w:t>
      </w:r>
      <w:proofErr w:type="spellStart"/>
      <w:r w:rsidRPr="00DC5C65">
        <w:rPr>
          <w:rFonts w:ascii="Unicode" w:hAnsi="Unicode"/>
          <w:sz w:val="24"/>
          <w:szCs w:val="24"/>
        </w:rPr>
        <w:t>understand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evolution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economic</w:t>
      </w:r>
      <w:proofErr w:type="spellEnd"/>
      <w:r w:rsidRPr="00DC5C65">
        <w:rPr>
          <w:rFonts w:ascii="Unicode" w:hAnsi="Unicode"/>
          <w:sz w:val="24"/>
          <w:szCs w:val="24"/>
        </w:rPr>
        <w:t xml:space="preserve"> systems and </w:t>
      </w:r>
      <w:proofErr w:type="spellStart"/>
      <w:r w:rsidRPr="00DC5C65">
        <w:rPr>
          <w:rFonts w:ascii="Unicode" w:hAnsi="Unicode"/>
          <w:sz w:val="24"/>
          <w:szCs w:val="24"/>
        </w:rPr>
        <w:t>technological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change</w:t>
      </w:r>
      <w:proofErr w:type="spellEnd"/>
      <w:r w:rsidRPr="00DC5C65">
        <w:rPr>
          <w:rFonts w:ascii="Unicode" w:hAnsi="Unicode"/>
          <w:sz w:val="24"/>
          <w:szCs w:val="24"/>
        </w:rPr>
        <w:t xml:space="preserve"> - David, 1985). </w:t>
      </w:r>
      <w:proofErr w:type="spellStart"/>
      <w:r w:rsidRPr="00DC5C65">
        <w:rPr>
          <w:rFonts w:ascii="Unicode" w:hAnsi="Unicode"/>
          <w:sz w:val="24"/>
          <w:szCs w:val="24"/>
        </w:rPr>
        <w:t>Through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schools, the system of rules (the “hardware”) </w:t>
      </w:r>
      <w:proofErr w:type="spellStart"/>
      <w:r w:rsidRPr="00DC5C65">
        <w:rPr>
          <w:rFonts w:ascii="Unicode" w:hAnsi="Unicode"/>
          <w:sz w:val="24"/>
          <w:szCs w:val="24"/>
        </w:rPr>
        <w:t>chooses</w:t>
      </w:r>
      <w:proofErr w:type="spellEnd"/>
      <w:r w:rsidRPr="00DC5C65">
        <w:rPr>
          <w:rFonts w:ascii="Unicode" w:hAnsi="Unicode"/>
          <w:sz w:val="24"/>
          <w:szCs w:val="24"/>
        </w:rPr>
        <w:t xml:space="preserve">, in a </w:t>
      </w:r>
      <w:proofErr w:type="spellStart"/>
      <w:r w:rsidRPr="00DC5C65">
        <w:rPr>
          <w:rFonts w:ascii="Unicode" w:hAnsi="Unicode"/>
          <w:sz w:val="24"/>
          <w:szCs w:val="24"/>
        </w:rPr>
        <w:t>sense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its</w:t>
      </w:r>
      <w:proofErr w:type="spellEnd"/>
      <w:r w:rsidRPr="00DC5C65">
        <w:rPr>
          <w:rFonts w:ascii="Unicode" w:hAnsi="Unicode"/>
          <w:sz w:val="24"/>
          <w:szCs w:val="24"/>
        </w:rPr>
        <w:t xml:space="preserve"> “software” (the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) </w:t>
      </w:r>
      <w:proofErr w:type="spellStart"/>
      <w:r w:rsidRPr="00DC5C65">
        <w:rPr>
          <w:rFonts w:ascii="Unicode" w:hAnsi="Unicode"/>
          <w:sz w:val="24"/>
          <w:szCs w:val="24"/>
        </w:rPr>
        <w:t>favoring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a high degree of system </w:t>
      </w:r>
      <w:proofErr w:type="spellStart"/>
      <w:r w:rsidRPr="00DC5C65">
        <w:rPr>
          <w:rFonts w:ascii="Unicode" w:hAnsi="Unicode"/>
          <w:sz w:val="24"/>
          <w:szCs w:val="24"/>
        </w:rPr>
        <w:t>replicability</w:t>
      </w:r>
      <w:proofErr w:type="spellEnd"/>
      <w:r w:rsidRPr="00DC5C65">
        <w:rPr>
          <w:rFonts w:ascii="Unicode" w:hAnsi="Unicode"/>
          <w:sz w:val="24"/>
          <w:szCs w:val="24"/>
        </w:rPr>
        <w:t xml:space="preserve">. The </w:t>
      </w:r>
      <w:proofErr w:type="spellStart"/>
      <w:r w:rsidRPr="00DC5C65">
        <w:rPr>
          <w:rFonts w:ascii="Unicode" w:hAnsi="Unicode"/>
          <w:sz w:val="24"/>
          <w:szCs w:val="24"/>
        </w:rPr>
        <w:t>results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suggest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specifically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system </w:t>
      </w:r>
      <w:proofErr w:type="spellStart"/>
      <w:r w:rsidRPr="00DC5C65">
        <w:rPr>
          <w:rFonts w:ascii="Unicode" w:hAnsi="Unicode"/>
          <w:sz w:val="24"/>
          <w:szCs w:val="24"/>
        </w:rPr>
        <w:t>selects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individuals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choose</w:t>
      </w:r>
      <w:proofErr w:type="spellEnd"/>
      <w:r w:rsidRPr="00DC5C65">
        <w:rPr>
          <w:rFonts w:ascii="Unicode" w:hAnsi="Unicode"/>
          <w:sz w:val="24"/>
          <w:szCs w:val="24"/>
        </w:rPr>
        <w:t xml:space="preserve"> the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profession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are in line with the provincial </w:t>
      </w:r>
      <w:proofErr w:type="spellStart"/>
      <w:r w:rsidRPr="00DC5C65">
        <w:rPr>
          <w:rFonts w:ascii="Unicode" w:hAnsi="Unicode"/>
          <w:sz w:val="24"/>
          <w:szCs w:val="24"/>
        </w:rPr>
        <w:t>system's</w:t>
      </w:r>
      <w:proofErr w:type="spellEnd"/>
      <w:r w:rsidRPr="00DC5C65">
        <w:rPr>
          <w:rFonts w:ascii="Unicode" w:hAnsi="Unicode"/>
          <w:sz w:val="24"/>
          <w:szCs w:val="24"/>
        </w:rPr>
        <w:t xml:space="preserve"> educational </w:t>
      </w:r>
      <w:proofErr w:type="spellStart"/>
      <w:r w:rsidRPr="00DC5C65">
        <w:rPr>
          <w:rFonts w:ascii="Unicode" w:hAnsi="Unicode"/>
          <w:sz w:val="24"/>
          <w:szCs w:val="24"/>
        </w:rPr>
        <w:t>guidelines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This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likely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occurs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two</w:t>
      </w:r>
      <w:proofErr w:type="spellEnd"/>
      <w:r w:rsidRPr="00DC5C65">
        <w:rPr>
          <w:rFonts w:ascii="Unicode" w:hAnsi="Unicode"/>
          <w:sz w:val="24"/>
          <w:szCs w:val="24"/>
        </w:rPr>
        <w:t xml:space="preserve"> ways:</w:t>
      </w:r>
    </w:p>
    <w:p w14:paraId="248EA9DD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1) On the one hand, the school system </w:t>
      </w:r>
      <w:proofErr w:type="spellStart"/>
      <w:r w:rsidRPr="00DC5C65">
        <w:rPr>
          <w:rFonts w:ascii="Unicode" w:hAnsi="Unicode"/>
          <w:sz w:val="24"/>
          <w:szCs w:val="24"/>
        </w:rPr>
        <w:t>selects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those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who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have</w:t>
      </w:r>
      <w:proofErr w:type="spellEnd"/>
      <w:r w:rsidRPr="00DC5C65">
        <w:rPr>
          <w:rFonts w:ascii="Unicode" w:hAnsi="Unicode"/>
          <w:sz w:val="24"/>
          <w:szCs w:val="24"/>
        </w:rPr>
        <w:t xml:space="preserve"> a strong </w:t>
      </w:r>
      <w:proofErr w:type="spellStart"/>
      <w:r w:rsidRPr="00DC5C65">
        <w:rPr>
          <w:rFonts w:ascii="Unicode" w:hAnsi="Unicode"/>
          <w:sz w:val="24"/>
          <w:szCs w:val="24"/>
        </w:rPr>
        <w:t>motivation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be </w:t>
      </w:r>
      <w:proofErr w:type="spellStart"/>
      <w:r w:rsidRPr="00DC5C65">
        <w:rPr>
          <w:rFonts w:ascii="Unicode" w:hAnsi="Unicode"/>
          <w:sz w:val="24"/>
          <w:szCs w:val="24"/>
        </w:rPr>
        <w:t>employed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reflected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the </w:t>
      </w:r>
      <w:proofErr w:type="spellStart"/>
      <w:r w:rsidRPr="00DC5C65">
        <w:rPr>
          <w:rFonts w:ascii="Unicode" w:hAnsi="Unicode"/>
          <w:sz w:val="24"/>
          <w:szCs w:val="24"/>
        </w:rPr>
        <w:t>values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expressed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when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they</w:t>
      </w:r>
      <w:proofErr w:type="spellEnd"/>
      <w:r w:rsidRPr="00DC5C65">
        <w:rPr>
          <w:rFonts w:ascii="Unicode" w:hAnsi="Unicode"/>
          <w:sz w:val="24"/>
          <w:szCs w:val="24"/>
        </w:rPr>
        <w:t xml:space="preserve"> join the school, the </w:t>
      </w:r>
      <w:proofErr w:type="spellStart"/>
      <w:r w:rsidRPr="00DC5C65">
        <w:rPr>
          <w:rFonts w:ascii="Unicode" w:hAnsi="Unicode"/>
          <w:sz w:val="24"/>
          <w:szCs w:val="24"/>
        </w:rPr>
        <w:t>number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hours </w:t>
      </w:r>
      <w:proofErr w:type="spellStart"/>
      <w:r w:rsidRPr="00DC5C65">
        <w:rPr>
          <w:rFonts w:ascii="Unicode" w:hAnsi="Unicode"/>
          <w:sz w:val="24"/>
          <w:szCs w:val="24"/>
        </w:rPr>
        <w:t>worked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</w:t>
      </w:r>
      <w:proofErr w:type="spellStart"/>
      <w:r w:rsidRPr="00DC5C65">
        <w:rPr>
          <w:rFonts w:ascii="Unicode" w:hAnsi="Unicode"/>
          <w:sz w:val="24"/>
          <w:szCs w:val="24"/>
        </w:rPr>
        <w:t>satisfaction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</w:t>
      </w:r>
      <w:proofErr w:type="spellStart"/>
      <w:r w:rsidRPr="00DC5C65">
        <w:rPr>
          <w:rFonts w:ascii="Unicode" w:hAnsi="Unicode"/>
          <w:sz w:val="24"/>
          <w:szCs w:val="24"/>
        </w:rPr>
        <w:t>involvement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school </w:t>
      </w:r>
      <w:proofErr w:type="spellStart"/>
      <w:r w:rsidRPr="00DC5C65">
        <w:rPr>
          <w:rFonts w:ascii="Unicode" w:hAnsi="Unicode"/>
          <w:sz w:val="24"/>
          <w:szCs w:val="24"/>
        </w:rPr>
        <w:t>decisions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typical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cooperative </w:t>
      </w:r>
      <w:proofErr w:type="spellStart"/>
      <w:r w:rsidRPr="00DC5C65">
        <w:rPr>
          <w:rFonts w:ascii="Unicode" w:hAnsi="Unicode"/>
          <w:sz w:val="24"/>
          <w:szCs w:val="24"/>
        </w:rPr>
        <w:t>member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rather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than</w:t>
      </w:r>
      <w:proofErr w:type="spellEnd"/>
      <w:r w:rsidRPr="00DC5C65">
        <w:rPr>
          <w:rFonts w:ascii="Unicode" w:hAnsi="Unicode"/>
          <w:sz w:val="24"/>
          <w:szCs w:val="24"/>
        </w:rPr>
        <w:t xml:space="preserve"> non-</w:t>
      </w:r>
      <w:proofErr w:type="spellStart"/>
      <w:r w:rsidRPr="00DC5C65">
        <w:rPr>
          <w:rFonts w:ascii="Unicode" w:hAnsi="Unicode"/>
          <w:sz w:val="24"/>
          <w:szCs w:val="24"/>
        </w:rPr>
        <w:t>member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>.</w:t>
      </w:r>
    </w:p>
    <w:p w14:paraId="10173903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2) On the </w:t>
      </w:r>
      <w:proofErr w:type="spellStart"/>
      <w:r w:rsidRPr="00DC5C65">
        <w:rPr>
          <w:rFonts w:ascii="Unicode" w:hAnsi="Unicode"/>
          <w:sz w:val="24"/>
          <w:szCs w:val="24"/>
        </w:rPr>
        <w:t>other</w:t>
      </w:r>
      <w:proofErr w:type="spellEnd"/>
      <w:r w:rsidRPr="00DC5C65">
        <w:rPr>
          <w:rFonts w:ascii="Unicode" w:hAnsi="Unicode"/>
          <w:sz w:val="24"/>
          <w:szCs w:val="24"/>
        </w:rPr>
        <w:t xml:space="preserve"> hand, </w:t>
      </w:r>
      <w:proofErr w:type="spellStart"/>
      <w:r w:rsidRPr="00DC5C65">
        <w:rPr>
          <w:rFonts w:ascii="Unicode" w:hAnsi="Unicode"/>
          <w:sz w:val="24"/>
          <w:szCs w:val="24"/>
        </w:rPr>
        <w:t>those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who</w:t>
      </w:r>
      <w:proofErr w:type="spellEnd"/>
      <w:r w:rsidRPr="00DC5C65">
        <w:rPr>
          <w:rFonts w:ascii="Unicode" w:hAnsi="Unicode"/>
          <w:sz w:val="24"/>
          <w:szCs w:val="24"/>
        </w:rPr>
        <w:t xml:space="preserve"> do </w:t>
      </w:r>
      <w:proofErr w:type="spellStart"/>
      <w:r w:rsidRPr="00DC5C65">
        <w:rPr>
          <w:rFonts w:ascii="Unicode" w:hAnsi="Unicode"/>
          <w:sz w:val="24"/>
          <w:szCs w:val="24"/>
        </w:rPr>
        <w:t>not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agree</w:t>
      </w:r>
      <w:proofErr w:type="spellEnd"/>
      <w:r w:rsidRPr="00DC5C65">
        <w:rPr>
          <w:rFonts w:ascii="Unicode" w:hAnsi="Unicode"/>
          <w:sz w:val="24"/>
          <w:szCs w:val="24"/>
        </w:rPr>
        <w:t xml:space="preserve"> with the rules of the system (or with the </w:t>
      </w:r>
      <w:proofErr w:type="spellStart"/>
      <w:r w:rsidRPr="00DC5C65">
        <w:rPr>
          <w:rFonts w:ascii="Unicode" w:hAnsi="Unicode"/>
          <w:sz w:val="24"/>
          <w:szCs w:val="24"/>
        </w:rPr>
        <w:t>salary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levels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that</w:t>
      </w:r>
      <w:proofErr w:type="spellEnd"/>
      <w:r w:rsidRPr="00DC5C65">
        <w:rPr>
          <w:rFonts w:ascii="Unicode" w:hAnsi="Unicode"/>
          <w:sz w:val="24"/>
          <w:szCs w:val="24"/>
        </w:rPr>
        <w:t xml:space="preserve"> can be </w:t>
      </w:r>
      <w:proofErr w:type="spellStart"/>
      <w:r w:rsidRPr="00DC5C65">
        <w:rPr>
          <w:rFonts w:ascii="Unicode" w:hAnsi="Unicode"/>
          <w:sz w:val="24"/>
          <w:szCs w:val="24"/>
        </w:rPr>
        <w:t>achieved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through</w:t>
      </w:r>
      <w:proofErr w:type="spellEnd"/>
      <w:r w:rsidRPr="00DC5C65">
        <w:rPr>
          <w:rFonts w:ascii="Unicode" w:hAnsi="Unicode"/>
          <w:sz w:val="24"/>
          <w:szCs w:val="24"/>
        </w:rPr>
        <w:t xml:space="preserve"> a limited </w:t>
      </w:r>
      <w:proofErr w:type="spellStart"/>
      <w:r w:rsidRPr="00DC5C65">
        <w:rPr>
          <w:rFonts w:ascii="Unicode" w:hAnsi="Unicode"/>
          <w:sz w:val="24"/>
          <w:szCs w:val="24"/>
        </w:rPr>
        <w:t>number</w:t>
      </w:r>
      <w:proofErr w:type="spellEnd"/>
      <w:r w:rsidRPr="00DC5C65">
        <w:rPr>
          <w:rFonts w:ascii="Unicode" w:hAnsi="Unicode"/>
          <w:sz w:val="24"/>
          <w:szCs w:val="24"/>
        </w:rPr>
        <w:t xml:space="preserve"> of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hours or overall </w:t>
      </w:r>
      <w:proofErr w:type="spellStart"/>
      <w:r w:rsidRPr="00DC5C65">
        <w:rPr>
          <w:rFonts w:ascii="Unicode" w:hAnsi="Unicode"/>
          <w:sz w:val="24"/>
          <w:szCs w:val="24"/>
        </w:rPr>
        <w:t>salary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levels</w:t>
      </w:r>
      <w:proofErr w:type="spellEnd"/>
      <w:r w:rsidRPr="00DC5C65">
        <w:rPr>
          <w:rFonts w:ascii="Unicode" w:hAnsi="Unicode"/>
          <w:sz w:val="24"/>
          <w:szCs w:val="24"/>
        </w:rPr>
        <w:t xml:space="preserve">) or </w:t>
      </w:r>
      <w:proofErr w:type="spellStart"/>
      <w:r w:rsidRPr="00DC5C65">
        <w:rPr>
          <w:rFonts w:ascii="Unicode" w:hAnsi="Unicode"/>
          <w:sz w:val="24"/>
          <w:szCs w:val="24"/>
        </w:rPr>
        <w:t>who</w:t>
      </w:r>
      <w:proofErr w:type="spellEnd"/>
      <w:r w:rsidRPr="00DC5C65">
        <w:rPr>
          <w:rFonts w:ascii="Unicode" w:hAnsi="Unicode"/>
          <w:sz w:val="24"/>
          <w:szCs w:val="24"/>
        </w:rPr>
        <w:t xml:space="preserve"> do </w:t>
      </w:r>
      <w:proofErr w:type="spellStart"/>
      <w:r w:rsidRPr="00DC5C65">
        <w:rPr>
          <w:rFonts w:ascii="Unicode" w:hAnsi="Unicode"/>
          <w:sz w:val="24"/>
          <w:szCs w:val="24"/>
        </w:rPr>
        <w:t>not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feel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sufficiently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involved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shaping </w:t>
      </w:r>
      <w:proofErr w:type="spellStart"/>
      <w:r w:rsidRPr="00DC5C65">
        <w:rPr>
          <w:rFonts w:ascii="Unicode" w:hAnsi="Unicode"/>
          <w:sz w:val="24"/>
          <w:szCs w:val="24"/>
        </w:rPr>
        <w:t>organizational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choices</w:t>
      </w:r>
      <w:proofErr w:type="spellEnd"/>
      <w:r w:rsidRPr="00DC5C65">
        <w:rPr>
          <w:rFonts w:ascii="Unicode" w:hAnsi="Unicode"/>
          <w:sz w:val="24"/>
          <w:szCs w:val="24"/>
        </w:rPr>
        <w:t xml:space="preserve"> can be </w:t>
      </w:r>
      <w:proofErr w:type="spellStart"/>
      <w:r w:rsidRPr="00DC5C65">
        <w:rPr>
          <w:rFonts w:ascii="Unicode" w:hAnsi="Unicode"/>
          <w:sz w:val="24"/>
          <w:szCs w:val="24"/>
        </w:rPr>
        <w:t>expected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to decide to </w:t>
      </w:r>
      <w:proofErr w:type="spellStart"/>
      <w:r w:rsidRPr="00DC5C65">
        <w:rPr>
          <w:rFonts w:ascii="Unicode" w:hAnsi="Unicode"/>
          <w:sz w:val="24"/>
          <w:szCs w:val="24"/>
        </w:rPr>
        <w:t>leave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are </w:t>
      </w:r>
      <w:proofErr w:type="spellStart"/>
      <w:r w:rsidRPr="00DC5C65">
        <w:rPr>
          <w:rFonts w:ascii="Unicode" w:hAnsi="Unicode"/>
          <w:sz w:val="24"/>
          <w:szCs w:val="24"/>
        </w:rPr>
        <w:t>thus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only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minimally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represented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</w:t>
      </w:r>
      <w:proofErr w:type="spellStart"/>
      <w:r w:rsidRPr="00DC5C65">
        <w:rPr>
          <w:rFonts w:ascii="Unicode" w:hAnsi="Unicode"/>
          <w:sz w:val="24"/>
          <w:szCs w:val="24"/>
        </w:rPr>
        <w:t>our</w:t>
      </w:r>
      <w:proofErr w:type="spellEnd"/>
      <w:r w:rsidRPr="00DC5C65">
        <w:rPr>
          <w:rFonts w:ascii="Unicode" w:hAnsi="Unicode"/>
          <w:sz w:val="24"/>
          <w:szCs w:val="24"/>
        </w:rPr>
        <w:t xml:space="preserve"> study, </w:t>
      </w:r>
      <w:proofErr w:type="spellStart"/>
      <w:r w:rsidRPr="00DC5C65">
        <w:rPr>
          <w:rFonts w:ascii="Unicode" w:hAnsi="Unicode"/>
          <w:sz w:val="24"/>
          <w:szCs w:val="24"/>
        </w:rPr>
        <w:t>which</w:t>
      </w:r>
      <w:proofErr w:type="spellEnd"/>
      <w:r w:rsidRPr="00DC5C65">
        <w:rPr>
          <w:rFonts w:ascii="Unicode" w:hAnsi="Unicode"/>
          <w:sz w:val="24"/>
          <w:szCs w:val="24"/>
        </w:rPr>
        <w:t xml:space="preserve"> targets </w:t>
      </w:r>
      <w:proofErr w:type="spellStart"/>
      <w:r w:rsidRPr="00DC5C65">
        <w:rPr>
          <w:rFonts w:ascii="Unicode" w:hAnsi="Unicode"/>
          <w:sz w:val="24"/>
          <w:szCs w:val="24"/>
        </w:rPr>
        <w:t>teachers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currently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employed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schools.</w:t>
      </w:r>
    </w:p>
    <w:p w14:paraId="65F2E4A1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</w:p>
    <w:p w14:paraId="3239EBB3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proofErr w:type="spellStart"/>
      <w:r w:rsidRPr="00DC5C65">
        <w:rPr>
          <w:rFonts w:ascii="Unicode" w:hAnsi="Unicode"/>
          <w:sz w:val="24"/>
          <w:szCs w:val="24"/>
        </w:rPr>
        <w:t>References</w:t>
      </w:r>
      <w:proofErr w:type="spellEnd"/>
    </w:p>
    <w:p w14:paraId="73140B7D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lastRenderedPageBreak/>
        <w:t xml:space="preserve">BECCHETTI L., PELLONI A., ROSSETTI F. (2008), </w:t>
      </w:r>
      <w:proofErr w:type="spellStart"/>
      <w:r w:rsidRPr="00DC5C65">
        <w:rPr>
          <w:rFonts w:ascii="Unicode" w:hAnsi="Unicode"/>
          <w:sz w:val="24"/>
          <w:szCs w:val="24"/>
        </w:rPr>
        <w:t>Relational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goods</w:t>
      </w:r>
      <w:proofErr w:type="spellEnd"/>
      <w:r w:rsidRPr="00DC5C65">
        <w:rPr>
          <w:rFonts w:ascii="Unicode" w:hAnsi="Unicode"/>
          <w:sz w:val="24"/>
          <w:szCs w:val="24"/>
        </w:rPr>
        <w:t xml:space="preserve">, </w:t>
      </w:r>
      <w:proofErr w:type="spellStart"/>
      <w:r w:rsidRPr="00DC5C65">
        <w:rPr>
          <w:rFonts w:ascii="Unicode" w:hAnsi="Unicode"/>
          <w:sz w:val="24"/>
          <w:szCs w:val="24"/>
        </w:rPr>
        <w:t>sociability</w:t>
      </w:r>
      <w:proofErr w:type="spellEnd"/>
      <w:r w:rsidRPr="00DC5C65">
        <w:rPr>
          <w:rFonts w:ascii="Unicode" w:hAnsi="Unicode"/>
          <w:sz w:val="24"/>
          <w:szCs w:val="24"/>
        </w:rPr>
        <w:t xml:space="preserve">, and </w:t>
      </w:r>
      <w:proofErr w:type="spellStart"/>
      <w:r w:rsidRPr="00DC5C65">
        <w:rPr>
          <w:rFonts w:ascii="Unicode" w:hAnsi="Unicode"/>
          <w:sz w:val="24"/>
          <w:szCs w:val="24"/>
        </w:rPr>
        <w:t>happiness</w:t>
      </w:r>
      <w:proofErr w:type="spellEnd"/>
      <w:r w:rsidRPr="00DC5C65">
        <w:rPr>
          <w:rFonts w:ascii="Unicode" w:hAnsi="Unicode"/>
          <w:sz w:val="24"/>
          <w:szCs w:val="24"/>
        </w:rPr>
        <w:t xml:space="preserve">. </w:t>
      </w:r>
      <w:proofErr w:type="spellStart"/>
      <w:r w:rsidRPr="00DC5C65">
        <w:rPr>
          <w:rFonts w:ascii="Unicode" w:hAnsi="Unicode"/>
          <w:sz w:val="24"/>
          <w:szCs w:val="24"/>
        </w:rPr>
        <w:t>Kyklos</w:t>
      </w:r>
      <w:proofErr w:type="spellEnd"/>
      <w:r w:rsidRPr="00DC5C65">
        <w:rPr>
          <w:rFonts w:ascii="Unicode" w:hAnsi="Unicode"/>
          <w:sz w:val="24"/>
          <w:szCs w:val="24"/>
        </w:rPr>
        <w:t>, 61(3), pp. 343-363.</w:t>
      </w:r>
    </w:p>
    <w:p w14:paraId="6309B5F7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>DONATI P. (1996), I beni relazionali del terzo settore, Impresa Sociale, 29, pp. 19-23.</w:t>
      </w:r>
    </w:p>
    <w:p w14:paraId="0696B2CE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LEIBENSTEIN H.  (1966), Allocative </w:t>
      </w:r>
      <w:proofErr w:type="spellStart"/>
      <w:r w:rsidRPr="00DC5C65">
        <w:rPr>
          <w:rFonts w:ascii="Unicode" w:hAnsi="Unicode"/>
          <w:sz w:val="24"/>
          <w:szCs w:val="24"/>
        </w:rPr>
        <w:t>efficiency</w:t>
      </w:r>
      <w:proofErr w:type="spellEnd"/>
      <w:r w:rsidRPr="00DC5C65">
        <w:rPr>
          <w:rFonts w:ascii="Unicode" w:hAnsi="Unicode"/>
          <w:sz w:val="24"/>
          <w:szCs w:val="24"/>
        </w:rPr>
        <w:t xml:space="preserve"> vs. "X-</w:t>
      </w:r>
      <w:proofErr w:type="spellStart"/>
      <w:r w:rsidRPr="00DC5C65">
        <w:rPr>
          <w:rFonts w:ascii="Unicode" w:hAnsi="Unicode"/>
          <w:sz w:val="24"/>
          <w:szCs w:val="24"/>
        </w:rPr>
        <w:t>efficiency</w:t>
      </w:r>
      <w:proofErr w:type="spellEnd"/>
      <w:r w:rsidRPr="00DC5C65">
        <w:rPr>
          <w:rFonts w:ascii="Unicode" w:hAnsi="Unicode"/>
          <w:sz w:val="24"/>
          <w:szCs w:val="24"/>
        </w:rPr>
        <w:t xml:space="preserve">,” The American </w:t>
      </w:r>
      <w:proofErr w:type="spellStart"/>
      <w:r w:rsidRPr="00DC5C65">
        <w:rPr>
          <w:rFonts w:ascii="Unicode" w:hAnsi="Unicode"/>
          <w:sz w:val="24"/>
          <w:szCs w:val="24"/>
        </w:rPr>
        <w:t>Economic</w:t>
      </w:r>
      <w:proofErr w:type="spellEnd"/>
      <w:r w:rsidRPr="00DC5C65">
        <w:rPr>
          <w:rFonts w:ascii="Unicode" w:hAnsi="Unicode"/>
          <w:sz w:val="24"/>
          <w:szCs w:val="24"/>
        </w:rPr>
        <w:t xml:space="preserve"> Review, 56(3), pp. 392-415.</w:t>
      </w:r>
    </w:p>
    <w:p w14:paraId="5E5635CB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OSTROM E. (1998), The Comparative Study of Public </w:t>
      </w:r>
      <w:proofErr w:type="spellStart"/>
      <w:r w:rsidRPr="00DC5C65">
        <w:rPr>
          <w:rFonts w:ascii="Unicode" w:hAnsi="Unicode"/>
          <w:sz w:val="24"/>
          <w:szCs w:val="24"/>
        </w:rPr>
        <w:t>Economies</w:t>
      </w:r>
      <w:proofErr w:type="spellEnd"/>
      <w:r w:rsidRPr="00DC5C65">
        <w:rPr>
          <w:rFonts w:ascii="Unicode" w:hAnsi="Unicode"/>
          <w:sz w:val="24"/>
          <w:szCs w:val="24"/>
        </w:rPr>
        <w:t>, The American Economist, 42(1), pp. 3-17.</w:t>
      </w:r>
    </w:p>
    <w:p w14:paraId="2C5A85FD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SACCHETTI, S., IANES, A. (2024). Practices and history of “co-programmazione” and “co-progettazione” in </w:t>
      </w:r>
      <w:proofErr w:type="spellStart"/>
      <w:r w:rsidRPr="00DC5C65">
        <w:rPr>
          <w:rFonts w:ascii="Unicode" w:hAnsi="Unicode"/>
          <w:sz w:val="24"/>
          <w:szCs w:val="24"/>
        </w:rPr>
        <w:t>Italy</w:t>
      </w:r>
      <w:proofErr w:type="spellEnd"/>
      <w:r w:rsidRPr="00DC5C65">
        <w:rPr>
          <w:rFonts w:ascii="Unicode" w:hAnsi="Unicode"/>
          <w:sz w:val="24"/>
          <w:szCs w:val="24"/>
        </w:rPr>
        <w:t xml:space="preserve">: the case of cultural production and music </w:t>
      </w:r>
      <w:proofErr w:type="spellStart"/>
      <w:r w:rsidRPr="00DC5C65">
        <w:rPr>
          <w:rFonts w:ascii="Unicode" w:hAnsi="Unicode"/>
          <w:sz w:val="24"/>
          <w:szCs w:val="24"/>
        </w:rPr>
        <w:t>education</w:t>
      </w:r>
      <w:proofErr w:type="spellEnd"/>
      <w:r w:rsidRPr="00DC5C65">
        <w:rPr>
          <w:rFonts w:ascii="Unicode" w:hAnsi="Unicode"/>
          <w:sz w:val="24"/>
          <w:szCs w:val="24"/>
        </w:rPr>
        <w:t xml:space="preserve"> in Trentino. Social Enterprise Journal, 20(2), 181-201.</w:t>
      </w:r>
    </w:p>
    <w:p w14:paraId="27D2FB33" w14:textId="77777777" w:rsidR="004F26C4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 xml:space="preserve">SACCHETTI S., SALUSTRI A. (2023), </w:t>
      </w:r>
      <w:proofErr w:type="spellStart"/>
      <w:r w:rsidRPr="00DC5C65">
        <w:rPr>
          <w:rFonts w:ascii="Unicode" w:hAnsi="Unicode"/>
          <w:sz w:val="24"/>
          <w:szCs w:val="24"/>
        </w:rPr>
        <w:t>Musicians</w:t>
      </w:r>
      <w:proofErr w:type="spellEnd"/>
      <w:r w:rsidRPr="00DC5C65">
        <w:rPr>
          <w:rFonts w:ascii="Unicode" w:hAnsi="Unicode"/>
          <w:sz w:val="24"/>
          <w:szCs w:val="24"/>
        </w:rPr>
        <w:t xml:space="preserve">' Work </w:t>
      </w:r>
      <w:proofErr w:type="spellStart"/>
      <w:r w:rsidRPr="00DC5C65">
        <w:rPr>
          <w:rFonts w:ascii="Unicode" w:hAnsi="Unicode"/>
          <w:sz w:val="24"/>
          <w:szCs w:val="24"/>
        </w:rPr>
        <w:t>Preferences</w:t>
      </w:r>
      <w:proofErr w:type="spellEnd"/>
      <w:r w:rsidRPr="00DC5C65">
        <w:rPr>
          <w:rFonts w:ascii="Unicode" w:hAnsi="Unicode"/>
          <w:sz w:val="24"/>
          <w:szCs w:val="24"/>
        </w:rPr>
        <w:t xml:space="preserve">: </w:t>
      </w:r>
      <w:proofErr w:type="spellStart"/>
      <w:r w:rsidRPr="00DC5C65">
        <w:rPr>
          <w:rFonts w:ascii="Unicode" w:hAnsi="Unicode"/>
          <w:sz w:val="24"/>
          <w:szCs w:val="24"/>
        </w:rPr>
        <w:t>Teaching</w:t>
      </w:r>
      <w:proofErr w:type="spellEnd"/>
      <w:r w:rsidRPr="00DC5C65">
        <w:rPr>
          <w:rFonts w:ascii="Unicode" w:hAnsi="Unicode"/>
          <w:sz w:val="24"/>
          <w:szCs w:val="24"/>
        </w:rPr>
        <w:t xml:space="preserve"> or Playing?, in Sacchetti, S. Conci, N., (a cura di) Dictionary for </w:t>
      </w:r>
      <w:proofErr w:type="spellStart"/>
      <w:r w:rsidRPr="00DC5C65">
        <w:rPr>
          <w:rFonts w:ascii="Unicode" w:hAnsi="Unicode"/>
          <w:sz w:val="24"/>
          <w:szCs w:val="24"/>
        </w:rPr>
        <w:t>Multidisciplinary</w:t>
      </w:r>
      <w:proofErr w:type="spellEnd"/>
      <w:r w:rsidRPr="00DC5C65">
        <w:rPr>
          <w:rFonts w:ascii="Unicode" w:hAnsi="Unicode"/>
          <w:sz w:val="24"/>
          <w:szCs w:val="24"/>
        </w:rPr>
        <w:t xml:space="preserve"> Music Integration (</w:t>
      </w:r>
      <w:proofErr w:type="spellStart"/>
      <w:r w:rsidRPr="00DC5C65">
        <w:rPr>
          <w:rFonts w:ascii="Unicode" w:hAnsi="Unicode"/>
          <w:sz w:val="24"/>
          <w:szCs w:val="24"/>
        </w:rPr>
        <w:t>DiMMI</w:t>
      </w:r>
      <w:proofErr w:type="spellEnd"/>
      <w:r w:rsidRPr="00DC5C65">
        <w:rPr>
          <w:rFonts w:ascii="Unicode" w:hAnsi="Unicode"/>
          <w:sz w:val="24"/>
          <w:szCs w:val="24"/>
        </w:rPr>
        <w:t>): Interaction, Atti del primo convegno internazionale (Trento, 25-26 Novembre 2022), Vol. 1, University of Trento Press, Trento, pp. 62-65 (https://iris.unitn.it/handle/11572/398471).</w:t>
      </w:r>
    </w:p>
    <w:p w14:paraId="4DD21E21" w14:textId="63FBA785" w:rsidR="001F6A8B" w:rsidRPr="00DC5C65" w:rsidRDefault="004F26C4" w:rsidP="00DC5C65">
      <w:pPr>
        <w:jc w:val="both"/>
        <w:rPr>
          <w:rFonts w:ascii="Unicode" w:hAnsi="Unicode"/>
          <w:sz w:val="24"/>
          <w:szCs w:val="24"/>
        </w:rPr>
      </w:pPr>
      <w:r w:rsidRPr="00DC5C65">
        <w:rPr>
          <w:rFonts w:ascii="Unicode" w:hAnsi="Unicode"/>
          <w:sz w:val="24"/>
          <w:szCs w:val="24"/>
        </w:rPr>
        <w:t>THROSBY D. (1994), A work-</w:t>
      </w:r>
      <w:proofErr w:type="spellStart"/>
      <w:r w:rsidRPr="00DC5C65">
        <w:rPr>
          <w:rFonts w:ascii="Unicode" w:hAnsi="Unicode"/>
          <w:sz w:val="24"/>
          <w:szCs w:val="24"/>
        </w:rPr>
        <w:t>preference</w:t>
      </w:r>
      <w:proofErr w:type="spellEnd"/>
      <w:r w:rsidRPr="00DC5C65">
        <w:rPr>
          <w:rFonts w:ascii="Unicode" w:hAnsi="Unicode"/>
          <w:sz w:val="24"/>
          <w:szCs w:val="24"/>
        </w:rPr>
        <w:t xml:space="preserve"> model of </w:t>
      </w:r>
      <w:proofErr w:type="spellStart"/>
      <w:r w:rsidRPr="00DC5C65">
        <w:rPr>
          <w:rFonts w:ascii="Unicode" w:hAnsi="Unicode"/>
          <w:sz w:val="24"/>
          <w:szCs w:val="24"/>
        </w:rPr>
        <w:t>artist</w:t>
      </w:r>
      <w:proofErr w:type="spellEnd"/>
      <w:r w:rsidRPr="00DC5C65">
        <w:rPr>
          <w:rFonts w:ascii="Unicode" w:hAnsi="Unicode"/>
          <w:sz w:val="24"/>
          <w:szCs w:val="24"/>
        </w:rPr>
        <w:t xml:space="preserve"> </w:t>
      </w:r>
      <w:proofErr w:type="spellStart"/>
      <w:r w:rsidRPr="00DC5C65">
        <w:rPr>
          <w:rFonts w:ascii="Unicode" w:hAnsi="Unicode"/>
          <w:sz w:val="24"/>
          <w:szCs w:val="24"/>
        </w:rPr>
        <w:t>behaviour</w:t>
      </w:r>
      <w:proofErr w:type="spellEnd"/>
      <w:r w:rsidRPr="00DC5C65">
        <w:rPr>
          <w:rFonts w:ascii="Unicode" w:hAnsi="Unicode"/>
          <w:sz w:val="24"/>
          <w:szCs w:val="24"/>
        </w:rPr>
        <w:t>. In PEACOCK A., RIZZO I. (</w:t>
      </w:r>
      <w:proofErr w:type="spellStart"/>
      <w:r w:rsidRPr="00DC5C65">
        <w:rPr>
          <w:rFonts w:ascii="Unicode" w:hAnsi="Unicode"/>
          <w:sz w:val="24"/>
          <w:szCs w:val="24"/>
        </w:rPr>
        <w:t>eds</w:t>
      </w:r>
      <w:proofErr w:type="spellEnd"/>
      <w:r w:rsidRPr="00DC5C65">
        <w:rPr>
          <w:rFonts w:ascii="Unicode" w:hAnsi="Unicode"/>
          <w:sz w:val="24"/>
          <w:szCs w:val="24"/>
        </w:rPr>
        <w:t xml:space="preserve">) Cultural </w:t>
      </w:r>
      <w:proofErr w:type="spellStart"/>
      <w:r w:rsidRPr="00DC5C65">
        <w:rPr>
          <w:rFonts w:ascii="Unicode" w:hAnsi="Unicode"/>
          <w:sz w:val="24"/>
          <w:szCs w:val="24"/>
        </w:rPr>
        <w:t>economics</w:t>
      </w:r>
      <w:proofErr w:type="spellEnd"/>
      <w:r w:rsidRPr="00DC5C65">
        <w:rPr>
          <w:rFonts w:ascii="Unicode" w:hAnsi="Unicode"/>
          <w:sz w:val="24"/>
          <w:szCs w:val="24"/>
        </w:rPr>
        <w:t xml:space="preserve"> and cultural policies, Springer, Dordrecht, pp. 69-80.</w:t>
      </w:r>
    </w:p>
    <w:sectPr w:rsidR="001F6A8B" w:rsidRPr="00DC5C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F44B7" w14:textId="77777777" w:rsidR="00C61D64" w:rsidRDefault="00C61D64" w:rsidP="00DC5C65">
      <w:pPr>
        <w:spacing w:after="0" w:line="240" w:lineRule="auto"/>
      </w:pPr>
      <w:r>
        <w:separator/>
      </w:r>
    </w:p>
  </w:endnote>
  <w:endnote w:type="continuationSeparator" w:id="0">
    <w:p w14:paraId="471F1F20" w14:textId="77777777" w:rsidR="00C61D64" w:rsidRDefault="00C61D64" w:rsidP="00DC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cod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68D64" w14:textId="77777777" w:rsidR="00C61D64" w:rsidRDefault="00C61D64" w:rsidP="00DC5C65">
      <w:pPr>
        <w:spacing w:after="0" w:line="240" w:lineRule="auto"/>
      </w:pPr>
      <w:r>
        <w:separator/>
      </w:r>
    </w:p>
  </w:footnote>
  <w:footnote w:type="continuationSeparator" w:id="0">
    <w:p w14:paraId="635C72EE" w14:textId="77777777" w:rsidR="00C61D64" w:rsidRDefault="00C61D64" w:rsidP="00DC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7786028"/>
      <w:docPartObj>
        <w:docPartGallery w:val="Page Numbers (Top of Page)"/>
        <w:docPartUnique/>
      </w:docPartObj>
    </w:sdtPr>
    <w:sdtContent>
      <w:p w14:paraId="6E36B82D" w14:textId="12681DFA" w:rsidR="00DC5C65" w:rsidRDefault="00DC5C65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3F56A" w14:textId="77777777" w:rsidR="00DC5C65" w:rsidRDefault="00DC5C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C4"/>
    <w:rsid w:val="001F6A8B"/>
    <w:rsid w:val="004F26C4"/>
    <w:rsid w:val="00AB7C34"/>
    <w:rsid w:val="00C61D64"/>
    <w:rsid w:val="00D52E57"/>
    <w:rsid w:val="00DC5C65"/>
    <w:rsid w:val="00F0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7F6D"/>
  <w15:chartTrackingRefBased/>
  <w15:docId w15:val="{EC7E1541-2502-4821-A8EC-377A8889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6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6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6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6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6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6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6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6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6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6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6C4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uiPriority w:val="99"/>
    <w:qFormat/>
    <w:rsid w:val="004F26C4"/>
    <w:pPr>
      <w:suppressAutoHyphens/>
      <w:spacing w:after="200" w:line="276" w:lineRule="auto"/>
      <w:textAlignment w:val="baseline"/>
    </w:pPr>
    <w:rPr>
      <w:rFonts w:ascii="Cambria" w:eastAsia="Times New Roman" w:hAnsi="Cambria" w:cs="Cambria"/>
      <w:color w:val="00000A"/>
      <w:kern w:val="0"/>
      <w:lang w:val="en-US"/>
      <w14:ligatures w14:val="none"/>
    </w:rPr>
  </w:style>
  <w:style w:type="table" w:styleId="Grigliatabella">
    <w:name w:val="Table Grid"/>
    <w:basedOn w:val="Tabellanormale"/>
    <w:uiPriority w:val="39"/>
    <w:rsid w:val="00D52E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5C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C65"/>
  </w:style>
  <w:style w:type="paragraph" w:styleId="Pidipagina">
    <w:name w:val="footer"/>
    <w:basedOn w:val="Normale"/>
    <w:link w:val="PidipaginaCarattere"/>
    <w:uiPriority w:val="99"/>
    <w:unhideWhenUsed/>
    <w:rsid w:val="00DC5C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Sacchetti, Silvia</dc:creator>
  <cp:keywords/>
  <dc:description/>
  <cp:lastModifiedBy>Sacchetti, Silvia</cp:lastModifiedBy>
  <cp:revision>2</cp:revision>
  <dcterms:created xsi:type="dcterms:W3CDTF">2024-09-21T22:04:00Z</dcterms:created>
  <dcterms:modified xsi:type="dcterms:W3CDTF">2024-09-21T22:21:00Z</dcterms:modified>
</cp:coreProperties>
</file>