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31043" w14:textId="2557CF42" w:rsidR="00D020FE" w:rsidRPr="007E6B56" w:rsidRDefault="007E6B56" w:rsidP="00DE4BF1">
      <w:pPr>
        <w:jc w:val="center"/>
        <w:rPr>
          <w:rStyle w:val="Nessuno"/>
          <w:b/>
          <w:bCs/>
          <w:color w:val="000000"/>
          <w:sz w:val="36"/>
          <w:szCs w:val="36"/>
          <w:u w:color="000000"/>
          <w:lang w:val="en-GB"/>
        </w:rPr>
      </w:pPr>
      <w:bookmarkStart w:id="0" w:name="_Hlk119459030"/>
      <w:r>
        <w:rPr>
          <w:rStyle w:val="Nessuno"/>
          <w:b/>
          <w:bCs/>
          <w:color w:val="000000"/>
          <w:sz w:val="36"/>
          <w:szCs w:val="36"/>
          <w:u w:color="000000"/>
          <w:lang w:val="en-GB"/>
        </w:rPr>
        <w:t>Analysis of time</w:t>
      </w:r>
      <w:r w:rsidR="00400A6D">
        <w:rPr>
          <w:rStyle w:val="Nessuno"/>
          <w:b/>
          <w:bCs/>
          <w:color w:val="000000"/>
          <w:sz w:val="36"/>
          <w:szCs w:val="36"/>
          <w:u w:color="000000"/>
          <w:lang w:val="en-GB"/>
        </w:rPr>
        <w:t xml:space="preserve"> </w:t>
      </w:r>
      <w:r>
        <w:rPr>
          <w:rStyle w:val="Nessuno"/>
          <w:b/>
          <w:bCs/>
          <w:color w:val="000000"/>
          <w:sz w:val="36"/>
          <w:szCs w:val="36"/>
          <w:u w:color="000000"/>
          <w:lang w:val="en-GB"/>
        </w:rPr>
        <w:t xml:space="preserve">duration of </w:t>
      </w:r>
      <w:r w:rsidR="005757AF">
        <w:rPr>
          <w:rStyle w:val="Nessuno"/>
          <w:b/>
          <w:bCs/>
          <w:color w:val="000000"/>
          <w:sz w:val="36"/>
          <w:szCs w:val="36"/>
          <w:u w:color="000000"/>
          <w:lang w:val="en-GB"/>
        </w:rPr>
        <w:t>civil</w:t>
      </w:r>
      <w:r>
        <w:rPr>
          <w:rStyle w:val="Nessuno"/>
          <w:b/>
          <w:bCs/>
          <w:color w:val="000000"/>
          <w:sz w:val="36"/>
          <w:szCs w:val="36"/>
          <w:u w:color="000000"/>
          <w:lang w:val="en-GB"/>
        </w:rPr>
        <w:t xml:space="preserve"> disputes</w:t>
      </w:r>
      <w:r w:rsidR="003D0F55">
        <w:rPr>
          <w:rStyle w:val="Nessuno"/>
          <w:b/>
          <w:bCs/>
          <w:color w:val="000000"/>
          <w:sz w:val="36"/>
          <w:szCs w:val="36"/>
          <w:u w:color="000000"/>
          <w:lang w:val="en-GB"/>
        </w:rPr>
        <w:t xml:space="preserve"> in Italy</w:t>
      </w:r>
      <w:r>
        <w:rPr>
          <w:rStyle w:val="Nessuno"/>
          <w:b/>
          <w:bCs/>
          <w:color w:val="000000"/>
          <w:sz w:val="36"/>
          <w:szCs w:val="36"/>
          <w:u w:color="000000"/>
          <w:lang w:val="en-GB"/>
        </w:rPr>
        <w:t xml:space="preserve">. A case study with microdata from </w:t>
      </w:r>
      <w:r w:rsidR="00AF7979">
        <w:rPr>
          <w:rStyle w:val="Nessuno"/>
          <w:b/>
          <w:bCs/>
          <w:color w:val="000000"/>
          <w:sz w:val="36"/>
          <w:szCs w:val="36"/>
          <w:u w:color="000000"/>
          <w:lang w:val="en-GB"/>
        </w:rPr>
        <w:t>Sicilian</w:t>
      </w:r>
      <w:r w:rsidR="00DC5FCC">
        <w:rPr>
          <w:rStyle w:val="Nessuno"/>
          <w:b/>
          <w:bCs/>
          <w:color w:val="000000"/>
          <w:sz w:val="36"/>
          <w:szCs w:val="36"/>
          <w:u w:color="000000"/>
          <w:lang w:val="en-GB"/>
        </w:rPr>
        <w:t xml:space="preserve"> </w:t>
      </w:r>
      <w:r w:rsidR="00AF7979">
        <w:rPr>
          <w:rStyle w:val="Nessuno"/>
          <w:b/>
          <w:bCs/>
          <w:color w:val="000000"/>
          <w:sz w:val="36"/>
          <w:szCs w:val="36"/>
          <w:u w:color="000000"/>
          <w:lang w:val="en-GB"/>
        </w:rPr>
        <w:t>C</w:t>
      </w:r>
      <w:r>
        <w:rPr>
          <w:rStyle w:val="Nessuno"/>
          <w:b/>
          <w:bCs/>
          <w:color w:val="000000"/>
          <w:sz w:val="36"/>
          <w:szCs w:val="36"/>
          <w:u w:color="000000"/>
          <w:lang w:val="en-GB"/>
        </w:rPr>
        <w:t>ourt</w:t>
      </w:r>
      <w:r w:rsidR="00AF7979">
        <w:rPr>
          <w:rStyle w:val="Nessuno"/>
          <w:b/>
          <w:bCs/>
          <w:color w:val="000000"/>
          <w:sz w:val="36"/>
          <w:szCs w:val="36"/>
          <w:u w:color="000000"/>
          <w:lang w:val="en-GB"/>
        </w:rPr>
        <w:t>s</w:t>
      </w:r>
    </w:p>
    <w:p w14:paraId="082CCDA2" w14:textId="77777777" w:rsidR="004F5ADA" w:rsidRPr="00DC5FCC" w:rsidRDefault="004F5ADA" w:rsidP="004B0CD5">
      <w:pPr>
        <w:pBdr>
          <w:top w:val="nil"/>
          <w:left w:val="nil"/>
          <w:bottom w:val="nil"/>
          <w:right w:val="nil"/>
          <w:between w:val="nil"/>
          <w:bar w:val="nil"/>
        </w:pBdr>
        <w:spacing w:after="120" w:line="360" w:lineRule="auto"/>
        <w:rPr>
          <w:rFonts w:eastAsia="Arial Unicode MS" w:cs="Arial Unicode MS"/>
          <w:u w:color="000000"/>
          <w:bdr w:val="nil"/>
          <w:lang w:val="en-GB"/>
        </w:rPr>
      </w:pPr>
    </w:p>
    <w:p w14:paraId="681898F1" w14:textId="3C1BF54C" w:rsidR="00167446" w:rsidRPr="00AF7979" w:rsidRDefault="007E6B56" w:rsidP="007E6B56">
      <w:pPr>
        <w:pBdr>
          <w:top w:val="nil"/>
          <w:left w:val="nil"/>
          <w:bottom w:val="nil"/>
          <w:right w:val="nil"/>
          <w:between w:val="nil"/>
          <w:bar w:val="nil"/>
        </w:pBdr>
        <w:spacing w:after="120" w:line="360" w:lineRule="auto"/>
        <w:jc w:val="center"/>
        <w:rPr>
          <w:rFonts w:eastAsia="Calibri" w:cs="Calibri"/>
          <w:color w:val="000000"/>
          <w:u w:color="000000"/>
          <w:bdr w:val="nil"/>
          <w:vertAlign w:val="superscript"/>
        </w:rPr>
      </w:pPr>
      <w:r>
        <w:rPr>
          <w:rFonts w:eastAsia="Calibri" w:cs="Calibri"/>
          <w:color w:val="000000"/>
          <w:u w:color="000000"/>
          <w:bdr w:val="nil"/>
        </w:rPr>
        <w:t xml:space="preserve">Giuseppe Di </w:t>
      </w:r>
      <w:proofErr w:type="spellStart"/>
      <w:r>
        <w:rPr>
          <w:rFonts w:eastAsia="Calibri" w:cs="Calibri"/>
          <w:color w:val="000000"/>
          <w:u w:color="000000"/>
          <w:bdr w:val="nil"/>
        </w:rPr>
        <w:t>Vita</w:t>
      </w:r>
      <w:r w:rsidR="00167446" w:rsidRPr="007E4FA9">
        <w:rPr>
          <w:rFonts w:eastAsia="Calibri" w:cs="Calibri"/>
          <w:i/>
          <w:iCs/>
          <w:color w:val="000000"/>
          <w:u w:color="000000"/>
          <w:bdr w:val="nil"/>
          <w:vertAlign w:val="superscript"/>
        </w:rPr>
        <w:t>a</w:t>
      </w:r>
      <w:proofErr w:type="spellEnd"/>
      <w:r w:rsidR="005C319A">
        <w:rPr>
          <w:rFonts w:eastAsia="Calibri" w:cs="Calibri"/>
          <w:color w:val="000000"/>
          <w:u w:color="000000"/>
          <w:bdr w:val="nil"/>
        </w:rPr>
        <w:t xml:space="preserve">, </w:t>
      </w:r>
      <w:r w:rsidR="00167446" w:rsidRPr="007E4FA9">
        <w:rPr>
          <w:rFonts w:eastAsia="Calibri" w:cs="Calibri"/>
          <w:color w:val="000000"/>
          <w:u w:color="000000"/>
          <w:bdr w:val="nil"/>
        </w:rPr>
        <w:t xml:space="preserve">Paolo </w:t>
      </w:r>
      <w:r w:rsidR="004F274A" w:rsidRPr="007E4FA9">
        <w:rPr>
          <w:rFonts w:eastAsia="Calibri" w:cs="Calibri"/>
          <w:color w:val="000000"/>
          <w:u w:color="000000"/>
          <w:bdr w:val="nil"/>
        </w:rPr>
        <w:t xml:space="preserve">Lorenzo </w:t>
      </w:r>
      <w:r w:rsidR="00167446" w:rsidRPr="007E4FA9">
        <w:rPr>
          <w:rFonts w:eastAsia="Calibri" w:cs="Calibri"/>
          <w:color w:val="000000"/>
          <w:u w:color="000000"/>
          <w:bdr w:val="nil"/>
        </w:rPr>
        <w:t>Ferrara</w:t>
      </w:r>
      <w:r>
        <w:rPr>
          <w:rFonts w:eastAsia="Calibri" w:cs="Calibri"/>
          <w:i/>
          <w:iCs/>
          <w:color w:val="000000"/>
          <w:u w:color="000000"/>
          <w:bdr w:val="nil"/>
          <w:vertAlign w:val="superscript"/>
        </w:rPr>
        <w:t>a</w:t>
      </w:r>
      <w:r w:rsidR="00DF0F56">
        <w:rPr>
          <w:rFonts w:eastAsia="Calibri" w:cs="Calibri"/>
          <w:i/>
          <w:iCs/>
          <w:color w:val="000000"/>
          <w:u w:color="000000"/>
          <w:bdr w:val="nil"/>
          <w:vertAlign w:val="superscript"/>
        </w:rPr>
        <w:t>*</w:t>
      </w:r>
      <w:r w:rsidR="00AF7979">
        <w:rPr>
          <w:rFonts w:eastAsia="Calibri" w:cs="Calibri"/>
          <w:color w:val="000000"/>
          <w:u w:color="000000"/>
          <w:bdr w:val="nil"/>
        </w:rPr>
        <w:t xml:space="preserve">, </w:t>
      </w:r>
      <w:r w:rsidR="003D0F55">
        <w:rPr>
          <w:rFonts w:eastAsia="Calibri" w:cs="Calibri"/>
          <w:color w:val="000000"/>
          <w:u w:color="000000"/>
          <w:bdr w:val="nil"/>
        </w:rPr>
        <w:t xml:space="preserve">Alessandra </w:t>
      </w:r>
      <w:proofErr w:type="spellStart"/>
      <w:r w:rsidR="003D0F55">
        <w:rPr>
          <w:rFonts w:eastAsia="Calibri" w:cs="Calibri"/>
          <w:color w:val="000000"/>
          <w:u w:color="000000"/>
          <w:bdr w:val="nil"/>
        </w:rPr>
        <w:t>Patti</w:t>
      </w:r>
      <w:r w:rsidR="00ED7E47" w:rsidRPr="007E4FA9">
        <w:rPr>
          <w:rFonts w:eastAsia="Calibri" w:cs="Calibri"/>
          <w:i/>
          <w:iCs/>
          <w:color w:val="000000"/>
          <w:u w:color="000000"/>
          <w:bdr w:val="nil"/>
          <w:vertAlign w:val="superscript"/>
        </w:rPr>
        <w:t>a</w:t>
      </w:r>
      <w:proofErr w:type="spellEnd"/>
    </w:p>
    <w:p w14:paraId="12B04306" w14:textId="052E63B7" w:rsidR="00167446" w:rsidRPr="0033667D" w:rsidRDefault="007E6B56" w:rsidP="002A2298">
      <w:pPr>
        <w:pBdr>
          <w:top w:val="nil"/>
          <w:left w:val="nil"/>
          <w:bottom w:val="nil"/>
          <w:right w:val="nil"/>
          <w:between w:val="nil"/>
          <w:bar w:val="nil"/>
        </w:pBdr>
        <w:spacing w:after="120"/>
        <w:jc w:val="center"/>
        <w:rPr>
          <w:rFonts w:eastAsia="Calibri"/>
          <w:i/>
          <w:iCs/>
          <w:color w:val="000000"/>
          <w:sz w:val="22"/>
          <w:szCs w:val="22"/>
          <w:u w:color="000000"/>
          <w:bdr w:val="nil"/>
          <w:lang w:val="en-GB"/>
        </w:rPr>
      </w:pPr>
      <w:r>
        <w:rPr>
          <w:rFonts w:eastAsia="Calibri"/>
          <w:i/>
          <w:iCs/>
          <w:color w:val="000000"/>
          <w:sz w:val="22"/>
          <w:szCs w:val="22"/>
          <w:u w:color="000000"/>
          <w:bdr w:val="nil"/>
          <w:vertAlign w:val="superscript"/>
          <w:lang w:val="en-GB"/>
        </w:rPr>
        <w:t>a</w:t>
      </w:r>
      <w:r w:rsidR="00FB0710" w:rsidRPr="0033667D">
        <w:rPr>
          <w:rFonts w:eastAsia="Calibri"/>
          <w:i/>
          <w:iCs/>
          <w:color w:val="000000"/>
          <w:sz w:val="22"/>
          <w:szCs w:val="22"/>
          <w:u w:color="000000"/>
          <w:bdr w:val="nil"/>
          <w:vertAlign w:val="superscript"/>
          <w:lang w:val="en-GB"/>
        </w:rPr>
        <w:t xml:space="preserve"> </w:t>
      </w:r>
      <w:r w:rsidR="00167446" w:rsidRPr="0033667D">
        <w:rPr>
          <w:rFonts w:eastAsia="Calibri"/>
          <w:i/>
          <w:iCs/>
          <w:color w:val="000000"/>
          <w:sz w:val="22"/>
          <w:szCs w:val="22"/>
          <w:u w:color="000000"/>
          <w:bdr w:val="nil"/>
          <w:lang w:val="en-GB"/>
        </w:rPr>
        <w:t>D</w:t>
      </w:r>
      <w:r w:rsidR="0033667D" w:rsidRPr="0033667D">
        <w:rPr>
          <w:rFonts w:eastAsia="Calibri"/>
          <w:i/>
          <w:iCs/>
          <w:color w:val="000000"/>
          <w:sz w:val="22"/>
          <w:szCs w:val="22"/>
          <w:u w:color="000000"/>
          <w:bdr w:val="nil"/>
          <w:lang w:val="en-GB"/>
        </w:rPr>
        <w:t>epartment</w:t>
      </w:r>
      <w:r w:rsidR="002F2BFE" w:rsidRPr="0033667D">
        <w:rPr>
          <w:rFonts w:eastAsia="Calibri"/>
          <w:i/>
          <w:iCs/>
          <w:color w:val="000000"/>
          <w:sz w:val="22"/>
          <w:szCs w:val="22"/>
          <w:u w:color="000000"/>
          <w:bdr w:val="nil"/>
          <w:lang w:val="en-GB"/>
        </w:rPr>
        <w:t xml:space="preserve"> </w:t>
      </w:r>
      <w:r w:rsidR="0033667D" w:rsidRPr="0033667D">
        <w:rPr>
          <w:rFonts w:eastAsia="Calibri"/>
          <w:i/>
          <w:iCs/>
          <w:color w:val="000000"/>
          <w:sz w:val="22"/>
          <w:szCs w:val="22"/>
          <w:u w:color="000000"/>
          <w:bdr w:val="nil"/>
          <w:lang w:val="en-GB"/>
        </w:rPr>
        <w:t>of Economics and Bu</w:t>
      </w:r>
      <w:r w:rsidR="0033667D">
        <w:rPr>
          <w:rFonts w:eastAsia="Calibri"/>
          <w:i/>
          <w:iCs/>
          <w:color w:val="000000"/>
          <w:sz w:val="22"/>
          <w:szCs w:val="22"/>
          <w:u w:color="000000"/>
          <w:bdr w:val="nil"/>
          <w:lang w:val="en-GB"/>
        </w:rPr>
        <w:t>siness</w:t>
      </w:r>
      <w:r w:rsidR="00167446" w:rsidRPr="0033667D">
        <w:rPr>
          <w:rFonts w:eastAsia="Calibri"/>
          <w:i/>
          <w:iCs/>
          <w:color w:val="000000"/>
          <w:sz w:val="22"/>
          <w:szCs w:val="22"/>
          <w:u w:color="000000"/>
          <w:bdr w:val="nil"/>
          <w:lang w:val="en-GB"/>
        </w:rPr>
        <w:t>, Universit</w:t>
      </w:r>
      <w:r w:rsidR="0033667D" w:rsidRPr="0033667D">
        <w:rPr>
          <w:rFonts w:eastAsia="Calibri"/>
          <w:i/>
          <w:iCs/>
          <w:color w:val="000000"/>
          <w:sz w:val="22"/>
          <w:szCs w:val="22"/>
          <w:u w:color="000000"/>
          <w:bdr w:val="nil"/>
          <w:lang w:val="en-GB"/>
        </w:rPr>
        <w:t>y</w:t>
      </w:r>
      <w:r w:rsidR="00167446" w:rsidRPr="0033667D">
        <w:rPr>
          <w:rFonts w:eastAsia="Calibri"/>
          <w:i/>
          <w:iCs/>
          <w:color w:val="000000"/>
          <w:sz w:val="22"/>
          <w:szCs w:val="22"/>
          <w:u w:color="000000"/>
          <w:bdr w:val="nil"/>
          <w:lang w:val="en-GB"/>
        </w:rPr>
        <w:t xml:space="preserve"> </w:t>
      </w:r>
      <w:r w:rsidR="0033667D" w:rsidRPr="0033667D">
        <w:rPr>
          <w:rFonts w:eastAsia="Calibri"/>
          <w:i/>
          <w:iCs/>
          <w:color w:val="000000"/>
          <w:sz w:val="22"/>
          <w:szCs w:val="22"/>
          <w:u w:color="000000"/>
          <w:bdr w:val="nil"/>
          <w:lang w:val="en-GB"/>
        </w:rPr>
        <w:t>of</w:t>
      </w:r>
      <w:r w:rsidR="002F2BFE" w:rsidRPr="0033667D">
        <w:rPr>
          <w:rFonts w:eastAsia="Calibri"/>
          <w:i/>
          <w:iCs/>
          <w:color w:val="000000"/>
          <w:sz w:val="22"/>
          <w:szCs w:val="22"/>
          <w:u w:color="000000"/>
          <w:bdr w:val="nil"/>
          <w:lang w:val="en-GB"/>
        </w:rPr>
        <w:t xml:space="preserve"> Catania</w:t>
      </w:r>
      <w:r w:rsidR="002A2298">
        <w:rPr>
          <w:rFonts w:eastAsia="Calibri"/>
          <w:i/>
          <w:iCs/>
          <w:color w:val="000000"/>
          <w:sz w:val="22"/>
          <w:szCs w:val="22"/>
          <w:u w:color="000000"/>
          <w:bdr w:val="nil"/>
          <w:lang w:val="en-GB"/>
        </w:rPr>
        <w:t xml:space="preserve"> (</w:t>
      </w:r>
      <w:r w:rsidR="001937BF">
        <w:rPr>
          <w:rFonts w:eastAsia="Calibri"/>
          <w:i/>
          <w:iCs/>
          <w:color w:val="000000"/>
          <w:sz w:val="22"/>
          <w:szCs w:val="22"/>
          <w:u w:color="000000"/>
          <w:bdr w:val="nil"/>
          <w:lang w:val="en-GB"/>
        </w:rPr>
        <w:t>Italy</w:t>
      </w:r>
      <w:r w:rsidR="002A2298">
        <w:rPr>
          <w:rFonts w:eastAsia="Calibri"/>
          <w:i/>
          <w:iCs/>
          <w:color w:val="000000"/>
          <w:sz w:val="22"/>
          <w:szCs w:val="22"/>
          <w:u w:color="000000"/>
          <w:bdr w:val="nil"/>
          <w:lang w:val="en-GB"/>
        </w:rPr>
        <w:t>)</w:t>
      </w:r>
    </w:p>
    <w:p w14:paraId="0C1F4713" w14:textId="623FAC7F" w:rsidR="002F12D4" w:rsidRPr="007E6B56" w:rsidRDefault="002F12D4" w:rsidP="002F12D4">
      <w:pPr>
        <w:pBdr>
          <w:top w:val="nil"/>
          <w:left w:val="nil"/>
          <w:bottom w:val="nil"/>
          <w:right w:val="nil"/>
          <w:between w:val="nil"/>
          <w:bar w:val="nil"/>
        </w:pBdr>
        <w:spacing w:after="120" w:line="276" w:lineRule="auto"/>
        <w:jc w:val="both"/>
        <w:rPr>
          <w:rFonts w:eastAsia="Arial Unicode MS" w:cs="Arial Unicode MS"/>
          <w:sz w:val="22"/>
          <w:szCs w:val="22"/>
          <w:u w:color="FF0000"/>
          <w:bdr w:val="nil"/>
          <w:lang w:val="en-GB"/>
        </w:rPr>
      </w:pPr>
    </w:p>
    <w:p w14:paraId="3FC964F2" w14:textId="77777777" w:rsidR="007E6B56" w:rsidRPr="007E6B56" w:rsidRDefault="007E6B56" w:rsidP="002F12D4">
      <w:pPr>
        <w:pBdr>
          <w:top w:val="nil"/>
          <w:left w:val="nil"/>
          <w:bottom w:val="nil"/>
          <w:right w:val="nil"/>
          <w:between w:val="nil"/>
          <w:bar w:val="nil"/>
        </w:pBdr>
        <w:spacing w:after="120" w:line="276" w:lineRule="auto"/>
        <w:jc w:val="both"/>
        <w:rPr>
          <w:rFonts w:eastAsia="Arial Unicode MS" w:cs="Arial Unicode MS"/>
          <w:sz w:val="22"/>
          <w:szCs w:val="22"/>
          <w:u w:color="FF0000"/>
          <w:bdr w:val="nil"/>
          <w:lang w:val="en-GB"/>
        </w:rPr>
      </w:pPr>
    </w:p>
    <w:p w14:paraId="0658E7B6" w14:textId="7283D9EF" w:rsidR="00BE6BF2" w:rsidRDefault="00BE6BF2" w:rsidP="00E02FC6">
      <w:pPr>
        <w:pBdr>
          <w:top w:val="nil"/>
          <w:left w:val="nil"/>
          <w:bottom w:val="nil"/>
          <w:right w:val="nil"/>
          <w:between w:val="nil"/>
          <w:bar w:val="nil"/>
        </w:pBdr>
        <w:spacing w:after="120" w:line="276" w:lineRule="auto"/>
        <w:jc w:val="both"/>
        <w:rPr>
          <w:szCs w:val="20"/>
          <w:lang w:val="en-US"/>
        </w:rPr>
      </w:pPr>
      <w:bookmarkStart w:id="1" w:name="_Hlk130991881"/>
    </w:p>
    <w:p w14:paraId="13064F7B" w14:textId="64B74B30" w:rsidR="001A7B5C" w:rsidRDefault="001A7B5C" w:rsidP="001A7B5C">
      <w:pPr>
        <w:pBdr>
          <w:top w:val="nil"/>
          <w:left w:val="nil"/>
          <w:bottom w:val="nil"/>
          <w:right w:val="nil"/>
          <w:between w:val="nil"/>
          <w:bar w:val="nil"/>
        </w:pBdr>
        <w:spacing w:after="120" w:line="276" w:lineRule="auto"/>
        <w:jc w:val="center"/>
        <w:rPr>
          <w:b/>
          <w:bCs/>
          <w:szCs w:val="20"/>
          <w:lang w:val="en-US"/>
        </w:rPr>
      </w:pPr>
      <w:r w:rsidRPr="00ED6C06">
        <w:rPr>
          <w:b/>
          <w:bCs/>
          <w:szCs w:val="20"/>
          <w:lang w:val="en-US"/>
        </w:rPr>
        <w:t>Abstract</w:t>
      </w:r>
    </w:p>
    <w:p w14:paraId="66CC4AF3" w14:textId="046C1F4A" w:rsidR="001A7B5C" w:rsidRPr="00ED6C06" w:rsidRDefault="001A7B5C" w:rsidP="00ED6C06">
      <w:pPr>
        <w:spacing w:before="100" w:beforeAutospacing="1" w:after="100" w:afterAutospacing="1" w:line="276" w:lineRule="auto"/>
        <w:jc w:val="both"/>
        <w:rPr>
          <w:szCs w:val="20"/>
          <w:lang w:val="en-GB"/>
        </w:rPr>
      </w:pPr>
      <w:r w:rsidRPr="00ED6C06">
        <w:rPr>
          <w:szCs w:val="20"/>
          <w:lang w:val="en-GB"/>
        </w:rPr>
        <w:t xml:space="preserve">In recent decades, </w:t>
      </w:r>
      <w:r w:rsidR="00DC0DD7">
        <w:rPr>
          <w:szCs w:val="20"/>
          <w:lang w:val="en-GB"/>
        </w:rPr>
        <w:t xml:space="preserve">the </w:t>
      </w:r>
      <w:r w:rsidR="00DC0DD7" w:rsidRPr="001472AA">
        <w:rPr>
          <w:szCs w:val="20"/>
          <w:lang w:val="en-GB"/>
        </w:rPr>
        <w:t xml:space="preserve">excessive duration of </w:t>
      </w:r>
      <w:r w:rsidR="00DC0DD7">
        <w:rPr>
          <w:szCs w:val="20"/>
          <w:lang w:val="en-GB"/>
        </w:rPr>
        <w:t xml:space="preserve">legal </w:t>
      </w:r>
      <w:r w:rsidR="00DC0DD7" w:rsidRPr="001472AA">
        <w:rPr>
          <w:szCs w:val="20"/>
          <w:lang w:val="en-GB"/>
        </w:rPr>
        <w:t>disputes has been identified</w:t>
      </w:r>
      <w:r w:rsidR="00DC0DD7">
        <w:rPr>
          <w:szCs w:val="20"/>
          <w:lang w:val="en-GB"/>
        </w:rPr>
        <w:t xml:space="preserve"> by scholars</w:t>
      </w:r>
      <w:r w:rsidR="00DC0DD7" w:rsidRPr="001472AA">
        <w:rPr>
          <w:szCs w:val="20"/>
          <w:lang w:val="en-GB"/>
        </w:rPr>
        <w:t xml:space="preserve"> as </w:t>
      </w:r>
      <w:r w:rsidR="00DC0DD7">
        <w:rPr>
          <w:szCs w:val="20"/>
          <w:lang w:val="en-GB"/>
        </w:rPr>
        <w:t>a critical factor</w:t>
      </w:r>
      <w:r w:rsidR="00DC0DD7" w:rsidRPr="001472AA">
        <w:rPr>
          <w:szCs w:val="20"/>
          <w:lang w:val="en-GB"/>
        </w:rPr>
        <w:t xml:space="preserve"> </w:t>
      </w:r>
      <w:r w:rsidR="00DC0DD7">
        <w:rPr>
          <w:szCs w:val="20"/>
          <w:lang w:val="en-GB"/>
        </w:rPr>
        <w:t>contributing to</w:t>
      </w:r>
      <w:r w:rsidR="00DC0DD7" w:rsidRPr="001472AA">
        <w:rPr>
          <w:szCs w:val="20"/>
          <w:lang w:val="en-GB"/>
        </w:rPr>
        <w:t xml:space="preserve"> judicial inefficiencies</w:t>
      </w:r>
      <w:r w:rsidR="00DC0DD7">
        <w:rPr>
          <w:szCs w:val="20"/>
          <w:lang w:val="en-GB"/>
        </w:rPr>
        <w:t xml:space="preserve"> </w:t>
      </w:r>
      <w:r w:rsidR="00DC0DD7" w:rsidRPr="00AA1FC2">
        <w:rPr>
          <w:lang w:val="en-GB"/>
        </w:rPr>
        <w:t>and</w:t>
      </w:r>
      <w:r w:rsidRPr="00ED6C06">
        <w:rPr>
          <w:szCs w:val="20"/>
          <w:lang w:val="en-GB"/>
        </w:rPr>
        <w:t xml:space="preserve">, consequently, to the economic </w:t>
      </w:r>
      <w:r>
        <w:rPr>
          <w:szCs w:val="20"/>
          <w:lang w:val="en-GB"/>
        </w:rPr>
        <w:t>growth</w:t>
      </w:r>
      <w:r w:rsidRPr="00ED6C06">
        <w:rPr>
          <w:szCs w:val="20"/>
          <w:lang w:val="en-GB"/>
        </w:rPr>
        <w:t xml:space="preserve"> of a country. </w:t>
      </w:r>
      <w:r w:rsidR="00FB596F">
        <w:rPr>
          <w:szCs w:val="20"/>
          <w:lang w:val="en-GB"/>
        </w:rPr>
        <w:t>Hence</w:t>
      </w:r>
      <w:r w:rsidRPr="00ED6C06">
        <w:rPr>
          <w:szCs w:val="20"/>
          <w:lang w:val="en-GB"/>
        </w:rPr>
        <w:t xml:space="preserve">, this paper aims to </w:t>
      </w:r>
      <w:r w:rsidR="00F050C3">
        <w:rPr>
          <w:szCs w:val="20"/>
          <w:lang w:val="en-GB"/>
        </w:rPr>
        <w:t>analyse</w:t>
      </w:r>
      <w:r w:rsidRPr="00ED6C06">
        <w:rPr>
          <w:szCs w:val="20"/>
          <w:lang w:val="en-GB"/>
        </w:rPr>
        <w:t xml:space="preserve"> factors that influence the duration of such disputes.</w:t>
      </w:r>
      <w:r>
        <w:rPr>
          <w:szCs w:val="20"/>
          <w:lang w:val="en-GB"/>
        </w:rPr>
        <w:t xml:space="preserve"> </w:t>
      </w:r>
      <w:r w:rsidRPr="00ED6C06">
        <w:rPr>
          <w:szCs w:val="20"/>
          <w:lang w:val="en-GB"/>
        </w:rPr>
        <w:t xml:space="preserve">To address this objective, we utilize a cross-sectional dataset comprising </w:t>
      </w:r>
      <w:r w:rsidR="00000CF5">
        <w:rPr>
          <w:szCs w:val="20"/>
          <w:lang w:val="en-GB"/>
        </w:rPr>
        <w:t>16,789</w:t>
      </w:r>
      <w:r w:rsidRPr="00ED6C06">
        <w:rPr>
          <w:szCs w:val="20"/>
          <w:lang w:val="en-GB"/>
        </w:rPr>
        <w:t xml:space="preserve"> first-instance civil verdicts pronounced in 2022 by </w:t>
      </w:r>
      <w:r w:rsidR="007A615A" w:rsidRPr="007A615A">
        <w:rPr>
          <w:szCs w:val="20"/>
          <w:lang w:val="en-GB"/>
        </w:rPr>
        <w:t xml:space="preserve">ten </w:t>
      </w:r>
      <w:r w:rsidR="00A44F26">
        <w:rPr>
          <w:szCs w:val="20"/>
          <w:lang w:val="en-GB"/>
        </w:rPr>
        <w:t xml:space="preserve">first instance </w:t>
      </w:r>
      <w:r w:rsidR="007A615A" w:rsidRPr="007A615A">
        <w:rPr>
          <w:szCs w:val="20"/>
          <w:lang w:val="en-GB"/>
        </w:rPr>
        <w:t>Civil Courts in Sicily (Italy).</w:t>
      </w:r>
      <w:r w:rsidR="00F050C3">
        <w:rPr>
          <w:szCs w:val="20"/>
          <w:lang w:val="en-GB"/>
        </w:rPr>
        <w:t xml:space="preserve"> </w:t>
      </w:r>
      <w:r w:rsidRPr="00ED6C06">
        <w:rPr>
          <w:szCs w:val="20"/>
          <w:lang w:val="en-GB"/>
        </w:rPr>
        <w:t xml:space="preserve">Specifically, by examining twelve distinct categories of civil litigation codes, </w:t>
      </w:r>
      <w:r w:rsidR="009D5DD6">
        <w:rPr>
          <w:szCs w:val="20"/>
          <w:lang w:val="en-GB"/>
        </w:rPr>
        <w:t>namely</w:t>
      </w:r>
      <w:r>
        <w:rPr>
          <w:szCs w:val="20"/>
          <w:lang w:val="en-GB"/>
        </w:rPr>
        <w:t xml:space="preserve"> </w:t>
      </w:r>
      <w:r w:rsidRPr="00ED6C06">
        <w:rPr>
          <w:szCs w:val="20"/>
          <w:lang w:val="en-GB"/>
        </w:rPr>
        <w:t>personality rights, family rights, property rights and inheritance law, contracts and obligations, liability</w:t>
      </w:r>
      <w:r w:rsidR="0051096F">
        <w:rPr>
          <w:szCs w:val="20"/>
          <w:lang w:val="en-GB"/>
        </w:rPr>
        <w:t xml:space="preserve"> for tort</w:t>
      </w:r>
      <w:r w:rsidRPr="00ED6C06">
        <w:rPr>
          <w:szCs w:val="20"/>
          <w:lang w:val="en-GB"/>
        </w:rPr>
        <w:t xml:space="preserve">, legal </w:t>
      </w:r>
      <w:r w:rsidRPr="007A615A">
        <w:rPr>
          <w:szCs w:val="20"/>
          <w:lang w:val="en-GB"/>
        </w:rPr>
        <w:t xml:space="preserve">entities, company law, lease and </w:t>
      </w:r>
      <w:proofErr w:type="spellStart"/>
      <w:r w:rsidRPr="007A615A">
        <w:rPr>
          <w:szCs w:val="20"/>
          <w:lang w:val="en-GB"/>
        </w:rPr>
        <w:t>commodat</w:t>
      </w:r>
      <w:r w:rsidR="00ED2E2F">
        <w:rPr>
          <w:szCs w:val="20"/>
          <w:lang w:val="en-GB"/>
        </w:rPr>
        <w:t>um</w:t>
      </w:r>
      <w:proofErr w:type="spellEnd"/>
      <w:r w:rsidRPr="007A615A">
        <w:rPr>
          <w:szCs w:val="20"/>
          <w:lang w:val="en-GB"/>
        </w:rPr>
        <w:t>, bankruptcy, administrative law, banking law, and other institutions, we find that the duration of disputes</w:t>
      </w:r>
      <w:r w:rsidR="005757AF">
        <w:rPr>
          <w:szCs w:val="20"/>
          <w:lang w:val="en-GB"/>
        </w:rPr>
        <w:t xml:space="preserve"> </w:t>
      </w:r>
      <w:r w:rsidRPr="007A615A">
        <w:rPr>
          <w:szCs w:val="20"/>
          <w:lang w:val="en-GB"/>
        </w:rPr>
        <w:t xml:space="preserve">is significantly influenced by the </w:t>
      </w:r>
      <w:r w:rsidR="00F56368" w:rsidRPr="007A615A">
        <w:rPr>
          <w:szCs w:val="20"/>
          <w:lang w:val="en-GB"/>
        </w:rPr>
        <w:t>topic</w:t>
      </w:r>
      <w:r w:rsidRPr="007A615A">
        <w:rPr>
          <w:szCs w:val="20"/>
          <w:lang w:val="en-GB"/>
        </w:rPr>
        <w:t xml:space="preserve">. Notably, cases involving personality rights exhibit the longest average duration, </w:t>
      </w:r>
      <w:r w:rsidR="00161DE2">
        <w:rPr>
          <w:szCs w:val="20"/>
          <w:lang w:val="en-GB"/>
        </w:rPr>
        <w:t>whereas</w:t>
      </w:r>
      <w:r w:rsidRPr="007A615A">
        <w:rPr>
          <w:szCs w:val="20"/>
          <w:lang w:val="en-GB"/>
        </w:rPr>
        <w:t xml:space="preserve"> those </w:t>
      </w:r>
      <w:r w:rsidR="00161DE2">
        <w:rPr>
          <w:szCs w:val="20"/>
          <w:lang w:val="en-GB"/>
        </w:rPr>
        <w:t>concerning</w:t>
      </w:r>
      <w:r w:rsidRPr="007A615A">
        <w:rPr>
          <w:szCs w:val="20"/>
          <w:lang w:val="en-GB"/>
        </w:rPr>
        <w:t xml:space="preserve"> family rights display the shortest. </w:t>
      </w:r>
      <w:r w:rsidR="007E1E7F">
        <w:rPr>
          <w:szCs w:val="20"/>
          <w:lang w:val="en-GB"/>
        </w:rPr>
        <w:t xml:space="preserve">In addition, using a </w:t>
      </w:r>
      <w:r w:rsidR="00DC69ED">
        <w:rPr>
          <w:szCs w:val="20"/>
          <w:lang w:val="en-GB"/>
        </w:rPr>
        <w:t xml:space="preserve">set of </w:t>
      </w:r>
      <w:r w:rsidR="007E1E7F">
        <w:rPr>
          <w:szCs w:val="20"/>
          <w:lang w:val="en-GB"/>
        </w:rPr>
        <w:t>quantitative i</w:t>
      </w:r>
      <w:r w:rsidR="007E1E7F" w:rsidRPr="007E1E7F">
        <w:rPr>
          <w:szCs w:val="20"/>
          <w:lang w:val="en-GB"/>
        </w:rPr>
        <w:t>ndicator</w:t>
      </w:r>
      <w:r w:rsidR="00DC69ED">
        <w:rPr>
          <w:szCs w:val="20"/>
          <w:lang w:val="en-GB"/>
        </w:rPr>
        <w:t>s</w:t>
      </w:r>
      <w:r w:rsidR="007E1E7F" w:rsidRPr="007E1E7F">
        <w:rPr>
          <w:szCs w:val="20"/>
          <w:lang w:val="en-GB"/>
        </w:rPr>
        <w:t xml:space="preserve"> of </w:t>
      </w:r>
      <w:r w:rsidR="0056764D">
        <w:rPr>
          <w:szCs w:val="20"/>
          <w:lang w:val="en-GB"/>
        </w:rPr>
        <w:t>regulatory</w:t>
      </w:r>
      <w:r w:rsidR="007E1E7F" w:rsidRPr="007E1E7F">
        <w:rPr>
          <w:szCs w:val="20"/>
          <w:lang w:val="en-GB"/>
        </w:rPr>
        <w:t xml:space="preserve"> complexity</w:t>
      </w:r>
      <w:r w:rsidR="001A75C8">
        <w:rPr>
          <w:szCs w:val="20"/>
          <w:lang w:val="en-GB"/>
        </w:rPr>
        <w:t xml:space="preserve"> at topic level</w:t>
      </w:r>
      <w:r w:rsidR="007E1E7F">
        <w:rPr>
          <w:szCs w:val="20"/>
          <w:lang w:val="en-GB"/>
        </w:rPr>
        <w:t xml:space="preserve"> we show that complexity matters in determining dispute time duration. </w:t>
      </w:r>
      <w:r w:rsidR="0064238F">
        <w:rPr>
          <w:szCs w:val="20"/>
          <w:lang w:val="en-GB"/>
        </w:rPr>
        <w:t xml:space="preserve">From </w:t>
      </w:r>
      <w:r w:rsidR="00431532">
        <w:rPr>
          <w:szCs w:val="20"/>
          <w:lang w:val="en-GB"/>
        </w:rPr>
        <w:t>a policy perspective, t</w:t>
      </w:r>
      <w:r w:rsidRPr="007A615A">
        <w:rPr>
          <w:szCs w:val="20"/>
          <w:lang w:val="en-GB"/>
        </w:rPr>
        <w:t>hese findings carry noteworthy implications regarding resource allocation across sectors of judicial administration</w:t>
      </w:r>
      <w:r w:rsidR="007E1E7F">
        <w:rPr>
          <w:szCs w:val="20"/>
          <w:lang w:val="en-GB"/>
        </w:rPr>
        <w:t xml:space="preserve"> and </w:t>
      </w:r>
      <w:r w:rsidR="00431532">
        <w:rPr>
          <w:szCs w:val="20"/>
          <w:lang w:val="en-GB"/>
        </w:rPr>
        <w:t>foster</w:t>
      </w:r>
      <w:r w:rsidR="007E1E7F">
        <w:rPr>
          <w:szCs w:val="20"/>
          <w:lang w:val="en-GB"/>
        </w:rPr>
        <w:t xml:space="preserve"> </w:t>
      </w:r>
      <w:r w:rsidR="00431532">
        <w:rPr>
          <w:szCs w:val="20"/>
          <w:lang w:val="en-GB"/>
        </w:rPr>
        <w:t xml:space="preserve">regulatory simplification. </w:t>
      </w:r>
    </w:p>
    <w:bookmarkEnd w:id="1"/>
    <w:p w14:paraId="782295E1" w14:textId="59771CF4" w:rsidR="004F5ADA" w:rsidRPr="00400A6D" w:rsidRDefault="004F5ADA" w:rsidP="00E02FC6">
      <w:pPr>
        <w:pBdr>
          <w:top w:val="nil"/>
          <w:left w:val="nil"/>
          <w:bottom w:val="nil"/>
          <w:right w:val="nil"/>
          <w:between w:val="nil"/>
          <w:bar w:val="nil"/>
        </w:pBdr>
        <w:spacing w:after="120" w:line="276" w:lineRule="auto"/>
        <w:jc w:val="both"/>
        <w:rPr>
          <w:rFonts w:eastAsia="Arial Unicode MS" w:cs="Arial Unicode MS"/>
          <w:u w:color="000000"/>
          <w:bdr w:val="nil"/>
          <w:lang w:val="en-GB"/>
        </w:rPr>
      </w:pPr>
      <w:r w:rsidRPr="00400A6D">
        <w:rPr>
          <w:rFonts w:eastAsia="Arial Unicode MS" w:cs="Arial Unicode MS"/>
          <w:b/>
          <w:bCs/>
          <w:u w:color="FF0000"/>
          <w:bdr w:val="nil"/>
          <w:lang w:val="en-GB"/>
        </w:rPr>
        <w:t>JEL C</w:t>
      </w:r>
      <w:r w:rsidR="001735EC" w:rsidRPr="00400A6D">
        <w:rPr>
          <w:rFonts w:eastAsia="Arial Unicode MS" w:cs="Arial Unicode MS"/>
          <w:b/>
          <w:bCs/>
          <w:u w:color="FF0000"/>
          <w:bdr w:val="nil"/>
          <w:lang w:val="en-GB"/>
        </w:rPr>
        <w:t>ode</w:t>
      </w:r>
      <w:r w:rsidRPr="00400A6D">
        <w:rPr>
          <w:rFonts w:eastAsia="Arial Unicode MS" w:cs="Arial Unicode MS"/>
          <w:b/>
          <w:bCs/>
          <w:u w:color="FF0000"/>
          <w:bdr w:val="nil"/>
          <w:lang w:val="en-GB"/>
        </w:rPr>
        <w:t xml:space="preserve">: </w:t>
      </w:r>
      <w:r w:rsidR="00DC5FCC" w:rsidRPr="00DC5FCC">
        <w:rPr>
          <w:rFonts w:eastAsia="Arial Unicode MS" w:cs="Arial Unicode MS"/>
          <w:u w:color="FF0000"/>
          <w:bdr w:val="nil"/>
          <w:lang w:val="en-GB"/>
        </w:rPr>
        <w:t xml:space="preserve">C31; </w:t>
      </w:r>
      <w:r w:rsidR="00FF5149" w:rsidRPr="00DC5FCC">
        <w:rPr>
          <w:rFonts w:eastAsia="Arial Unicode MS" w:cs="Arial Unicode MS"/>
          <w:u w:color="FF0000"/>
          <w:bdr w:val="nil"/>
          <w:lang w:val="en-GB"/>
        </w:rPr>
        <w:t xml:space="preserve">H40; </w:t>
      </w:r>
      <w:r w:rsidR="007E6B56" w:rsidRPr="00DC5FCC">
        <w:rPr>
          <w:rFonts w:eastAsia="Arial Unicode MS" w:cs="Arial Unicode MS"/>
          <w:u w:color="FF0000"/>
          <w:bdr w:val="nil"/>
          <w:lang w:val="fr-FR"/>
        </w:rPr>
        <w:t>K41</w:t>
      </w:r>
    </w:p>
    <w:p w14:paraId="7AD7C9ED" w14:textId="47030652" w:rsidR="007E6B56" w:rsidRPr="007E6B56" w:rsidRDefault="004F5ADA" w:rsidP="00E02FC6">
      <w:pPr>
        <w:pBdr>
          <w:top w:val="nil"/>
          <w:left w:val="nil"/>
          <w:bottom w:val="nil"/>
          <w:right w:val="nil"/>
          <w:between w:val="nil"/>
          <w:bar w:val="nil"/>
        </w:pBdr>
        <w:spacing w:after="120" w:line="276" w:lineRule="auto"/>
        <w:jc w:val="both"/>
        <w:rPr>
          <w:rFonts w:eastAsia="Arial Unicode MS" w:cs="Arial Unicode MS"/>
          <w:u w:color="FF0000"/>
          <w:bdr w:val="nil"/>
          <w:lang w:val="en-GB"/>
        </w:rPr>
      </w:pPr>
      <w:r w:rsidRPr="007E6B56">
        <w:rPr>
          <w:rFonts w:eastAsia="Arial Unicode MS" w:cs="Arial Unicode MS"/>
          <w:b/>
          <w:bCs/>
          <w:u w:color="FF0000"/>
          <w:bdr w:val="nil"/>
          <w:lang w:val="en-GB"/>
        </w:rPr>
        <w:t xml:space="preserve">Keywords: </w:t>
      </w:r>
      <w:r w:rsidR="00624B17" w:rsidRPr="00CE319D">
        <w:rPr>
          <w:rFonts w:eastAsia="Arial Unicode MS" w:cs="Arial Unicode MS"/>
          <w:u w:color="FF0000"/>
          <w:bdr w:val="nil"/>
          <w:lang w:val="en-GB"/>
        </w:rPr>
        <w:t>l</w:t>
      </w:r>
      <w:r w:rsidR="007E6B56" w:rsidRPr="00CE319D">
        <w:rPr>
          <w:rFonts w:eastAsia="Arial Unicode MS" w:cs="Arial Unicode MS"/>
          <w:u w:color="FF0000"/>
          <w:bdr w:val="nil"/>
          <w:lang w:val="en-GB"/>
        </w:rPr>
        <w:t xml:space="preserve">egal civil </w:t>
      </w:r>
      <w:r w:rsidR="00C150A2" w:rsidRPr="00CE319D">
        <w:rPr>
          <w:rFonts w:eastAsia="Arial Unicode MS" w:cs="Arial Unicode MS"/>
          <w:u w:color="FF0000"/>
          <w:bdr w:val="nil"/>
          <w:lang w:val="en-GB"/>
        </w:rPr>
        <w:t>d</w:t>
      </w:r>
      <w:r w:rsidR="007E6B56" w:rsidRPr="00CE319D">
        <w:rPr>
          <w:rFonts w:eastAsia="Arial Unicode MS" w:cs="Arial Unicode MS"/>
          <w:u w:color="FF0000"/>
          <w:bdr w:val="nil"/>
          <w:lang w:val="en-GB"/>
        </w:rPr>
        <w:t xml:space="preserve">isputes; </w:t>
      </w:r>
      <w:r w:rsidR="00624B17" w:rsidRPr="00CE319D">
        <w:rPr>
          <w:rFonts w:eastAsia="Arial Unicode MS" w:cs="Arial Unicode MS"/>
          <w:u w:color="FF0000"/>
          <w:bdr w:val="nil"/>
          <w:lang w:val="en-GB"/>
        </w:rPr>
        <w:t>d</w:t>
      </w:r>
      <w:r w:rsidR="00C150A2" w:rsidRPr="00CE319D">
        <w:rPr>
          <w:rFonts w:eastAsia="Arial Unicode MS" w:cs="Arial Unicode MS"/>
          <w:u w:color="FF0000"/>
          <w:bdr w:val="nil"/>
          <w:lang w:val="en-GB"/>
        </w:rPr>
        <w:t>uration</w:t>
      </w:r>
      <w:r w:rsidR="00DC5FCC" w:rsidRPr="00CE319D">
        <w:rPr>
          <w:rFonts w:eastAsia="Arial Unicode MS" w:cs="Arial Unicode MS"/>
          <w:u w:color="FF0000"/>
          <w:bdr w:val="nil"/>
          <w:lang w:val="en-GB"/>
        </w:rPr>
        <w:t xml:space="preserve"> of disputes</w:t>
      </w:r>
      <w:r w:rsidR="00C150A2" w:rsidRPr="00CE319D">
        <w:rPr>
          <w:rFonts w:eastAsia="Arial Unicode MS" w:cs="Arial Unicode MS"/>
          <w:u w:color="FF0000"/>
          <w:bdr w:val="nil"/>
          <w:lang w:val="en-GB"/>
        </w:rPr>
        <w:t xml:space="preserve">; </w:t>
      </w:r>
      <w:r w:rsidR="00624B17" w:rsidRPr="00CE319D">
        <w:rPr>
          <w:rFonts w:eastAsia="Arial Unicode MS" w:cs="Arial Unicode MS"/>
          <w:u w:color="FF0000"/>
          <w:bdr w:val="nil"/>
          <w:lang w:val="en-GB"/>
        </w:rPr>
        <w:t>j</w:t>
      </w:r>
      <w:r w:rsidR="005B7494" w:rsidRPr="00CE319D">
        <w:rPr>
          <w:rFonts w:eastAsia="Arial Unicode MS" w:cs="Arial Unicode MS"/>
          <w:u w:color="FF0000"/>
          <w:bdr w:val="nil"/>
          <w:lang w:val="en-GB"/>
        </w:rPr>
        <w:t xml:space="preserve">ustice </w:t>
      </w:r>
      <w:r w:rsidR="00C150A2" w:rsidRPr="00CE319D">
        <w:rPr>
          <w:rFonts w:eastAsia="Arial Unicode MS" w:cs="Arial Unicode MS"/>
          <w:u w:color="FF0000"/>
          <w:bdr w:val="nil"/>
          <w:lang w:val="en-GB"/>
        </w:rPr>
        <w:t>in</w:t>
      </w:r>
      <w:r w:rsidR="005B7494" w:rsidRPr="00CE319D">
        <w:rPr>
          <w:rFonts w:eastAsia="Arial Unicode MS" w:cs="Arial Unicode MS"/>
          <w:u w:color="FF0000"/>
          <w:bdr w:val="nil"/>
          <w:lang w:val="en-GB"/>
        </w:rPr>
        <w:t>efficienc</w:t>
      </w:r>
      <w:r w:rsidR="00C150A2" w:rsidRPr="00CE319D">
        <w:rPr>
          <w:rFonts w:eastAsia="Arial Unicode MS" w:cs="Arial Unicode MS"/>
          <w:u w:color="FF0000"/>
          <w:bdr w:val="nil"/>
          <w:lang w:val="en-GB"/>
        </w:rPr>
        <w:t>ies</w:t>
      </w:r>
      <w:r w:rsidR="00DC5FCC" w:rsidRPr="00CE319D">
        <w:rPr>
          <w:rFonts w:eastAsia="Arial Unicode MS" w:cs="Arial Unicode MS"/>
          <w:u w:color="FF0000"/>
          <w:bdr w:val="nil"/>
          <w:lang w:val="en-GB"/>
        </w:rPr>
        <w:t xml:space="preserve">; </w:t>
      </w:r>
      <w:r w:rsidR="00624B17" w:rsidRPr="00CE319D">
        <w:rPr>
          <w:rFonts w:eastAsia="Arial Unicode MS" w:cs="Arial Unicode MS"/>
          <w:u w:color="FF0000"/>
          <w:bdr w:val="nil"/>
          <w:lang w:val="en-GB"/>
        </w:rPr>
        <w:t>f</w:t>
      </w:r>
      <w:r w:rsidR="002E758D" w:rsidRPr="00CE319D">
        <w:rPr>
          <w:rFonts w:eastAsia="Arial Unicode MS" w:cs="Arial Unicode MS"/>
          <w:u w:color="FF0000"/>
          <w:bdr w:val="nil"/>
          <w:lang w:val="en-GB"/>
        </w:rPr>
        <w:t>irst instance courts;</w:t>
      </w:r>
      <w:r w:rsidR="00DC5FCC" w:rsidRPr="00CE319D">
        <w:rPr>
          <w:rFonts w:eastAsia="Arial Unicode MS" w:cs="Arial Unicode MS"/>
          <w:u w:color="FF0000"/>
          <w:bdr w:val="nil"/>
          <w:lang w:val="en-GB"/>
        </w:rPr>
        <w:t xml:space="preserve"> </w:t>
      </w:r>
      <w:r w:rsidR="0056764D">
        <w:rPr>
          <w:rFonts w:eastAsia="Arial Unicode MS" w:cs="Arial Unicode MS"/>
          <w:u w:color="FF0000"/>
          <w:bdr w:val="nil"/>
          <w:lang w:val="en-GB"/>
        </w:rPr>
        <w:t>regulatory</w:t>
      </w:r>
      <w:r w:rsidR="007E1E7F" w:rsidRPr="007E1E7F">
        <w:rPr>
          <w:rFonts w:eastAsia="Arial Unicode MS" w:cs="Arial Unicode MS"/>
          <w:u w:color="FF0000"/>
          <w:bdr w:val="nil"/>
          <w:lang w:val="en-GB"/>
        </w:rPr>
        <w:t xml:space="preserve"> complexity</w:t>
      </w:r>
      <w:r w:rsidR="007E1E7F">
        <w:rPr>
          <w:rFonts w:eastAsia="Arial Unicode MS" w:cs="Arial Unicode MS"/>
          <w:u w:color="FF0000"/>
          <w:bdr w:val="nil"/>
          <w:lang w:val="en-GB"/>
        </w:rPr>
        <w:t xml:space="preserve">; </w:t>
      </w:r>
      <w:r w:rsidR="00624B17" w:rsidRPr="00CE319D">
        <w:rPr>
          <w:rFonts w:eastAsia="Arial Unicode MS" w:cs="Arial Unicode MS"/>
          <w:u w:color="FF0000"/>
          <w:bdr w:val="nil"/>
          <w:lang w:val="en-GB"/>
        </w:rPr>
        <w:t>c</w:t>
      </w:r>
      <w:r w:rsidR="00DC5FCC" w:rsidRPr="00CE319D">
        <w:rPr>
          <w:rFonts w:eastAsia="Arial Unicode MS" w:cs="Arial Unicode MS"/>
          <w:u w:color="FF0000"/>
          <w:bdr w:val="nil"/>
          <w:lang w:val="en-GB"/>
        </w:rPr>
        <w:t>ross-sectional microdata</w:t>
      </w:r>
    </w:p>
    <w:p w14:paraId="694ACAA6" w14:textId="436A7BD0" w:rsidR="00570566" w:rsidRPr="007E6B56" w:rsidRDefault="00570566" w:rsidP="00E02FC6">
      <w:pPr>
        <w:pBdr>
          <w:top w:val="nil"/>
          <w:left w:val="nil"/>
          <w:bottom w:val="nil"/>
          <w:right w:val="nil"/>
          <w:between w:val="nil"/>
          <w:bar w:val="nil"/>
        </w:pBdr>
        <w:spacing w:after="120" w:line="276" w:lineRule="auto"/>
        <w:jc w:val="both"/>
        <w:rPr>
          <w:rFonts w:eastAsia="Arial Unicode MS" w:cs="Arial Unicode MS"/>
          <w:u w:color="FF0000"/>
          <w:bdr w:val="nil"/>
          <w:lang w:val="en-GB"/>
        </w:rPr>
      </w:pPr>
    </w:p>
    <w:p w14:paraId="6DACE10F" w14:textId="311BD6FD" w:rsidR="00DF0F56" w:rsidRPr="007E6B56" w:rsidRDefault="00030DF3" w:rsidP="00E02FC6">
      <w:pPr>
        <w:spacing w:after="120" w:line="276" w:lineRule="auto"/>
        <w:jc w:val="both"/>
        <w:rPr>
          <w:rFonts w:eastAsia="Arial Unicode MS" w:cs="Arial Unicode MS"/>
          <w:sz w:val="20"/>
          <w:szCs w:val="20"/>
          <w:bdr w:val="none" w:sz="0" w:space="0" w:color="auto" w:frame="1"/>
          <w:lang w:val="en-GB"/>
        </w:rPr>
      </w:pPr>
      <w:r w:rsidRPr="007E6B56">
        <w:rPr>
          <w:rFonts w:eastAsia="Arial Unicode MS" w:cs="Arial Unicode MS"/>
          <w:sz w:val="20"/>
          <w:szCs w:val="20"/>
          <w:bdr w:val="none" w:sz="0" w:space="0" w:color="auto" w:frame="1"/>
          <w:lang w:val="en-GB"/>
        </w:rPr>
        <w:t xml:space="preserve">* Corresponding author: </w:t>
      </w:r>
      <w:bookmarkEnd w:id="0"/>
    </w:p>
    <w:p w14:paraId="60340F03" w14:textId="20251344" w:rsidR="00CF05B3" w:rsidRPr="004A4E12" w:rsidRDefault="00DF0F56" w:rsidP="00E02FC6">
      <w:pPr>
        <w:spacing w:after="120" w:line="276" w:lineRule="auto"/>
        <w:jc w:val="both"/>
        <w:rPr>
          <w:rFonts w:eastAsia="Arial Unicode MS" w:cs="Arial Unicode MS"/>
          <w:sz w:val="20"/>
          <w:szCs w:val="20"/>
          <w:bdr w:val="none" w:sz="0" w:space="0" w:color="auto" w:frame="1"/>
          <w:lang w:val="en-GB"/>
        </w:rPr>
      </w:pPr>
      <w:r w:rsidRPr="0033667D">
        <w:rPr>
          <w:rFonts w:eastAsia="Arial Unicode MS" w:cs="Arial Unicode MS"/>
          <w:sz w:val="20"/>
          <w:szCs w:val="20"/>
          <w:bdr w:val="none" w:sz="0" w:space="0" w:color="auto" w:frame="1"/>
          <w:lang w:val="en-GB"/>
        </w:rPr>
        <w:t>D</w:t>
      </w:r>
      <w:r w:rsidR="0033667D" w:rsidRPr="0033667D">
        <w:rPr>
          <w:rFonts w:eastAsia="Arial Unicode MS" w:cs="Arial Unicode MS"/>
          <w:sz w:val="20"/>
          <w:szCs w:val="20"/>
          <w:bdr w:val="none" w:sz="0" w:space="0" w:color="auto" w:frame="1"/>
          <w:lang w:val="en-GB"/>
        </w:rPr>
        <w:t>epartment of Economics and Business,</w:t>
      </w:r>
      <w:r w:rsidRPr="0033667D">
        <w:rPr>
          <w:rFonts w:eastAsia="Arial Unicode MS" w:cs="Arial Unicode MS"/>
          <w:sz w:val="20"/>
          <w:szCs w:val="20"/>
          <w:bdr w:val="none" w:sz="0" w:space="0" w:color="auto" w:frame="1"/>
          <w:lang w:val="en-GB"/>
        </w:rPr>
        <w:t xml:space="preserve"> Universi</w:t>
      </w:r>
      <w:r w:rsidR="0033667D" w:rsidRPr="0033667D">
        <w:rPr>
          <w:rFonts w:eastAsia="Arial Unicode MS" w:cs="Arial Unicode MS"/>
          <w:sz w:val="20"/>
          <w:szCs w:val="20"/>
          <w:bdr w:val="none" w:sz="0" w:space="0" w:color="auto" w:frame="1"/>
          <w:lang w:val="en-GB"/>
        </w:rPr>
        <w:t>ty of Catania</w:t>
      </w:r>
      <w:r w:rsidRPr="0033667D">
        <w:rPr>
          <w:rFonts w:eastAsia="Arial Unicode MS" w:cs="Arial Unicode MS"/>
          <w:sz w:val="20"/>
          <w:szCs w:val="20"/>
          <w:bdr w:val="none" w:sz="0" w:space="0" w:color="auto" w:frame="1"/>
          <w:lang w:val="en-GB"/>
        </w:rPr>
        <w:t>, Corso Italia</w:t>
      </w:r>
      <w:r w:rsidR="00570566" w:rsidRPr="0033667D">
        <w:rPr>
          <w:rFonts w:eastAsia="Arial Unicode MS" w:cs="Arial Unicode MS"/>
          <w:sz w:val="20"/>
          <w:szCs w:val="20"/>
          <w:bdr w:val="none" w:sz="0" w:space="0" w:color="auto" w:frame="1"/>
          <w:lang w:val="en-GB"/>
        </w:rPr>
        <w:t xml:space="preserve"> </w:t>
      </w:r>
      <w:r w:rsidRPr="0033667D">
        <w:rPr>
          <w:rFonts w:eastAsia="Arial Unicode MS" w:cs="Arial Unicode MS"/>
          <w:sz w:val="20"/>
          <w:szCs w:val="20"/>
          <w:bdr w:val="none" w:sz="0" w:space="0" w:color="auto" w:frame="1"/>
          <w:lang w:val="en-GB"/>
        </w:rPr>
        <w:t>55, 95129</w:t>
      </w:r>
      <w:r w:rsidR="00742379" w:rsidRPr="0033667D">
        <w:rPr>
          <w:rFonts w:eastAsia="Arial Unicode MS" w:cs="Arial Unicode MS"/>
          <w:sz w:val="20"/>
          <w:szCs w:val="20"/>
          <w:bdr w:val="none" w:sz="0" w:space="0" w:color="auto" w:frame="1"/>
          <w:lang w:val="en-GB"/>
        </w:rPr>
        <w:t xml:space="preserve"> - </w:t>
      </w:r>
      <w:r w:rsidRPr="0033667D">
        <w:rPr>
          <w:rFonts w:eastAsia="Arial Unicode MS" w:cs="Arial Unicode MS"/>
          <w:sz w:val="20"/>
          <w:szCs w:val="20"/>
          <w:bdr w:val="none" w:sz="0" w:space="0" w:color="auto" w:frame="1"/>
          <w:lang w:val="en-GB"/>
        </w:rPr>
        <w:t>Catania, Ital</w:t>
      </w:r>
      <w:r w:rsidR="0033667D">
        <w:rPr>
          <w:rFonts w:eastAsia="Arial Unicode MS" w:cs="Arial Unicode MS"/>
          <w:sz w:val="20"/>
          <w:szCs w:val="20"/>
          <w:bdr w:val="none" w:sz="0" w:space="0" w:color="auto" w:frame="1"/>
          <w:lang w:val="en-GB"/>
        </w:rPr>
        <w:t>y</w:t>
      </w:r>
      <w:r w:rsidR="00570566" w:rsidRPr="0033667D">
        <w:rPr>
          <w:rFonts w:eastAsia="Arial Unicode MS" w:cs="Arial Unicode MS"/>
          <w:sz w:val="20"/>
          <w:szCs w:val="20"/>
          <w:bdr w:val="none" w:sz="0" w:space="0" w:color="auto" w:frame="1"/>
          <w:lang w:val="en-GB"/>
        </w:rPr>
        <w:t xml:space="preserve">. </w:t>
      </w:r>
      <w:hyperlink r:id="rId8" w:history="1">
        <w:r w:rsidR="00570566" w:rsidRPr="004A4E12">
          <w:rPr>
            <w:rStyle w:val="Collegamentoipertestuale"/>
            <w:rFonts w:eastAsia="Arial Unicode MS" w:cs="Arial Unicode MS"/>
            <w:sz w:val="20"/>
            <w:szCs w:val="20"/>
            <w:bdr w:val="none" w:sz="0" w:space="0" w:color="auto" w:frame="1"/>
            <w:lang w:val="en-GB"/>
          </w:rPr>
          <w:t>paolo.ferrara@unict.it</w:t>
        </w:r>
      </w:hyperlink>
      <w:r w:rsidRPr="004A4E12">
        <w:rPr>
          <w:rFonts w:eastAsia="Arial Unicode MS" w:cs="Arial Unicode MS"/>
          <w:sz w:val="20"/>
          <w:szCs w:val="20"/>
          <w:bdr w:val="none" w:sz="0" w:space="0" w:color="auto" w:frame="1"/>
          <w:lang w:val="en-GB"/>
        </w:rPr>
        <w:t xml:space="preserve"> tel. </w:t>
      </w:r>
      <w:r w:rsidR="002E758D">
        <w:rPr>
          <w:rFonts w:eastAsia="Arial Unicode MS" w:cs="Arial Unicode MS"/>
          <w:sz w:val="20"/>
          <w:szCs w:val="20"/>
          <w:bdr w:val="none" w:sz="0" w:space="0" w:color="auto" w:frame="1"/>
          <w:lang w:val="en-GB"/>
        </w:rPr>
        <w:t xml:space="preserve">+39 </w:t>
      </w:r>
      <w:r w:rsidRPr="004A4E12">
        <w:rPr>
          <w:rFonts w:eastAsia="Arial Unicode MS" w:cs="Arial Unicode MS"/>
          <w:sz w:val="20"/>
          <w:szCs w:val="20"/>
          <w:bdr w:val="none" w:sz="0" w:space="0" w:color="auto" w:frame="1"/>
          <w:lang w:val="en-GB"/>
        </w:rPr>
        <w:t>0957537923</w:t>
      </w:r>
    </w:p>
    <w:p w14:paraId="5404ED14" w14:textId="698F3353" w:rsidR="00BF0C93" w:rsidRDefault="00BF0C93" w:rsidP="001A02A1">
      <w:pPr>
        <w:spacing w:after="120" w:line="480" w:lineRule="auto"/>
        <w:jc w:val="right"/>
        <w:rPr>
          <w:lang w:val="en-US"/>
        </w:rPr>
      </w:pPr>
    </w:p>
    <w:p w14:paraId="35B0D38A" w14:textId="77777777" w:rsidR="00D72868" w:rsidRDefault="00D72868" w:rsidP="001A02A1">
      <w:pPr>
        <w:spacing w:after="120" w:line="480" w:lineRule="auto"/>
        <w:jc w:val="right"/>
        <w:rPr>
          <w:lang w:val="en-US"/>
        </w:rPr>
      </w:pPr>
    </w:p>
    <w:p w14:paraId="2FB261A0" w14:textId="386993EE" w:rsidR="001E18EF" w:rsidRPr="00835B91" w:rsidRDefault="00BF0C93" w:rsidP="001472AA">
      <w:pPr>
        <w:spacing w:after="120" w:line="480" w:lineRule="auto"/>
        <w:jc w:val="both"/>
        <w:rPr>
          <w:b/>
          <w:bCs/>
          <w:lang w:val="en-US"/>
        </w:rPr>
      </w:pPr>
      <w:r w:rsidRPr="00BF0C93">
        <w:rPr>
          <w:b/>
          <w:bCs/>
          <w:lang w:val="en-US"/>
        </w:rPr>
        <w:lastRenderedPageBreak/>
        <w:t>1. Introduction and literature</w:t>
      </w:r>
    </w:p>
    <w:p w14:paraId="7CEBFEEB" w14:textId="3C2DDFE8" w:rsidR="00BF0C93" w:rsidRDefault="006C7F49" w:rsidP="001472AA">
      <w:pPr>
        <w:spacing w:after="120" w:line="480" w:lineRule="auto"/>
        <w:jc w:val="both"/>
        <w:rPr>
          <w:lang w:val="en-GB"/>
        </w:rPr>
      </w:pPr>
      <w:r w:rsidRPr="006C7F49">
        <w:rPr>
          <w:lang w:val="en-GB"/>
        </w:rPr>
        <w:t xml:space="preserve">The effectiveness of a judicial system primarily relies on the courts' ability to </w:t>
      </w:r>
      <w:r w:rsidR="00AB1095" w:rsidRPr="006C7F49">
        <w:rPr>
          <w:lang w:val="en-GB"/>
        </w:rPr>
        <w:t>resolve cases swiftly and efficiently</w:t>
      </w:r>
      <w:r w:rsidR="007E6A76">
        <w:rPr>
          <w:lang w:val="en-GB"/>
        </w:rPr>
        <w:t>.</w:t>
      </w:r>
      <w:r>
        <w:rPr>
          <w:lang w:val="en-GB"/>
        </w:rPr>
        <w:t xml:space="preserve"> </w:t>
      </w:r>
      <w:r w:rsidR="001472AA">
        <w:rPr>
          <w:lang w:val="en-US"/>
        </w:rPr>
        <w:t xml:space="preserve">Judicial output is still mainly analyzed in quantitative </w:t>
      </w:r>
      <w:r w:rsidR="0064238F">
        <w:rPr>
          <w:lang w:val="en-US"/>
        </w:rPr>
        <w:t xml:space="preserve">terms </w:t>
      </w:r>
      <w:r w:rsidR="00EA04A0">
        <w:rPr>
          <w:lang w:val="en-US"/>
        </w:rPr>
        <w:t xml:space="preserve">than </w:t>
      </w:r>
      <w:r w:rsidR="0064238F">
        <w:rPr>
          <w:lang w:val="en-US"/>
        </w:rPr>
        <w:t xml:space="preserve">in </w:t>
      </w:r>
      <w:r w:rsidR="00EA04A0">
        <w:rPr>
          <w:lang w:val="en-US"/>
        </w:rPr>
        <w:t xml:space="preserve">qualitative </w:t>
      </w:r>
      <w:r w:rsidR="0064238F">
        <w:rPr>
          <w:lang w:val="en-US"/>
        </w:rPr>
        <w:t xml:space="preserve">ones </w:t>
      </w:r>
      <w:r w:rsidR="001472AA">
        <w:rPr>
          <w:lang w:val="en-US"/>
        </w:rPr>
        <w:t>(</w:t>
      </w:r>
      <w:r w:rsidR="001472AA">
        <w:rPr>
          <w:lang w:val="en-GB"/>
        </w:rPr>
        <w:t>V</w:t>
      </w:r>
      <w:r w:rsidR="001472AA" w:rsidRPr="006E5588">
        <w:rPr>
          <w:lang w:val="en-GB"/>
        </w:rPr>
        <w:t>oigt &amp; El-Bialy, 2016</w:t>
      </w:r>
      <w:r w:rsidR="001472AA">
        <w:rPr>
          <w:lang w:val="en-GB"/>
        </w:rPr>
        <w:t xml:space="preserve">). </w:t>
      </w:r>
      <w:r w:rsidR="00BF0C93">
        <w:rPr>
          <w:lang w:val="en-GB"/>
        </w:rPr>
        <w:t>In this sense, t</w:t>
      </w:r>
      <w:r w:rsidR="001472AA" w:rsidRPr="003326EC">
        <w:rPr>
          <w:lang w:val="en-US"/>
        </w:rPr>
        <w:t xml:space="preserve">he </w:t>
      </w:r>
      <w:r w:rsidR="001472AA">
        <w:rPr>
          <w:lang w:val="en-US"/>
        </w:rPr>
        <w:t>issue</w:t>
      </w:r>
      <w:r w:rsidR="001472AA" w:rsidRPr="003326EC">
        <w:rPr>
          <w:lang w:val="en-US"/>
        </w:rPr>
        <w:t xml:space="preserve"> of </w:t>
      </w:r>
      <w:r w:rsidR="001472AA">
        <w:rPr>
          <w:lang w:val="en-US"/>
        </w:rPr>
        <w:t xml:space="preserve">time duration </w:t>
      </w:r>
      <w:r w:rsidR="00953B37">
        <w:rPr>
          <w:lang w:val="en-US"/>
        </w:rPr>
        <w:t>required to</w:t>
      </w:r>
      <w:r w:rsidR="002E7C7F">
        <w:rPr>
          <w:lang w:val="en-US"/>
        </w:rPr>
        <w:t xml:space="preserve"> </w:t>
      </w:r>
      <w:r w:rsidR="001472AA">
        <w:rPr>
          <w:lang w:val="en-US"/>
        </w:rPr>
        <w:t xml:space="preserve">obtain a </w:t>
      </w:r>
      <w:r w:rsidR="001472AA" w:rsidRPr="003326EC">
        <w:rPr>
          <w:lang w:val="en-US"/>
        </w:rPr>
        <w:t xml:space="preserve">court decision </w:t>
      </w:r>
      <w:r w:rsidR="00953B37">
        <w:rPr>
          <w:lang w:val="en-US"/>
        </w:rPr>
        <w:t>holds significant importance</w:t>
      </w:r>
      <w:r w:rsidR="001472AA" w:rsidRPr="003326EC">
        <w:rPr>
          <w:lang w:val="en-US"/>
        </w:rPr>
        <w:t xml:space="preserve"> </w:t>
      </w:r>
      <w:r w:rsidR="00544F0C">
        <w:rPr>
          <w:lang w:val="en-US"/>
        </w:rPr>
        <w:t>(</w:t>
      </w:r>
      <w:bookmarkStart w:id="2" w:name="_Hlk138117473"/>
      <w:r w:rsidR="00544F0C" w:rsidRPr="00544F0C">
        <w:rPr>
          <w:lang w:val="en-GB"/>
        </w:rPr>
        <w:t>Christensen</w:t>
      </w:r>
      <w:r w:rsidR="00544F0C">
        <w:rPr>
          <w:lang w:val="en-GB"/>
        </w:rPr>
        <w:t xml:space="preserve"> </w:t>
      </w:r>
      <w:r w:rsidR="00BF0C93">
        <w:rPr>
          <w:lang w:val="en-GB"/>
        </w:rPr>
        <w:t xml:space="preserve">&amp; </w:t>
      </w:r>
      <w:proofErr w:type="spellStart"/>
      <w:r w:rsidR="00544F0C" w:rsidRPr="00544F0C">
        <w:rPr>
          <w:lang w:val="en-GB"/>
        </w:rPr>
        <w:t>Szmer</w:t>
      </w:r>
      <w:proofErr w:type="spellEnd"/>
      <w:r w:rsidR="00544F0C">
        <w:rPr>
          <w:lang w:val="en-GB"/>
        </w:rPr>
        <w:t>, 2012</w:t>
      </w:r>
      <w:bookmarkEnd w:id="2"/>
      <w:r w:rsidR="00544F0C">
        <w:rPr>
          <w:lang w:val="en-GB"/>
        </w:rPr>
        <w:t>)</w:t>
      </w:r>
      <w:r w:rsidR="001472AA">
        <w:rPr>
          <w:lang w:val="en-US"/>
        </w:rPr>
        <w:t xml:space="preserve">, </w:t>
      </w:r>
      <w:r w:rsidR="00953B37">
        <w:rPr>
          <w:lang w:val="en-US"/>
        </w:rPr>
        <w:t>particularly due to</w:t>
      </w:r>
      <w:r w:rsidR="001472AA">
        <w:rPr>
          <w:lang w:val="en-US"/>
        </w:rPr>
        <w:t xml:space="preserve"> the deep relation</w:t>
      </w:r>
      <w:r w:rsidR="00953B37">
        <w:rPr>
          <w:lang w:val="en-US"/>
        </w:rPr>
        <w:t>ship between</w:t>
      </w:r>
      <w:r w:rsidR="001472AA">
        <w:rPr>
          <w:lang w:val="en-US"/>
        </w:rPr>
        <w:t xml:space="preserve"> </w:t>
      </w:r>
      <w:r w:rsidR="00953B37">
        <w:rPr>
          <w:lang w:val="en-US"/>
        </w:rPr>
        <w:t xml:space="preserve">judicial efficiency and </w:t>
      </w:r>
      <w:r w:rsidR="001472AA">
        <w:rPr>
          <w:lang w:val="en-US"/>
        </w:rPr>
        <w:t xml:space="preserve">economic growth </w:t>
      </w:r>
      <w:r w:rsidR="001472AA" w:rsidRPr="003326EC">
        <w:rPr>
          <w:lang w:val="en-GB"/>
        </w:rPr>
        <w:t>(</w:t>
      </w:r>
      <w:r w:rsidR="001472AA" w:rsidRPr="000C411E">
        <w:rPr>
          <w:lang w:val="en-GB"/>
        </w:rPr>
        <w:t>Gravelle, 1990</w:t>
      </w:r>
      <w:r w:rsidR="001472AA">
        <w:rPr>
          <w:lang w:val="en-GB"/>
        </w:rPr>
        <w:t xml:space="preserve">; </w:t>
      </w:r>
      <w:r w:rsidR="001472AA" w:rsidRPr="000C411E">
        <w:rPr>
          <w:lang w:val="en-GB"/>
        </w:rPr>
        <w:t>Spurr, 1997</w:t>
      </w:r>
      <w:r w:rsidR="001472AA">
        <w:rPr>
          <w:lang w:val="en-GB"/>
        </w:rPr>
        <w:t>; F</w:t>
      </w:r>
      <w:r w:rsidR="001472AA" w:rsidRPr="000C411E">
        <w:rPr>
          <w:lang w:val="en-GB"/>
        </w:rPr>
        <w:t xml:space="preserve">enn &amp; Rickman, 1999; </w:t>
      </w:r>
      <w:proofErr w:type="spellStart"/>
      <w:r w:rsidR="001472AA" w:rsidRPr="000C411E">
        <w:rPr>
          <w:lang w:val="en-GB"/>
        </w:rPr>
        <w:t>Vereeck</w:t>
      </w:r>
      <w:proofErr w:type="spellEnd"/>
      <w:r w:rsidR="001472AA" w:rsidRPr="000C411E">
        <w:rPr>
          <w:lang w:val="en-GB"/>
        </w:rPr>
        <w:t xml:space="preserve"> &amp;</w:t>
      </w:r>
      <w:r w:rsidR="001472AA">
        <w:rPr>
          <w:lang w:val="en-GB"/>
        </w:rPr>
        <w:t xml:space="preserve"> </w:t>
      </w:r>
      <w:r w:rsidR="001472AA" w:rsidRPr="000C411E">
        <w:rPr>
          <w:lang w:val="en-GB"/>
        </w:rPr>
        <w:t>Mühl, 2000</w:t>
      </w:r>
      <w:r w:rsidR="001472AA">
        <w:rPr>
          <w:lang w:val="en-GB"/>
        </w:rPr>
        <w:t>;</w:t>
      </w:r>
      <w:r w:rsidR="001472AA" w:rsidRPr="003326EC">
        <w:rPr>
          <w:lang w:val="en-GB"/>
        </w:rPr>
        <w:t xml:space="preserve"> </w:t>
      </w:r>
      <w:r w:rsidR="001472AA">
        <w:rPr>
          <w:lang w:val="en-GB"/>
        </w:rPr>
        <w:t xml:space="preserve">Feld &amp; Voigt, 2003; </w:t>
      </w:r>
      <w:proofErr w:type="spellStart"/>
      <w:r w:rsidR="001472AA" w:rsidRPr="000C411E">
        <w:rPr>
          <w:lang w:val="en-GB"/>
        </w:rPr>
        <w:t>Jappelli</w:t>
      </w:r>
      <w:proofErr w:type="spellEnd"/>
      <w:r w:rsidR="001472AA">
        <w:rPr>
          <w:lang w:val="en-GB"/>
        </w:rPr>
        <w:t xml:space="preserve"> et al., </w:t>
      </w:r>
      <w:r w:rsidR="001472AA" w:rsidRPr="000C411E">
        <w:rPr>
          <w:lang w:val="en-GB"/>
        </w:rPr>
        <w:t>2005</w:t>
      </w:r>
      <w:r w:rsidR="001472AA">
        <w:rPr>
          <w:lang w:val="en-GB"/>
        </w:rPr>
        <w:t xml:space="preserve">; </w:t>
      </w:r>
      <w:r w:rsidR="001472AA" w:rsidRPr="000C411E">
        <w:rPr>
          <w:lang w:val="en-GB"/>
        </w:rPr>
        <w:t>Aghion et al.,</w:t>
      </w:r>
      <w:r w:rsidR="001472AA">
        <w:rPr>
          <w:lang w:val="en-GB"/>
        </w:rPr>
        <w:t xml:space="preserve"> </w:t>
      </w:r>
      <w:r w:rsidR="001472AA" w:rsidRPr="000C411E">
        <w:rPr>
          <w:lang w:val="en-GB"/>
        </w:rPr>
        <w:t>20</w:t>
      </w:r>
      <w:r w:rsidR="001472AA">
        <w:rPr>
          <w:lang w:val="en-GB"/>
        </w:rPr>
        <w:t xml:space="preserve">10; </w:t>
      </w:r>
      <w:r w:rsidR="001472AA" w:rsidRPr="00102007">
        <w:rPr>
          <w:lang w:val="en-GB"/>
        </w:rPr>
        <w:t xml:space="preserve">Giacomelli </w:t>
      </w:r>
      <w:r w:rsidR="001472AA" w:rsidRPr="00BF11D7">
        <w:rPr>
          <w:lang w:val="en-GB"/>
        </w:rPr>
        <w:t>&amp;</w:t>
      </w:r>
      <w:r w:rsidR="001472AA" w:rsidRPr="00102007">
        <w:rPr>
          <w:lang w:val="en-GB"/>
        </w:rPr>
        <w:t xml:space="preserve"> Menon, 2013</w:t>
      </w:r>
      <w:r w:rsidR="001472AA">
        <w:rPr>
          <w:lang w:val="en-GB"/>
        </w:rPr>
        <w:t>; Finocchiaro Castro &amp; Guccio, 2014; Finocchiaro Castro &amp; Guccio, 2015;</w:t>
      </w:r>
      <w:r w:rsidR="001472AA" w:rsidRPr="00102007">
        <w:rPr>
          <w:lang w:val="en-GB"/>
        </w:rPr>
        <w:t xml:space="preserve"> </w:t>
      </w:r>
      <w:r w:rsidR="001472AA">
        <w:rPr>
          <w:lang w:val="en-GB"/>
        </w:rPr>
        <w:t xml:space="preserve">Coviello et al., 2019; </w:t>
      </w:r>
      <w:proofErr w:type="spellStart"/>
      <w:r w:rsidR="00D817A1" w:rsidRPr="00D817A1">
        <w:rPr>
          <w:lang w:val="en-GB"/>
        </w:rPr>
        <w:t>Berlemann</w:t>
      </w:r>
      <w:proofErr w:type="spellEnd"/>
      <w:r w:rsidR="00D817A1">
        <w:rPr>
          <w:lang w:val="en-GB"/>
        </w:rPr>
        <w:t xml:space="preserve"> </w:t>
      </w:r>
      <w:r w:rsidR="00D817A1" w:rsidRPr="00D817A1">
        <w:rPr>
          <w:lang w:val="en-GB"/>
        </w:rPr>
        <w:t>&amp; Christmann, 2020</w:t>
      </w:r>
      <w:r w:rsidR="00D817A1">
        <w:rPr>
          <w:lang w:val="en-GB"/>
        </w:rPr>
        <w:t xml:space="preserve">; </w:t>
      </w:r>
      <w:r w:rsidR="001472AA" w:rsidRPr="00102007">
        <w:rPr>
          <w:lang w:val="en-GB"/>
        </w:rPr>
        <w:t>Gonzales-Torres e Rodano, 2020</w:t>
      </w:r>
      <w:r w:rsidR="004B6E7B">
        <w:rPr>
          <w:lang w:val="en-GB"/>
        </w:rPr>
        <w:t xml:space="preserve">; </w:t>
      </w:r>
      <w:proofErr w:type="spellStart"/>
      <w:r w:rsidR="004B6E7B" w:rsidRPr="00857D99">
        <w:rPr>
          <w:lang w:val="en-GB"/>
        </w:rPr>
        <w:t>Melcarne</w:t>
      </w:r>
      <w:proofErr w:type="spellEnd"/>
      <w:r w:rsidR="004B6E7B" w:rsidRPr="00857D99">
        <w:rPr>
          <w:lang w:val="en-GB"/>
        </w:rPr>
        <w:t xml:space="preserve"> et al. 202</w:t>
      </w:r>
      <w:r w:rsidR="00673104" w:rsidRPr="00857D99">
        <w:rPr>
          <w:lang w:val="en-GB"/>
        </w:rPr>
        <w:t>1</w:t>
      </w:r>
      <w:r w:rsidR="001472AA" w:rsidRPr="003326EC">
        <w:rPr>
          <w:lang w:val="en-GB"/>
        </w:rPr>
        <w:t>).</w:t>
      </w:r>
      <w:r w:rsidR="001472AA">
        <w:rPr>
          <w:lang w:val="en-GB"/>
        </w:rPr>
        <w:t xml:space="preserve"> </w:t>
      </w:r>
      <w:r w:rsidR="00D817A1">
        <w:rPr>
          <w:lang w:val="en-GB"/>
        </w:rPr>
        <w:t xml:space="preserve">Moreover, </w:t>
      </w:r>
      <w:r w:rsidR="00311E2A" w:rsidRPr="00311E2A">
        <w:rPr>
          <w:lang w:val="en-GB"/>
        </w:rPr>
        <w:t xml:space="preserve">when the </w:t>
      </w:r>
      <w:r w:rsidR="00311E2A">
        <w:rPr>
          <w:lang w:val="en-GB"/>
        </w:rPr>
        <w:t>dispute</w:t>
      </w:r>
      <w:r w:rsidR="00311E2A" w:rsidRPr="00311E2A">
        <w:rPr>
          <w:lang w:val="en-GB"/>
        </w:rPr>
        <w:t>s have an excessive duration</w:t>
      </w:r>
      <w:r w:rsidR="00D817A1" w:rsidRPr="00D817A1">
        <w:rPr>
          <w:lang w:val="en-GB"/>
        </w:rPr>
        <w:t xml:space="preserve">, the parties involved </w:t>
      </w:r>
      <w:r w:rsidR="002E7C7F" w:rsidRPr="00FE30A8">
        <w:rPr>
          <w:lang w:val="en-GB"/>
        </w:rPr>
        <w:t>are left in a prolonged state of uncertainty</w:t>
      </w:r>
      <w:r w:rsidR="00D817A1" w:rsidRPr="00D817A1">
        <w:rPr>
          <w:lang w:val="en-GB"/>
        </w:rPr>
        <w:t xml:space="preserve"> that could be </w:t>
      </w:r>
      <w:r w:rsidR="002E7C7F">
        <w:rPr>
          <w:lang w:val="en-GB"/>
        </w:rPr>
        <w:t>perceived</w:t>
      </w:r>
      <w:r w:rsidR="002E7C7F" w:rsidRPr="00D817A1">
        <w:rPr>
          <w:lang w:val="en-GB"/>
        </w:rPr>
        <w:t xml:space="preserve"> </w:t>
      </w:r>
      <w:r w:rsidR="00D817A1" w:rsidRPr="00D817A1">
        <w:rPr>
          <w:lang w:val="en-GB"/>
        </w:rPr>
        <w:t>as a den</w:t>
      </w:r>
      <w:r w:rsidR="002E7C7F">
        <w:rPr>
          <w:lang w:val="en-GB"/>
        </w:rPr>
        <w:t>ial</w:t>
      </w:r>
      <w:r w:rsidR="00D817A1" w:rsidRPr="00D817A1">
        <w:rPr>
          <w:lang w:val="en-GB"/>
        </w:rPr>
        <w:t xml:space="preserve"> of justice</w:t>
      </w:r>
      <w:r w:rsidR="0007776F" w:rsidRPr="007A615A">
        <w:rPr>
          <w:lang w:val="en-GB"/>
        </w:rPr>
        <w:t xml:space="preserve">, eroding trust in the legal </w:t>
      </w:r>
      <w:proofErr w:type="gramStart"/>
      <w:r w:rsidR="0007776F" w:rsidRPr="007A615A">
        <w:rPr>
          <w:lang w:val="en-GB"/>
        </w:rPr>
        <w:t>system</w:t>
      </w:r>
      <w:proofErr w:type="gramEnd"/>
      <w:r w:rsidR="0007776F" w:rsidRPr="007A615A">
        <w:rPr>
          <w:lang w:val="en-GB"/>
        </w:rPr>
        <w:t xml:space="preserve"> and undermining social welfare</w:t>
      </w:r>
      <w:r w:rsidR="0007776F" w:rsidDel="0007776F">
        <w:rPr>
          <w:lang w:val="en-GB"/>
        </w:rPr>
        <w:t xml:space="preserve"> </w:t>
      </w:r>
      <w:r w:rsidR="00D817A1" w:rsidRPr="00BF0C93">
        <w:rPr>
          <w:lang w:val="en-GB"/>
        </w:rPr>
        <w:t>(</w:t>
      </w:r>
      <w:r w:rsidR="00BF0C93" w:rsidRPr="00BF0C93">
        <w:rPr>
          <w:lang w:val="en-GB"/>
        </w:rPr>
        <w:t xml:space="preserve">Christensen </w:t>
      </w:r>
      <w:r w:rsidR="00BF0C93">
        <w:rPr>
          <w:lang w:val="en-GB"/>
        </w:rPr>
        <w:t>&amp;</w:t>
      </w:r>
      <w:r w:rsidR="00BF0C93" w:rsidRPr="00BF0C93">
        <w:rPr>
          <w:lang w:val="en-GB"/>
        </w:rPr>
        <w:t xml:space="preserve"> </w:t>
      </w:r>
      <w:proofErr w:type="spellStart"/>
      <w:r w:rsidR="00BF0C93" w:rsidRPr="00BF0C93">
        <w:rPr>
          <w:lang w:val="en-GB"/>
        </w:rPr>
        <w:t>Szmer</w:t>
      </w:r>
      <w:proofErr w:type="spellEnd"/>
      <w:r w:rsidR="00BF0C93" w:rsidRPr="00BF0C93">
        <w:rPr>
          <w:lang w:val="en-GB"/>
        </w:rPr>
        <w:t>, 2012</w:t>
      </w:r>
      <w:r w:rsidR="00BF0C93">
        <w:rPr>
          <w:lang w:val="en-GB"/>
        </w:rPr>
        <w:t xml:space="preserve">; </w:t>
      </w:r>
      <w:proofErr w:type="spellStart"/>
      <w:r w:rsidR="00217E6D" w:rsidRPr="00217E6D">
        <w:rPr>
          <w:lang w:val="en-GB"/>
        </w:rPr>
        <w:t>Vereeck</w:t>
      </w:r>
      <w:proofErr w:type="spellEnd"/>
      <w:r w:rsidR="00217E6D" w:rsidRPr="00217E6D">
        <w:rPr>
          <w:lang w:val="en-GB"/>
        </w:rPr>
        <w:t xml:space="preserve"> &amp; Mühl, 2000</w:t>
      </w:r>
      <w:r w:rsidR="00217E6D">
        <w:rPr>
          <w:lang w:val="en-GB"/>
        </w:rPr>
        <w:t xml:space="preserve">; </w:t>
      </w:r>
      <w:proofErr w:type="spellStart"/>
      <w:r w:rsidR="00D817A1" w:rsidRPr="00BF0C93">
        <w:rPr>
          <w:lang w:val="en-GB"/>
        </w:rPr>
        <w:t>Berlemann</w:t>
      </w:r>
      <w:proofErr w:type="spellEnd"/>
      <w:r w:rsidR="00D817A1" w:rsidRPr="00BF0C93">
        <w:rPr>
          <w:lang w:val="en-GB"/>
        </w:rPr>
        <w:t xml:space="preserve"> &amp; Christmann, 2020). </w:t>
      </w:r>
      <w:r w:rsidR="00CC271A">
        <w:rPr>
          <w:lang w:val="en-GB"/>
        </w:rPr>
        <w:t xml:space="preserve">Time duration of civil disputes is also a reliable indicator of institutional quality (Di Vita, 2018). </w:t>
      </w:r>
    </w:p>
    <w:p w14:paraId="6F450B04" w14:textId="15827280" w:rsidR="00F50484" w:rsidRDefault="007B04F6" w:rsidP="001472AA">
      <w:pPr>
        <w:spacing w:after="120" w:line="480" w:lineRule="auto"/>
        <w:jc w:val="both"/>
        <w:rPr>
          <w:lang w:val="en-GB"/>
        </w:rPr>
      </w:pPr>
      <w:r w:rsidRPr="007B04F6">
        <w:rPr>
          <w:lang w:val="en-GB"/>
        </w:rPr>
        <w:t xml:space="preserve">The slowness with which civil disputes have been settled is a characteristic of both developed and developing countries. The type of legal family to which the various countries belong </w:t>
      </w:r>
      <w:r w:rsidR="001472AA" w:rsidRPr="003326EC">
        <w:rPr>
          <w:lang w:val="en-US"/>
        </w:rPr>
        <w:t>(</w:t>
      </w:r>
      <w:r w:rsidR="001472AA">
        <w:rPr>
          <w:lang w:val="en-US"/>
        </w:rPr>
        <w:t xml:space="preserve">i.e., </w:t>
      </w:r>
      <w:r w:rsidR="001472AA" w:rsidRPr="003326EC">
        <w:rPr>
          <w:lang w:val="en-US"/>
        </w:rPr>
        <w:t xml:space="preserve">civil law or common </w:t>
      </w:r>
      <w:r w:rsidR="001472AA" w:rsidRPr="003326EC">
        <w:rPr>
          <w:lang w:val="en-GB"/>
        </w:rPr>
        <w:t>law)</w:t>
      </w:r>
      <w:r w:rsidR="00BF0C93">
        <w:rPr>
          <w:lang w:val="en-GB"/>
        </w:rPr>
        <w:t xml:space="preserve"> </w:t>
      </w:r>
      <w:r w:rsidR="001472AA">
        <w:rPr>
          <w:lang w:val="en-GB"/>
        </w:rPr>
        <w:t>and organizational features (</w:t>
      </w:r>
      <w:r w:rsidR="001472AA" w:rsidRPr="00C81BBB">
        <w:rPr>
          <w:lang w:val="en-GB"/>
        </w:rPr>
        <w:t>Voigt &amp; El-Bialy, 2016</w:t>
      </w:r>
      <w:r w:rsidR="001472AA">
        <w:rPr>
          <w:lang w:val="en-GB"/>
        </w:rPr>
        <w:t>)</w:t>
      </w:r>
      <w:r>
        <w:rPr>
          <w:lang w:val="en-GB"/>
        </w:rPr>
        <w:t>, are not so relevant</w:t>
      </w:r>
      <w:r w:rsidR="001472AA">
        <w:rPr>
          <w:lang w:val="en-GB"/>
        </w:rPr>
        <w:t xml:space="preserve">. </w:t>
      </w:r>
      <w:r w:rsidR="001472AA" w:rsidRPr="00953A06">
        <w:rPr>
          <w:lang w:val="en-GB"/>
        </w:rPr>
        <w:t xml:space="preserve">The </w:t>
      </w:r>
      <w:r w:rsidR="001472AA">
        <w:rPr>
          <w:lang w:val="en-GB"/>
        </w:rPr>
        <w:t xml:space="preserve">Italian legal system </w:t>
      </w:r>
      <w:r w:rsidR="0007776F">
        <w:rPr>
          <w:lang w:val="en-GB"/>
        </w:rPr>
        <w:t>falls within the category of</w:t>
      </w:r>
      <w:r w:rsidR="001472AA" w:rsidRPr="00953A06">
        <w:rPr>
          <w:lang w:val="en-GB"/>
        </w:rPr>
        <w:t xml:space="preserve"> </w:t>
      </w:r>
      <w:r w:rsidR="001472AA">
        <w:rPr>
          <w:lang w:val="en-GB"/>
        </w:rPr>
        <w:t>civil law countries</w:t>
      </w:r>
      <w:r w:rsidR="0007776F">
        <w:rPr>
          <w:lang w:val="en-GB"/>
        </w:rPr>
        <w:t>, characterized by</w:t>
      </w:r>
      <w:r w:rsidR="001472AA">
        <w:rPr>
          <w:lang w:val="en-GB"/>
        </w:rPr>
        <w:t xml:space="preserve"> </w:t>
      </w:r>
      <w:r w:rsidR="001472AA" w:rsidRPr="00953A06">
        <w:rPr>
          <w:lang w:val="en-GB"/>
        </w:rPr>
        <w:t xml:space="preserve">written codes and </w:t>
      </w:r>
      <w:r w:rsidR="00A63F1B">
        <w:rPr>
          <w:lang w:val="en-GB"/>
        </w:rPr>
        <w:t>statutes</w:t>
      </w:r>
      <w:r w:rsidR="0007776F">
        <w:rPr>
          <w:lang w:val="en-GB"/>
        </w:rPr>
        <w:t>,</w:t>
      </w:r>
      <w:r w:rsidR="001472AA">
        <w:rPr>
          <w:lang w:val="en-GB"/>
        </w:rPr>
        <w:t xml:space="preserve"> </w:t>
      </w:r>
      <w:r w:rsidR="001472AA" w:rsidRPr="00953A06">
        <w:rPr>
          <w:lang w:val="en-GB"/>
        </w:rPr>
        <w:t xml:space="preserve">and </w:t>
      </w:r>
      <w:r w:rsidR="0007776F">
        <w:rPr>
          <w:lang w:val="en-GB"/>
        </w:rPr>
        <w:t>adher</w:t>
      </w:r>
      <w:r w:rsidR="00A63F1B">
        <w:rPr>
          <w:lang w:val="en-GB"/>
        </w:rPr>
        <w:t>ing</w:t>
      </w:r>
      <w:r w:rsidR="0007776F">
        <w:rPr>
          <w:lang w:val="en-GB"/>
        </w:rPr>
        <w:t xml:space="preserve"> to </w:t>
      </w:r>
      <w:r w:rsidR="001472AA" w:rsidRPr="00953A06">
        <w:rPr>
          <w:lang w:val="en-GB"/>
        </w:rPr>
        <w:t>strict procedures and formalities.</w:t>
      </w:r>
      <w:r w:rsidR="001472AA">
        <w:rPr>
          <w:lang w:val="en-GB"/>
        </w:rPr>
        <w:t xml:space="preserve"> </w:t>
      </w:r>
    </w:p>
    <w:p w14:paraId="30D140CF" w14:textId="0753D476" w:rsidR="001472AA" w:rsidRPr="009B31DB" w:rsidRDefault="001472AA" w:rsidP="001472AA">
      <w:pPr>
        <w:spacing w:after="120" w:line="480" w:lineRule="auto"/>
        <w:jc w:val="both"/>
        <w:rPr>
          <w:lang w:val="en-GB"/>
        </w:rPr>
      </w:pPr>
      <w:r w:rsidRPr="00CF02D3">
        <w:rPr>
          <w:lang w:val="en-GB"/>
        </w:rPr>
        <w:t>For a</w:t>
      </w:r>
      <w:r>
        <w:rPr>
          <w:lang w:val="en-GB"/>
        </w:rPr>
        <w:t xml:space="preserve"> modern market </w:t>
      </w:r>
      <w:r w:rsidRPr="00CF02D3">
        <w:rPr>
          <w:lang w:val="en-GB"/>
        </w:rPr>
        <w:t xml:space="preserve">economy to </w:t>
      </w:r>
      <w:r w:rsidRPr="004C038F">
        <w:rPr>
          <w:lang w:val="en-GB"/>
        </w:rPr>
        <w:t>thriv</w:t>
      </w:r>
      <w:r w:rsidR="00F758D6">
        <w:rPr>
          <w:lang w:val="en-GB"/>
        </w:rPr>
        <w:t>e</w:t>
      </w:r>
      <w:r>
        <w:rPr>
          <w:lang w:val="en-GB"/>
        </w:rPr>
        <w:t xml:space="preserve"> and </w:t>
      </w:r>
      <w:r w:rsidRPr="00CF02D3">
        <w:rPr>
          <w:lang w:val="en-GB"/>
        </w:rPr>
        <w:t xml:space="preserve">work </w:t>
      </w:r>
      <w:r w:rsidR="00F758D6">
        <w:rPr>
          <w:lang w:val="en-GB"/>
        </w:rPr>
        <w:t>effectively</w:t>
      </w:r>
      <w:r w:rsidRPr="00CF02D3">
        <w:rPr>
          <w:lang w:val="en-GB"/>
        </w:rPr>
        <w:t xml:space="preserve">, </w:t>
      </w:r>
      <w:r w:rsidR="00F758D6">
        <w:rPr>
          <w:lang w:val="en-GB"/>
        </w:rPr>
        <w:t xml:space="preserve">the proper </w:t>
      </w:r>
      <w:r w:rsidR="00562BE0">
        <w:rPr>
          <w:lang w:val="en-GB"/>
        </w:rPr>
        <w:t xml:space="preserve">functioning of </w:t>
      </w:r>
      <w:r w:rsidRPr="00CF02D3">
        <w:rPr>
          <w:lang w:val="en-GB"/>
        </w:rPr>
        <w:t>the</w:t>
      </w:r>
      <w:r w:rsidR="00562BE0">
        <w:rPr>
          <w:lang w:val="en-GB"/>
        </w:rPr>
        <w:t xml:space="preserve"> </w:t>
      </w:r>
      <w:r w:rsidRPr="00CF02D3">
        <w:rPr>
          <w:lang w:val="en-GB"/>
        </w:rPr>
        <w:t>legal system</w:t>
      </w:r>
      <w:r w:rsidR="00F758D6">
        <w:rPr>
          <w:lang w:val="en-GB"/>
        </w:rPr>
        <w:t xml:space="preserve"> is essential. This system </w:t>
      </w:r>
      <w:r w:rsidR="003F5825">
        <w:rPr>
          <w:lang w:val="en-GB"/>
        </w:rPr>
        <w:t>should</w:t>
      </w:r>
      <w:r w:rsidRPr="00CF02D3">
        <w:rPr>
          <w:lang w:val="en-GB"/>
        </w:rPr>
        <w:t xml:space="preserve"> ensure the </w:t>
      </w:r>
      <w:r w:rsidR="00F758D6">
        <w:rPr>
          <w:lang w:val="en-GB"/>
        </w:rPr>
        <w:t xml:space="preserve">robust protection of </w:t>
      </w:r>
      <w:r w:rsidR="00F758D6" w:rsidRPr="00CF02D3">
        <w:rPr>
          <w:lang w:val="en-GB"/>
        </w:rPr>
        <w:lastRenderedPageBreak/>
        <w:t xml:space="preserve">ownership </w:t>
      </w:r>
      <w:r w:rsidRPr="00CF02D3">
        <w:rPr>
          <w:lang w:val="en-GB"/>
        </w:rPr>
        <w:t xml:space="preserve">rights, the </w:t>
      </w:r>
      <w:r w:rsidR="00F758D6">
        <w:rPr>
          <w:lang w:val="en-GB"/>
        </w:rPr>
        <w:t xml:space="preserve">enforcement of </w:t>
      </w:r>
      <w:r w:rsidRPr="00CF02D3">
        <w:rPr>
          <w:lang w:val="en-GB"/>
        </w:rPr>
        <w:t>agreements between parties, and</w:t>
      </w:r>
      <w:r w:rsidR="00F758D6">
        <w:rPr>
          <w:lang w:val="en-GB"/>
        </w:rPr>
        <w:t xml:space="preserve"> the swift and fair resolution of </w:t>
      </w:r>
      <w:r w:rsidRPr="00CF02D3">
        <w:rPr>
          <w:lang w:val="en-GB"/>
        </w:rPr>
        <w:t xml:space="preserve">conflicts </w:t>
      </w:r>
      <w:r w:rsidR="00F758D6">
        <w:rPr>
          <w:lang w:val="en-GB"/>
        </w:rPr>
        <w:t>that</w:t>
      </w:r>
      <w:r w:rsidR="00F758D6" w:rsidRPr="00CF02D3">
        <w:rPr>
          <w:lang w:val="en-GB"/>
        </w:rPr>
        <w:t xml:space="preserve"> </w:t>
      </w:r>
      <w:r w:rsidRPr="00CF02D3">
        <w:rPr>
          <w:lang w:val="en-GB"/>
        </w:rPr>
        <w:t xml:space="preserve">may </w:t>
      </w:r>
      <w:r w:rsidR="00F758D6">
        <w:rPr>
          <w:lang w:val="en-GB"/>
        </w:rPr>
        <w:t>arise</w:t>
      </w:r>
      <w:r w:rsidR="00F758D6" w:rsidRPr="00CF02D3">
        <w:rPr>
          <w:lang w:val="en-GB"/>
        </w:rPr>
        <w:t xml:space="preserve"> </w:t>
      </w:r>
      <w:r w:rsidRPr="00CF02D3">
        <w:rPr>
          <w:lang w:val="en-GB"/>
        </w:rPr>
        <w:t>among private individuals or between them and the government</w:t>
      </w:r>
      <w:r w:rsidR="00F758D6">
        <w:rPr>
          <w:lang w:val="en-GB"/>
        </w:rPr>
        <w:t>, as well as</w:t>
      </w:r>
      <w:r w:rsidRPr="00CF02D3">
        <w:rPr>
          <w:lang w:val="en-GB"/>
        </w:rPr>
        <w:t xml:space="preserve"> </w:t>
      </w:r>
      <w:r>
        <w:rPr>
          <w:lang w:val="en-GB"/>
        </w:rPr>
        <w:t>among government branches (Feld &amp; Voight, 2003; Giacomelli &amp; Palumbo, 2011</w:t>
      </w:r>
      <w:r w:rsidR="00544F0C">
        <w:rPr>
          <w:lang w:val="en-GB"/>
        </w:rPr>
        <w:t>; Voigt &amp; El-Bialy, 2016</w:t>
      </w:r>
      <w:r>
        <w:rPr>
          <w:lang w:val="en-GB"/>
        </w:rPr>
        <w:t>). In the Italian context, t</w:t>
      </w:r>
      <w:r w:rsidRPr="009B31DB">
        <w:rPr>
          <w:lang w:val="en-GB"/>
        </w:rPr>
        <w:t xml:space="preserve">hese questions are </w:t>
      </w:r>
      <w:r w:rsidR="00103AC4" w:rsidRPr="00FE30A8">
        <w:rPr>
          <w:lang w:val="en-GB"/>
        </w:rPr>
        <w:t>prominently featured in the ongoing</w:t>
      </w:r>
      <w:r>
        <w:rPr>
          <w:lang w:val="en-GB"/>
        </w:rPr>
        <w:t xml:space="preserve"> political debate about reforms aimed at </w:t>
      </w:r>
      <w:r w:rsidR="00103AC4">
        <w:rPr>
          <w:lang w:val="en-GB"/>
        </w:rPr>
        <w:t xml:space="preserve">enhancing </w:t>
      </w:r>
      <w:r w:rsidRPr="009B31DB">
        <w:rPr>
          <w:lang w:val="en-GB"/>
        </w:rPr>
        <w:t>the judicial system.</w:t>
      </w:r>
      <w:r>
        <w:rPr>
          <w:lang w:val="en-GB"/>
        </w:rPr>
        <w:t xml:space="preserve"> Indeed, </w:t>
      </w:r>
      <w:r w:rsidR="00103AC4">
        <w:rPr>
          <w:lang w:val="en-GB"/>
        </w:rPr>
        <w:t xml:space="preserve">the </w:t>
      </w:r>
      <w:r>
        <w:rPr>
          <w:lang w:val="en-GB"/>
        </w:rPr>
        <w:t>report</w:t>
      </w:r>
      <w:r w:rsidR="009108A2">
        <w:rPr>
          <w:lang w:val="en-GB"/>
        </w:rPr>
        <w:t>s</w:t>
      </w:r>
      <w:r>
        <w:rPr>
          <w:lang w:val="en-GB"/>
        </w:rPr>
        <w:t xml:space="preserve"> issued by international </w:t>
      </w:r>
      <w:r w:rsidR="00935E57">
        <w:rPr>
          <w:lang w:val="en-GB"/>
        </w:rPr>
        <w:t xml:space="preserve">institutions, </w:t>
      </w:r>
      <w:r>
        <w:rPr>
          <w:lang w:val="en-GB"/>
        </w:rPr>
        <w:t xml:space="preserve">such as the World Bank and the </w:t>
      </w:r>
      <w:r w:rsidRPr="00871A68">
        <w:rPr>
          <w:lang w:val="en-GB"/>
        </w:rPr>
        <w:t xml:space="preserve">Council of Europe Commission for the </w:t>
      </w:r>
      <w:r w:rsidR="00103AC4">
        <w:rPr>
          <w:lang w:val="en-GB"/>
        </w:rPr>
        <w:t>E</w:t>
      </w:r>
      <w:r w:rsidRPr="00871A68">
        <w:rPr>
          <w:lang w:val="en-GB"/>
        </w:rPr>
        <w:t xml:space="preserve">fficiency of </w:t>
      </w:r>
      <w:r w:rsidR="00103AC4">
        <w:rPr>
          <w:lang w:val="en-GB"/>
        </w:rPr>
        <w:t>J</w:t>
      </w:r>
      <w:r w:rsidRPr="00871A68">
        <w:rPr>
          <w:lang w:val="en-GB"/>
        </w:rPr>
        <w:t>ustic</w:t>
      </w:r>
      <w:r>
        <w:rPr>
          <w:lang w:val="en-GB"/>
        </w:rPr>
        <w:t>e (</w:t>
      </w:r>
      <w:r w:rsidRPr="009B31DB">
        <w:rPr>
          <w:lang w:val="en-GB"/>
        </w:rPr>
        <w:t>CEPEJ</w:t>
      </w:r>
      <w:r>
        <w:rPr>
          <w:lang w:val="en-GB"/>
        </w:rPr>
        <w:t>)</w:t>
      </w:r>
      <w:r w:rsidR="00935E57">
        <w:rPr>
          <w:lang w:val="en-GB"/>
        </w:rPr>
        <w:t>,</w:t>
      </w:r>
      <w:r w:rsidRPr="009B31DB">
        <w:rPr>
          <w:lang w:val="en-GB"/>
        </w:rPr>
        <w:t xml:space="preserve"> ha</w:t>
      </w:r>
      <w:r w:rsidR="009108A2">
        <w:rPr>
          <w:lang w:val="en-GB"/>
        </w:rPr>
        <w:t>ve</w:t>
      </w:r>
      <w:r w:rsidRPr="009B31DB">
        <w:rPr>
          <w:lang w:val="en-GB"/>
        </w:rPr>
        <w:t xml:space="preserve"> </w:t>
      </w:r>
      <w:r>
        <w:rPr>
          <w:lang w:val="en-GB"/>
        </w:rPr>
        <w:t xml:space="preserve">already </w:t>
      </w:r>
      <w:r w:rsidRPr="009B31DB">
        <w:rPr>
          <w:lang w:val="en-GB"/>
        </w:rPr>
        <w:t xml:space="preserve">highlighted </w:t>
      </w:r>
      <w:r>
        <w:rPr>
          <w:lang w:val="en-GB"/>
        </w:rPr>
        <w:t>t</w:t>
      </w:r>
      <w:r w:rsidRPr="009B31DB">
        <w:rPr>
          <w:lang w:val="en-GB"/>
        </w:rPr>
        <w:t xml:space="preserve">he overall </w:t>
      </w:r>
      <w:r w:rsidR="00103AC4">
        <w:rPr>
          <w:lang w:val="en-GB"/>
        </w:rPr>
        <w:t>under</w:t>
      </w:r>
      <w:r w:rsidRPr="009B31DB">
        <w:rPr>
          <w:lang w:val="en-GB"/>
        </w:rPr>
        <w:t>performance of the</w:t>
      </w:r>
      <w:r>
        <w:rPr>
          <w:lang w:val="en-GB"/>
        </w:rPr>
        <w:t xml:space="preserve"> </w:t>
      </w:r>
      <w:r w:rsidRPr="009B31DB">
        <w:rPr>
          <w:lang w:val="en-GB"/>
        </w:rPr>
        <w:t>Italian judicial system</w:t>
      </w:r>
      <w:r>
        <w:rPr>
          <w:lang w:val="en-GB"/>
        </w:rPr>
        <w:t xml:space="preserve"> (Finocchiaro Castro &amp; Guccio, 2015).</w:t>
      </w:r>
    </w:p>
    <w:p w14:paraId="66B00749" w14:textId="337FA63C" w:rsidR="001472AA" w:rsidRDefault="00843747" w:rsidP="001472AA">
      <w:pPr>
        <w:spacing w:after="120" w:line="480" w:lineRule="auto"/>
        <w:jc w:val="both"/>
        <w:rPr>
          <w:lang w:val="en-GB"/>
        </w:rPr>
      </w:pPr>
      <w:r>
        <w:rPr>
          <w:lang w:val="en-US"/>
        </w:rPr>
        <w:t>Therefore, the aim of t</w:t>
      </w:r>
      <w:r w:rsidR="001472AA" w:rsidRPr="00FB0710">
        <w:rPr>
          <w:lang w:val="en-US"/>
        </w:rPr>
        <w:t xml:space="preserve">his paper </w:t>
      </w:r>
      <w:r>
        <w:rPr>
          <w:lang w:val="en-US"/>
        </w:rPr>
        <w:t>is to analyze</w:t>
      </w:r>
      <w:r w:rsidRPr="00FB0710">
        <w:rPr>
          <w:lang w:val="en-US"/>
        </w:rPr>
        <w:t xml:space="preserve"> </w:t>
      </w:r>
      <w:r w:rsidR="002E7307" w:rsidRPr="007A615A">
        <w:rPr>
          <w:lang w:val="en-GB"/>
        </w:rPr>
        <w:t>the potential influence of various</w:t>
      </w:r>
      <w:r w:rsidR="001472AA" w:rsidRPr="00FB0710">
        <w:rPr>
          <w:lang w:val="en-US"/>
        </w:rPr>
        <w:t xml:space="preserve"> </w:t>
      </w:r>
      <w:r w:rsidR="001472AA">
        <w:rPr>
          <w:lang w:val="en-US"/>
        </w:rPr>
        <w:t xml:space="preserve">topics </w:t>
      </w:r>
      <w:r w:rsidR="002E7307">
        <w:rPr>
          <w:lang w:val="en-US"/>
        </w:rPr>
        <w:t>on the duration of</w:t>
      </w:r>
      <w:r w:rsidR="001472AA">
        <w:rPr>
          <w:lang w:val="en-US"/>
        </w:rPr>
        <w:t xml:space="preserve"> </w:t>
      </w:r>
      <w:r>
        <w:rPr>
          <w:lang w:val="en-US"/>
        </w:rPr>
        <w:t>first-instance</w:t>
      </w:r>
      <w:r w:rsidR="001472AA">
        <w:rPr>
          <w:lang w:val="en-US"/>
        </w:rPr>
        <w:t xml:space="preserve"> civil disputes. </w:t>
      </w:r>
      <w:r w:rsidR="00661863">
        <w:rPr>
          <w:lang w:val="en-US"/>
        </w:rPr>
        <w:t>To deal with this aim</w:t>
      </w:r>
      <w:r w:rsidR="001472AA">
        <w:rPr>
          <w:lang w:val="en-US"/>
        </w:rPr>
        <w:t xml:space="preserve">, we use a unique dataset </w:t>
      </w:r>
      <w:r w:rsidR="001472AA" w:rsidRPr="000C411E">
        <w:rPr>
          <w:lang w:val="en-GB"/>
        </w:rPr>
        <w:t xml:space="preserve">containing </w:t>
      </w:r>
      <w:r w:rsidR="00000CF5">
        <w:rPr>
          <w:lang w:val="en-GB"/>
        </w:rPr>
        <w:t xml:space="preserve">16,789 </w:t>
      </w:r>
      <w:r w:rsidR="001472AA" w:rsidRPr="000C411E">
        <w:rPr>
          <w:lang w:val="en-GB"/>
        </w:rPr>
        <w:t xml:space="preserve">civil </w:t>
      </w:r>
      <w:r w:rsidR="001472AA" w:rsidRPr="0087016F">
        <w:rPr>
          <w:lang w:val="en-GB"/>
        </w:rPr>
        <w:t xml:space="preserve">sentences pronounced in 2022 </w:t>
      </w:r>
      <w:r w:rsidR="007A615A" w:rsidRPr="0087016F">
        <w:rPr>
          <w:lang w:val="en-GB"/>
        </w:rPr>
        <w:t xml:space="preserve">in ten </w:t>
      </w:r>
      <w:r w:rsidR="001472AA" w:rsidRPr="0087016F">
        <w:rPr>
          <w:lang w:val="en-GB"/>
        </w:rPr>
        <w:t>Civil Court</w:t>
      </w:r>
      <w:r w:rsidR="0087016F">
        <w:rPr>
          <w:lang w:val="en-GB"/>
        </w:rPr>
        <w:t>s</w:t>
      </w:r>
      <w:r w:rsidR="001472AA" w:rsidRPr="0087016F">
        <w:rPr>
          <w:lang w:val="en-GB"/>
        </w:rPr>
        <w:t xml:space="preserve"> of </w:t>
      </w:r>
      <w:r w:rsidR="00661863" w:rsidRPr="0087016F">
        <w:rPr>
          <w:lang w:val="en-GB"/>
        </w:rPr>
        <w:t>Sicily</w:t>
      </w:r>
      <w:r w:rsidR="0087016F">
        <w:rPr>
          <w:lang w:val="en-GB"/>
        </w:rPr>
        <w:t xml:space="preserve">: </w:t>
      </w:r>
      <w:r w:rsidR="0087016F" w:rsidRPr="0087016F">
        <w:rPr>
          <w:lang w:val="en-GB"/>
        </w:rPr>
        <w:t xml:space="preserve">Agrigento, Caltanissetta, </w:t>
      </w:r>
      <w:r w:rsidR="001472AA" w:rsidRPr="0087016F">
        <w:rPr>
          <w:lang w:val="en-GB"/>
        </w:rPr>
        <w:t>Catania</w:t>
      </w:r>
      <w:r w:rsidR="0087016F" w:rsidRPr="0087016F">
        <w:rPr>
          <w:lang w:val="en-GB"/>
        </w:rPr>
        <w:t>, Enna, Gela, Marsala</w:t>
      </w:r>
      <w:r w:rsidR="0087016F">
        <w:rPr>
          <w:lang w:val="en-GB"/>
        </w:rPr>
        <w:t>,</w:t>
      </w:r>
      <w:r w:rsidR="0087016F" w:rsidRPr="0087016F">
        <w:rPr>
          <w:lang w:val="en-GB"/>
        </w:rPr>
        <w:t xml:space="preserve"> </w:t>
      </w:r>
      <w:r w:rsidR="00661863" w:rsidRPr="0087016F">
        <w:rPr>
          <w:lang w:val="en-GB"/>
        </w:rPr>
        <w:t>Palermo</w:t>
      </w:r>
      <w:r w:rsidR="0087016F" w:rsidRPr="0087016F">
        <w:rPr>
          <w:lang w:val="en-GB"/>
        </w:rPr>
        <w:t xml:space="preserve">, Sciacca, Termini </w:t>
      </w:r>
      <w:proofErr w:type="spellStart"/>
      <w:r w:rsidR="0087016F" w:rsidRPr="0087016F">
        <w:rPr>
          <w:lang w:val="en-GB"/>
        </w:rPr>
        <w:t>Imerese</w:t>
      </w:r>
      <w:proofErr w:type="spellEnd"/>
      <w:r w:rsidR="0087016F" w:rsidRPr="0087016F">
        <w:rPr>
          <w:lang w:val="en-GB"/>
        </w:rPr>
        <w:t>,</w:t>
      </w:r>
      <w:r w:rsidR="00111886">
        <w:rPr>
          <w:lang w:val="en-GB"/>
        </w:rPr>
        <w:t xml:space="preserve"> and</w:t>
      </w:r>
      <w:r w:rsidR="0087016F" w:rsidRPr="0087016F">
        <w:rPr>
          <w:lang w:val="en-GB"/>
        </w:rPr>
        <w:t xml:space="preserve"> Trapani</w:t>
      </w:r>
      <w:r w:rsidR="001472AA" w:rsidRPr="0087016F">
        <w:rPr>
          <w:lang w:val="en-GB"/>
        </w:rPr>
        <w:t>.</w:t>
      </w:r>
      <w:r w:rsidR="001472AA">
        <w:rPr>
          <w:lang w:val="en-GB"/>
        </w:rPr>
        <w:t xml:space="preserve"> </w:t>
      </w:r>
      <w:r w:rsidR="001472AA">
        <w:rPr>
          <w:lang w:val="en-US"/>
        </w:rPr>
        <w:t xml:space="preserve">Starting from </w:t>
      </w:r>
      <w:r w:rsidR="00A97A93">
        <w:rPr>
          <w:lang w:val="en-US"/>
        </w:rPr>
        <w:t xml:space="preserve">the </w:t>
      </w:r>
      <w:r w:rsidR="00185CB4">
        <w:rPr>
          <w:lang w:val="en-US"/>
        </w:rPr>
        <w:t xml:space="preserve">prior </w:t>
      </w:r>
      <w:r w:rsidR="001472AA">
        <w:rPr>
          <w:lang w:val="en-US"/>
        </w:rPr>
        <w:t>analys</w:t>
      </w:r>
      <w:r w:rsidR="00185CB4">
        <w:rPr>
          <w:lang w:val="en-US"/>
        </w:rPr>
        <w:t>e</w:t>
      </w:r>
      <w:r w:rsidR="001472AA">
        <w:rPr>
          <w:lang w:val="en-US"/>
        </w:rPr>
        <w:t>s conducted</w:t>
      </w:r>
      <w:r w:rsidR="00A97A93">
        <w:rPr>
          <w:lang w:val="en-US"/>
        </w:rPr>
        <w:t xml:space="preserve"> by Di Vita (2012a, 2012b)</w:t>
      </w:r>
      <w:r w:rsidR="001472AA">
        <w:rPr>
          <w:lang w:val="en-US"/>
        </w:rPr>
        <w:t xml:space="preserve"> </w:t>
      </w:r>
      <w:r w:rsidR="00185CB4">
        <w:rPr>
          <w:lang w:val="en-US"/>
        </w:rPr>
        <w:t>in the field of</w:t>
      </w:r>
      <w:r w:rsidR="001472AA">
        <w:rPr>
          <w:lang w:val="en-US"/>
        </w:rPr>
        <w:t xml:space="preserve"> administrative disputes, </w:t>
      </w:r>
      <w:r w:rsidR="00185CB4">
        <w:rPr>
          <w:lang w:val="en-US"/>
        </w:rPr>
        <w:t>this work represents</w:t>
      </w:r>
      <w:r w:rsidR="00F32F68">
        <w:rPr>
          <w:lang w:val="en-US"/>
        </w:rPr>
        <w:t xml:space="preserve">, </w:t>
      </w:r>
      <w:r w:rsidR="00A05E52">
        <w:rPr>
          <w:lang w:val="en-US"/>
        </w:rPr>
        <w:t xml:space="preserve">to </w:t>
      </w:r>
      <w:r w:rsidR="00F32F68">
        <w:rPr>
          <w:lang w:val="en-US"/>
        </w:rPr>
        <w:t>the best of our knowledge,</w:t>
      </w:r>
      <w:r w:rsidR="00185CB4">
        <w:rPr>
          <w:lang w:val="en-US"/>
        </w:rPr>
        <w:t xml:space="preserve"> the first attempt to</w:t>
      </w:r>
      <w:r w:rsidR="00185CB4" w:rsidRPr="00FB0710">
        <w:rPr>
          <w:lang w:val="en-US"/>
        </w:rPr>
        <w:t xml:space="preserve"> </w:t>
      </w:r>
      <w:r w:rsidR="001472AA">
        <w:rPr>
          <w:lang w:val="en-US"/>
        </w:rPr>
        <w:t xml:space="preserve">investigate </w:t>
      </w:r>
      <w:r w:rsidR="001472AA" w:rsidRPr="00FB0710">
        <w:rPr>
          <w:lang w:val="en-US"/>
        </w:rPr>
        <w:t xml:space="preserve">the </w:t>
      </w:r>
      <w:r w:rsidR="001472AA">
        <w:rPr>
          <w:lang w:val="en-US"/>
        </w:rPr>
        <w:t xml:space="preserve">interplay between judicial topics and </w:t>
      </w:r>
      <w:r w:rsidR="00C06022">
        <w:rPr>
          <w:lang w:val="en-US"/>
        </w:rPr>
        <w:t xml:space="preserve">the </w:t>
      </w:r>
      <w:r w:rsidR="001472AA">
        <w:rPr>
          <w:lang w:val="en-US"/>
        </w:rPr>
        <w:t xml:space="preserve">time duration of civil disputes. </w:t>
      </w:r>
      <w:r w:rsidR="00DE38B8">
        <w:rPr>
          <w:lang w:val="en-US"/>
        </w:rPr>
        <w:t xml:space="preserve">More specifically, </w:t>
      </w:r>
      <w:r w:rsidR="00DE38B8">
        <w:rPr>
          <w:lang w:val="en-GB"/>
        </w:rPr>
        <w:t xml:space="preserve">these matters have been </w:t>
      </w:r>
      <w:r w:rsidR="007A6A7F">
        <w:rPr>
          <w:lang w:val="en-GB"/>
        </w:rPr>
        <w:t>classif</w:t>
      </w:r>
      <w:r w:rsidR="00DE38B8">
        <w:rPr>
          <w:lang w:val="en-GB"/>
        </w:rPr>
        <w:t>ied</w:t>
      </w:r>
      <w:r w:rsidR="00185CB4">
        <w:rPr>
          <w:lang w:val="en-GB"/>
        </w:rPr>
        <w:t xml:space="preserve"> </w:t>
      </w:r>
      <w:r w:rsidR="00B53F56">
        <w:rPr>
          <w:lang w:val="en-GB"/>
        </w:rPr>
        <w:t>into</w:t>
      </w:r>
      <w:r w:rsidR="00185CB4" w:rsidRPr="00F9164F">
        <w:rPr>
          <w:lang w:val="en-GB"/>
        </w:rPr>
        <w:t xml:space="preserve"> </w:t>
      </w:r>
      <w:r w:rsidR="00F9164F" w:rsidRPr="00F9164F">
        <w:rPr>
          <w:lang w:val="en-GB"/>
        </w:rPr>
        <w:t xml:space="preserve">twelve </w:t>
      </w:r>
      <w:r w:rsidR="00B53F56">
        <w:rPr>
          <w:lang w:val="en-GB"/>
        </w:rPr>
        <w:t>categories</w:t>
      </w:r>
      <w:r w:rsidR="00B53F56" w:rsidRPr="00F9164F">
        <w:rPr>
          <w:lang w:val="en-GB"/>
        </w:rPr>
        <w:t xml:space="preserve"> </w:t>
      </w:r>
      <w:r w:rsidR="00F9164F" w:rsidRPr="00F9164F">
        <w:rPr>
          <w:lang w:val="en-GB"/>
        </w:rPr>
        <w:t>of civil litigation codes</w:t>
      </w:r>
      <w:r w:rsidR="00B53F56">
        <w:rPr>
          <w:lang w:val="en-GB"/>
        </w:rPr>
        <w:t>,</w:t>
      </w:r>
      <w:r w:rsidR="00F9164F" w:rsidRPr="00F9164F">
        <w:rPr>
          <w:lang w:val="en-GB"/>
        </w:rPr>
        <w:t xml:space="preserve"> such as personality rights, family rights, property rights and </w:t>
      </w:r>
      <w:r w:rsidR="003F5825">
        <w:rPr>
          <w:lang w:val="en-GB"/>
        </w:rPr>
        <w:t>inheritance law</w:t>
      </w:r>
      <w:r w:rsidR="00F9164F" w:rsidRPr="00F9164F">
        <w:rPr>
          <w:lang w:val="en-GB"/>
        </w:rPr>
        <w:t>, contracts and obligations, liability</w:t>
      </w:r>
      <w:r w:rsidR="006E653F">
        <w:rPr>
          <w:lang w:val="en-GB"/>
        </w:rPr>
        <w:t xml:space="preserve"> for tort</w:t>
      </w:r>
      <w:r w:rsidR="00F9164F" w:rsidRPr="00F9164F">
        <w:rPr>
          <w:lang w:val="en-GB"/>
        </w:rPr>
        <w:t xml:space="preserve">, legal entities, company law, lease and </w:t>
      </w:r>
      <w:proofErr w:type="spellStart"/>
      <w:r w:rsidR="006E653F">
        <w:rPr>
          <w:lang w:val="en-GB"/>
        </w:rPr>
        <w:t>commodat</w:t>
      </w:r>
      <w:r w:rsidR="00BE0482">
        <w:rPr>
          <w:lang w:val="en-GB"/>
        </w:rPr>
        <w:t>um</w:t>
      </w:r>
      <w:proofErr w:type="spellEnd"/>
      <w:r w:rsidR="00F9164F" w:rsidRPr="00F9164F">
        <w:rPr>
          <w:lang w:val="en-GB"/>
        </w:rPr>
        <w:t xml:space="preserve">, </w:t>
      </w:r>
      <w:r w:rsidR="003F5825">
        <w:rPr>
          <w:lang w:val="en-GB"/>
        </w:rPr>
        <w:t>bankruptcy</w:t>
      </w:r>
      <w:r w:rsidR="00F9164F" w:rsidRPr="00F9164F">
        <w:rPr>
          <w:lang w:val="en-GB"/>
        </w:rPr>
        <w:t>, administrative law, banking law,</w:t>
      </w:r>
      <w:r w:rsidR="00B53F56">
        <w:rPr>
          <w:lang w:val="en-GB"/>
        </w:rPr>
        <w:t xml:space="preserve"> and</w:t>
      </w:r>
      <w:r w:rsidR="00F9164F" w:rsidRPr="00F9164F">
        <w:rPr>
          <w:lang w:val="en-GB"/>
        </w:rPr>
        <w:t xml:space="preserve"> other institutes. </w:t>
      </w:r>
      <w:r w:rsidR="0076242D">
        <w:rPr>
          <w:lang w:val="en-GB"/>
        </w:rPr>
        <w:t xml:space="preserve">While, </w:t>
      </w:r>
      <w:r w:rsidR="0076242D" w:rsidRPr="00F9164F">
        <w:rPr>
          <w:lang w:val="en-GB"/>
        </w:rPr>
        <w:t>the time duration of disputes</w:t>
      </w:r>
      <w:r w:rsidR="0076242D">
        <w:rPr>
          <w:lang w:val="en-GB"/>
        </w:rPr>
        <w:t xml:space="preserve">, </w:t>
      </w:r>
      <w:r w:rsidR="0076242D" w:rsidRPr="00F9164F">
        <w:rPr>
          <w:lang w:val="en-GB"/>
        </w:rPr>
        <w:t xml:space="preserve">measured in days from the </w:t>
      </w:r>
      <w:r w:rsidR="0076242D">
        <w:rPr>
          <w:lang w:val="en-GB"/>
        </w:rPr>
        <w:t xml:space="preserve">deposit </w:t>
      </w:r>
      <w:r w:rsidR="0076242D" w:rsidRPr="00F9164F">
        <w:rPr>
          <w:lang w:val="en-GB"/>
        </w:rPr>
        <w:t xml:space="preserve">date </w:t>
      </w:r>
      <w:r w:rsidR="0076242D">
        <w:rPr>
          <w:lang w:val="en-GB"/>
        </w:rPr>
        <w:t>to</w:t>
      </w:r>
      <w:r w:rsidR="0076242D" w:rsidRPr="00F9164F">
        <w:rPr>
          <w:lang w:val="en-GB"/>
        </w:rPr>
        <w:t xml:space="preserve"> the </w:t>
      </w:r>
      <w:r w:rsidR="0076242D">
        <w:rPr>
          <w:lang w:val="en-GB"/>
        </w:rPr>
        <w:t xml:space="preserve">court’s </w:t>
      </w:r>
      <w:r w:rsidR="0076242D" w:rsidRPr="00F9164F">
        <w:rPr>
          <w:lang w:val="en-GB"/>
        </w:rPr>
        <w:t xml:space="preserve">registry </w:t>
      </w:r>
      <w:r w:rsidR="0076242D">
        <w:rPr>
          <w:lang w:val="en-GB"/>
        </w:rPr>
        <w:t>until</w:t>
      </w:r>
      <w:r w:rsidR="0076242D" w:rsidRPr="00F9164F">
        <w:rPr>
          <w:lang w:val="en-GB"/>
        </w:rPr>
        <w:t xml:space="preserve"> the publication</w:t>
      </w:r>
      <w:r w:rsidR="0076242D">
        <w:rPr>
          <w:lang w:val="en-GB"/>
        </w:rPr>
        <w:t xml:space="preserve"> day</w:t>
      </w:r>
      <w:r w:rsidR="0076242D" w:rsidRPr="00F9164F">
        <w:rPr>
          <w:lang w:val="en-GB"/>
        </w:rPr>
        <w:t xml:space="preserve"> of the first rank sentence</w:t>
      </w:r>
      <w:r w:rsidR="0076242D">
        <w:rPr>
          <w:lang w:val="en-GB"/>
        </w:rPr>
        <w:t>, constitutes our</w:t>
      </w:r>
      <w:r w:rsidR="00F9164F" w:rsidRPr="00F9164F">
        <w:rPr>
          <w:lang w:val="en-GB"/>
        </w:rPr>
        <w:t xml:space="preserve"> dependent variable. </w:t>
      </w:r>
      <w:r w:rsidR="00B53F56">
        <w:rPr>
          <w:lang w:val="en-GB"/>
        </w:rPr>
        <w:t xml:space="preserve">For </w:t>
      </w:r>
      <w:r w:rsidR="004F52C8">
        <w:rPr>
          <w:lang w:val="en-GB"/>
        </w:rPr>
        <w:t>the s</w:t>
      </w:r>
      <w:r w:rsidR="005B610F">
        <w:rPr>
          <w:lang w:val="en-GB"/>
        </w:rPr>
        <w:t>ake</w:t>
      </w:r>
      <w:r w:rsidR="004F52C8">
        <w:rPr>
          <w:lang w:val="en-GB"/>
        </w:rPr>
        <w:t xml:space="preserve"> of </w:t>
      </w:r>
      <w:r w:rsidR="00B53F56">
        <w:rPr>
          <w:lang w:val="en-GB"/>
        </w:rPr>
        <w:t>statistical comparability, w</w:t>
      </w:r>
      <w:r w:rsidR="00F9164F" w:rsidRPr="00F9164F">
        <w:rPr>
          <w:lang w:val="en-GB"/>
        </w:rPr>
        <w:t xml:space="preserve">e </w:t>
      </w:r>
      <w:r w:rsidR="00B53F56">
        <w:rPr>
          <w:lang w:val="en-GB"/>
        </w:rPr>
        <w:t>select</w:t>
      </w:r>
      <w:r w:rsidR="00B53F56" w:rsidRPr="00F9164F">
        <w:rPr>
          <w:lang w:val="en-GB"/>
        </w:rPr>
        <w:t xml:space="preserve"> </w:t>
      </w:r>
      <w:r w:rsidR="003C2080">
        <w:rPr>
          <w:lang w:val="en-GB"/>
        </w:rPr>
        <w:t>first-instance</w:t>
      </w:r>
      <w:r w:rsidR="00F9164F" w:rsidRPr="00F9164F">
        <w:rPr>
          <w:lang w:val="en-GB"/>
        </w:rPr>
        <w:t xml:space="preserve"> special proceedings as </w:t>
      </w:r>
      <w:r w:rsidR="00F9164F" w:rsidRPr="00F9164F">
        <w:rPr>
          <w:lang w:val="en-GB"/>
        </w:rPr>
        <w:lastRenderedPageBreak/>
        <w:t>reference group</w:t>
      </w:r>
      <w:r w:rsidR="00B53F56">
        <w:rPr>
          <w:lang w:val="en-GB"/>
        </w:rPr>
        <w:t>,</w:t>
      </w:r>
      <w:r w:rsidR="00F9164F" w:rsidRPr="00F9164F">
        <w:rPr>
          <w:lang w:val="en-GB"/>
        </w:rPr>
        <w:t xml:space="preserve"> </w:t>
      </w:r>
      <w:r w:rsidR="00B53F56">
        <w:rPr>
          <w:lang w:val="en-GB"/>
        </w:rPr>
        <w:t>primarily due</w:t>
      </w:r>
      <w:r w:rsidR="00B53F56" w:rsidRPr="00F9164F">
        <w:rPr>
          <w:lang w:val="en-GB"/>
        </w:rPr>
        <w:t xml:space="preserve"> </w:t>
      </w:r>
      <w:r w:rsidR="00F9164F" w:rsidRPr="00F9164F">
        <w:rPr>
          <w:lang w:val="en-GB"/>
        </w:rPr>
        <w:t xml:space="preserve">to their shorter duration </w:t>
      </w:r>
      <w:r w:rsidR="00B53F56">
        <w:rPr>
          <w:lang w:val="en-GB"/>
        </w:rPr>
        <w:t>resulting from</w:t>
      </w:r>
      <w:r w:rsidR="00B53F56" w:rsidRPr="00F9164F">
        <w:rPr>
          <w:lang w:val="en-GB"/>
        </w:rPr>
        <w:t xml:space="preserve"> </w:t>
      </w:r>
      <w:r w:rsidR="00F9164F" w:rsidRPr="00F9164F">
        <w:rPr>
          <w:lang w:val="en-GB"/>
        </w:rPr>
        <w:t>their</w:t>
      </w:r>
      <w:r w:rsidR="00B53F56">
        <w:rPr>
          <w:lang w:val="en-GB"/>
        </w:rPr>
        <w:t xml:space="preserve"> distinctive</w:t>
      </w:r>
      <w:r w:rsidR="00F9164F" w:rsidRPr="00F9164F">
        <w:rPr>
          <w:lang w:val="en-GB"/>
        </w:rPr>
        <w:t xml:space="preserve"> technical characteristics</w:t>
      </w:r>
      <w:r w:rsidR="003F5825">
        <w:rPr>
          <w:lang w:val="en-GB"/>
        </w:rPr>
        <w:t xml:space="preserve">. </w:t>
      </w:r>
    </w:p>
    <w:p w14:paraId="7E104ABB" w14:textId="4E119DD2" w:rsidR="00874995" w:rsidRPr="00F9164F" w:rsidRDefault="00874995" w:rsidP="001472AA">
      <w:pPr>
        <w:spacing w:after="120" w:line="480" w:lineRule="auto"/>
        <w:jc w:val="both"/>
        <w:rPr>
          <w:lang w:val="en-US"/>
        </w:rPr>
      </w:pPr>
      <w:r w:rsidRPr="0087016F">
        <w:rPr>
          <w:lang w:val="en-GB"/>
        </w:rPr>
        <w:t xml:space="preserve">Finally, </w:t>
      </w:r>
      <w:r w:rsidR="00C74014">
        <w:rPr>
          <w:lang w:val="en-GB"/>
        </w:rPr>
        <w:t xml:space="preserve">by </w:t>
      </w:r>
      <w:r w:rsidRPr="0087016F">
        <w:rPr>
          <w:lang w:val="en-GB"/>
        </w:rPr>
        <w:t xml:space="preserve">considering the previous empirical literature highlighting the role of </w:t>
      </w:r>
      <w:r w:rsidR="0087752F">
        <w:rPr>
          <w:lang w:val="en-GB"/>
        </w:rPr>
        <w:t xml:space="preserve">regulatory </w:t>
      </w:r>
      <w:r w:rsidRPr="0087016F">
        <w:rPr>
          <w:lang w:val="en-GB"/>
        </w:rPr>
        <w:t xml:space="preserve">complexity on </w:t>
      </w:r>
      <w:r w:rsidR="00CC271A">
        <w:rPr>
          <w:lang w:val="en-GB"/>
        </w:rPr>
        <w:t xml:space="preserve">increasing </w:t>
      </w:r>
      <w:r w:rsidRPr="0087016F">
        <w:rPr>
          <w:lang w:val="en-GB"/>
        </w:rPr>
        <w:t xml:space="preserve">duration of disputes </w:t>
      </w:r>
      <w:r w:rsidR="007972F0" w:rsidRPr="006660CA">
        <w:rPr>
          <w:lang w:val="en-GB"/>
        </w:rPr>
        <w:t>(</w:t>
      </w:r>
      <w:r w:rsidR="007972F0">
        <w:rPr>
          <w:lang w:val="en-GB"/>
        </w:rPr>
        <w:t xml:space="preserve">Di Vita, 2010; </w:t>
      </w:r>
      <w:r w:rsidR="00E752F1">
        <w:rPr>
          <w:lang w:val="en-GB"/>
        </w:rPr>
        <w:t xml:space="preserve">Di Vita, 2012b; </w:t>
      </w:r>
      <w:r w:rsidR="00CC271A">
        <w:rPr>
          <w:lang w:val="en-GB"/>
        </w:rPr>
        <w:t xml:space="preserve">Di Vita, 2018; </w:t>
      </w:r>
      <w:r w:rsidR="007972F0" w:rsidRPr="006660CA">
        <w:rPr>
          <w:lang w:val="en-GB"/>
        </w:rPr>
        <w:t>De Lucio &amp; Mora-Sanguinetti, 2021)</w:t>
      </w:r>
      <w:r w:rsidR="007972F0">
        <w:rPr>
          <w:lang w:val="en-GB"/>
        </w:rPr>
        <w:t xml:space="preserve"> </w:t>
      </w:r>
      <w:r w:rsidRPr="0087016F">
        <w:rPr>
          <w:lang w:val="en-GB"/>
        </w:rPr>
        <w:t>we present a</w:t>
      </w:r>
      <w:r w:rsidR="002E4687">
        <w:rPr>
          <w:lang w:val="en-GB"/>
        </w:rPr>
        <w:t xml:space="preserve"> </w:t>
      </w:r>
      <w:r w:rsidR="0087016F" w:rsidRPr="0087016F">
        <w:rPr>
          <w:lang w:val="en-GB"/>
        </w:rPr>
        <w:t xml:space="preserve">set of civil </w:t>
      </w:r>
      <w:r w:rsidR="00857D99">
        <w:rPr>
          <w:lang w:val="en-GB"/>
        </w:rPr>
        <w:t>regulation</w:t>
      </w:r>
      <w:r w:rsidR="006E653F">
        <w:rPr>
          <w:lang w:val="en-GB"/>
        </w:rPr>
        <w:t xml:space="preserve"> </w:t>
      </w:r>
      <w:r w:rsidRPr="0087016F">
        <w:rPr>
          <w:lang w:val="en-GB"/>
        </w:rPr>
        <w:t>complexity</w:t>
      </w:r>
      <w:r w:rsidR="0087016F" w:rsidRPr="0087016F">
        <w:rPr>
          <w:lang w:val="en-GB"/>
        </w:rPr>
        <w:t xml:space="preserve"> ind</w:t>
      </w:r>
      <w:r w:rsidR="006E653F">
        <w:rPr>
          <w:lang w:val="en-GB"/>
        </w:rPr>
        <w:t>icators</w:t>
      </w:r>
      <w:r w:rsidRPr="0087016F">
        <w:rPr>
          <w:lang w:val="en-GB"/>
        </w:rPr>
        <w:t xml:space="preserve"> </w:t>
      </w:r>
      <w:r w:rsidR="00CC271A">
        <w:rPr>
          <w:lang w:val="en-GB"/>
        </w:rPr>
        <w:t xml:space="preserve">at topic level </w:t>
      </w:r>
      <w:r w:rsidRPr="0087016F">
        <w:rPr>
          <w:lang w:val="en-GB"/>
        </w:rPr>
        <w:t xml:space="preserve">and analyse </w:t>
      </w:r>
      <w:r w:rsidR="0087016F" w:rsidRPr="0087016F">
        <w:rPr>
          <w:lang w:val="en-GB"/>
        </w:rPr>
        <w:t>their</w:t>
      </w:r>
      <w:r w:rsidRPr="0087016F">
        <w:rPr>
          <w:lang w:val="en-GB"/>
        </w:rPr>
        <w:t xml:space="preserve"> interplay with civil </w:t>
      </w:r>
      <w:r w:rsidR="0087016F" w:rsidRPr="0087016F">
        <w:rPr>
          <w:lang w:val="en-GB"/>
        </w:rPr>
        <w:t xml:space="preserve">dispute </w:t>
      </w:r>
      <w:r w:rsidRPr="0087016F">
        <w:rPr>
          <w:lang w:val="en-GB"/>
        </w:rPr>
        <w:t>time duration.</w:t>
      </w:r>
    </w:p>
    <w:p w14:paraId="5B408E4F" w14:textId="14E04D6B" w:rsidR="008A762A" w:rsidRDefault="001472AA" w:rsidP="005A3B61">
      <w:pPr>
        <w:spacing w:after="120" w:line="480" w:lineRule="auto"/>
        <w:ind w:firstLine="567"/>
        <w:jc w:val="both"/>
        <w:rPr>
          <w:lang w:val="en-US"/>
        </w:rPr>
      </w:pPr>
      <w:r w:rsidRPr="0087016F">
        <w:rPr>
          <w:lang w:val="en-US"/>
        </w:rPr>
        <w:t xml:space="preserve">Our </w:t>
      </w:r>
      <w:r w:rsidR="00A03C17" w:rsidRPr="0087016F">
        <w:rPr>
          <w:lang w:val="en-US"/>
        </w:rPr>
        <w:t xml:space="preserve">findings </w:t>
      </w:r>
      <w:r w:rsidRPr="0087016F">
        <w:rPr>
          <w:lang w:val="en-US"/>
        </w:rPr>
        <w:t xml:space="preserve">confirm that </w:t>
      </w:r>
      <w:r w:rsidR="005A3B61" w:rsidRPr="0087016F">
        <w:rPr>
          <w:lang w:val="en-US"/>
        </w:rPr>
        <w:t>the duration of civil disputes</w:t>
      </w:r>
      <w:r w:rsidR="005A3B61">
        <w:rPr>
          <w:lang w:val="en-US"/>
        </w:rPr>
        <w:t xml:space="preserve"> is significantly affected by topics which are in turn correlated with regulatory complexity. </w:t>
      </w:r>
    </w:p>
    <w:p w14:paraId="0A145D4E" w14:textId="69E13E26" w:rsidR="001472AA" w:rsidRPr="00FB0710" w:rsidRDefault="008A762A">
      <w:pPr>
        <w:spacing w:after="120" w:line="480" w:lineRule="auto"/>
        <w:ind w:firstLine="567"/>
        <w:jc w:val="both"/>
        <w:rPr>
          <w:lang w:val="en-US"/>
        </w:rPr>
      </w:pPr>
      <w:r>
        <w:rPr>
          <w:lang w:val="en-US"/>
        </w:rPr>
        <w:t>Finally</w:t>
      </w:r>
      <w:r w:rsidR="001472AA" w:rsidRPr="0087016F">
        <w:rPr>
          <w:lang w:val="en-US"/>
        </w:rPr>
        <w:t xml:space="preserve">, from a policy perspective, </w:t>
      </w:r>
      <w:r w:rsidR="00A03C17" w:rsidRPr="0087016F">
        <w:rPr>
          <w:lang w:val="en-US"/>
        </w:rPr>
        <w:t xml:space="preserve">extended </w:t>
      </w:r>
      <w:r w:rsidR="005A3B61">
        <w:rPr>
          <w:lang w:val="en-US"/>
        </w:rPr>
        <w:t>time duration</w:t>
      </w:r>
      <w:r w:rsidR="001472AA" w:rsidRPr="0087016F">
        <w:rPr>
          <w:lang w:val="en-US"/>
        </w:rPr>
        <w:t xml:space="preserve"> should </w:t>
      </w:r>
      <w:r w:rsidR="00A03C17" w:rsidRPr="0087016F">
        <w:rPr>
          <w:lang w:val="en-US"/>
        </w:rPr>
        <w:t xml:space="preserve">prompt </w:t>
      </w:r>
      <w:r w:rsidR="00A03C17" w:rsidRPr="0087016F">
        <w:rPr>
          <w:lang w:val="en-GB"/>
        </w:rPr>
        <w:t>the allocation of additional resources to the Court Sections responsible for that area. This allocation could facilitate the development of enhanced</w:t>
      </w:r>
      <w:r w:rsidR="008F6F84" w:rsidRPr="0087016F">
        <w:rPr>
          <w:lang w:val="en-US"/>
        </w:rPr>
        <w:t xml:space="preserve"> organization</w:t>
      </w:r>
      <w:r w:rsidR="00F50484" w:rsidRPr="0087016F">
        <w:rPr>
          <w:lang w:val="en-US"/>
        </w:rPr>
        <w:t>al</w:t>
      </w:r>
      <w:r w:rsidR="008F6F84" w:rsidRPr="0087016F">
        <w:rPr>
          <w:lang w:val="en-US"/>
        </w:rPr>
        <w:t xml:space="preserve"> system</w:t>
      </w:r>
      <w:r w:rsidR="00F50484" w:rsidRPr="0087016F">
        <w:rPr>
          <w:lang w:val="en-US"/>
        </w:rPr>
        <w:t>s</w:t>
      </w:r>
      <w:r w:rsidR="008F6F84" w:rsidRPr="0087016F">
        <w:rPr>
          <w:lang w:val="en-US"/>
        </w:rPr>
        <w:t xml:space="preserve"> and</w:t>
      </w:r>
      <w:r w:rsidR="00F50484" w:rsidRPr="0087016F">
        <w:rPr>
          <w:lang w:val="en-US"/>
        </w:rPr>
        <w:t>,</w:t>
      </w:r>
      <w:r w:rsidR="001472AA" w:rsidRPr="0087016F">
        <w:rPr>
          <w:lang w:val="en-US"/>
        </w:rPr>
        <w:t xml:space="preserve"> </w:t>
      </w:r>
      <w:r w:rsidR="00A03C17" w:rsidRPr="0087016F">
        <w:rPr>
          <w:lang w:val="en-US"/>
        </w:rPr>
        <w:t>potentially results in modifications to</w:t>
      </w:r>
      <w:r w:rsidR="001472AA" w:rsidRPr="0087016F">
        <w:rPr>
          <w:lang w:val="en-US"/>
        </w:rPr>
        <w:t xml:space="preserve"> caseload assignment</w:t>
      </w:r>
      <w:r w:rsidR="00A03C17" w:rsidRPr="0087016F">
        <w:rPr>
          <w:lang w:val="en-US"/>
        </w:rPr>
        <w:t xml:space="preserve"> criteria</w:t>
      </w:r>
      <w:r w:rsidR="001472AA" w:rsidRPr="0087016F">
        <w:rPr>
          <w:lang w:val="en-US"/>
        </w:rPr>
        <w:t xml:space="preserve">. </w:t>
      </w:r>
      <w:r w:rsidR="00874995" w:rsidRPr="0087016F">
        <w:rPr>
          <w:lang w:val="en-US"/>
        </w:rPr>
        <w:t xml:space="preserve">Moreover, </w:t>
      </w:r>
      <w:r w:rsidR="0087016F" w:rsidRPr="0087016F">
        <w:rPr>
          <w:lang w:val="en-US"/>
        </w:rPr>
        <w:t xml:space="preserve">considering that </w:t>
      </w:r>
      <w:r w:rsidR="0087752F">
        <w:rPr>
          <w:lang w:val="en-US"/>
        </w:rPr>
        <w:t>regulatory</w:t>
      </w:r>
      <w:r w:rsidR="00874995" w:rsidRPr="0087016F">
        <w:rPr>
          <w:lang w:val="en-US"/>
        </w:rPr>
        <w:t xml:space="preserve"> complexity matters</w:t>
      </w:r>
      <w:r w:rsidR="0087752F">
        <w:rPr>
          <w:lang w:val="en-US"/>
        </w:rPr>
        <w:t>,</w:t>
      </w:r>
      <w:r w:rsidR="0087016F" w:rsidRPr="0087016F">
        <w:rPr>
          <w:lang w:val="en-US"/>
        </w:rPr>
        <w:t xml:space="preserve"> this can entail some interesting policy-implications</w:t>
      </w:r>
      <w:r w:rsidR="0087016F">
        <w:rPr>
          <w:lang w:val="en-US"/>
        </w:rPr>
        <w:t xml:space="preserve"> aimed at the simplification of the </w:t>
      </w:r>
      <w:r w:rsidR="0087752F">
        <w:rPr>
          <w:lang w:val="en-US"/>
        </w:rPr>
        <w:t>regulatory</w:t>
      </w:r>
      <w:r w:rsidR="0087016F">
        <w:rPr>
          <w:lang w:val="en-US"/>
        </w:rPr>
        <w:t xml:space="preserve"> system. </w:t>
      </w:r>
    </w:p>
    <w:p w14:paraId="4A4C2E63" w14:textId="00D74ED0" w:rsidR="001472AA" w:rsidRDefault="001472AA" w:rsidP="001472AA">
      <w:pPr>
        <w:spacing w:after="120" w:line="480" w:lineRule="auto"/>
        <w:ind w:firstLine="567"/>
        <w:jc w:val="both"/>
        <w:rPr>
          <w:lang w:val="en-US"/>
        </w:rPr>
      </w:pPr>
      <w:r w:rsidRPr="00B00049">
        <w:rPr>
          <w:lang w:val="en-US"/>
        </w:rPr>
        <w:t>The rest of the paper is organized as follows. Section 2 briefly</w:t>
      </w:r>
      <w:r>
        <w:rPr>
          <w:lang w:val="en-US"/>
        </w:rPr>
        <w:t xml:space="preserve"> discuss</w:t>
      </w:r>
      <w:r w:rsidR="00A03C17">
        <w:rPr>
          <w:lang w:val="en-US"/>
        </w:rPr>
        <w:t>es</w:t>
      </w:r>
      <w:r>
        <w:rPr>
          <w:lang w:val="en-US"/>
        </w:rPr>
        <w:t xml:space="preserve"> the institutional background</w:t>
      </w:r>
      <w:r w:rsidR="00A03C17">
        <w:rPr>
          <w:lang w:val="en-US"/>
        </w:rPr>
        <w:t>.</w:t>
      </w:r>
      <w:r w:rsidR="00A03C17" w:rsidRPr="00B00049">
        <w:rPr>
          <w:lang w:val="en-US"/>
        </w:rPr>
        <w:t xml:space="preserve"> Section 3</w:t>
      </w:r>
      <w:r w:rsidR="00A03C17">
        <w:rPr>
          <w:lang w:val="en-US"/>
        </w:rPr>
        <w:t xml:space="preserve"> describes the </w:t>
      </w:r>
      <w:r>
        <w:rPr>
          <w:lang w:val="en-US"/>
        </w:rPr>
        <w:t xml:space="preserve">dataset and </w:t>
      </w:r>
      <w:r w:rsidR="00334A8B">
        <w:rPr>
          <w:lang w:val="en-US"/>
        </w:rPr>
        <w:t xml:space="preserve">provides </w:t>
      </w:r>
      <w:r w:rsidR="00331DED">
        <w:rPr>
          <w:lang w:val="en-US"/>
        </w:rPr>
        <w:t xml:space="preserve">some </w:t>
      </w:r>
      <w:r>
        <w:rPr>
          <w:lang w:val="en-US"/>
        </w:rPr>
        <w:t>descriptive statistics</w:t>
      </w:r>
      <w:r w:rsidRPr="00B00049">
        <w:rPr>
          <w:lang w:val="en-US"/>
        </w:rPr>
        <w:t xml:space="preserve">. </w:t>
      </w:r>
      <w:r w:rsidR="00A03C17" w:rsidRPr="00B00049">
        <w:rPr>
          <w:lang w:val="en-US"/>
        </w:rPr>
        <w:t>Section 4</w:t>
      </w:r>
      <w:r w:rsidR="00A03C17">
        <w:rPr>
          <w:lang w:val="en-US"/>
        </w:rPr>
        <w:t xml:space="preserve"> </w:t>
      </w:r>
      <w:r w:rsidR="00D32FA8">
        <w:rPr>
          <w:lang w:val="en-US"/>
        </w:rPr>
        <w:t xml:space="preserve">reports </w:t>
      </w:r>
      <w:r w:rsidR="00CE3B9E">
        <w:rPr>
          <w:lang w:val="en-US"/>
        </w:rPr>
        <w:t xml:space="preserve">the </w:t>
      </w:r>
      <w:r w:rsidR="00D32FA8">
        <w:rPr>
          <w:lang w:val="en-US"/>
        </w:rPr>
        <w:t>empirical results</w:t>
      </w:r>
      <w:r w:rsidR="00A03C17">
        <w:rPr>
          <w:lang w:val="en-US"/>
        </w:rPr>
        <w:t>. Finally,</w:t>
      </w:r>
      <w:r w:rsidRPr="00B00049">
        <w:rPr>
          <w:lang w:val="en-US"/>
        </w:rPr>
        <w:t xml:space="preserve"> Section 5 concludes </w:t>
      </w:r>
      <w:r w:rsidR="00A03C17">
        <w:rPr>
          <w:lang w:val="en-US"/>
        </w:rPr>
        <w:t>the paper</w:t>
      </w:r>
      <w:r w:rsidR="00334A8B">
        <w:rPr>
          <w:lang w:val="en-US"/>
        </w:rPr>
        <w:t xml:space="preserve"> by</w:t>
      </w:r>
      <w:r w:rsidR="00A03C17">
        <w:rPr>
          <w:lang w:val="en-US"/>
        </w:rPr>
        <w:t xml:space="preserve"> summarizing</w:t>
      </w:r>
      <w:r w:rsidR="00A03C17" w:rsidRPr="00B00049">
        <w:rPr>
          <w:lang w:val="en-US"/>
        </w:rPr>
        <w:t xml:space="preserve"> </w:t>
      </w:r>
      <w:r w:rsidRPr="00B00049">
        <w:rPr>
          <w:lang w:val="en-US"/>
        </w:rPr>
        <w:t xml:space="preserve">the </w:t>
      </w:r>
      <w:r w:rsidR="00A03C17">
        <w:rPr>
          <w:lang w:val="en-US"/>
        </w:rPr>
        <w:t>key</w:t>
      </w:r>
      <w:r w:rsidR="00A03C17" w:rsidRPr="00B00049">
        <w:rPr>
          <w:lang w:val="en-US"/>
        </w:rPr>
        <w:t xml:space="preserve"> </w:t>
      </w:r>
      <w:r w:rsidRPr="00B00049">
        <w:rPr>
          <w:lang w:val="en-US"/>
        </w:rPr>
        <w:t>insights</w:t>
      </w:r>
      <w:r>
        <w:rPr>
          <w:lang w:val="en-US"/>
        </w:rPr>
        <w:t xml:space="preserve"> </w:t>
      </w:r>
      <w:r w:rsidRPr="00B00049">
        <w:rPr>
          <w:lang w:val="en-US"/>
        </w:rPr>
        <w:t>drawn from the analysis</w:t>
      </w:r>
      <w:r>
        <w:rPr>
          <w:lang w:val="en-US"/>
        </w:rPr>
        <w:t xml:space="preserve"> and discuss</w:t>
      </w:r>
      <w:r w:rsidR="00CE3B9E">
        <w:rPr>
          <w:lang w:val="en-US"/>
        </w:rPr>
        <w:t>es</w:t>
      </w:r>
      <w:r w:rsidR="003F5825">
        <w:rPr>
          <w:lang w:val="en-US"/>
        </w:rPr>
        <w:t xml:space="preserve"> </w:t>
      </w:r>
      <w:r>
        <w:rPr>
          <w:lang w:val="en-US"/>
        </w:rPr>
        <w:t xml:space="preserve">policy implications. </w:t>
      </w:r>
    </w:p>
    <w:p w14:paraId="2095D6B6" w14:textId="77777777" w:rsidR="00F904B1" w:rsidRDefault="00F904B1" w:rsidP="00BA6E80">
      <w:pPr>
        <w:spacing w:after="120" w:line="480" w:lineRule="auto"/>
        <w:ind w:firstLine="567"/>
        <w:jc w:val="both"/>
        <w:rPr>
          <w:lang w:val="en-US"/>
        </w:rPr>
      </w:pPr>
    </w:p>
    <w:p w14:paraId="4DE1E5BD" w14:textId="77777777" w:rsidR="00BB04AB" w:rsidRDefault="00BB04AB" w:rsidP="00BA6E80">
      <w:pPr>
        <w:spacing w:after="120" w:line="480" w:lineRule="auto"/>
        <w:ind w:firstLine="567"/>
        <w:jc w:val="both"/>
        <w:rPr>
          <w:lang w:val="en-US"/>
        </w:rPr>
      </w:pPr>
    </w:p>
    <w:p w14:paraId="40D43D97" w14:textId="77777777" w:rsidR="00BB04AB" w:rsidRPr="00FB0710" w:rsidRDefault="00BB04AB" w:rsidP="00BA6E80">
      <w:pPr>
        <w:spacing w:after="120" w:line="480" w:lineRule="auto"/>
        <w:ind w:firstLine="567"/>
        <w:jc w:val="both"/>
        <w:rPr>
          <w:lang w:val="en-US"/>
        </w:rPr>
      </w:pPr>
    </w:p>
    <w:p w14:paraId="0DD2DD07" w14:textId="270FBD00" w:rsidR="003326EC" w:rsidRDefault="003326EC" w:rsidP="003326EC">
      <w:pPr>
        <w:spacing w:after="120" w:line="480" w:lineRule="auto"/>
        <w:jc w:val="both"/>
        <w:rPr>
          <w:b/>
          <w:bCs/>
          <w:lang w:val="en-US"/>
        </w:rPr>
      </w:pPr>
      <w:r>
        <w:rPr>
          <w:b/>
          <w:bCs/>
          <w:lang w:val="en-US"/>
        </w:rPr>
        <w:lastRenderedPageBreak/>
        <w:t>2</w:t>
      </w:r>
      <w:r w:rsidRPr="00FB0710">
        <w:rPr>
          <w:b/>
          <w:bCs/>
          <w:lang w:val="en-US"/>
        </w:rPr>
        <w:t xml:space="preserve">. </w:t>
      </w:r>
      <w:r w:rsidR="003D4F9F">
        <w:rPr>
          <w:b/>
          <w:bCs/>
          <w:lang w:val="en-US"/>
        </w:rPr>
        <w:t>B</w:t>
      </w:r>
      <w:r w:rsidR="000C411E">
        <w:rPr>
          <w:b/>
          <w:bCs/>
          <w:lang w:val="en-US"/>
        </w:rPr>
        <w:t>ackground</w:t>
      </w:r>
    </w:p>
    <w:p w14:paraId="1E0BFBE6" w14:textId="53974950" w:rsidR="0005431A" w:rsidRPr="006E653F" w:rsidRDefault="00F46FE5" w:rsidP="00070BE5">
      <w:pPr>
        <w:spacing w:after="120" w:line="480" w:lineRule="auto"/>
        <w:jc w:val="both"/>
        <w:rPr>
          <w:lang w:val="en-GB"/>
        </w:rPr>
      </w:pPr>
      <w:r w:rsidRPr="00F46FE5">
        <w:rPr>
          <w:lang w:val="en-US"/>
        </w:rPr>
        <w:t xml:space="preserve">In </w:t>
      </w:r>
      <w:r>
        <w:rPr>
          <w:lang w:val="en-US"/>
        </w:rPr>
        <w:t>Italy</w:t>
      </w:r>
      <w:r w:rsidRPr="00F46FE5">
        <w:rPr>
          <w:lang w:val="en-US"/>
        </w:rPr>
        <w:t>, the First Instance Courts</w:t>
      </w:r>
      <w:r>
        <w:rPr>
          <w:rStyle w:val="Rimandonotaapidipagina"/>
          <w:lang w:val="en-US"/>
        </w:rPr>
        <w:footnoteReference w:id="1"/>
      </w:r>
      <w:r w:rsidRPr="00F46FE5">
        <w:rPr>
          <w:lang w:val="en-US"/>
        </w:rPr>
        <w:t xml:space="preserve"> are the first step</w:t>
      </w:r>
      <w:r>
        <w:rPr>
          <w:lang w:val="en-US"/>
        </w:rPr>
        <w:t xml:space="preserve"> </w:t>
      </w:r>
      <w:r w:rsidRPr="00F46FE5">
        <w:rPr>
          <w:lang w:val="en-US"/>
        </w:rPr>
        <w:t>in the pyramid</w:t>
      </w:r>
      <w:r>
        <w:rPr>
          <w:lang w:val="en-US"/>
        </w:rPr>
        <w:t>al organization</w:t>
      </w:r>
      <w:r w:rsidRPr="00F46FE5">
        <w:rPr>
          <w:lang w:val="en-US"/>
        </w:rPr>
        <w:t xml:space="preserve"> of the judicial </w:t>
      </w:r>
      <w:r>
        <w:rPr>
          <w:lang w:val="en-US"/>
        </w:rPr>
        <w:t>system</w:t>
      </w:r>
      <w:r w:rsidRPr="00F46FE5">
        <w:rPr>
          <w:lang w:val="en-US"/>
        </w:rPr>
        <w:t xml:space="preserve"> and </w:t>
      </w:r>
      <w:r w:rsidR="00197A28">
        <w:rPr>
          <w:lang w:val="en-US"/>
        </w:rPr>
        <w:t xml:space="preserve">they </w:t>
      </w:r>
      <w:r w:rsidRPr="00F46FE5">
        <w:rPr>
          <w:lang w:val="en-US"/>
        </w:rPr>
        <w:t xml:space="preserve">are </w:t>
      </w:r>
      <w:r>
        <w:rPr>
          <w:lang w:val="en-US"/>
        </w:rPr>
        <w:t xml:space="preserve">generally </w:t>
      </w:r>
      <w:r w:rsidRPr="00F46FE5">
        <w:rPr>
          <w:lang w:val="en-US"/>
        </w:rPr>
        <w:t>single-judge courts</w:t>
      </w:r>
      <w:r>
        <w:rPr>
          <w:lang w:val="en-US"/>
        </w:rPr>
        <w:t xml:space="preserve">. </w:t>
      </w:r>
      <w:r w:rsidR="00637CAF">
        <w:rPr>
          <w:lang w:val="en-US"/>
        </w:rPr>
        <w:t>Quality</w:t>
      </w:r>
      <w:r w:rsidR="00EE558F" w:rsidRPr="00EE558F">
        <w:rPr>
          <w:lang w:val="en-GB"/>
        </w:rPr>
        <w:t xml:space="preserve"> of judicial systems</w:t>
      </w:r>
      <w:r w:rsidR="00637CAF">
        <w:rPr>
          <w:lang w:val="en-GB"/>
        </w:rPr>
        <w:t xml:space="preserve">, in terms of both </w:t>
      </w:r>
      <w:r w:rsidR="00637CAF" w:rsidRPr="00637CAF">
        <w:rPr>
          <w:lang w:val="en-GB"/>
        </w:rPr>
        <w:t>efficiency</w:t>
      </w:r>
      <w:r w:rsidR="00637CAF">
        <w:rPr>
          <w:lang w:val="en-GB"/>
        </w:rPr>
        <w:t xml:space="preserve"> and </w:t>
      </w:r>
      <w:r w:rsidR="00637CAF" w:rsidRPr="00637CAF">
        <w:rPr>
          <w:lang w:val="en-GB"/>
        </w:rPr>
        <w:t>effectiveness</w:t>
      </w:r>
      <w:r w:rsidR="00637CAF">
        <w:rPr>
          <w:lang w:val="en-GB"/>
        </w:rPr>
        <w:t xml:space="preserve">, </w:t>
      </w:r>
      <w:r w:rsidR="00EE558F" w:rsidRPr="00EE558F">
        <w:rPr>
          <w:lang w:val="en-GB"/>
        </w:rPr>
        <w:t>has become one of</w:t>
      </w:r>
      <w:r w:rsidR="006F3434">
        <w:rPr>
          <w:lang w:val="en-GB"/>
        </w:rPr>
        <w:t xml:space="preserve"> </w:t>
      </w:r>
      <w:r w:rsidR="00EE558F" w:rsidRPr="00EE558F">
        <w:rPr>
          <w:lang w:val="en-GB"/>
        </w:rPr>
        <w:t xml:space="preserve">the main </w:t>
      </w:r>
      <w:r w:rsidR="00637CAF">
        <w:rPr>
          <w:lang w:val="en-GB"/>
        </w:rPr>
        <w:t>topics</w:t>
      </w:r>
      <w:r w:rsidR="00EE558F" w:rsidRPr="00EE558F">
        <w:rPr>
          <w:lang w:val="en-GB"/>
        </w:rPr>
        <w:t xml:space="preserve"> </w:t>
      </w:r>
      <w:r w:rsidR="00637CAF">
        <w:rPr>
          <w:lang w:val="en-GB"/>
        </w:rPr>
        <w:t>for</w:t>
      </w:r>
      <w:r w:rsidR="00EE558F" w:rsidRPr="00EE558F">
        <w:rPr>
          <w:lang w:val="en-GB"/>
        </w:rPr>
        <w:t xml:space="preserve"> public sector </w:t>
      </w:r>
      <w:r w:rsidR="00637CAF">
        <w:rPr>
          <w:lang w:val="en-GB"/>
        </w:rPr>
        <w:t>reforms considering that</w:t>
      </w:r>
      <w:r w:rsidR="006F3434">
        <w:rPr>
          <w:lang w:val="en-GB"/>
        </w:rPr>
        <w:t xml:space="preserve"> </w:t>
      </w:r>
      <w:r w:rsidR="00EE558F" w:rsidRPr="00EE558F">
        <w:rPr>
          <w:lang w:val="en-GB"/>
        </w:rPr>
        <w:t>ju</w:t>
      </w:r>
      <w:r w:rsidR="00637CAF">
        <w:rPr>
          <w:lang w:val="en-GB"/>
        </w:rPr>
        <w:t>stice sector entail services of crucial importance</w:t>
      </w:r>
      <w:r w:rsidR="00EE558F" w:rsidRPr="00EE558F">
        <w:rPr>
          <w:lang w:val="en-GB"/>
        </w:rPr>
        <w:t xml:space="preserve"> </w:t>
      </w:r>
      <w:r w:rsidR="00637CAF">
        <w:rPr>
          <w:lang w:val="en-GB"/>
        </w:rPr>
        <w:t xml:space="preserve">for the </w:t>
      </w:r>
      <w:r w:rsidR="00EE558F" w:rsidRPr="00EE558F">
        <w:rPr>
          <w:lang w:val="en-GB"/>
        </w:rPr>
        <w:t xml:space="preserve">society </w:t>
      </w:r>
      <w:r w:rsidR="00637CAF">
        <w:rPr>
          <w:lang w:val="en-GB"/>
        </w:rPr>
        <w:t>(Finocchiaro Castro &amp; Guccio, 2015).</w:t>
      </w:r>
      <w:r w:rsidR="00CB7083">
        <w:rPr>
          <w:lang w:val="en-GB"/>
        </w:rPr>
        <w:t xml:space="preserve"> </w:t>
      </w:r>
      <w:r w:rsidR="00D731CB">
        <w:rPr>
          <w:lang w:val="en-GB"/>
        </w:rPr>
        <w:t xml:space="preserve">Italian justice </w:t>
      </w:r>
      <w:r w:rsidR="00325A99">
        <w:rPr>
          <w:lang w:val="en-GB"/>
        </w:rPr>
        <w:t xml:space="preserve">system </w:t>
      </w:r>
      <w:r w:rsidR="00D731CB">
        <w:rPr>
          <w:lang w:val="en-GB"/>
        </w:rPr>
        <w:t xml:space="preserve">performances have been already investigated </w:t>
      </w:r>
      <w:r w:rsidR="00D731CB" w:rsidRPr="001D064C">
        <w:rPr>
          <w:lang w:val="en-GB"/>
        </w:rPr>
        <w:t>empirical</w:t>
      </w:r>
      <w:r w:rsidR="00D731CB">
        <w:rPr>
          <w:lang w:val="en-GB"/>
        </w:rPr>
        <w:t xml:space="preserve">ly mainly </w:t>
      </w:r>
      <w:r w:rsidR="00325A99">
        <w:rPr>
          <w:lang w:val="en-GB"/>
        </w:rPr>
        <w:t xml:space="preserve">revealing </w:t>
      </w:r>
      <w:r w:rsidR="00D731CB" w:rsidRPr="00D731CB">
        <w:rPr>
          <w:lang w:val="en-GB"/>
        </w:rPr>
        <w:t>significant difference</w:t>
      </w:r>
      <w:r w:rsidR="002230E8">
        <w:rPr>
          <w:lang w:val="en-GB"/>
        </w:rPr>
        <w:t>s</w:t>
      </w:r>
      <w:r w:rsidR="00D731CB" w:rsidRPr="00D731CB">
        <w:rPr>
          <w:lang w:val="en-GB"/>
        </w:rPr>
        <w:t xml:space="preserve"> </w:t>
      </w:r>
      <w:r w:rsidR="00325A99">
        <w:rPr>
          <w:lang w:val="en-GB"/>
        </w:rPr>
        <w:t>among</w:t>
      </w:r>
      <w:r w:rsidR="00D731CB" w:rsidRPr="00D731CB">
        <w:rPr>
          <w:lang w:val="en-GB"/>
        </w:rPr>
        <w:t xml:space="preserve"> Northern,</w:t>
      </w:r>
      <w:r w:rsidR="00D731CB">
        <w:rPr>
          <w:lang w:val="en-GB"/>
        </w:rPr>
        <w:t xml:space="preserve"> </w:t>
      </w:r>
      <w:r w:rsidR="00D731CB" w:rsidRPr="00D731CB">
        <w:rPr>
          <w:lang w:val="en-GB"/>
        </w:rPr>
        <w:t>Central and Southern</w:t>
      </w:r>
      <w:r w:rsidR="002230E8">
        <w:rPr>
          <w:lang w:val="en-GB"/>
        </w:rPr>
        <w:t xml:space="preserve"> regions</w:t>
      </w:r>
      <w:r w:rsidR="00B50FB0">
        <w:rPr>
          <w:rStyle w:val="Rimandonotaapidipagina"/>
          <w:lang w:val="en-GB"/>
        </w:rPr>
        <w:footnoteReference w:id="2"/>
      </w:r>
      <w:r w:rsidR="00325A99">
        <w:rPr>
          <w:lang w:val="en-GB"/>
        </w:rPr>
        <w:t xml:space="preserve">. </w:t>
      </w:r>
      <w:proofErr w:type="spellStart"/>
      <w:r w:rsidR="00325A99" w:rsidRPr="00AB1095">
        <w:t>Ge</w:t>
      </w:r>
      <w:r w:rsidR="00325A99">
        <w:t>nerally</w:t>
      </w:r>
      <w:proofErr w:type="spellEnd"/>
      <w:r w:rsidR="00D731CB" w:rsidRPr="00AB1095">
        <w:t xml:space="preserve">, the Southern </w:t>
      </w:r>
      <w:proofErr w:type="spellStart"/>
      <w:r w:rsidR="00D731CB" w:rsidRPr="00AB1095">
        <w:t>regions</w:t>
      </w:r>
      <w:proofErr w:type="spellEnd"/>
      <w:r w:rsidR="00D731CB" w:rsidRPr="00AB1095">
        <w:t xml:space="preserve"> report </w:t>
      </w:r>
      <w:proofErr w:type="spellStart"/>
      <w:r w:rsidR="00D731CB" w:rsidRPr="00AB1095">
        <w:t>higher</w:t>
      </w:r>
      <w:proofErr w:type="spellEnd"/>
      <w:r w:rsidR="00D731CB" w:rsidRPr="00AB1095">
        <w:t xml:space="preserve"> </w:t>
      </w:r>
      <w:proofErr w:type="spellStart"/>
      <w:r w:rsidR="00D731CB" w:rsidRPr="00AB1095">
        <w:t>inefficiencies</w:t>
      </w:r>
      <w:proofErr w:type="spellEnd"/>
      <w:r w:rsidR="00CB7083" w:rsidRPr="00AB1095">
        <w:t xml:space="preserve">, </w:t>
      </w:r>
      <w:proofErr w:type="spellStart"/>
      <w:r w:rsidR="00CB7083" w:rsidRPr="00AB1095">
        <w:t>especially</w:t>
      </w:r>
      <w:proofErr w:type="spellEnd"/>
      <w:r w:rsidR="00CB7083" w:rsidRPr="00AB1095">
        <w:t xml:space="preserve"> in </w:t>
      </w:r>
      <w:proofErr w:type="spellStart"/>
      <w:r w:rsidR="00CB7083" w:rsidRPr="00AB1095">
        <w:t>terms</w:t>
      </w:r>
      <w:proofErr w:type="spellEnd"/>
      <w:r w:rsidR="00CB7083" w:rsidRPr="00AB1095">
        <w:t xml:space="preserve"> of </w:t>
      </w:r>
      <w:proofErr w:type="spellStart"/>
      <w:r w:rsidR="00CB7083" w:rsidRPr="00AB1095">
        <w:t>disputes</w:t>
      </w:r>
      <w:proofErr w:type="spellEnd"/>
      <w:r w:rsidR="00857D99">
        <w:t xml:space="preserve"> </w:t>
      </w:r>
      <w:r w:rsidR="00CB7083" w:rsidRPr="00AB1095">
        <w:t>duration</w:t>
      </w:r>
      <w:r w:rsidR="00D731CB" w:rsidRPr="00AB1095">
        <w:t xml:space="preserve"> (</w:t>
      </w:r>
      <w:r w:rsidR="00CB7083" w:rsidRPr="00AB1095">
        <w:t>Car</w:t>
      </w:r>
      <w:r w:rsidR="00B50FB0" w:rsidRPr="00AB1095">
        <w:t>m</w:t>
      </w:r>
      <w:r w:rsidR="00CB7083" w:rsidRPr="00AB1095">
        <w:t>igna</w:t>
      </w:r>
      <w:r w:rsidR="00B50FB0" w:rsidRPr="00AB1095">
        <w:t xml:space="preserve">ni &amp; Giacomelli, 2009; </w:t>
      </w:r>
      <w:r w:rsidR="0070329E" w:rsidRPr="00AB1095">
        <w:t xml:space="preserve">Giacomelli &amp; Palumbo, 2011; </w:t>
      </w:r>
      <w:r w:rsidR="00D731CB" w:rsidRPr="00AB1095">
        <w:t>Di</w:t>
      </w:r>
      <w:r w:rsidR="00310FA7" w:rsidRPr="00AB1095">
        <w:t xml:space="preserve"> </w:t>
      </w:r>
      <w:r w:rsidR="00D731CB" w:rsidRPr="00AB1095">
        <w:t>Vita</w:t>
      </w:r>
      <w:r w:rsidR="00EF0E3D" w:rsidRPr="00AB1095">
        <w:t>,</w:t>
      </w:r>
      <w:r w:rsidR="00D731CB" w:rsidRPr="00AB1095">
        <w:t xml:space="preserve"> 2010</w:t>
      </w:r>
      <w:r w:rsidR="00CB7083" w:rsidRPr="00AB1095">
        <w:t>;</w:t>
      </w:r>
      <w:r w:rsidR="00D731CB" w:rsidRPr="00AB1095">
        <w:t xml:space="preserve"> Di Vita, 2012</w:t>
      </w:r>
      <w:r w:rsidR="00D709AF" w:rsidRPr="00AB1095">
        <w:t>a</w:t>
      </w:r>
      <w:r w:rsidR="00CB7083" w:rsidRPr="00AB1095">
        <w:t xml:space="preserve">; </w:t>
      </w:r>
      <w:r w:rsidR="00D709AF" w:rsidRPr="00AB1095">
        <w:t xml:space="preserve">Di Vita, 2012b; </w:t>
      </w:r>
      <w:r w:rsidR="00CB7083" w:rsidRPr="00AB1095">
        <w:t>Finocchiaro Castro &amp; Guccio, 2015</w:t>
      </w:r>
      <w:r w:rsidR="00B50FB0" w:rsidRPr="00AB1095">
        <w:t>; Finocchiaro Castro &amp; Guccio, 2018</w:t>
      </w:r>
      <w:r w:rsidR="00070BE5" w:rsidRPr="00AB1095">
        <w:t xml:space="preserve">; </w:t>
      </w:r>
      <w:proofErr w:type="spellStart"/>
      <w:r w:rsidR="00070BE5" w:rsidRPr="00857D99">
        <w:t>Nissi</w:t>
      </w:r>
      <w:proofErr w:type="spellEnd"/>
      <w:r w:rsidR="00070BE5" w:rsidRPr="00857D99">
        <w:t xml:space="preserve"> et al., 2019</w:t>
      </w:r>
      <w:r w:rsidR="00D731CB" w:rsidRPr="00AB1095">
        <w:t>)</w:t>
      </w:r>
      <w:r w:rsidR="00B50FB0" w:rsidRPr="00AB1095">
        <w:t>.</w:t>
      </w:r>
      <w:r w:rsidR="00070BE5" w:rsidRPr="00AB1095">
        <w:t xml:space="preserve"> </w:t>
      </w:r>
      <w:r w:rsidR="00CE528A">
        <w:rPr>
          <w:lang w:val="en-GB"/>
        </w:rPr>
        <w:t>Hence</w:t>
      </w:r>
      <w:r w:rsidR="00745FF0" w:rsidRPr="00E752F1">
        <w:rPr>
          <w:lang w:val="en-GB"/>
        </w:rPr>
        <w:t>, our research focus</w:t>
      </w:r>
      <w:r w:rsidR="009D46CB" w:rsidRPr="00E752F1">
        <w:rPr>
          <w:lang w:val="en-GB"/>
        </w:rPr>
        <w:t>es</w:t>
      </w:r>
      <w:r w:rsidR="00745FF0" w:rsidRPr="00E752F1">
        <w:rPr>
          <w:lang w:val="en-GB"/>
        </w:rPr>
        <w:t xml:space="preserve"> on </w:t>
      </w:r>
      <w:r w:rsidR="00461764" w:rsidRPr="00E752F1">
        <w:rPr>
          <w:lang w:val="en-GB"/>
        </w:rPr>
        <w:t>c</w:t>
      </w:r>
      <w:r w:rsidR="00745FF0" w:rsidRPr="00E752F1">
        <w:rPr>
          <w:lang w:val="en-GB"/>
        </w:rPr>
        <w:t>ourt</w:t>
      </w:r>
      <w:r w:rsidR="00461764" w:rsidRPr="00E752F1">
        <w:rPr>
          <w:lang w:val="en-GB"/>
        </w:rPr>
        <w:t>s</w:t>
      </w:r>
      <w:r w:rsidR="00745FF0" w:rsidRPr="00E752F1">
        <w:rPr>
          <w:lang w:val="en-GB"/>
        </w:rPr>
        <w:t xml:space="preserve"> in the Southern area </w:t>
      </w:r>
      <w:r w:rsidR="006E653F" w:rsidRPr="00E752F1">
        <w:rPr>
          <w:lang w:val="en-GB"/>
        </w:rPr>
        <w:t>of</w:t>
      </w:r>
      <w:r w:rsidR="00CE528A">
        <w:rPr>
          <w:lang w:val="en-GB"/>
        </w:rPr>
        <w:t xml:space="preserve"> Italy</w:t>
      </w:r>
      <w:r w:rsidR="006E653F" w:rsidRPr="00E752F1">
        <w:rPr>
          <w:lang w:val="en-GB"/>
        </w:rPr>
        <w:t xml:space="preserve">, </w:t>
      </w:r>
      <w:r w:rsidR="00CE528A">
        <w:rPr>
          <w:lang w:val="en-GB"/>
        </w:rPr>
        <w:t>which, among others,</w:t>
      </w:r>
      <w:r w:rsidR="00CE528A" w:rsidRPr="00E752F1">
        <w:rPr>
          <w:lang w:val="en-GB"/>
        </w:rPr>
        <w:t xml:space="preserve"> </w:t>
      </w:r>
      <w:r w:rsidR="00CE528A">
        <w:rPr>
          <w:lang w:val="en-GB"/>
        </w:rPr>
        <w:t xml:space="preserve">are </w:t>
      </w:r>
      <w:r w:rsidR="006F0DCF" w:rsidRPr="00E752F1">
        <w:rPr>
          <w:lang w:val="en-GB"/>
        </w:rPr>
        <w:t>the ones with</w:t>
      </w:r>
      <w:r w:rsidR="00CE528A">
        <w:rPr>
          <w:lang w:val="en-GB"/>
        </w:rPr>
        <w:t xml:space="preserve"> the</w:t>
      </w:r>
      <w:r w:rsidR="006F0DCF" w:rsidRPr="00E752F1">
        <w:rPr>
          <w:lang w:val="en-GB"/>
        </w:rPr>
        <w:t xml:space="preserve"> </w:t>
      </w:r>
      <w:r w:rsidR="00CE528A">
        <w:rPr>
          <w:lang w:val="en-GB"/>
        </w:rPr>
        <w:t>highest</w:t>
      </w:r>
      <w:r w:rsidR="00CE528A" w:rsidRPr="00E752F1">
        <w:rPr>
          <w:lang w:val="en-GB"/>
        </w:rPr>
        <w:t xml:space="preserve"> </w:t>
      </w:r>
      <w:r w:rsidR="006F0DCF" w:rsidRPr="00E752F1">
        <w:rPr>
          <w:lang w:val="en-GB"/>
        </w:rPr>
        <w:t xml:space="preserve">caseload at </w:t>
      </w:r>
      <w:r w:rsidR="00CE528A">
        <w:rPr>
          <w:lang w:val="en-GB"/>
        </w:rPr>
        <w:t xml:space="preserve">the </w:t>
      </w:r>
      <w:r w:rsidR="006F0DCF" w:rsidRPr="00E752F1">
        <w:rPr>
          <w:lang w:val="en-GB"/>
        </w:rPr>
        <w:t xml:space="preserve">national level </w:t>
      </w:r>
      <w:r w:rsidR="00745FF0" w:rsidRPr="00E752F1">
        <w:rPr>
          <w:lang w:val="en-GB"/>
        </w:rPr>
        <w:t>in terms of number of disputes</w:t>
      </w:r>
      <w:r w:rsidR="006F0DCF" w:rsidRPr="00E752F1">
        <w:rPr>
          <w:lang w:val="en-GB"/>
        </w:rPr>
        <w:t xml:space="preserve">. </w:t>
      </w:r>
      <w:r w:rsidR="00CE528A">
        <w:rPr>
          <w:lang w:val="en-GB"/>
        </w:rPr>
        <w:t>Specifically, w</w:t>
      </w:r>
      <w:r w:rsidR="006E653F" w:rsidRPr="00E752F1">
        <w:rPr>
          <w:lang w:val="en-GB"/>
        </w:rPr>
        <w:t>e consider ten Court district</w:t>
      </w:r>
      <w:r w:rsidR="00CE528A">
        <w:rPr>
          <w:lang w:val="en-GB"/>
        </w:rPr>
        <w:t>s</w:t>
      </w:r>
      <w:r w:rsidR="006E653F" w:rsidRPr="00E752F1">
        <w:rPr>
          <w:lang w:val="en-GB"/>
        </w:rPr>
        <w:t xml:space="preserve"> </w:t>
      </w:r>
      <w:r w:rsidR="0005431A" w:rsidRPr="00AB1095">
        <w:rPr>
          <w:lang w:val="en-GB"/>
        </w:rPr>
        <w:t>that encompass nearly the entire territory of the Sicilian region, which is the largest Italian region in terms of territorial extension (25,832.55 km²) and the fourth-largest in terms of population (</w:t>
      </w:r>
      <w:r w:rsidR="00DC372E">
        <w:rPr>
          <w:lang w:val="en-GB"/>
        </w:rPr>
        <w:t>4</w:t>
      </w:r>
      <w:r w:rsidR="0005431A" w:rsidRPr="00AB1095">
        <w:rPr>
          <w:lang w:val="en-GB"/>
        </w:rPr>
        <w:t>,</w:t>
      </w:r>
      <w:r w:rsidR="00857D99">
        <w:rPr>
          <w:lang w:val="en-GB"/>
        </w:rPr>
        <w:t>802</w:t>
      </w:r>
      <w:r w:rsidR="0005431A" w:rsidRPr="00AB1095">
        <w:rPr>
          <w:lang w:val="en-GB"/>
        </w:rPr>
        <w:t>,</w:t>
      </w:r>
      <w:r w:rsidR="00857D99">
        <w:rPr>
          <w:lang w:val="en-GB"/>
        </w:rPr>
        <w:t>0</w:t>
      </w:r>
      <w:r w:rsidR="0005431A" w:rsidRPr="00AB1095">
        <w:rPr>
          <w:lang w:val="en-GB"/>
        </w:rPr>
        <w:t>1</w:t>
      </w:r>
      <w:r w:rsidR="00857D99">
        <w:rPr>
          <w:lang w:val="en-GB"/>
        </w:rPr>
        <w:t>6</w:t>
      </w:r>
      <w:r w:rsidR="0005431A" w:rsidRPr="00AB1095">
        <w:rPr>
          <w:lang w:val="en-GB"/>
        </w:rPr>
        <w:t xml:space="preserve">, corresponding to </w:t>
      </w:r>
      <w:r w:rsidR="00857D99">
        <w:rPr>
          <w:lang w:val="en-GB"/>
        </w:rPr>
        <w:t xml:space="preserve">about </w:t>
      </w:r>
      <w:r w:rsidR="0005431A" w:rsidRPr="00AB1095">
        <w:rPr>
          <w:lang w:val="en-GB"/>
        </w:rPr>
        <w:t>8</w:t>
      </w:r>
      <w:r w:rsidR="00857D99">
        <w:rPr>
          <w:lang w:val="en-GB"/>
        </w:rPr>
        <w:t xml:space="preserve">%, </w:t>
      </w:r>
      <w:r w:rsidR="00DC372E">
        <w:rPr>
          <w:lang w:val="en-GB"/>
        </w:rPr>
        <w:t xml:space="preserve">according to </w:t>
      </w:r>
      <w:r w:rsidR="00857D99">
        <w:rPr>
          <w:lang w:val="en-GB"/>
        </w:rPr>
        <w:t xml:space="preserve">January </w:t>
      </w:r>
      <w:r w:rsidR="00DC372E">
        <w:rPr>
          <w:lang w:val="en-GB"/>
        </w:rPr>
        <w:t xml:space="preserve">2023 data from the Italian </w:t>
      </w:r>
      <w:r w:rsidR="007654C4">
        <w:rPr>
          <w:lang w:val="en-GB"/>
        </w:rPr>
        <w:t xml:space="preserve">national </w:t>
      </w:r>
      <w:r w:rsidR="00DC372E">
        <w:rPr>
          <w:lang w:val="en-GB"/>
        </w:rPr>
        <w:t>statistical institute - ISTAT</w:t>
      </w:r>
      <w:r w:rsidR="0005431A" w:rsidRPr="00AB1095">
        <w:rPr>
          <w:lang w:val="en-GB"/>
        </w:rPr>
        <w:t xml:space="preserve">). </w:t>
      </w:r>
    </w:p>
    <w:p w14:paraId="66CC309F" w14:textId="36066AF7" w:rsidR="00C566F2" w:rsidRDefault="00E74F02" w:rsidP="0005431A">
      <w:pPr>
        <w:spacing w:after="120" w:line="480" w:lineRule="auto"/>
        <w:jc w:val="both"/>
        <w:rPr>
          <w:lang w:val="en-GB"/>
        </w:rPr>
      </w:pPr>
      <w:r>
        <w:rPr>
          <w:lang w:val="en-GB"/>
        </w:rPr>
        <w:t>Th</w:t>
      </w:r>
      <w:r w:rsidR="004964B3">
        <w:rPr>
          <w:lang w:val="en-GB"/>
        </w:rPr>
        <w:t xml:space="preserve">e </w:t>
      </w:r>
      <w:r w:rsidR="00281233">
        <w:rPr>
          <w:lang w:val="en-GB"/>
        </w:rPr>
        <w:t xml:space="preserve">justice </w:t>
      </w:r>
      <w:r w:rsidR="00CE4D25">
        <w:rPr>
          <w:lang w:val="en-GB"/>
        </w:rPr>
        <w:t xml:space="preserve">service provided by the courts </w:t>
      </w:r>
      <w:r w:rsidR="00281233">
        <w:rPr>
          <w:lang w:val="en-GB"/>
        </w:rPr>
        <w:t xml:space="preserve">certainly </w:t>
      </w:r>
      <w:r w:rsidR="00CE4D25">
        <w:rPr>
          <w:lang w:val="en-GB"/>
        </w:rPr>
        <w:t>belongs</w:t>
      </w:r>
      <w:r w:rsidR="00281233">
        <w:rPr>
          <w:lang w:val="en-GB"/>
        </w:rPr>
        <w:t xml:space="preserve"> to the category of p</w:t>
      </w:r>
      <w:r w:rsidR="00B364CA" w:rsidRPr="00B364CA">
        <w:rPr>
          <w:lang w:val="en-GB"/>
        </w:rPr>
        <w:t>ublic goo</w:t>
      </w:r>
      <w:r w:rsidR="00281233">
        <w:rPr>
          <w:lang w:val="en-GB"/>
        </w:rPr>
        <w:t>ds, implying</w:t>
      </w:r>
      <w:r w:rsidR="00B364CA" w:rsidRPr="00B364CA">
        <w:rPr>
          <w:lang w:val="en-GB"/>
        </w:rPr>
        <w:t xml:space="preserve"> </w:t>
      </w:r>
      <w:r w:rsidR="00B364CA">
        <w:rPr>
          <w:lang w:val="en-GB"/>
        </w:rPr>
        <w:t xml:space="preserve">issues regarding </w:t>
      </w:r>
      <w:r w:rsidR="00281233">
        <w:rPr>
          <w:lang w:val="en-GB"/>
        </w:rPr>
        <w:t>the</w:t>
      </w:r>
      <w:r w:rsidR="00B364CA">
        <w:rPr>
          <w:lang w:val="en-GB"/>
        </w:rPr>
        <w:t xml:space="preserve"> </w:t>
      </w:r>
      <w:r w:rsidR="00B364CA" w:rsidRPr="00B364CA">
        <w:rPr>
          <w:lang w:val="en-GB"/>
        </w:rPr>
        <w:t>optimal allocat</w:t>
      </w:r>
      <w:r w:rsidR="00B364CA">
        <w:rPr>
          <w:lang w:val="en-GB"/>
        </w:rPr>
        <w:t xml:space="preserve">ion of </w:t>
      </w:r>
      <w:r w:rsidR="00B364CA" w:rsidRPr="00B364CA">
        <w:rPr>
          <w:lang w:val="en-GB"/>
        </w:rPr>
        <w:t xml:space="preserve">available resources </w:t>
      </w:r>
      <w:proofErr w:type="gramStart"/>
      <w:r w:rsidR="00B364CA">
        <w:rPr>
          <w:lang w:val="en-GB"/>
        </w:rPr>
        <w:t xml:space="preserve">in order </w:t>
      </w:r>
      <w:r w:rsidR="00B364CA" w:rsidRPr="00B364CA">
        <w:rPr>
          <w:lang w:val="en-GB"/>
        </w:rPr>
        <w:t>to</w:t>
      </w:r>
      <w:proofErr w:type="gramEnd"/>
      <w:r w:rsidR="00B364CA" w:rsidRPr="00B364CA">
        <w:rPr>
          <w:lang w:val="en-GB"/>
        </w:rPr>
        <w:t xml:space="preserve"> </w:t>
      </w:r>
      <w:r w:rsidR="00B364CA">
        <w:rPr>
          <w:lang w:val="en-GB"/>
        </w:rPr>
        <w:t xml:space="preserve">permit effective </w:t>
      </w:r>
      <w:r w:rsidR="00B364CA" w:rsidRPr="00B364CA">
        <w:rPr>
          <w:lang w:val="en-GB"/>
        </w:rPr>
        <w:t xml:space="preserve">access </w:t>
      </w:r>
      <w:r w:rsidR="00B364CA">
        <w:rPr>
          <w:lang w:val="en-GB"/>
        </w:rPr>
        <w:t xml:space="preserve">to </w:t>
      </w:r>
      <w:r w:rsidR="00B364CA" w:rsidRPr="00B364CA">
        <w:rPr>
          <w:lang w:val="en-GB"/>
        </w:rPr>
        <w:t>judicial</w:t>
      </w:r>
      <w:r w:rsidR="00B364CA">
        <w:rPr>
          <w:lang w:val="en-GB"/>
        </w:rPr>
        <w:t xml:space="preserve"> </w:t>
      </w:r>
      <w:r w:rsidR="00B364CA" w:rsidRPr="00B364CA">
        <w:rPr>
          <w:lang w:val="en-GB"/>
        </w:rPr>
        <w:t xml:space="preserve">services </w:t>
      </w:r>
      <w:r w:rsidR="00281233">
        <w:rPr>
          <w:lang w:val="en-GB"/>
        </w:rPr>
        <w:t xml:space="preserve">for the public </w:t>
      </w:r>
      <w:r w:rsidR="00B364CA" w:rsidRPr="00B364CA">
        <w:rPr>
          <w:lang w:val="en-GB"/>
        </w:rPr>
        <w:t>(</w:t>
      </w:r>
      <w:proofErr w:type="spellStart"/>
      <w:r w:rsidR="00B364CA" w:rsidRPr="00B364CA">
        <w:rPr>
          <w:lang w:val="en-GB"/>
        </w:rPr>
        <w:t>Dakolias</w:t>
      </w:r>
      <w:proofErr w:type="spellEnd"/>
      <w:r w:rsidR="00B364CA" w:rsidRPr="00B364CA">
        <w:rPr>
          <w:lang w:val="en-GB"/>
        </w:rPr>
        <w:t>, 1999)</w:t>
      </w:r>
      <w:r w:rsidR="007654C4">
        <w:rPr>
          <w:lang w:val="en-GB"/>
        </w:rPr>
        <w:t>. I</w:t>
      </w:r>
      <w:r w:rsidR="00070BE5">
        <w:rPr>
          <w:lang w:val="en-GB"/>
        </w:rPr>
        <w:t xml:space="preserve">n </w:t>
      </w:r>
      <w:r w:rsidR="007654C4">
        <w:rPr>
          <w:lang w:val="en-GB"/>
        </w:rPr>
        <w:t>our</w:t>
      </w:r>
      <w:r w:rsidR="00070BE5">
        <w:rPr>
          <w:lang w:val="en-GB"/>
        </w:rPr>
        <w:t xml:space="preserve"> </w:t>
      </w:r>
      <w:r w:rsidR="00070BE5">
        <w:rPr>
          <w:lang w:val="en-GB"/>
        </w:rPr>
        <w:lastRenderedPageBreak/>
        <w:t>national context</w:t>
      </w:r>
      <w:r w:rsidR="007654C4">
        <w:rPr>
          <w:lang w:val="en-GB"/>
        </w:rPr>
        <w:t>,</w:t>
      </w:r>
      <w:r w:rsidR="00070BE5">
        <w:rPr>
          <w:lang w:val="en-GB"/>
        </w:rPr>
        <w:t xml:space="preserve"> </w:t>
      </w:r>
      <w:r w:rsidR="00EF0E3D">
        <w:rPr>
          <w:lang w:val="en-GB"/>
        </w:rPr>
        <w:t>at some peaks</w:t>
      </w:r>
      <w:r w:rsidR="007654C4">
        <w:rPr>
          <w:lang w:val="en-GB"/>
        </w:rPr>
        <w:t>,</w:t>
      </w:r>
      <w:r w:rsidR="00EF0E3D">
        <w:rPr>
          <w:lang w:val="en-GB"/>
        </w:rPr>
        <w:t xml:space="preserve"> </w:t>
      </w:r>
      <w:r w:rsidR="00070BE5">
        <w:rPr>
          <w:lang w:val="en-GB"/>
        </w:rPr>
        <w:t>justice account for about 1.3% of Italian public expenditure (Nissi et al., 2019)</w:t>
      </w:r>
      <w:r w:rsidR="00B364CA" w:rsidRPr="00B364CA">
        <w:rPr>
          <w:lang w:val="en-GB"/>
        </w:rPr>
        <w:t>.</w:t>
      </w:r>
      <w:r w:rsidR="00B364CA">
        <w:rPr>
          <w:lang w:val="en-GB"/>
        </w:rPr>
        <w:t xml:space="preserve"> </w:t>
      </w:r>
      <w:r w:rsidR="00070BE5">
        <w:rPr>
          <w:lang w:val="en-GB"/>
        </w:rPr>
        <w:t>Judges’ work</w:t>
      </w:r>
      <w:r w:rsidR="00070BE5" w:rsidRPr="00070BE5">
        <w:rPr>
          <w:lang w:val="en-GB"/>
        </w:rPr>
        <w:t xml:space="preserve"> is essentially supported by two types of human resources</w:t>
      </w:r>
      <w:r w:rsidR="00070BE5">
        <w:rPr>
          <w:lang w:val="en-GB"/>
        </w:rPr>
        <w:t xml:space="preserve"> consisting in </w:t>
      </w:r>
      <w:r w:rsidR="00070BE5" w:rsidRPr="00070BE5">
        <w:rPr>
          <w:lang w:val="en-GB"/>
        </w:rPr>
        <w:t>the</w:t>
      </w:r>
      <w:r w:rsidR="00070BE5">
        <w:rPr>
          <w:lang w:val="en-GB"/>
        </w:rPr>
        <w:t xml:space="preserve"> </w:t>
      </w:r>
      <w:r w:rsidR="00070BE5" w:rsidRPr="00070BE5">
        <w:rPr>
          <w:lang w:val="en-GB"/>
        </w:rPr>
        <w:t xml:space="preserve">administrative </w:t>
      </w:r>
      <w:r w:rsidR="00070BE5">
        <w:rPr>
          <w:lang w:val="en-GB"/>
        </w:rPr>
        <w:t>staff</w:t>
      </w:r>
      <w:r w:rsidR="00070BE5" w:rsidRPr="00070BE5">
        <w:rPr>
          <w:lang w:val="en-GB"/>
        </w:rPr>
        <w:t xml:space="preserve"> and </w:t>
      </w:r>
      <w:r w:rsidR="00070BE5" w:rsidRPr="00864120">
        <w:rPr>
          <w:lang w:val="en-GB"/>
        </w:rPr>
        <w:t xml:space="preserve">the honorary judiciary. </w:t>
      </w:r>
      <w:r w:rsidR="009D46CB" w:rsidRPr="00864120">
        <w:rPr>
          <w:lang w:val="en-GB"/>
        </w:rPr>
        <w:t>R</w:t>
      </w:r>
      <w:r w:rsidR="00745FF0" w:rsidRPr="00864120">
        <w:rPr>
          <w:lang w:val="en-GB"/>
        </w:rPr>
        <w:t>ecently</w:t>
      </w:r>
      <w:r w:rsidR="009D46CB" w:rsidRPr="00864120">
        <w:rPr>
          <w:lang w:val="en-GB"/>
        </w:rPr>
        <w:t>,</w:t>
      </w:r>
      <w:r w:rsidR="00745FF0" w:rsidRPr="00864120">
        <w:rPr>
          <w:lang w:val="en-GB"/>
        </w:rPr>
        <w:t xml:space="preserve"> </w:t>
      </w:r>
      <w:r w:rsidR="00637CAF" w:rsidRPr="00864120">
        <w:rPr>
          <w:lang w:val="en-GB"/>
        </w:rPr>
        <w:t>part of the great number of resources coming from EU fund</w:t>
      </w:r>
      <w:r w:rsidR="009441C9">
        <w:rPr>
          <w:lang w:val="en-GB"/>
        </w:rPr>
        <w:t>s</w:t>
      </w:r>
      <w:r w:rsidR="00637CAF" w:rsidRPr="00864120">
        <w:rPr>
          <w:lang w:val="en-GB"/>
        </w:rPr>
        <w:t xml:space="preserve"> and </w:t>
      </w:r>
      <w:proofErr w:type="gramStart"/>
      <w:r w:rsidR="00745FF0" w:rsidRPr="00864120">
        <w:rPr>
          <w:lang w:val="en-GB"/>
        </w:rPr>
        <w:t xml:space="preserve">in </w:t>
      </w:r>
      <w:r w:rsidR="009441C9">
        <w:rPr>
          <w:lang w:val="en-GB"/>
        </w:rPr>
        <w:t>particular</w:t>
      </w:r>
      <w:r w:rsidR="009441C9" w:rsidRPr="00864120">
        <w:rPr>
          <w:lang w:val="en-GB"/>
        </w:rPr>
        <w:t xml:space="preserve"> </w:t>
      </w:r>
      <w:r w:rsidR="00BA6E80" w:rsidRPr="00864120">
        <w:rPr>
          <w:lang w:val="en-GB"/>
        </w:rPr>
        <w:t>from</w:t>
      </w:r>
      <w:proofErr w:type="gramEnd"/>
      <w:r w:rsidR="00637CAF" w:rsidRPr="00864120">
        <w:rPr>
          <w:lang w:val="en-GB"/>
        </w:rPr>
        <w:t xml:space="preserve"> the</w:t>
      </w:r>
      <w:r w:rsidR="00745FF0" w:rsidRPr="00864120">
        <w:rPr>
          <w:lang w:val="en-GB"/>
        </w:rPr>
        <w:t xml:space="preserve"> </w:t>
      </w:r>
      <w:r w:rsidR="00637CAF" w:rsidRPr="00864120">
        <w:rPr>
          <w:lang w:val="en-GB"/>
        </w:rPr>
        <w:t>PNRR</w:t>
      </w:r>
      <w:r w:rsidR="00DB7B4C" w:rsidRPr="00864120">
        <w:rPr>
          <w:lang w:val="en-GB"/>
        </w:rPr>
        <w:t xml:space="preserve"> (i.e.</w:t>
      </w:r>
      <w:r w:rsidR="00864120" w:rsidRPr="00864120">
        <w:rPr>
          <w:lang w:val="en-GB"/>
        </w:rPr>
        <w:t>,</w:t>
      </w:r>
      <w:r w:rsidR="00DB7B4C" w:rsidRPr="00864120">
        <w:rPr>
          <w:lang w:val="en-GB"/>
        </w:rPr>
        <w:t xml:space="preserve"> National Recovery and Resilience Plan)</w:t>
      </w:r>
      <w:r w:rsidR="00864120">
        <w:rPr>
          <w:rStyle w:val="Rimandonotaapidipagina"/>
          <w:lang w:val="en-GB"/>
        </w:rPr>
        <w:footnoteReference w:id="3"/>
      </w:r>
      <w:r w:rsidR="00DB7B4C" w:rsidRPr="00864120">
        <w:rPr>
          <w:lang w:val="en-GB"/>
        </w:rPr>
        <w:t xml:space="preserve"> </w:t>
      </w:r>
      <w:r w:rsidR="00637CAF" w:rsidRPr="00864120">
        <w:rPr>
          <w:lang w:val="en-GB"/>
        </w:rPr>
        <w:t xml:space="preserve">programme has been used </w:t>
      </w:r>
      <w:r w:rsidR="00281233" w:rsidRPr="00864120">
        <w:rPr>
          <w:lang w:val="en-GB"/>
        </w:rPr>
        <w:t>to increase</w:t>
      </w:r>
      <w:r w:rsidR="00070BE5" w:rsidRPr="00864120">
        <w:rPr>
          <w:lang w:val="en-GB"/>
        </w:rPr>
        <w:t xml:space="preserve"> the number of administrative staff with </w:t>
      </w:r>
      <w:r w:rsidR="00070BE5">
        <w:rPr>
          <w:lang w:val="en-GB"/>
        </w:rPr>
        <w:t>the aim of</w:t>
      </w:r>
      <w:r w:rsidR="00637CAF">
        <w:rPr>
          <w:lang w:val="en-GB"/>
        </w:rPr>
        <w:t xml:space="preserve"> improving justice performance</w:t>
      </w:r>
      <w:r w:rsidR="004D74C1">
        <w:rPr>
          <w:lang w:val="en-GB"/>
        </w:rPr>
        <w:t>s</w:t>
      </w:r>
      <w:r w:rsidR="00BA6E80">
        <w:rPr>
          <w:lang w:val="en-GB"/>
        </w:rPr>
        <w:t xml:space="preserve"> and </w:t>
      </w:r>
      <w:r w:rsidR="00BA6E80" w:rsidRPr="00BA6E80">
        <w:rPr>
          <w:lang w:val="en-GB"/>
        </w:rPr>
        <w:t>decrease the backlog</w:t>
      </w:r>
      <w:r w:rsidR="00637CAF">
        <w:rPr>
          <w:lang w:val="en-GB"/>
        </w:rPr>
        <w:t>.</w:t>
      </w:r>
      <w:r w:rsidR="00070BE5">
        <w:rPr>
          <w:lang w:val="en-GB"/>
        </w:rPr>
        <w:t xml:space="preserve"> </w:t>
      </w:r>
      <w:r w:rsidR="00281233">
        <w:rPr>
          <w:lang w:val="en-GB"/>
        </w:rPr>
        <w:t>In fact, s</w:t>
      </w:r>
      <w:r w:rsidR="001D064C">
        <w:rPr>
          <w:lang w:val="en-GB"/>
        </w:rPr>
        <w:t>ince</w:t>
      </w:r>
      <w:r w:rsidR="009B31DB">
        <w:rPr>
          <w:lang w:val="en-GB"/>
        </w:rPr>
        <w:t xml:space="preserve"> 2021</w:t>
      </w:r>
      <w:r w:rsidR="00070BE5">
        <w:rPr>
          <w:lang w:val="en-GB"/>
        </w:rPr>
        <w:t>,</w:t>
      </w:r>
      <w:r w:rsidR="009B31DB">
        <w:rPr>
          <w:lang w:val="en-GB"/>
        </w:rPr>
        <w:t xml:space="preserve"> PNRR funds has permitted to assign to the Office for Trial (</w:t>
      </w:r>
      <w:proofErr w:type="spellStart"/>
      <w:r w:rsidR="009B31DB">
        <w:rPr>
          <w:lang w:val="en-GB"/>
        </w:rPr>
        <w:t>Ufficio</w:t>
      </w:r>
      <w:proofErr w:type="spellEnd"/>
      <w:r w:rsidR="009B31DB">
        <w:rPr>
          <w:lang w:val="en-GB"/>
        </w:rPr>
        <w:t xml:space="preserve"> per il </w:t>
      </w:r>
      <w:proofErr w:type="spellStart"/>
      <w:r w:rsidR="009B31DB">
        <w:rPr>
          <w:lang w:val="en-GB"/>
        </w:rPr>
        <w:t>Processo</w:t>
      </w:r>
      <w:proofErr w:type="spellEnd"/>
      <w:r w:rsidR="009B31DB">
        <w:rPr>
          <w:lang w:val="en-GB"/>
        </w:rPr>
        <w:t xml:space="preserve"> – UPP)</w:t>
      </w:r>
      <w:r w:rsidR="004D74C1">
        <w:rPr>
          <w:rStyle w:val="Rimandonotaapidipagina"/>
          <w:lang w:val="en-GB"/>
        </w:rPr>
        <w:footnoteReference w:id="4"/>
      </w:r>
      <w:r w:rsidR="009B31DB">
        <w:rPr>
          <w:lang w:val="en-GB"/>
        </w:rPr>
        <w:t xml:space="preserve"> about 22</w:t>
      </w:r>
      <w:r w:rsidR="009D46CB">
        <w:rPr>
          <w:lang w:val="en-GB"/>
        </w:rPr>
        <w:t>,</w:t>
      </w:r>
      <w:r w:rsidR="009B31DB">
        <w:rPr>
          <w:lang w:val="en-GB"/>
        </w:rPr>
        <w:t>000 employe</w:t>
      </w:r>
      <w:r w:rsidR="00150B50">
        <w:rPr>
          <w:lang w:val="en-GB"/>
        </w:rPr>
        <w:t>es</w:t>
      </w:r>
      <w:r w:rsidR="00BA6E80">
        <w:rPr>
          <w:lang w:val="en-GB"/>
        </w:rPr>
        <w:t xml:space="preserve"> with the precise scope of reducing </w:t>
      </w:r>
      <w:r w:rsidR="007C67F7">
        <w:rPr>
          <w:lang w:val="en-GB"/>
        </w:rPr>
        <w:t xml:space="preserve">the </w:t>
      </w:r>
      <w:r w:rsidR="00BA6E80">
        <w:rPr>
          <w:lang w:val="en-GB"/>
        </w:rPr>
        <w:t>backlog</w:t>
      </w:r>
      <w:r w:rsidR="001D064C">
        <w:rPr>
          <w:rStyle w:val="Rimandonotaapidipagina"/>
          <w:lang w:val="en-GB"/>
        </w:rPr>
        <w:footnoteReference w:id="5"/>
      </w:r>
      <w:r w:rsidR="00BA6E80">
        <w:rPr>
          <w:lang w:val="en-GB"/>
        </w:rPr>
        <w:t>.</w:t>
      </w:r>
      <w:r w:rsidR="00C566F2">
        <w:rPr>
          <w:lang w:val="en-GB"/>
        </w:rPr>
        <w:t xml:space="preserve"> </w:t>
      </w:r>
    </w:p>
    <w:p w14:paraId="0F215D11" w14:textId="160C11C5" w:rsidR="00EE558F" w:rsidRDefault="00B91407" w:rsidP="00212CDD">
      <w:pPr>
        <w:spacing w:after="120" w:line="480" w:lineRule="auto"/>
        <w:ind w:firstLine="720"/>
        <w:jc w:val="both"/>
        <w:rPr>
          <w:lang w:val="en-GB"/>
        </w:rPr>
      </w:pPr>
      <w:r>
        <w:rPr>
          <w:lang w:val="en-GB"/>
        </w:rPr>
        <w:t>However, i</w:t>
      </w:r>
      <w:r w:rsidRPr="00B91407">
        <w:rPr>
          <w:lang w:val="en-GB"/>
        </w:rPr>
        <w:t xml:space="preserve">t is not enough to inject more human and financial resources into the </w:t>
      </w:r>
      <w:r>
        <w:rPr>
          <w:lang w:val="en-GB"/>
        </w:rPr>
        <w:t xml:space="preserve">judicial </w:t>
      </w:r>
      <w:r w:rsidRPr="00B91407">
        <w:rPr>
          <w:lang w:val="en-GB"/>
        </w:rPr>
        <w:t xml:space="preserve">system to </w:t>
      </w:r>
      <w:r>
        <w:rPr>
          <w:lang w:val="en-GB"/>
        </w:rPr>
        <w:t>solve</w:t>
      </w:r>
      <w:r w:rsidRPr="00B91407">
        <w:rPr>
          <w:lang w:val="en-GB"/>
        </w:rPr>
        <w:t xml:space="preserve"> </w:t>
      </w:r>
      <w:r>
        <w:rPr>
          <w:lang w:val="en-GB"/>
        </w:rPr>
        <w:t>efficiency issues (</w:t>
      </w:r>
      <w:r w:rsidRPr="00B91407">
        <w:rPr>
          <w:lang w:val="en-GB"/>
        </w:rPr>
        <w:t>Voigt &amp; El-Bialy, 2016</w:t>
      </w:r>
      <w:r>
        <w:rPr>
          <w:lang w:val="en-GB"/>
        </w:rPr>
        <w:t>).</w:t>
      </w:r>
      <w:r w:rsidRPr="00B91407">
        <w:rPr>
          <w:lang w:val="en-GB"/>
        </w:rPr>
        <w:t xml:space="preserve"> </w:t>
      </w:r>
      <w:r>
        <w:rPr>
          <w:lang w:val="en-GB"/>
        </w:rPr>
        <w:t xml:space="preserve">In fact, it may depend on </w:t>
      </w:r>
      <w:r w:rsidR="00E12BD4">
        <w:rPr>
          <w:lang w:val="en-GB"/>
        </w:rPr>
        <w:t xml:space="preserve">institutional and </w:t>
      </w:r>
      <w:r>
        <w:rPr>
          <w:lang w:val="en-GB"/>
        </w:rPr>
        <w:t xml:space="preserve">organizational aspects </w:t>
      </w:r>
      <w:r w:rsidR="00E12BD4" w:rsidRPr="00E12BD4">
        <w:rPr>
          <w:lang w:val="en-GB"/>
        </w:rPr>
        <w:t xml:space="preserve">(e.g., number of lawyers </w:t>
      </w:r>
      <w:r w:rsidR="00993C4A">
        <w:rPr>
          <w:lang w:val="en-GB"/>
        </w:rPr>
        <w:t xml:space="preserve">in Buonanno &amp; </w:t>
      </w:r>
      <w:proofErr w:type="spellStart"/>
      <w:r w:rsidR="00993C4A">
        <w:rPr>
          <w:lang w:val="en-GB"/>
        </w:rPr>
        <w:t>Galizzi</w:t>
      </w:r>
      <w:proofErr w:type="spellEnd"/>
      <w:r w:rsidR="00993C4A">
        <w:rPr>
          <w:lang w:val="en-GB"/>
        </w:rPr>
        <w:t xml:space="preserve">, 2014; </w:t>
      </w:r>
      <w:r w:rsidR="00E12BD4" w:rsidRPr="00E12BD4">
        <w:rPr>
          <w:lang w:val="en-GB"/>
        </w:rPr>
        <w:t>court dimension</w:t>
      </w:r>
      <w:r w:rsidR="00E12BD4">
        <w:rPr>
          <w:lang w:val="en-GB"/>
        </w:rPr>
        <w:t xml:space="preserve"> in </w:t>
      </w:r>
      <w:r w:rsidR="00A41C05">
        <w:rPr>
          <w:lang w:val="en-GB"/>
        </w:rPr>
        <w:t>Castro &amp; Guccio</w:t>
      </w:r>
      <w:r w:rsidR="00E12BD4">
        <w:rPr>
          <w:lang w:val="en-GB"/>
        </w:rPr>
        <w:t xml:space="preserve">, </w:t>
      </w:r>
      <w:r w:rsidR="00E12BD4" w:rsidRPr="00E12BD4">
        <w:rPr>
          <w:lang w:val="en-GB"/>
        </w:rPr>
        <w:t>20</w:t>
      </w:r>
      <w:r w:rsidR="00A41C05">
        <w:rPr>
          <w:lang w:val="en-GB"/>
        </w:rPr>
        <w:t>18</w:t>
      </w:r>
      <w:r w:rsidR="00E12BD4" w:rsidRPr="00E12BD4">
        <w:rPr>
          <w:lang w:val="en-GB"/>
        </w:rPr>
        <w:t xml:space="preserve">; </w:t>
      </w:r>
      <w:r w:rsidR="00E74F02">
        <w:rPr>
          <w:lang w:val="en-GB"/>
        </w:rPr>
        <w:t>legislati</w:t>
      </w:r>
      <w:r w:rsidR="00E12BD4" w:rsidRPr="00E12BD4">
        <w:rPr>
          <w:lang w:val="en-GB"/>
        </w:rPr>
        <w:t>ve complexity</w:t>
      </w:r>
      <w:r w:rsidR="00E12BD4">
        <w:rPr>
          <w:lang w:val="en-GB"/>
        </w:rPr>
        <w:t xml:space="preserve"> in Di Vita, 2010, </w:t>
      </w:r>
      <w:r w:rsidR="00E12BD4" w:rsidRPr="00E12BD4">
        <w:rPr>
          <w:lang w:val="en-GB"/>
        </w:rPr>
        <w:t>Di Vita, 2012</w:t>
      </w:r>
      <w:r w:rsidR="00E12BD4">
        <w:rPr>
          <w:lang w:val="en-GB"/>
        </w:rPr>
        <w:t>a, Di Vita, 2012b</w:t>
      </w:r>
      <w:r w:rsidR="007654C4">
        <w:rPr>
          <w:lang w:val="en-GB"/>
        </w:rPr>
        <w:t>, Di Vita, 2018</w:t>
      </w:r>
      <w:r w:rsidR="00E12BD4" w:rsidRPr="00E12BD4">
        <w:rPr>
          <w:lang w:val="en-GB"/>
        </w:rPr>
        <w:t>; prior judicial decisions</w:t>
      </w:r>
      <w:r w:rsidR="00E12BD4">
        <w:rPr>
          <w:lang w:val="en-GB"/>
        </w:rPr>
        <w:t xml:space="preserve"> in</w:t>
      </w:r>
      <w:r w:rsidR="00E12BD4" w:rsidRPr="00E12BD4">
        <w:rPr>
          <w:lang w:val="en-GB"/>
        </w:rPr>
        <w:t xml:space="preserve"> </w:t>
      </w:r>
      <w:proofErr w:type="spellStart"/>
      <w:r w:rsidR="00E12BD4" w:rsidRPr="00E12BD4">
        <w:rPr>
          <w:lang w:val="en-GB"/>
        </w:rPr>
        <w:t>Berlemann</w:t>
      </w:r>
      <w:proofErr w:type="spellEnd"/>
      <w:r w:rsidR="00E12BD4" w:rsidRPr="00E12BD4">
        <w:rPr>
          <w:lang w:val="en-GB"/>
        </w:rPr>
        <w:t xml:space="preserve"> and Christmann, 2020) </w:t>
      </w:r>
      <w:r>
        <w:rPr>
          <w:lang w:val="en-GB"/>
        </w:rPr>
        <w:t xml:space="preserve">and personal characteristics of </w:t>
      </w:r>
      <w:r>
        <w:rPr>
          <w:lang w:val="en-GB"/>
        </w:rPr>
        <w:lastRenderedPageBreak/>
        <w:t>the</w:t>
      </w:r>
      <w:r w:rsidRPr="00B91407">
        <w:rPr>
          <w:lang w:val="en-GB"/>
        </w:rPr>
        <w:t xml:space="preserve"> judges</w:t>
      </w:r>
      <w:r w:rsidR="00C13063">
        <w:rPr>
          <w:lang w:val="en-GB"/>
        </w:rPr>
        <w:t xml:space="preserve"> </w:t>
      </w:r>
      <w:r w:rsidR="00C13063" w:rsidRPr="00C13063">
        <w:rPr>
          <w:lang w:val="en-GB"/>
        </w:rPr>
        <w:t>(e.g., education</w:t>
      </w:r>
      <w:r w:rsidR="00C13063">
        <w:rPr>
          <w:lang w:val="en-GB"/>
        </w:rPr>
        <w:t xml:space="preserve"> </w:t>
      </w:r>
      <w:r w:rsidR="0063494F">
        <w:rPr>
          <w:lang w:val="en-GB"/>
        </w:rPr>
        <w:t xml:space="preserve">and experience in </w:t>
      </w:r>
      <w:r w:rsidR="00BF0C93" w:rsidRPr="00BF0C93">
        <w:rPr>
          <w:lang w:val="en-GB"/>
        </w:rPr>
        <w:t xml:space="preserve">Christensen &amp; </w:t>
      </w:r>
      <w:proofErr w:type="spellStart"/>
      <w:r w:rsidR="00BF0C93" w:rsidRPr="00BF0C93">
        <w:rPr>
          <w:lang w:val="en-GB"/>
        </w:rPr>
        <w:t>Szmer</w:t>
      </w:r>
      <w:proofErr w:type="spellEnd"/>
      <w:r w:rsidR="00BF0C93" w:rsidRPr="00BF0C93">
        <w:rPr>
          <w:lang w:val="en-GB"/>
        </w:rPr>
        <w:t>, 2012</w:t>
      </w:r>
      <w:r w:rsidR="00993C4A">
        <w:rPr>
          <w:lang w:val="en-GB"/>
        </w:rPr>
        <w:t xml:space="preserve">; </w:t>
      </w:r>
      <w:r w:rsidR="0063494F" w:rsidRPr="0063494F">
        <w:rPr>
          <w:lang w:val="en-GB"/>
        </w:rPr>
        <w:t>Ramseyer, 2012</w:t>
      </w:r>
      <w:r w:rsidR="00C13063" w:rsidRPr="00C13063">
        <w:rPr>
          <w:lang w:val="en-GB"/>
        </w:rPr>
        <w:t>)</w:t>
      </w:r>
      <w:r w:rsidR="00C566F2">
        <w:rPr>
          <w:lang w:val="en-GB"/>
        </w:rPr>
        <w:t xml:space="preserve">. </w:t>
      </w:r>
      <w:r w:rsidR="00C13063">
        <w:rPr>
          <w:lang w:val="en-GB"/>
        </w:rPr>
        <w:t xml:space="preserve">Moreover, </w:t>
      </w:r>
      <w:r w:rsidR="00C566F2">
        <w:rPr>
          <w:lang w:val="en-GB"/>
        </w:rPr>
        <w:t>judges’ performances with the same amount of work may be affected by the so-called task juggling, a</w:t>
      </w:r>
      <w:r w:rsidR="00C566F2" w:rsidRPr="00C566F2">
        <w:rPr>
          <w:lang w:val="en-GB"/>
        </w:rPr>
        <w:t xml:space="preserve"> </w:t>
      </w:r>
      <w:r w:rsidR="00C566F2">
        <w:rPr>
          <w:lang w:val="en-GB"/>
        </w:rPr>
        <w:t xml:space="preserve">phenomenon </w:t>
      </w:r>
      <w:r w:rsidR="00C566F2" w:rsidRPr="00C566F2">
        <w:rPr>
          <w:lang w:val="en-GB"/>
        </w:rPr>
        <w:t>where a worker handles multiple projects at the same time and moves from one project to another</w:t>
      </w:r>
      <w:r w:rsidR="00C566F2">
        <w:rPr>
          <w:lang w:val="en-GB"/>
        </w:rPr>
        <w:t xml:space="preserve"> </w:t>
      </w:r>
      <w:r w:rsidR="00C566F2" w:rsidRPr="00C566F2">
        <w:rPr>
          <w:lang w:val="en-GB"/>
        </w:rPr>
        <w:t>lower</w:t>
      </w:r>
      <w:r w:rsidR="00C566F2">
        <w:rPr>
          <w:lang w:val="en-GB"/>
        </w:rPr>
        <w:t>ing</w:t>
      </w:r>
      <w:r w:rsidR="00C566F2" w:rsidRPr="00C566F2">
        <w:rPr>
          <w:lang w:val="en-GB"/>
        </w:rPr>
        <w:t xml:space="preserve"> the output rate and lengthen</w:t>
      </w:r>
      <w:r w:rsidR="00C566F2">
        <w:rPr>
          <w:lang w:val="en-GB"/>
        </w:rPr>
        <w:t>ing</w:t>
      </w:r>
      <w:r w:rsidR="00C566F2" w:rsidRPr="00C566F2">
        <w:rPr>
          <w:lang w:val="en-GB"/>
        </w:rPr>
        <w:t xml:space="preserve"> the completion time of each project </w:t>
      </w:r>
      <w:r w:rsidR="00C566F2">
        <w:rPr>
          <w:lang w:val="en-GB"/>
        </w:rPr>
        <w:t xml:space="preserve">cause to work interruptions (Coviello </w:t>
      </w:r>
      <w:r w:rsidR="00C566F2" w:rsidRPr="00620CC4">
        <w:rPr>
          <w:iCs/>
          <w:lang w:val="en-GB"/>
        </w:rPr>
        <w:t>et al.,</w:t>
      </w:r>
      <w:r w:rsidR="00C566F2">
        <w:rPr>
          <w:lang w:val="en-GB"/>
        </w:rPr>
        <w:t xml:space="preserve"> 201</w:t>
      </w:r>
      <w:r w:rsidR="006D6E7C">
        <w:rPr>
          <w:lang w:val="en-GB"/>
        </w:rPr>
        <w:t>4</w:t>
      </w:r>
      <w:r w:rsidR="00C80F13">
        <w:rPr>
          <w:lang w:val="en-GB"/>
        </w:rPr>
        <w:t>; 201</w:t>
      </w:r>
      <w:r w:rsidR="00D36CF1">
        <w:rPr>
          <w:lang w:val="en-GB"/>
        </w:rPr>
        <w:t>5</w:t>
      </w:r>
      <w:r w:rsidR="00C566F2">
        <w:rPr>
          <w:lang w:val="en-GB"/>
        </w:rPr>
        <w:t>)</w:t>
      </w:r>
      <w:r w:rsidR="00C566F2" w:rsidRPr="00C566F2">
        <w:rPr>
          <w:lang w:val="en-GB"/>
        </w:rPr>
        <w:t>.</w:t>
      </w:r>
      <w:r w:rsidR="00C566F2">
        <w:rPr>
          <w:rStyle w:val="Rimandonotaapidipagina"/>
          <w:lang w:val="en-GB"/>
        </w:rPr>
        <w:footnoteReference w:id="6"/>
      </w:r>
      <w:r w:rsidR="00C566F2" w:rsidRPr="00C566F2">
        <w:rPr>
          <w:lang w:val="en-GB"/>
        </w:rPr>
        <w:t xml:space="preserve"> </w:t>
      </w:r>
      <w:r w:rsidR="00D36CF1">
        <w:rPr>
          <w:lang w:val="en-GB"/>
        </w:rPr>
        <w:t>Also judges’ specialization can positively affect justice performances under both the quantity and the quality perspective (Coviello et al., 2019)</w:t>
      </w:r>
      <w:r w:rsidR="001C2708">
        <w:rPr>
          <w:lang w:val="en-GB"/>
        </w:rPr>
        <w:t xml:space="preserve">. </w:t>
      </w:r>
    </w:p>
    <w:p w14:paraId="516E88E7" w14:textId="6D52C0C7" w:rsidR="00D32FA8" w:rsidRDefault="00D32FA8" w:rsidP="00D32FA8">
      <w:pPr>
        <w:spacing w:after="120" w:line="480" w:lineRule="auto"/>
        <w:jc w:val="both"/>
        <w:rPr>
          <w:lang w:val="en-GB"/>
        </w:rPr>
      </w:pPr>
      <w:r>
        <w:rPr>
          <w:lang w:val="en-GB"/>
        </w:rPr>
        <w:t>Moreover, a wide literature has investigated the effect of regulatory complexity on time duration of dispute finding that it contributes to excessive duration of disputes (Di Vita, 2010; Di Vita, 2012</w:t>
      </w:r>
      <w:r w:rsidR="006E653F">
        <w:rPr>
          <w:lang w:val="en-GB"/>
        </w:rPr>
        <w:t>b</w:t>
      </w:r>
      <w:r w:rsidR="00E752F1">
        <w:rPr>
          <w:lang w:val="en-GB"/>
        </w:rPr>
        <w:t xml:space="preserve">; </w:t>
      </w:r>
      <w:r w:rsidR="00E752F1" w:rsidRPr="00E752F1">
        <w:rPr>
          <w:lang w:val="en-GB"/>
        </w:rPr>
        <w:t>De Lucio &amp; Mora-Sanguinetti</w:t>
      </w:r>
      <w:r w:rsidR="007654C4">
        <w:rPr>
          <w:lang w:val="en-GB"/>
        </w:rPr>
        <w:t>, 2021</w:t>
      </w:r>
      <w:r w:rsidR="00E752F1">
        <w:rPr>
          <w:lang w:val="en-GB"/>
        </w:rPr>
        <w:t xml:space="preserve">) </w:t>
      </w:r>
      <w:r>
        <w:rPr>
          <w:lang w:val="en-GB"/>
        </w:rPr>
        <w:t>and represent a constraint to economic growth (Di Vita, 2018; DI Vita, 202</w:t>
      </w:r>
      <w:r w:rsidR="00E46F72">
        <w:rPr>
          <w:lang w:val="en-GB"/>
        </w:rPr>
        <w:t>3</w:t>
      </w:r>
      <w:r>
        <w:rPr>
          <w:lang w:val="en-GB"/>
        </w:rPr>
        <w:t xml:space="preserve">).  </w:t>
      </w:r>
    </w:p>
    <w:p w14:paraId="6B846AEE" w14:textId="20B2094E" w:rsidR="00DD303E" w:rsidRDefault="00AB1095" w:rsidP="00D36CF1">
      <w:pPr>
        <w:spacing w:after="120" w:line="480" w:lineRule="auto"/>
        <w:ind w:firstLine="720"/>
        <w:jc w:val="both"/>
        <w:rPr>
          <w:lang w:val="en-GB"/>
        </w:rPr>
      </w:pPr>
      <w:r>
        <w:rPr>
          <w:lang w:val="en-GB"/>
        </w:rPr>
        <w:t>To</w:t>
      </w:r>
      <w:r w:rsidR="000C6F3C">
        <w:rPr>
          <w:lang w:val="en-GB"/>
        </w:rPr>
        <w:t xml:space="preserve"> </w:t>
      </w:r>
      <w:r w:rsidR="00DD303E">
        <w:rPr>
          <w:lang w:val="en-GB"/>
        </w:rPr>
        <w:t xml:space="preserve">the best of our knowledge, no other papers have investigated judicial efficiency of first instance civil sentences </w:t>
      </w:r>
      <w:r w:rsidR="00E752F1">
        <w:rPr>
          <w:lang w:val="en-GB"/>
        </w:rPr>
        <w:t xml:space="preserve">and its interplay with </w:t>
      </w:r>
      <w:r w:rsidR="00F7769F">
        <w:rPr>
          <w:lang w:val="en-GB"/>
        </w:rPr>
        <w:t>legislative</w:t>
      </w:r>
      <w:r w:rsidR="00E752F1">
        <w:rPr>
          <w:lang w:val="en-GB"/>
        </w:rPr>
        <w:t xml:space="preserve"> complexity at </w:t>
      </w:r>
      <w:r w:rsidR="00DD303E">
        <w:rPr>
          <w:lang w:val="en-GB"/>
        </w:rPr>
        <w:t>topic</w:t>
      </w:r>
      <w:r w:rsidR="00E752F1">
        <w:rPr>
          <w:lang w:val="en-GB"/>
        </w:rPr>
        <w:t xml:space="preserve"> level. </w:t>
      </w:r>
      <w:r w:rsidR="00DD303E">
        <w:rPr>
          <w:lang w:val="en-GB"/>
        </w:rPr>
        <w:t xml:space="preserve"> </w:t>
      </w:r>
      <w:proofErr w:type="gramStart"/>
      <w:r w:rsidR="00DD303E">
        <w:rPr>
          <w:lang w:val="en-GB"/>
        </w:rPr>
        <w:t>In order to</w:t>
      </w:r>
      <w:proofErr w:type="gramEnd"/>
      <w:r w:rsidR="00DD303E">
        <w:rPr>
          <w:lang w:val="en-GB"/>
        </w:rPr>
        <w:t xml:space="preserve"> fill this gap, </w:t>
      </w:r>
      <w:r w:rsidR="000C6F3C">
        <w:rPr>
          <w:lang w:val="en-GB"/>
        </w:rPr>
        <w:t xml:space="preserve">we study </w:t>
      </w:r>
      <w:r w:rsidR="00E752F1">
        <w:rPr>
          <w:lang w:val="en-GB"/>
        </w:rPr>
        <w:t xml:space="preserve">at first </w:t>
      </w:r>
      <w:r w:rsidR="000C6F3C">
        <w:rPr>
          <w:lang w:val="en-GB"/>
        </w:rPr>
        <w:t>the</w:t>
      </w:r>
      <w:r w:rsidR="00DD303E">
        <w:rPr>
          <w:lang w:val="en-GB"/>
        </w:rPr>
        <w:t xml:space="preserve"> duration of </w:t>
      </w:r>
      <w:r w:rsidR="00F7769F">
        <w:rPr>
          <w:lang w:val="en-GB"/>
        </w:rPr>
        <w:t>dispute</w:t>
      </w:r>
      <w:r w:rsidR="00DD303E">
        <w:rPr>
          <w:lang w:val="en-GB"/>
        </w:rPr>
        <w:t xml:space="preserve">s in relation to </w:t>
      </w:r>
      <w:r w:rsidR="00DD303E" w:rsidRPr="00DD303E">
        <w:rPr>
          <w:lang w:val="en-GB"/>
        </w:rPr>
        <w:t>twelve categories</w:t>
      </w:r>
      <w:r w:rsidR="00DD303E">
        <w:rPr>
          <w:lang w:val="en-GB"/>
        </w:rPr>
        <w:t xml:space="preserve">: </w:t>
      </w:r>
      <w:r w:rsidR="00DD303E" w:rsidRPr="00DD303E">
        <w:rPr>
          <w:lang w:val="en-GB"/>
        </w:rPr>
        <w:t xml:space="preserve">personality rights, family rights, property rights and </w:t>
      </w:r>
      <w:r w:rsidR="00196E15">
        <w:rPr>
          <w:lang w:val="en-GB"/>
        </w:rPr>
        <w:t>inheritance law</w:t>
      </w:r>
      <w:r w:rsidR="00DD303E" w:rsidRPr="00DD303E">
        <w:rPr>
          <w:lang w:val="en-GB"/>
        </w:rPr>
        <w:t>, contracts and obligations, liability</w:t>
      </w:r>
      <w:r w:rsidR="00E752F1">
        <w:rPr>
          <w:lang w:val="en-GB"/>
        </w:rPr>
        <w:t xml:space="preserve"> for tort</w:t>
      </w:r>
      <w:r w:rsidR="00DD303E" w:rsidRPr="00DD303E">
        <w:rPr>
          <w:lang w:val="en-GB"/>
        </w:rPr>
        <w:t xml:space="preserve">, legal entities, company law, lease and </w:t>
      </w:r>
      <w:proofErr w:type="spellStart"/>
      <w:r w:rsidR="00E752F1">
        <w:rPr>
          <w:lang w:val="en-GB"/>
        </w:rPr>
        <w:t>commodat</w:t>
      </w:r>
      <w:r w:rsidR="00BE0482">
        <w:rPr>
          <w:lang w:val="en-GB"/>
        </w:rPr>
        <w:t>um</w:t>
      </w:r>
      <w:proofErr w:type="spellEnd"/>
      <w:r w:rsidR="00DD303E" w:rsidRPr="00DD303E">
        <w:rPr>
          <w:lang w:val="en-GB"/>
        </w:rPr>
        <w:t xml:space="preserve">, </w:t>
      </w:r>
      <w:r w:rsidR="00795582">
        <w:rPr>
          <w:lang w:val="en-GB"/>
        </w:rPr>
        <w:t>bankruptcy</w:t>
      </w:r>
      <w:r w:rsidR="00DD303E" w:rsidRPr="00DD303E">
        <w:rPr>
          <w:lang w:val="en-GB"/>
        </w:rPr>
        <w:t>, administrative law, banking law, other institutes</w:t>
      </w:r>
      <w:r w:rsidR="000C6F3C">
        <w:rPr>
          <w:lang w:val="en-GB"/>
        </w:rPr>
        <w:t>. S</w:t>
      </w:r>
      <w:r w:rsidR="00E752F1">
        <w:rPr>
          <w:lang w:val="en-GB"/>
        </w:rPr>
        <w:t xml:space="preserve">econdly, we investigate the interplay among </w:t>
      </w:r>
      <w:r w:rsidR="00670FE7">
        <w:rPr>
          <w:lang w:val="en-GB"/>
        </w:rPr>
        <w:t>disputes’</w:t>
      </w:r>
      <w:r w:rsidR="00E752F1">
        <w:rPr>
          <w:lang w:val="en-GB"/>
        </w:rPr>
        <w:t xml:space="preserve"> time durations </w:t>
      </w:r>
      <w:r w:rsidR="00670FE7">
        <w:rPr>
          <w:lang w:val="en-GB"/>
        </w:rPr>
        <w:t xml:space="preserve">and </w:t>
      </w:r>
      <w:r w:rsidR="00E752F1">
        <w:rPr>
          <w:lang w:val="en-GB"/>
        </w:rPr>
        <w:t xml:space="preserve">a set of indicators of </w:t>
      </w:r>
      <w:r w:rsidR="007654C4">
        <w:rPr>
          <w:lang w:val="en-GB"/>
        </w:rPr>
        <w:t>regulatory</w:t>
      </w:r>
      <w:r w:rsidR="00E752F1">
        <w:rPr>
          <w:lang w:val="en-GB"/>
        </w:rPr>
        <w:t xml:space="preserve"> complexity at topic level. </w:t>
      </w:r>
    </w:p>
    <w:p w14:paraId="72B8913E" w14:textId="77777777" w:rsidR="00F97B82" w:rsidRPr="00C566F2" w:rsidRDefault="00F97B82" w:rsidP="00D36CF1">
      <w:pPr>
        <w:spacing w:after="120" w:line="480" w:lineRule="auto"/>
        <w:ind w:firstLine="720"/>
        <w:jc w:val="both"/>
        <w:rPr>
          <w:lang w:val="en-GB"/>
        </w:rPr>
      </w:pPr>
    </w:p>
    <w:p w14:paraId="32263D15" w14:textId="6BD509BF" w:rsidR="00990B83" w:rsidRPr="00512FDD" w:rsidRDefault="003326EC" w:rsidP="00512FDD">
      <w:pPr>
        <w:pStyle w:val="Titolo2"/>
        <w:spacing w:before="0" w:after="120" w:line="480" w:lineRule="auto"/>
        <w:rPr>
          <w:rFonts w:ascii="Times New Roman" w:hAnsi="Times New Roman" w:cs="Times New Roman"/>
          <w:color w:val="auto"/>
          <w:sz w:val="24"/>
          <w:szCs w:val="24"/>
          <w:lang w:val="en-US"/>
        </w:rPr>
      </w:pPr>
      <w:r>
        <w:rPr>
          <w:rStyle w:val="txt"/>
          <w:rFonts w:ascii="Times New Roman" w:hAnsi="Times New Roman" w:cs="Times New Roman"/>
          <w:color w:val="auto"/>
          <w:sz w:val="24"/>
          <w:szCs w:val="24"/>
          <w:lang w:val="en-US"/>
        </w:rPr>
        <w:lastRenderedPageBreak/>
        <w:t>3.</w:t>
      </w:r>
      <w:r w:rsidRPr="00FB0710">
        <w:rPr>
          <w:rStyle w:val="txt"/>
          <w:rFonts w:ascii="Times New Roman" w:hAnsi="Times New Roman" w:cs="Times New Roman"/>
          <w:color w:val="auto"/>
          <w:sz w:val="24"/>
          <w:szCs w:val="24"/>
          <w:lang w:val="en-US"/>
        </w:rPr>
        <w:t xml:space="preserve"> </w:t>
      </w:r>
      <w:r>
        <w:rPr>
          <w:rStyle w:val="txt"/>
          <w:rFonts w:ascii="Times New Roman" w:hAnsi="Times New Roman" w:cs="Times New Roman"/>
          <w:color w:val="auto"/>
          <w:sz w:val="24"/>
          <w:szCs w:val="24"/>
          <w:lang w:val="en-US"/>
        </w:rPr>
        <w:t xml:space="preserve"> </w:t>
      </w:r>
      <w:r w:rsidR="00D41638" w:rsidRPr="003D4F9F">
        <w:rPr>
          <w:rFonts w:ascii="Times New Roman" w:hAnsi="Times New Roman" w:cs="Times New Roman"/>
          <w:color w:val="auto"/>
          <w:sz w:val="24"/>
          <w:szCs w:val="24"/>
          <w:lang w:val="en-GB"/>
        </w:rPr>
        <w:t>Data sources and descriptive statistics</w:t>
      </w:r>
    </w:p>
    <w:p w14:paraId="5358EC87" w14:textId="1D21A362" w:rsidR="007C2EF8" w:rsidRDefault="00AE710D" w:rsidP="00F904B1">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both"/>
        <w:rPr>
          <w:rFonts w:ascii="Times New Roman" w:eastAsia="Calibri" w:hAnsi="Times New Roman" w:cs="Calibri"/>
          <w:sz w:val="24"/>
          <w:szCs w:val="24"/>
          <w:lang w:val="en-US"/>
        </w:rPr>
      </w:pPr>
      <w:r>
        <w:rPr>
          <w:rFonts w:ascii="Times New Roman" w:eastAsia="Calibri" w:hAnsi="Times New Roman" w:cs="Calibri"/>
          <w:sz w:val="24"/>
          <w:szCs w:val="24"/>
          <w:lang w:val="en-US"/>
        </w:rPr>
        <w:t xml:space="preserve">The dataset used in this work relies on </w:t>
      </w:r>
      <w:r w:rsidR="00F904B1" w:rsidRPr="00E146BC">
        <w:rPr>
          <w:rFonts w:ascii="Times New Roman" w:eastAsia="Calibri" w:hAnsi="Times New Roman" w:cs="Calibri"/>
          <w:sz w:val="24"/>
          <w:szCs w:val="24"/>
          <w:lang w:val="en-US"/>
        </w:rPr>
        <w:t xml:space="preserve">the </w:t>
      </w:r>
      <w:r w:rsidR="00F904B1">
        <w:rPr>
          <w:rFonts w:ascii="Times New Roman" w:eastAsia="Calibri" w:hAnsi="Times New Roman" w:cs="Calibri"/>
          <w:sz w:val="24"/>
          <w:szCs w:val="24"/>
          <w:lang w:val="en-US"/>
        </w:rPr>
        <w:t>defined</w:t>
      </w:r>
      <w:r w:rsidR="00F904B1" w:rsidRPr="00E146BC">
        <w:rPr>
          <w:rFonts w:ascii="Times New Roman" w:eastAsia="Calibri" w:hAnsi="Times New Roman" w:cs="Calibri"/>
          <w:sz w:val="24"/>
          <w:szCs w:val="24"/>
          <w:lang w:val="en-US"/>
        </w:rPr>
        <w:t xml:space="preserve"> cases in civil </w:t>
      </w:r>
      <w:r w:rsidR="00F904B1">
        <w:rPr>
          <w:rFonts w:ascii="Times New Roman" w:eastAsia="Calibri" w:hAnsi="Times New Roman" w:cs="Calibri"/>
          <w:sz w:val="24"/>
          <w:szCs w:val="24"/>
          <w:lang w:val="en-US"/>
        </w:rPr>
        <w:t>disputes</w:t>
      </w:r>
      <w:r w:rsidR="00F904B1" w:rsidRPr="00E146BC">
        <w:rPr>
          <w:rFonts w:ascii="Times New Roman" w:eastAsia="Calibri" w:hAnsi="Times New Roman" w:cs="Calibri"/>
          <w:sz w:val="24"/>
          <w:szCs w:val="24"/>
          <w:lang w:val="en-US"/>
        </w:rPr>
        <w:t xml:space="preserve"> extracted from the Inspector Package software </w:t>
      </w:r>
      <w:r w:rsidR="00F904B1">
        <w:rPr>
          <w:rFonts w:ascii="Times New Roman" w:eastAsia="Calibri" w:hAnsi="Times New Roman" w:cs="Calibri"/>
          <w:sz w:val="24"/>
          <w:szCs w:val="24"/>
          <w:lang w:val="en-US"/>
        </w:rPr>
        <w:t xml:space="preserve">powered by the Ministry of Justice </w:t>
      </w:r>
      <w:r w:rsidR="00F904B1" w:rsidRPr="009C0E8A">
        <w:rPr>
          <w:rFonts w:ascii="Times New Roman" w:eastAsia="Calibri" w:hAnsi="Times New Roman" w:cs="Calibri"/>
          <w:sz w:val="24"/>
          <w:szCs w:val="24"/>
          <w:lang w:val="en-US"/>
        </w:rPr>
        <w:t>(</w:t>
      </w:r>
      <w:proofErr w:type="spellStart"/>
      <w:r w:rsidR="00F904B1" w:rsidRPr="009C0E8A">
        <w:rPr>
          <w:rFonts w:ascii="Times New Roman" w:eastAsia="Calibri" w:hAnsi="Times New Roman" w:cs="Calibri"/>
          <w:sz w:val="24"/>
          <w:szCs w:val="24"/>
          <w:lang w:val="en-US"/>
        </w:rPr>
        <w:t>Pacchetto</w:t>
      </w:r>
      <w:proofErr w:type="spellEnd"/>
      <w:r w:rsidR="00F904B1" w:rsidRPr="009C0E8A">
        <w:rPr>
          <w:rFonts w:ascii="Times New Roman" w:eastAsia="Calibri" w:hAnsi="Times New Roman" w:cs="Calibri"/>
          <w:sz w:val="24"/>
          <w:szCs w:val="24"/>
          <w:lang w:val="en-US"/>
        </w:rPr>
        <w:t xml:space="preserve"> </w:t>
      </w:r>
      <w:proofErr w:type="spellStart"/>
      <w:r w:rsidR="00F904B1" w:rsidRPr="009C0E8A">
        <w:rPr>
          <w:rFonts w:ascii="Times New Roman" w:eastAsia="Calibri" w:hAnsi="Times New Roman" w:cs="Calibri"/>
          <w:sz w:val="24"/>
          <w:szCs w:val="24"/>
          <w:lang w:val="en-US"/>
        </w:rPr>
        <w:t>Ispettore</w:t>
      </w:r>
      <w:proofErr w:type="spellEnd"/>
      <w:r w:rsidR="00F904B1" w:rsidRPr="009C0E8A">
        <w:rPr>
          <w:rFonts w:ascii="Times New Roman" w:eastAsia="Calibri" w:hAnsi="Times New Roman" w:cs="Calibri"/>
          <w:sz w:val="24"/>
          <w:szCs w:val="24"/>
          <w:lang w:val="en-US"/>
        </w:rPr>
        <w:t xml:space="preserve"> – </w:t>
      </w:r>
      <w:proofErr w:type="spellStart"/>
      <w:r w:rsidR="00F904B1" w:rsidRPr="009C0E8A">
        <w:rPr>
          <w:rFonts w:ascii="Times New Roman" w:eastAsia="Calibri" w:hAnsi="Times New Roman" w:cs="Calibri"/>
          <w:sz w:val="24"/>
          <w:szCs w:val="24"/>
          <w:lang w:val="en-US"/>
        </w:rPr>
        <w:t>Ministero</w:t>
      </w:r>
      <w:proofErr w:type="spellEnd"/>
      <w:r w:rsidR="00F904B1" w:rsidRPr="009C0E8A">
        <w:rPr>
          <w:rFonts w:ascii="Times New Roman" w:eastAsia="Calibri" w:hAnsi="Times New Roman" w:cs="Calibri"/>
          <w:sz w:val="24"/>
          <w:szCs w:val="24"/>
          <w:lang w:val="en-US"/>
        </w:rPr>
        <w:t xml:space="preserve"> </w:t>
      </w:r>
      <w:proofErr w:type="spellStart"/>
      <w:r w:rsidR="00F904B1" w:rsidRPr="009C0E8A">
        <w:rPr>
          <w:rFonts w:ascii="Times New Roman" w:eastAsia="Calibri" w:hAnsi="Times New Roman" w:cs="Calibri"/>
          <w:sz w:val="24"/>
          <w:szCs w:val="24"/>
          <w:lang w:val="en-US"/>
        </w:rPr>
        <w:t>della</w:t>
      </w:r>
      <w:proofErr w:type="spellEnd"/>
      <w:r w:rsidR="00F904B1" w:rsidRPr="009C0E8A">
        <w:rPr>
          <w:rFonts w:ascii="Times New Roman" w:eastAsia="Calibri" w:hAnsi="Times New Roman" w:cs="Calibri"/>
          <w:sz w:val="24"/>
          <w:szCs w:val="24"/>
          <w:lang w:val="en-US"/>
        </w:rPr>
        <w:t xml:space="preserve"> </w:t>
      </w:r>
      <w:proofErr w:type="spellStart"/>
      <w:r w:rsidR="00F904B1" w:rsidRPr="009C0E8A">
        <w:rPr>
          <w:rFonts w:ascii="Times New Roman" w:eastAsia="Calibri" w:hAnsi="Times New Roman" w:cs="Calibri"/>
          <w:sz w:val="24"/>
          <w:szCs w:val="24"/>
          <w:lang w:val="en-US"/>
        </w:rPr>
        <w:t>Giustizia</w:t>
      </w:r>
      <w:proofErr w:type="spellEnd"/>
      <w:r w:rsidR="00F904B1" w:rsidRPr="009C0E8A">
        <w:rPr>
          <w:rFonts w:ascii="Times New Roman" w:eastAsia="Calibri" w:hAnsi="Times New Roman" w:cs="Calibri"/>
          <w:sz w:val="24"/>
          <w:szCs w:val="24"/>
          <w:lang w:val="en-US"/>
        </w:rPr>
        <w:t>)</w:t>
      </w:r>
      <w:r>
        <w:rPr>
          <w:rFonts w:ascii="Times New Roman" w:eastAsia="Calibri" w:hAnsi="Times New Roman" w:cs="Calibri"/>
          <w:sz w:val="24"/>
          <w:szCs w:val="24"/>
          <w:lang w:val="en-US"/>
        </w:rPr>
        <w:t xml:space="preserve">, </w:t>
      </w:r>
      <w:r w:rsidR="007B277B">
        <w:rPr>
          <w:rFonts w:ascii="Times New Roman" w:eastAsia="Calibri" w:hAnsi="Times New Roman" w:cs="Calibri"/>
          <w:sz w:val="24"/>
          <w:szCs w:val="24"/>
          <w:lang w:val="en-US"/>
        </w:rPr>
        <w:t>and</w:t>
      </w:r>
      <w:r w:rsidR="00F904B1" w:rsidRPr="009C0E8A">
        <w:rPr>
          <w:rFonts w:ascii="Times New Roman" w:eastAsia="Calibri" w:hAnsi="Times New Roman" w:cs="Calibri"/>
          <w:sz w:val="24"/>
          <w:szCs w:val="24"/>
          <w:lang w:val="en-US"/>
        </w:rPr>
        <w:t xml:space="preserve"> </w:t>
      </w:r>
      <w:r w:rsidRPr="00E146BC">
        <w:rPr>
          <w:rFonts w:ascii="Times New Roman" w:eastAsia="Calibri" w:hAnsi="Times New Roman" w:cs="Calibri"/>
          <w:sz w:val="24"/>
          <w:szCs w:val="24"/>
          <w:lang w:val="en-US"/>
        </w:rPr>
        <w:t>u</w:t>
      </w:r>
      <w:r>
        <w:rPr>
          <w:rFonts w:ascii="Times New Roman" w:eastAsia="Calibri" w:hAnsi="Times New Roman" w:cs="Calibri"/>
          <w:sz w:val="24"/>
          <w:szCs w:val="24"/>
          <w:lang w:val="en-US"/>
        </w:rPr>
        <w:t>tilized</w:t>
      </w:r>
      <w:r w:rsidRPr="00E146BC">
        <w:rPr>
          <w:rFonts w:ascii="Times New Roman" w:eastAsia="Calibri" w:hAnsi="Times New Roman" w:cs="Calibri"/>
          <w:sz w:val="24"/>
          <w:szCs w:val="24"/>
          <w:lang w:val="en-US"/>
        </w:rPr>
        <w:t xml:space="preserve"> </w:t>
      </w:r>
      <w:r w:rsidR="00F904B1" w:rsidRPr="00E146BC">
        <w:rPr>
          <w:rFonts w:ascii="Times New Roman" w:eastAsia="Calibri" w:hAnsi="Times New Roman" w:cs="Calibri"/>
          <w:sz w:val="24"/>
          <w:szCs w:val="24"/>
          <w:lang w:val="en-US"/>
        </w:rPr>
        <w:t xml:space="preserve">by the </w:t>
      </w:r>
      <w:r w:rsidR="00670FE7">
        <w:rPr>
          <w:rFonts w:ascii="Times New Roman" w:eastAsia="Calibri" w:hAnsi="Times New Roman" w:cs="Calibri"/>
          <w:sz w:val="24"/>
          <w:szCs w:val="24"/>
          <w:lang w:val="en-US"/>
        </w:rPr>
        <w:t xml:space="preserve">Sicilian courts. </w:t>
      </w:r>
      <w:r w:rsidR="00F904B1">
        <w:rPr>
          <w:rFonts w:ascii="Times New Roman" w:eastAsia="Calibri" w:hAnsi="Times New Roman" w:cs="Calibri"/>
          <w:sz w:val="24"/>
          <w:szCs w:val="24"/>
          <w:lang w:val="en-US"/>
        </w:rPr>
        <w:t>We</w:t>
      </w:r>
      <w:r w:rsidR="00F904B1" w:rsidRPr="00BE293D">
        <w:rPr>
          <w:rFonts w:ascii="Times New Roman" w:eastAsia="Calibri" w:hAnsi="Times New Roman" w:cs="Calibri"/>
          <w:sz w:val="24"/>
          <w:szCs w:val="24"/>
          <w:lang w:val="en-GB"/>
        </w:rPr>
        <w:t xml:space="preserve"> </w:t>
      </w:r>
      <w:r>
        <w:rPr>
          <w:rFonts w:ascii="Times New Roman" w:eastAsia="Calibri" w:hAnsi="Times New Roman" w:cs="Calibri"/>
          <w:sz w:val="24"/>
          <w:szCs w:val="24"/>
          <w:lang w:val="en-GB"/>
        </w:rPr>
        <w:t xml:space="preserve">employ </w:t>
      </w:r>
      <w:r w:rsidR="00F904B1" w:rsidRPr="00BE293D">
        <w:rPr>
          <w:rFonts w:ascii="Times New Roman" w:eastAsia="Calibri" w:hAnsi="Times New Roman" w:cs="Calibri"/>
          <w:sz w:val="24"/>
          <w:szCs w:val="24"/>
          <w:lang w:val="en-GB"/>
        </w:rPr>
        <w:t xml:space="preserve">a cross-section dataset containing </w:t>
      </w:r>
      <w:r w:rsidR="0001447F">
        <w:rPr>
          <w:rFonts w:ascii="Times New Roman" w:eastAsia="Calibri" w:hAnsi="Times New Roman" w:cs="Calibri"/>
          <w:sz w:val="24"/>
          <w:szCs w:val="24"/>
          <w:lang w:val="en-GB"/>
        </w:rPr>
        <w:t>16,789</w:t>
      </w:r>
      <w:r>
        <w:rPr>
          <w:szCs w:val="20"/>
          <w:lang w:val="en-GB"/>
        </w:rPr>
        <w:t xml:space="preserve"> </w:t>
      </w:r>
      <w:r w:rsidR="00F904B1" w:rsidRPr="00BE293D">
        <w:rPr>
          <w:rFonts w:ascii="Times New Roman" w:eastAsia="Calibri" w:hAnsi="Times New Roman" w:cs="Calibri"/>
          <w:sz w:val="24"/>
          <w:szCs w:val="24"/>
          <w:lang w:val="en-GB"/>
        </w:rPr>
        <w:t xml:space="preserve">first instance civil sentences pronounced by </w:t>
      </w:r>
      <w:r w:rsidR="007A615A">
        <w:rPr>
          <w:rFonts w:ascii="Times New Roman" w:eastAsia="Calibri" w:hAnsi="Times New Roman" w:cs="Calibri"/>
          <w:sz w:val="24"/>
          <w:szCs w:val="24"/>
          <w:lang w:val="en-GB"/>
        </w:rPr>
        <w:t xml:space="preserve">10 </w:t>
      </w:r>
      <w:r w:rsidR="00F904B1" w:rsidRPr="00BE293D">
        <w:rPr>
          <w:rFonts w:ascii="Times New Roman" w:eastAsia="Calibri" w:hAnsi="Times New Roman" w:cs="Calibri"/>
          <w:sz w:val="24"/>
          <w:szCs w:val="24"/>
          <w:lang w:val="en-GB"/>
        </w:rPr>
        <w:t xml:space="preserve">Civil </w:t>
      </w:r>
      <w:r w:rsidR="00BF7FD8">
        <w:rPr>
          <w:rFonts w:ascii="Times New Roman" w:eastAsia="Calibri" w:hAnsi="Times New Roman" w:cs="Calibri"/>
          <w:sz w:val="24"/>
          <w:szCs w:val="24"/>
          <w:lang w:val="en-GB"/>
        </w:rPr>
        <w:t xml:space="preserve">Sicilian </w:t>
      </w:r>
      <w:r w:rsidR="00F904B1" w:rsidRPr="00BE293D">
        <w:rPr>
          <w:rFonts w:ascii="Times New Roman" w:eastAsia="Calibri" w:hAnsi="Times New Roman" w:cs="Calibri"/>
          <w:sz w:val="24"/>
          <w:szCs w:val="24"/>
          <w:lang w:val="en-GB"/>
        </w:rPr>
        <w:t>Court</w:t>
      </w:r>
      <w:r w:rsidR="006C7B5B">
        <w:rPr>
          <w:rFonts w:ascii="Times New Roman" w:eastAsia="Calibri" w:hAnsi="Times New Roman" w:cs="Calibri"/>
          <w:sz w:val="24"/>
          <w:szCs w:val="24"/>
          <w:lang w:val="en-GB"/>
        </w:rPr>
        <w:t>s</w:t>
      </w:r>
      <w:r w:rsidR="00F904B1" w:rsidRPr="00BE293D">
        <w:rPr>
          <w:rFonts w:ascii="Times New Roman" w:eastAsia="Calibri" w:hAnsi="Times New Roman" w:cs="Calibri"/>
          <w:sz w:val="24"/>
          <w:szCs w:val="24"/>
          <w:lang w:val="en-GB"/>
        </w:rPr>
        <w:t xml:space="preserve"> </w:t>
      </w:r>
      <w:r w:rsidR="00BF7FD8">
        <w:rPr>
          <w:rFonts w:ascii="Times New Roman" w:eastAsia="Calibri" w:hAnsi="Times New Roman" w:cs="Calibri"/>
          <w:sz w:val="24"/>
          <w:szCs w:val="24"/>
          <w:lang w:val="en-GB"/>
        </w:rPr>
        <w:t>in</w:t>
      </w:r>
      <w:r w:rsidR="007A615A">
        <w:rPr>
          <w:rFonts w:ascii="Times New Roman" w:eastAsia="Calibri" w:hAnsi="Times New Roman" w:cs="Calibri"/>
          <w:sz w:val="24"/>
          <w:szCs w:val="24"/>
          <w:lang w:val="en-GB"/>
        </w:rPr>
        <w:t xml:space="preserve"> </w:t>
      </w:r>
      <w:r w:rsidR="00F904B1">
        <w:rPr>
          <w:rFonts w:ascii="Times New Roman" w:eastAsia="Calibri" w:hAnsi="Times New Roman" w:cs="Calibri"/>
          <w:sz w:val="24"/>
          <w:szCs w:val="24"/>
          <w:lang w:val="en-US"/>
        </w:rPr>
        <w:t xml:space="preserve">2022. </w:t>
      </w:r>
      <w:r w:rsidR="007A615A">
        <w:rPr>
          <w:rFonts w:ascii="Times New Roman" w:eastAsia="Calibri" w:hAnsi="Times New Roman" w:cs="Calibri"/>
          <w:sz w:val="24"/>
          <w:szCs w:val="24"/>
          <w:lang w:val="en-US"/>
        </w:rPr>
        <w:t xml:space="preserve">Among them, Palermo and Catania </w:t>
      </w:r>
      <w:r w:rsidR="00BF7FD8">
        <w:rPr>
          <w:rFonts w:ascii="Times New Roman" w:eastAsia="Calibri" w:hAnsi="Times New Roman" w:cs="Calibri"/>
          <w:sz w:val="24"/>
          <w:szCs w:val="24"/>
          <w:lang w:val="en-US"/>
        </w:rPr>
        <w:t>have multiple</w:t>
      </w:r>
      <w:r w:rsidR="007A615A">
        <w:rPr>
          <w:rFonts w:ascii="Times New Roman" w:eastAsia="Calibri" w:hAnsi="Times New Roman" w:cs="Calibri"/>
          <w:sz w:val="24"/>
          <w:szCs w:val="24"/>
          <w:lang w:val="en-US"/>
        </w:rPr>
        <w:t xml:space="preserve"> sections</w:t>
      </w:r>
      <w:r w:rsidR="00BF7FD8">
        <w:rPr>
          <w:rFonts w:ascii="Times New Roman" w:eastAsia="Calibri" w:hAnsi="Times New Roman" w:cs="Calibri"/>
          <w:sz w:val="24"/>
          <w:szCs w:val="24"/>
          <w:lang w:val="en-US"/>
        </w:rPr>
        <w:t>,</w:t>
      </w:r>
      <w:r w:rsidR="007A615A">
        <w:rPr>
          <w:rFonts w:ascii="Times New Roman" w:eastAsia="Calibri" w:hAnsi="Times New Roman" w:cs="Calibri"/>
          <w:sz w:val="24"/>
          <w:szCs w:val="24"/>
          <w:lang w:val="en-US"/>
        </w:rPr>
        <w:t xml:space="preserve"> while the other</w:t>
      </w:r>
      <w:r w:rsidR="007C3ECA">
        <w:rPr>
          <w:rFonts w:ascii="Times New Roman" w:eastAsia="Calibri" w:hAnsi="Times New Roman" w:cs="Calibri"/>
          <w:sz w:val="24"/>
          <w:szCs w:val="24"/>
          <w:lang w:val="en-US"/>
        </w:rPr>
        <w:t>s</w:t>
      </w:r>
      <w:r w:rsidR="007A615A">
        <w:rPr>
          <w:rFonts w:ascii="Times New Roman" w:eastAsia="Calibri" w:hAnsi="Times New Roman" w:cs="Calibri"/>
          <w:sz w:val="24"/>
          <w:szCs w:val="24"/>
          <w:lang w:val="en-US"/>
        </w:rPr>
        <w:t xml:space="preserve"> </w:t>
      </w:r>
      <w:r w:rsidR="007C3ECA">
        <w:rPr>
          <w:rFonts w:ascii="Times New Roman" w:eastAsia="Calibri" w:hAnsi="Times New Roman" w:cs="Calibri"/>
          <w:sz w:val="24"/>
          <w:szCs w:val="24"/>
          <w:lang w:val="en-US"/>
        </w:rPr>
        <w:t xml:space="preserve">have </w:t>
      </w:r>
      <w:r w:rsidR="007A615A">
        <w:rPr>
          <w:rFonts w:ascii="Times New Roman" w:eastAsia="Calibri" w:hAnsi="Times New Roman" w:cs="Calibri"/>
          <w:sz w:val="24"/>
          <w:szCs w:val="24"/>
          <w:lang w:val="en-US"/>
        </w:rPr>
        <w:t xml:space="preserve">a </w:t>
      </w:r>
      <w:r w:rsidR="00BF7FD8">
        <w:rPr>
          <w:rFonts w:ascii="Times New Roman" w:eastAsia="Calibri" w:hAnsi="Times New Roman" w:cs="Calibri"/>
          <w:sz w:val="24"/>
          <w:szCs w:val="24"/>
          <w:lang w:val="en-US"/>
        </w:rPr>
        <w:t xml:space="preserve">single </w:t>
      </w:r>
      <w:r w:rsidR="007A615A">
        <w:rPr>
          <w:rFonts w:ascii="Times New Roman" w:eastAsia="Calibri" w:hAnsi="Times New Roman" w:cs="Calibri"/>
          <w:sz w:val="24"/>
          <w:szCs w:val="24"/>
          <w:lang w:val="en-US"/>
        </w:rPr>
        <w:t xml:space="preserve">section. </w:t>
      </w:r>
      <w:r w:rsidR="00F904B1" w:rsidRPr="00990B83">
        <w:rPr>
          <w:rFonts w:ascii="Times New Roman" w:eastAsia="Calibri" w:hAnsi="Times New Roman" w:cs="Calibri"/>
          <w:sz w:val="24"/>
          <w:szCs w:val="24"/>
          <w:lang w:val="en-US"/>
        </w:rPr>
        <w:t xml:space="preserve">Table 1 </w:t>
      </w:r>
      <w:r w:rsidR="0078130C">
        <w:rPr>
          <w:rFonts w:ascii="Times New Roman" w:eastAsia="Calibri" w:hAnsi="Times New Roman" w:cs="Calibri"/>
          <w:sz w:val="24"/>
          <w:szCs w:val="24"/>
          <w:lang w:val="en-US"/>
        </w:rPr>
        <w:t>shows</w:t>
      </w:r>
      <w:r w:rsidR="0078130C" w:rsidRPr="00990B83">
        <w:rPr>
          <w:rFonts w:ascii="Times New Roman" w:eastAsia="Calibri" w:hAnsi="Times New Roman" w:cs="Calibri"/>
          <w:sz w:val="24"/>
          <w:szCs w:val="24"/>
          <w:lang w:val="en-US"/>
        </w:rPr>
        <w:t xml:space="preserve"> </w:t>
      </w:r>
      <w:r w:rsidR="00F904B1" w:rsidRPr="00990B83">
        <w:rPr>
          <w:rFonts w:ascii="Times New Roman" w:eastAsia="Calibri" w:hAnsi="Times New Roman" w:cs="Calibri"/>
          <w:sz w:val="24"/>
          <w:szCs w:val="24"/>
          <w:lang w:val="en-US"/>
        </w:rPr>
        <w:t xml:space="preserve">the descriptive statistics of the </w:t>
      </w:r>
      <w:r w:rsidR="00BD7677">
        <w:rPr>
          <w:rFonts w:ascii="Times New Roman" w:eastAsia="Calibri" w:hAnsi="Times New Roman" w:cs="Calibri"/>
          <w:sz w:val="24"/>
          <w:szCs w:val="24"/>
          <w:lang w:val="en-US"/>
        </w:rPr>
        <w:t xml:space="preserve">considered </w:t>
      </w:r>
      <w:r w:rsidR="00F904B1" w:rsidRPr="00990B83">
        <w:rPr>
          <w:rFonts w:ascii="Times New Roman" w:eastAsia="Calibri" w:hAnsi="Times New Roman" w:cs="Calibri"/>
          <w:sz w:val="24"/>
          <w:szCs w:val="24"/>
          <w:lang w:val="en-US"/>
        </w:rPr>
        <w:t>sample</w:t>
      </w:r>
      <w:r w:rsidR="00417B0E">
        <w:rPr>
          <w:rFonts w:ascii="Times New Roman" w:eastAsia="Calibri" w:hAnsi="Times New Roman" w:cs="Calibri"/>
          <w:sz w:val="24"/>
          <w:szCs w:val="24"/>
          <w:lang w:val="en-US"/>
        </w:rPr>
        <w:t xml:space="preserve">, while </w:t>
      </w:r>
      <w:r w:rsidR="00F904B1">
        <w:rPr>
          <w:rFonts w:ascii="Times New Roman" w:eastAsia="Calibri" w:hAnsi="Times New Roman" w:cs="Calibri"/>
          <w:sz w:val="24"/>
          <w:szCs w:val="24"/>
          <w:lang w:val="en-US"/>
        </w:rPr>
        <w:t xml:space="preserve">Table 2 </w:t>
      </w:r>
      <w:r w:rsidR="00744709">
        <w:rPr>
          <w:rFonts w:ascii="Times New Roman" w:eastAsia="Calibri" w:hAnsi="Times New Roman" w:cs="Calibri"/>
          <w:sz w:val="24"/>
          <w:szCs w:val="24"/>
          <w:lang w:val="en-US"/>
        </w:rPr>
        <w:t xml:space="preserve">and Table </w:t>
      </w:r>
      <w:r w:rsidR="00CD7CC7">
        <w:rPr>
          <w:rFonts w:ascii="Times New Roman" w:eastAsia="Calibri" w:hAnsi="Times New Roman" w:cs="Calibri"/>
          <w:sz w:val="24"/>
          <w:szCs w:val="24"/>
          <w:lang w:val="en-US"/>
        </w:rPr>
        <w:t>4</w:t>
      </w:r>
      <w:r w:rsidR="00744709">
        <w:rPr>
          <w:rFonts w:ascii="Times New Roman" w:eastAsia="Calibri" w:hAnsi="Times New Roman" w:cs="Calibri"/>
          <w:sz w:val="24"/>
          <w:szCs w:val="24"/>
          <w:lang w:val="en-US"/>
        </w:rPr>
        <w:t xml:space="preserve"> </w:t>
      </w:r>
      <w:r w:rsidR="00F904B1">
        <w:rPr>
          <w:rFonts w:ascii="Times New Roman" w:eastAsia="Calibri" w:hAnsi="Times New Roman" w:cs="Calibri"/>
          <w:sz w:val="24"/>
          <w:szCs w:val="24"/>
          <w:lang w:val="en-US"/>
        </w:rPr>
        <w:t>report the correlation matrix</w:t>
      </w:r>
      <w:r w:rsidR="00747F31">
        <w:rPr>
          <w:rFonts w:ascii="Times New Roman" w:eastAsia="Calibri" w:hAnsi="Times New Roman" w:cs="Calibri"/>
          <w:sz w:val="24"/>
          <w:szCs w:val="24"/>
          <w:lang w:val="en-US"/>
        </w:rPr>
        <w:t xml:space="preserve"> among the considered variables</w:t>
      </w:r>
      <w:r w:rsidR="00744709">
        <w:rPr>
          <w:rFonts w:ascii="Times New Roman" w:eastAsia="Calibri" w:hAnsi="Times New Roman" w:cs="Calibri"/>
          <w:sz w:val="24"/>
          <w:szCs w:val="24"/>
          <w:lang w:val="en-US"/>
        </w:rPr>
        <w:t xml:space="preserve"> </w:t>
      </w:r>
      <w:r w:rsidR="00BD7677">
        <w:rPr>
          <w:rFonts w:ascii="Times New Roman" w:eastAsia="Calibri" w:hAnsi="Times New Roman" w:cs="Calibri"/>
          <w:sz w:val="24"/>
          <w:szCs w:val="24"/>
          <w:lang w:val="en-US"/>
        </w:rPr>
        <w:t xml:space="preserve">respectively by topic and </w:t>
      </w:r>
      <w:r w:rsidR="00BD7677" w:rsidRPr="00744709">
        <w:rPr>
          <w:rFonts w:ascii="Times New Roman" w:eastAsia="Calibri" w:hAnsi="Times New Roman" w:cs="Calibri"/>
          <w:sz w:val="24"/>
          <w:szCs w:val="24"/>
          <w:lang w:val="en-GB"/>
        </w:rPr>
        <w:t>indicator</w:t>
      </w:r>
      <w:r w:rsidR="00BD7677">
        <w:rPr>
          <w:rFonts w:ascii="Times New Roman" w:eastAsia="Calibri" w:hAnsi="Times New Roman" w:cs="Calibri"/>
          <w:sz w:val="24"/>
          <w:szCs w:val="24"/>
          <w:lang w:val="en-GB"/>
        </w:rPr>
        <w:t>s</w:t>
      </w:r>
      <w:r w:rsidR="00BD7677" w:rsidRPr="00744709">
        <w:rPr>
          <w:rFonts w:ascii="Times New Roman" w:eastAsia="Calibri" w:hAnsi="Times New Roman" w:cs="Calibri"/>
          <w:sz w:val="24"/>
          <w:szCs w:val="24"/>
          <w:lang w:val="en-GB"/>
        </w:rPr>
        <w:t xml:space="preserve"> of legislati</w:t>
      </w:r>
      <w:r w:rsidR="00600728">
        <w:rPr>
          <w:rFonts w:ascii="Times New Roman" w:eastAsia="Calibri" w:hAnsi="Times New Roman" w:cs="Calibri"/>
          <w:sz w:val="24"/>
          <w:szCs w:val="24"/>
          <w:lang w:val="en-GB"/>
        </w:rPr>
        <w:t>ve</w:t>
      </w:r>
      <w:r w:rsidR="00BD7677" w:rsidRPr="00744709">
        <w:rPr>
          <w:rFonts w:ascii="Times New Roman" w:eastAsia="Calibri" w:hAnsi="Times New Roman" w:cs="Calibri"/>
          <w:sz w:val="24"/>
          <w:szCs w:val="24"/>
          <w:lang w:val="en-GB"/>
        </w:rPr>
        <w:t xml:space="preserve"> complexity</w:t>
      </w:r>
      <w:r w:rsidR="00744709">
        <w:rPr>
          <w:rFonts w:ascii="Times New Roman" w:eastAsia="Calibri" w:hAnsi="Times New Roman" w:cs="Calibri"/>
          <w:sz w:val="24"/>
          <w:szCs w:val="24"/>
          <w:lang w:val="en-GB"/>
        </w:rPr>
        <w:t xml:space="preserve">. </w:t>
      </w:r>
    </w:p>
    <w:p w14:paraId="10A1E02C" w14:textId="2DEC6811" w:rsidR="000031BA" w:rsidRDefault="000031BA" w:rsidP="000031BA">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eastAsia="Calibri" w:hAnsi="Times New Roman" w:cs="Calibri"/>
          <w:b/>
          <w:bCs/>
          <w:sz w:val="24"/>
          <w:szCs w:val="24"/>
          <w:lang w:val="en-US"/>
        </w:rPr>
      </w:pPr>
      <w:bookmarkStart w:id="3" w:name="_Hlk144940621"/>
      <w:bookmarkStart w:id="4" w:name="_Hlk136785564"/>
      <w:r w:rsidRPr="001472AA">
        <w:rPr>
          <w:rFonts w:ascii="Times New Roman" w:eastAsia="Calibri" w:hAnsi="Times New Roman" w:cs="Calibri"/>
          <w:b/>
          <w:bCs/>
          <w:sz w:val="24"/>
          <w:szCs w:val="24"/>
          <w:lang w:val="en-GB"/>
        </w:rPr>
        <w:t xml:space="preserve">Table 1 </w:t>
      </w:r>
      <w:r w:rsidR="00F262D6" w:rsidRPr="00F262D6">
        <w:rPr>
          <w:rFonts w:ascii="Times New Roman" w:eastAsia="Calibri" w:hAnsi="Times New Roman" w:cs="Calibri"/>
          <w:b/>
          <w:bCs/>
          <w:sz w:val="24"/>
          <w:szCs w:val="24"/>
          <w:lang w:val="en-US"/>
        </w:rPr>
        <w:t>–</w:t>
      </w:r>
      <w:r w:rsidRPr="001472AA">
        <w:rPr>
          <w:rFonts w:ascii="Times New Roman" w:eastAsia="Calibri" w:hAnsi="Times New Roman" w:cs="Calibri"/>
          <w:b/>
          <w:bCs/>
          <w:sz w:val="24"/>
          <w:szCs w:val="24"/>
          <w:lang w:val="en-GB"/>
        </w:rPr>
        <w:t xml:space="preserve"> Descriptive statist</w:t>
      </w:r>
      <w:proofErr w:type="spellStart"/>
      <w:r w:rsidR="00F904B1">
        <w:rPr>
          <w:rFonts w:ascii="Times New Roman" w:eastAsia="Calibri" w:hAnsi="Times New Roman" w:cs="Calibri"/>
          <w:b/>
          <w:bCs/>
          <w:sz w:val="24"/>
          <w:szCs w:val="24"/>
          <w:lang w:val="en-US"/>
        </w:rPr>
        <w:t>i</w:t>
      </w:r>
      <w:r w:rsidR="00212CDD">
        <w:rPr>
          <w:rFonts w:ascii="Times New Roman" w:eastAsia="Calibri" w:hAnsi="Times New Roman" w:cs="Calibri"/>
          <w:b/>
          <w:bCs/>
          <w:sz w:val="24"/>
          <w:szCs w:val="24"/>
          <w:lang w:val="en-US"/>
        </w:rPr>
        <w:t>cs</w:t>
      </w:r>
      <w:proofErr w:type="spellEnd"/>
      <w:r w:rsidRPr="000031BA">
        <w:rPr>
          <w:rFonts w:ascii="Times New Roman" w:eastAsia="Calibri" w:hAnsi="Times New Roman" w:cs="Calibri"/>
          <w:b/>
          <w:bCs/>
          <w:sz w:val="24"/>
          <w:szCs w:val="24"/>
          <w:lang w:val="en-US"/>
        </w:rPr>
        <w:t xml:space="preserve"> of the sample</w:t>
      </w:r>
    </w:p>
    <w:tbl>
      <w:tblPr>
        <w:tblW w:w="11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4"/>
        <w:gridCol w:w="4281"/>
        <w:gridCol w:w="850"/>
        <w:gridCol w:w="993"/>
        <w:gridCol w:w="992"/>
        <w:gridCol w:w="709"/>
        <w:gridCol w:w="782"/>
      </w:tblGrid>
      <w:tr w:rsidR="003125D8" w14:paraId="76EAEDEB" w14:textId="77777777" w:rsidTr="009F3862">
        <w:trPr>
          <w:jc w:val="center"/>
        </w:trPr>
        <w:tc>
          <w:tcPr>
            <w:tcW w:w="2524" w:type="dxa"/>
          </w:tcPr>
          <w:bookmarkEnd w:id="3"/>
          <w:p w14:paraId="61C6FEA8" w14:textId="05E29A4F"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Variabl</w:t>
            </w:r>
            <w:r w:rsidR="000F3B15">
              <w:rPr>
                <w:b/>
                <w:bCs/>
                <w:sz w:val="20"/>
                <w:szCs w:val="20"/>
                <w:lang w:val="en-US"/>
              </w:rPr>
              <w:t>es</w:t>
            </w:r>
          </w:p>
        </w:tc>
        <w:tc>
          <w:tcPr>
            <w:tcW w:w="4281" w:type="dxa"/>
          </w:tcPr>
          <w:p w14:paraId="2A24660C" w14:textId="41B839D7" w:rsidR="003125D8" w:rsidRPr="003125D8" w:rsidRDefault="004C33B8" w:rsidP="00795582">
            <w:pPr>
              <w:widowControl w:val="0"/>
              <w:autoSpaceDE w:val="0"/>
              <w:autoSpaceDN w:val="0"/>
              <w:adjustRightInd w:val="0"/>
              <w:jc w:val="both"/>
              <w:rPr>
                <w:b/>
                <w:bCs/>
                <w:sz w:val="20"/>
                <w:szCs w:val="20"/>
                <w:lang w:val="en-US"/>
              </w:rPr>
            </w:pPr>
            <w:r>
              <w:rPr>
                <w:b/>
                <w:bCs/>
                <w:sz w:val="20"/>
                <w:szCs w:val="20"/>
                <w:lang w:val="en-US"/>
              </w:rPr>
              <w:t>Variable description</w:t>
            </w:r>
          </w:p>
        </w:tc>
        <w:tc>
          <w:tcPr>
            <w:tcW w:w="850" w:type="dxa"/>
          </w:tcPr>
          <w:p w14:paraId="516BAD3B" w14:textId="77777777"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Obs.</w:t>
            </w:r>
          </w:p>
        </w:tc>
        <w:tc>
          <w:tcPr>
            <w:tcW w:w="993" w:type="dxa"/>
          </w:tcPr>
          <w:p w14:paraId="2AE1863A" w14:textId="77777777"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Mean</w:t>
            </w:r>
          </w:p>
        </w:tc>
        <w:tc>
          <w:tcPr>
            <w:tcW w:w="992" w:type="dxa"/>
          </w:tcPr>
          <w:p w14:paraId="28E73816" w14:textId="77777777"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Std. Dev.</w:t>
            </w:r>
          </w:p>
        </w:tc>
        <w:tc>
          <w:tcPr>
            <w:tcW w:w="709" w:type="dxa"/>
          </w:tcPr>
          <w:p w14:paraId="495F75BD" w14:textId="77777777"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Min</w:t>
            </w:r>
          </w:p>
        </w:tc>
        <w:tc>
          <w:tcPr>
            <w:tcW w:w="782" w:type="dxa"/>
          </w:tcPr>
          <w:p w14:paraId="6E34B404" w14:textId="77777777" w:rsidR="003125D8" w:rsidRPr="003125D8" w:rsidRDefault="003125D8" w:rsidP="00795582">
            <w:pPr>
              <w:widowControl w:val="0"/>
              <w:autoSpaceDE w:val="0"/>
              <w:autoSpaceDN w:val="0"/>
              <w:adjustRightInd w:val="0"/>
              <w:jc w:val="both"/>
              <w:rPr>
                <w:b/>
                <w:bCs/>
                <w:sz w:val="20"/>
                <w:szCs w:val="20"/>
                <w:lang w:val="en-US"/>
              </w:rPr>
            </w:pPr>
            <w:r w:rsidRPr="003125D8">
              <w:rPr>
                <w:b/>
                <w:bCs/>
                <w:sz w:val="20"/>
                <w:szCs w:val="20"/>
                <w:lang w:val="en-US"/>
              </w:rPr>
              <w:t>Max</w:t>
            </w:r>
          </w:p>
        </w:tc>
      </w:tr>
      <w:tr w:rsidR="007C2EF8" w14:paraId="4F31F69D" w14:textId="77777777" w:rsidTr="009F3862">
        <w:trPr>
          <w:jc w:val="center"/>
        </w:trPr>
        <w:tc>
          <w:tcPr>
            <w:tcW w:w="2524" w:type="dxa"/>
          </w:tcPr>
          <w:p w14:paraId="2DB642F0"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Time duration</w:t>
            </w:r>
          </w:p>
        </w:tc>
        <w:tc>
          <w:tcPr>
            <w:tcW w:w="4281" w:type="dxa"/>
          </w:tcPr>
          <w:p w14:paraId="4432C0B0" w14:textId="057588A9"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GB"/>
              </w:rPr>
              <w:t xml:space="preserve">Duration of disputes in days from the date of deposit in the registry of the court to the day of publication of the </w:t>
            </w:r>
            <w:r w:rsidR="00AA2341">
              <w:rPr>
                <w:sz w:val="20"/>
                <w:szCs w:val="20"/>
                <w:lang w:val="en-GB"/>
              </w:rPr>
              <w:t>first-rank</w:t>
            </w:r>
            <w:r w:rsidRPr="007C2EF8">
              <w:rPr>
                <w:sz w:val="20"/>
                <w:szCs w:val="20"/>
                <w:lang w:val="en-GB"/>
              </w:rPr>
              <w:t xml:space="preserve"> sentence</w:t>
            </w:r>
          </w:p>
        </w:tc>
        <w:tc>
          <w:tcPr>
            <w:tcW w:w="850" w:type="dxa"/>
          </w:tcPr>
          <w:p w14:paraId="6A16EF0F" w14:textId="653D7468"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0CDE0B76" w14:textId="160D7E78" w:rsidR="007C2EF8" w:rsidRPr="007C2EF8" w:rsidRDefault="007C2EF8" w:rsidP="007C2EF8">
            <w:pPr>
              <w:widowControl w:val="0"/>
              <w:autoSpaceDE w:val="0"/>
              <w:autoSpaceDN w:val="0"/>
              <w:adjustRightInd w:val="0"/>
              <w:jc w:val="both"/>
              <w:rPr>
                <w:sz w:val="20"/>
                <w:szCs w:val="20"/>
                <w:lang w:val="en-US"/>
              </w:rPr>
            </w:pPr>
            <w:r w:rsidRPr="007C2EF8">
              <w:rPr>
                <w:sz w:val="20"/>
                <w:szCs w:val="20"/>
              </w:rPr>
              <w:t>426.022</w:t>
            </w:r>
          </w:p>
        </w:tc>
        <w:tc>
          <w:tcPr>
            <w:tcW w:w="992" w:type="dxa"/>
          </w:tcPr>
          <w:p w14:paraId="3D6A6EC1" w14:textId="4E06371B" w:rsidR="007C2EF8" w:rsidRPr="007C2EF8" w:rsidRDefault="007C2EF8" w:rsidP="007C2EF8">
            <w:pPr>
              <w:widowControl w:val="0"/>
              <w:autoSpaceDE w:val="0"/>
              <w:autoSpaceDN w:val="0"/>
              <w:adjustRightInd w:val="0"/>
              <w:jc w:val="both"/>
              <w:rPr>
                <w:sz w:val="20"/>
                <w:szCs w:val="20"/>
                <w:lang w:val="en-US"/>
              </w:rPr>
            </w:pPr>
            <w:r w:rsidRPr="007C2EF8">
              <w:rPr>
                <w:sz w:val="20"/>
                <w:szCs w:val="20"/>
              </w:rPr>
              <w:t>606.81</w:t>
            </w:r>
          </w:p>
        </w:tc>
        <w:tc>
          <w:tcPr>
            <w:tcW w:w="709" w:type="dxa"/>
          </w:tcPr>
          <w:p w14:paraId="3727C77E" w14:textId="55571B5A"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0C1CFD66" w14:textId="54EEA63B" w:rsidR="007C2EF8" w:rsidRPr="007C2EF8" w:rsidRDefault="007C2EF8" w:rsidP="007C2EF8">
            <w:pPr>
              <w:widowControl w:val="0"/>
              <w:autoSpaceDE w:val="0"/>
              <w:autoSpaceDN w:val="0"/>
              <w:adjustRightInd w:val="0"/>
              <w:jc w:val="both"/>
              <w:rPr>
                <w:sz w:val="20"/>
                <w:szCs w:val="20"/>
                <w:lang w:val="en-US"/>
              </w:rPr>
            </w:pPr>
            <w:r w:rsidRPr="007C2EF8">
              <w:rPr>
                <w:sz w:val="20"/>
                <w:szCs w:val="20"/>
              </w:rPr>
              <w:t>13256</w:t>
            </w:r>
          </w:p>
        </w:tc>
      </w:tr>
      <w:tr w:rsidR="007C2EF8" w14:paraId="29A85CA5" w14:textId="77777777" w:rsidTr="009F3862">
        <w:trPr>
          <w:jc w:val="center"/>
        </w:trPr>
        <w:tc>
          <w:tcPr>
            <w:tcW w:w="2524" w:type="dxa"/>
          </w:tcPr>
          <w:p w14:paraId="4ACEC697"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Personality rights</w:t>
            </w:r>
          </w:p>
        </w:tc>
        <w:tc>
          <w:tcPr>
            <w:tcW w:w="4281" w:type="dxa"/>
          </w:tcPr>
          <w:p w14:paraId="79A57BB9"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personality rights topic</w:t>
            </w:r>
          </w:p>
        </w:tc>
        <w:tc>
          <w:tcPr>
            <w:tcW w:w="850" w:type="dxa"/>
          </w:tcPr>
          <w:p w14:paraId="5C88657C" w14:textId="63A8B80C"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77AA3ADB" w14:textId="38B37EA4" w:rsidR="007C2EF8" w:rsidRPr="007C2EF8" w:rsidRDefault="007C2EF8" w:rsidP="007C2EF8">
            <w:pPr>
              <w:widowControl w:val="0"/>
              <w:autoSpaceDE w:val="0"/>
              <w:autoSpaceDN w:val="0"/>
              <w:adjustRightInd w:val="0"/>
              <w:jc w:val="both"/>
              <w:rPr>
                <w:sz w:val="20"/>
                <w:szCs w:val="20"/>
                <w:lang w:val="en-US"/>
              </w:rPr>
            </w:pPr>
            <w:r w:rsidRPr="007C2EF8">
              <w:rPr>
                <w:sz w:val="20"/>
                <w:szCs w:val="20"/>
              </w:rPr>
              <w:t>.043</w:t>
            </w:r>
          </w:p>
        </w:tc>
        <w:tc>
          <w:tcPr>
            <w:tcW w:w="992" w:type="dxa"/>
          </w:tcPr>
          <w:p w14:paraId="58A0EA94" w14:textId="1002AB1E" w:rsidR="007C2EF8" w:rsidRPr="007C2EF8" w:rsidRDefault="007C2EF8" w:rsidP="007C2EF8">
            <w:pPr>
              <w:widowControl w:val="0"/>
              <w:autoSpaceDE w:val="0"/>
              <w:autoSpaceDN w:val="0"/>
              <w:adjustRightInd w:val="0"/>
              <w:jc w:val="both"/>
              <w:rPr>
                <w:sz w:val="20"/>
                <w:szCs w:val="20"/>
                <w:lang w:val="en-US"/>
              </w:rPr>
            </w:pPr>
            <w:r w:rsidRPr="007C2EF8">
              <w:rPr>
                <w:sz w:val="20"/>
                <w:szCs w:val="20"/>
              </w:rPr>
              <w:t>.203</w:t>
            </w:r>
          </w:p>
        </w:tc>
        <w:tc>
          <w:tcPr>
            <w:tcW w:w="709" w:type="dxa"/>
          </w:tcPr>
          <w:p w14:paraId="305415E5" w14:textId="1CC1A5B0"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24D8BBC6" w14:textId="6D6ECBFC"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1229415E" w14:textId="77777777" w:rsidTr="009F3862">
        <w:trPr>
          <w:jc w:val="center"/>
        </w:trPr>
        <w:tc>
          <w:tcPr>
            <w:tcW w:w="2524" w:type="dxa"/>
          </w:tcPr>
          <w:p w14:paraId="3AF6E4E2" w14:textId="4A4AE174"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Family rights</w:t>
            </w:r>
          </w:p>
        </w:tc>
        <w:tc>
          <w:tcPr>
            <w:tcW w:w="4281" w:type="dxa"/>
          </w:tcPr>
          <w:p w14:paraId="2CB77BC2"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family rights topic</w:t>
            </w:r>
          </w:p>
        </w:tc>
        <w:tc>
          <w:tcPr>
            <w:tcW w:w="850" w:type="dxa"/>
          </w:tcPr>
          <w:p w14:paraId="16138A29" w14:textId="2FF06DF3"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06A801B8" w14:textId="422B46A2" w:rsidR="007C2EF8" w:rsidRPr="007C2EF8" w:rsidRDefault="007C2EF8" w:rsidP="007C2EF8">
            <w:pPr>
              <w:widowControl w:val="0"/>
              <w:autoSpaceDE w:val="0"/>
              <w:autoSpaceDN w:val="0"/>
              <w:adjustRightInd w:val="0"/>
              <w:jc w:val="both"/>
              <w:rPr>
                <w:sz w:val="20"/>
                <w:szCs w:val="20"/>
                <w:lang w:val="en-US"/>
              </w:rPr>
            </w:pPr>
            <w:r w:rsidRPr="007C2EF8">
              <w:rPr>
                <w:sz w:val="20"/>
                <w:szCs w:val="20"/>
              </w:rPr>
              <w:t>.035</w:t>
            </w:r>
          </w:p>
        </w:tc>
        <w:tc>
          <w:tcPr>
            <w:tcW w:w="992" w:type="dxa"/>
          </w:tcPr>
          <w:p w14:paraId="76569382" w14:textId="1A1D58B6" w:rsidR="007C2EF8" w:rsidRPr="007C2EF8" w:rsidRDefault="007C2EF8" w:rsidP="007C2EF8">
            <w:pPr>
              <w:widowControl w:val="0"/>
              <w:autoSpaceDE w:val="0"/>
              <w:autoSpaceDN w:val="0"/>
              <w:adjustRightInd w:val="0"/>
              <w:jc w:val="both"/>
              <w:rPr>
                <w:sz w:val="20"/>
                <w:szCs w:val="20"/>
                <w:lang w:val="en-US"/>
              </w:rPr>
            </w:pPr>
            <w:r w:rsidRPr="007C2EF8">
              <w:rPr>
                <w:sz w:val="20"/>
                <w:szCs w:val="20"/>
              </w:rPr>
              <w:t>.184</w:t>
            </w:r>
          </w:p>
        </w:tc>
        <w:tc>
          <w:tcPr>
            <w:tcW w:w="709" w:type="dxa"/>
          </w:tcPr>
          <w:p w14:paraId="7265CDBF" w14:textId="3A144C3A"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46930B67" w14:textId="70003980"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0A885089" w14:textId="77777777" w:rsidTr="009F3862">
        <w:trPr>
          <w:jc w:val="center"/>
        </w:trPr>
        <w:tc>
          <w:tcPr>
            <w:tcW w:w="2524" w:type="dxa"/>
          </w:tcPr>
          <w:p w14:paraId="53BD698C" w14:textId="24CCAF5E"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Property rights and inheritance</w:t>
            </w:r>
          </w:p>
        </w:tc>
        <w:tc>
          <w:tcPr>
            <w:tcW w:w="4281" w:type="dxa"/>
          </w:tcPr>
          <w:p w14:paraId="2486F4C1"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property and inheritance law topic</w:t>
            </w:r>
          </w:p>
        </w:tc>
        <w:tc>
          <w:tcPr>
            <w:tcW w:w="850" w:type="dxa"/>
          </w:tcPr>
          <w:p w14:paraId="6868623C" w14:textId="5E10C095"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078D74A3" w14:textId="2D9E7A71" w:rsidR="007C2EF8" w:rsidRPr="007C2EF8" w:rsidRDefault="007C2EF8" w:rsidP="007C2EF8">
            <w:pPr>
              <w:widowControl w:val="0"/>
              <w:autoSpaceDE w:val="0"/>
              <w:autoSpaceDN w:val="0"/>
              <w:adjustRightInd w:val="0"/>
              <w:jc w:val="both"/>
              <w:rPr>
                <w:sz w:val="20"/>
                <w:szCs w:val="20"/>
                <w:lang w:val="en-US"/>
              </w:rPr>
            </w:pPr>
            <w:r w:rsidRPr="007C2EF8">
              <w:rPr>
                <w:sz w:val="20"/>
                <w:szCs w:val="20"/>
              </w:rPr>
              <w:t>.035</w:t>
            </w:r>
          </w:p>
        </w:tc>
        <w:tc>
          <w:tcPr>
            <w:tcW w:w="992" w:type="dxa"/>
          </w:tcPr>
          <w:p w14:paraId="58C046B6" w14:textId="358CECE4" w:rsidR="007C2EF8" w:rsidRPr="007C2EF8" w:rsidRDefault="007C2EF8" w:rsidP="007C2EF8">
            <w:pPr>
              <w:widowControl w:val="0"/>
              <w:autoSpaceDE w:val="0"/>
              <w:autoSpaceDN w:val="0"/>
              <w:adjustRightInd w:val="0"/>
              <w:jc w:val="both"/>
              <w:rPr>
                <w:sz w:val="20"/>
                <w:szCs w:val="20"/>
                <w:lang w:val="en-US"/>
              </w:rPr>
            </w:pPr>
            <w:r w:rsidRPr="007C2EF8">
              <w:rPr>
                <w:sz w:val="20"/>
                <w:szCs w:val="20"/>
              </w:rPr>
              <w:t>.184</w:t>
            </w:r>
          </w:p>
        </w:tc>
        <w:tc>
          <w:tcPr>
            <w:tcW w:w="709" w:type="dxa"/>
          </w:tcPr>
          <w:p w14:paraId="6365A87B" w14:textId="210A4268"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4DFD53E5" w14:textId="6A2BBEF0"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28832780" w14:textId="77777777" w:rsidTr="009F3862">
        <w:trPr>
          <w:jc w:val="center"/>
        </w:trPr>
        <w:tc>
          <w:tcPr>
            <w:tcW w:w="2524" w:type="dxa"/>
          </w:tcPr>
          <w:p w14:paraId="2A86512B" w14:textId="08397772"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Contracts and obligations</w:t>
            </w:r>
          </w:p>
        </w:tc>
        <w:tc>
          <w:tcPr>
            <w:tcW w:w="4281" w:type="dxa"/>
          </w:tcPr>
          <w:p w14:paraId="7DE49757"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contracts and obligations topic</w:t>
            </w:r>
          </w:p>
        </w:tc>
        <w:tc>
          <w:tcPr>
            <w:tcW w:w="850" w:type="dxa"/>
          </w:tcPr>
          <w:p w14:paraId="458ED1B3" w14:textId="27E35162"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130FABDA" w14:textId="1D2C6531" w:rsidR="007C2EF8" w:rsidRPr="007C2EF8" w:rsidRDefault="007C2EF8" w:rsidP="007C2EF8">
            <w:pPr>
              <w:widowControl w:val="0"/>
              <w:autoSpaceDE w:val="0"/>
              <w:autoSpaceDN w:val="0"/>
              <w:adjustRightInd w:val="0"/>
              <w:jc w:val="both"/>
              <w:rPr>
                <w:sz w:val="20"/>
                <w:szCs w:val="20"/>
                <w:lang w:val="en-US"/>
              </w:rPr>
            </w:pPr>
            <w:r w:rsidRPr="007C2EF8">
              <w:rPr>
                <w:sz w:val="20"/>
                <w:szCs w:val="20"/>
              </w:rPr>
              <w:t>.104</w:t>
            </w:r>
          </w:p>
        </w:tc>
        <w:tc>
          <w:tcPr>
            <w:tcW w:w="992" w:type="dxa"/>
          </w:tcPr>
          <w:p w14:paraId="5B408C48" w14:textId="767EA9AA" w:rsidR="007C2EF8" w:rsidRPr="007C2EF8" w:rsidRDefault="007C2EF8" w:rsidP="007C2EF8">
            <w:pPr>
              <w:widowControl w:val="0"/>
              <w:autoSpaceDE w:val="0"/>
              <w:autoSpaceDN w:val="0"/>
              <w:adjustRightInd w:val="0"/>
              <w:jc w:val="both"/>
              <w:rPr>
                <w:sz w:val="20"/>
                <w:szCs w:val="20"/>
                <w:lang w:val="en-US"/>
              </w:rPr>
            </w:pPr>
            <w:r w:rsidRPr="007C2EF8">
              <w:rPr>
                <w:sz w:val="20"/>
                <w:szCs w:val="20"/>
              </w:rPr>
              <w:t>.305</w:t>
            </w:r>
          </w:p>
        </w:tc>
        <w:tc>
          <w:tcPr>
            <w:tcW w:w="709" w:type="dxa"/>
          </w:tcPr>
          <w:p w14:paraId="565287F0" w14:textId="52A1065F"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3735DD9A" w14:textId="34A3C748"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17A3B215" w14:textId="77777777" w:rsidTr="009F3862">
        <w:trPr>
          <w:jc w:val="center"/>
        </w:trPr>
        <w:tc>
          <w:tcPr>
            <w:tcW w:w="2524" w:type="dxa"/>
          </w:tcPr>
          <w:p w14:paraId="4A8F2913" w14:textId="5B7075B9" w:rsidR="007C2EF8" w:rsidRPr="007C2EF8" w:rsidRDefault="007C2EF8" w:rsidP="007C2EF8">
            <w:pPr>
              <w:widowControl w:val="0"/>
              <w:autoSpaceDE w:val="0"/>
              <w:autoSpaceDN w:val="0"/>
              <w:adjustRightInd w:val="0"/>
              <w:jc w:val="both"/>
              <w:rPr>
                <w:b/>
                <w:bCs/>
                <w:sz w:val="20"/>
                <w:szCs w:val="20"/>
                <w:lang w:val="en-US"/>
              </w:rPr>
            </w:pPr>
            <w:bookmarkStart w:id="5" w:name="_Hlk137235792"/>
            <w:r w:rsidRPr="007C2EF8">
              <w:rPr>
                <w:b/>
                <w:bCs/>
                <w:sz w:val="20"/>
                <w:szCs w:val="20"/>
                <w:lang w:val="en-US"/>
              </w:rPr>
              <w:t xml:space="preserve">Liability for tort </w:t>
            </w:r>
            <w:bookmarkEnd w:id="5"/>
          </w:p>
        </w:tc>
        <w:tc>
          <w:tcPr>
            <w:tcW w:w="4281" w:type="dxa"/>
          </w:tcPr>
          <w:p w14:paraId="712793FE"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non-contractual liability topic</w:t>
            </w:r>
          </w:p>
        </w:tc>
        <w:tc>
          <w:tcPr>
            <w:tcW w:w="850" w:type="dxa"/>
          </w:tcPr>
          <w:p w14:paraId="16656C2A" w14:textId="2CE4F9A8"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4BF34885" w14:textId="2A7165E2" w:rsidR="007C2EF8" w:rsidRPr="007C2EF8" w:rsidRDefault="007C2EF8" w:rsidP="007C2EF8">
            <w:pPr>
              <w:widowControl w:val="0"/>
              <w:autoSpaceDE w:val="0"/>
              <w:autoSpaceDN w:val="0"/>
              <w:adjustRightInd w:val="0"/>
              <w:jc w:val="both"/>
              <w:rPr>
                <w:sz w:val="20"/>
                <w:szCs w:val="20"/>
                <w:lang w:val="en-US"/>
              </w:rPr>
            </w:pPr>
            <w:r w:rsidRPr="007C2EF8">
              <w:rPr>
                <w:sz w:val="20"/>
                <w:szCs w:val="20"/>
              </w:rPr>
              <w:t>.049</w:t>
            </w:r>
          </w:p>
        </w:tc>
        <w:tc>
          <w:tcPr>
            <w:tcW w:w="992" w:type="dxa"/>
          </w:tcPr>
          <w:p w14:paraId="4F31F82C" w14:textId="4C0FE3B6" w:rsidR="007C2EF8" w:rsidRPr="007C2EF8" w:rsidRDefault="007C2EF8" w:rsidP="007C2EF8">
            <w:pPr>
              <w:widowControl w:val="0"/>
              <w:autoSpaceDE w:val="0"/>
              <w:autoSpaceDN w:val="0"/>
              <w:adjustRightInd w:val="0"/>
              <w:jc w:val="both"/>
              <w:rPr>
                <w:sz w:val="20"/>
                <w:szCs w:val="20"/>
                <w:lang w:val="en-US"/>
              </w:rPr>
            </w:pPr>
            <w:r w:rsidRPr="007C2EF8">
              <w:rPr>
                <w:sz w:val="20"/>
                <w:szCs w:val="20"/>
              </w:rPr>
              <w:t>.215</w:t>
            </w:r>
          </w:p>
        </w:tc>
        <w:tc>
          <w:tcPr>
            <w:tcW w:w="709" w:type="dxa"/>
          </w:tcPr>
          <w:p w14:paraId="4B0A925D" w14:textId="3D18CA8E"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6F9DE694" w14:textId="0438304E"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1BB3300B" w14:textId="77777777" w:rsidTr="009F3862">
        <w:trPr>
          <w:jc w:val="center"/>
        </w:trPr>
        <w:tc>
          <w:tcPr>
            <w:tcW w:w="2524" w:type="dxa"/>
          </w:tcPr>
          <w:p w14:paraId="7DF37BE8"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Legal entities</w:t>
            </w:r>
          </w:p>
        </w:tc>
        <w:tc>
          <w:tcPr>
            <w:tcW w:w="4281" w:type="dxa"/>
          </w:tcPr>
          <w:p w14:paraId="00E580E6"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legal entities topic</w:t>
            </w:r>
          </w:p>
        </w:tc>
        <w:tc>
          <w:tcPr>
            <w:tcW w:w="850" w:type="dxa"/>
          </w:tcPr>
          <w:p w14:paraId="7F8EB6B7" w14:textId="2F868A5F"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21048F68" w14:textId="10E546F6"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992" w:type="dxa"/>
          </w:tcPr>
          <w:p w14:paraId="46FE50A3" w14:textId="1A96B243" w:rsidR="007C2EF8" w:rsidRPr="007C2EF8" w:rsidRDefault="007C2EF8" w:rsidP="007C2EF8">
            <w:pPr>
              <w:widowControl w:val="0"/>
              <w:autoSpaceDE w:val="0"/>
              <w:autoSpaceDN w:val="0"/>
              <w:adjustRightInd w:val="0"/>
              <w:jc w:val="both"/>
              <w:rPr>
                <w:sz w:val="20"/>
                <w:szCs w:val="20"/>
                <w:lang w:val="en-US"/>
              </w:rPr>
            </w:pPr>
            <w:r w:rsidRPr="007C2EF8">
              <w:rPr>
                <w:sz w:val="20"/>
                <w:szCs w:val="20"/>
              </w:rPr>
              <w:t>.015</w:t>
            </w:r>
          </w:p>
        </w:tc>
        <w:tc>
          <w:tcPr>
            <w:tcW w:w="709" w:type="dxa"/>
          </w:tcPr>
          <w:p w14:paraId="25685E79" w14:textId="469F5BE7"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2FFD18F5" w14:textId="04AD5A2C"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20DD8C8F" w14:textId="77777777" w:rsidTr="009F3862">
        <w:trPr>
          <w:jc w:val="center"/>
        </w:trPr>
        <w:tc>
          <w:tcPr>
            <w:tcW w:w="2524" w:type="dxa"/>
          </w:tcPr>
          <w:p w14:paraId="4446E2F3"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Company law</w:t>
            </w:r>
          </w:p>
        </w:tc>
        <w:tc>
          <w:tcPr>
            <w:tcW w:w="4281" w:type="dxa"/>
          </w:tcPr>
          <w:p w14:paraId="6E7D4CA8"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company law topic</w:t>
            </w:r>
          </w:p>
        </w:tc>
        <w:tc>
          <w:tcPr>
            <w:tcW w:w="850" w:type="dxa"/>
          </w:tcPr>
          <w:p w14:paraId="57F2B4B4" w14:textId="19CB00D2"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150B37FB" w14:textId="29D7FA69" w:rsidR="007C2EF8" w:rsidRPr="007C2EF8" w:rsidRDefault="007C2EF8" w:rsidP="007C2EF8">
            <w:pPr>
              <w:widowControl w:val="0"/>
              <w:autoSpaceDE w:val="0"/>
              <w:autoSpaceDN w:val="0"/>
              <w:adjustRightInd w:val="0"/>
              <w:jc w:val="both"/>
              <w:rPr>
                <w:sz w:val="20"/>
                <w:szCs w:val="20"/>
                <w:lang w:val="en-US"/>
              </w:rPr>
            </w:pPr>
            <w:r w:rsidRPr="007C2EF8">
              <w:rPr>
                <w:sz w:val="20"/>
                <w:szCs w:val="20"/>
              </w:rPr>
              <w:t>.001</w:t>
            </w:r>
          </w:p>
        </w:tc>
        <w:tc>
          <w:tcPr>
            <w:tcW w:w="992" w:type="dxa"/>
          </w:tcPr>
          <w:p w14:paraId="6A6F62CF" w14:textId="01FE3817" w:rsidR="007C2EF8" w:rsidRPr="007C2EF8" w:rsidRDefault="007C2EF8" w:rsidP="007C2EF8">
            <w:pPr>
              <w:widowControl w:val="0"/>
              <w:autoSpaceDE w:val="0"/>
              <w:autoSpaceDN w:val="0"/>
              <w:adjustRightInd w:val="0"/>
              <w:jc w:val="both"/>
              <w:rPr>
                <w:sz w:val="20"/>
                <w:szCs w:val="20"/>
                <w:lang w:val="en-US"/>
              </w:rPr>
            </w:pPr>
            <w:r w:rsidRPr="007C2EF8">
              <w:rPr>
                <w:sz w:val="20"/>
                <w:szCs w:val="20"/>
              </w:rPr>
              <w:t>.026</w:t>
            </w:r>
          </w:p>
        </w:tc>
        <w:tc>
          <w:tcPr>
            <w:tcW w:w="709" w:type="dxa"/>
          </w:tcPr>
          <w:p w14:paraId="4E2E9C1B" w14:textId="5FBECBED"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6D2789C7" w14:textId="2C58DA05"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7857BBF9" w14:textId="77777777" w:rsidTr="009F3862">
        <w:trPr>
          <w:jc w:val="center"/>
        </w:trPr>
        <w:tc>
          <w:tcPr>
            <w:tcW w:w="2524" w:type="dxa"/>
          </w:tcPr>
          <w:p w14:paraId="6E6607C3" w14:textId="14AEC1A0" w:rsidR="007C2EF8" w:rsidRPr="007C2EF8" w:rsidRDefault="007C2EF8" w:rsidP="00BE0482">
            <w:pPr>
              <w:widowControl w:val="0"/>
              <w:autoSpaceDE w:val="0"/>
              <w:autoSpaceDN w:val="0"/>
              <w:adjustRightInd w:val="0"/>
              <w:jc w:val="both"/>
              <w:rPr>
                <w:b/>
                <w:bCs/>
                <w:sz w:val="20"/>
                <w:szCs w:val="20"/>
                <w:lang w:val="en-US"/>
              </w:rPr>
            </w:pPr>
            <w:r w:rsidRPr="007C2EF8">
              <w:rPr>
                <w:b/>
                <w:bCs/>
                <w:sz w:val="20"/>
                <w:szCs w:val="20"/>
                <w:lang w:val="en-US"/>
              </w:rPr>
              <w:t xml:space="preserve">Lease and </w:t>
            </w:r>
            <w:proofErr w:type="spellStart"/>
            <w:r w:rsidR="00B7393E">
              <w:rPr>
                <w:b/>
                <w:bCs/>
                <w:sz w:val="20"/>
                <w:szCs w:val="20"/>
                <w:lang w:val="en-US"/>
              </w:rPr>
              <w:t>commodat</w:t>
            </w:r>
            <w:r w:rsidR="00BE0482">
              <w:rPr>
                <w:b/>
                <w:bCs/>
                <w:sz w:val="20"/>
                <w:szCs w:val="20"/>
                <w:lang w:val="en-US"/>
              </w:rPr>
              <w:t>um</w:t>
            </w:r>
            <w:proofErr w:type="spellEnd"/>
          </w:p>
        </w:tc>
        <w:tc>
          <w:tcPr>
            <w:tcW w:w="4281" w:type="dxa"/>
          </w:tcPr>
          <w:p w14:paraId="5B44BE6C" w14:textId="2CBFC620" w:rsidR="007C2EF8" w:rsidRPr="007C2EF8" w:rsidRDefault="007C2EF8" w:rsidP="00BE0482">
            <w:pPr>
              <w:widowControl w:val="0"/>
              <w:autoSpaceDE w:val="0"/>
              <w:autoSpaceDN w:val="0"/>
              <w:adjustRightInd w:val="0"/>
              <w:jc w:val="both"/>
              <w:rPr>
                <w:sz w:val="20"/>
                <w:szCs w:val="20"/>
                <w:lang w:val="en-US"/>
              </w:rPr>
            </w:pPr>
            <w:r w:rsidRPr="007C2EF8">
              <w:rPr>
                <w:sz w:val="20"/>
                <w:szCs w:val="20"/>
                <w:lang w:val="en-US"/>
              </w:rPr>
              <w:t xml:space="preserve">Dummy for lease and </w:t>
            </w:r>
            <w:proofErr w:type="spellStart"/>
            <w:r w:rsidR="00B7393E">
              <w:rPr>
                <w:sz w:val="20"/>
                <w:szCs w:val="20"/>
                <w:lang w:val="en-US"/>
              </w:rPr>
              <w:t>commodat</w:t>
            </w:r>
            <w:r w:rsidR="00BE0482">
              <w:rPr>
                <w:sz w:val="20"/>
                <w:szCs w:val="20"/>
                <w:lang w:val="en-US"/>
              </w:rPr>
              <w:t>um</w:t>
            </w:r>
            <w:proofErr w:type="spellEnd"/>
            <w:r w:rsidR="00B7393E">
              <w:rPr>
                <w:sz w:val="20"/>
                <w:szCs w:val="20"/>
                <w:lang w:val="en-US"/>
              </w:rPr>
              <w:t xml:space="preserve"> </w:t>
            </w:r>
            <w:r w:rsidRPr="007C2EF8">
              <w:rPr>
                <w:sz w:val="20"/>
                <w:szCs w:val="20"/>
                <w:lang w:val="en-US"/>
              </w:rPr>
              <w:t>topic</w:t>
            </w:r>
          </w:p>
        </w:tc>
        <w:tc>
          <w:tcPr>
            <w:tcW w:w="850" w:type="dxa"/>
          </w:tcPr>
          <w:p w14:paraId="774A155D" w14:textId="7F65D88B"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702292B5" w14:textId="5A91E9C5" w:rsidR="007C2EF8" w:rsidRPr="007C2EF8" w:rsidRDefault="007C2EF8" w:rsidP="007C2EF8">
            <w:pPr>
              <w:widowControl w:val="0"/>
              <w:autoSpaceDE w:val="0"/>
              <w:autoSpaceDN w:val="0"/>
              <w:adjustRightInd w:val="0"/>
              <w:jc w:val="both"/>
              <w:rPr>
                <w:sz w:val="20"/>
                <w:szCs w:val="20"/>
                <w:lang w:val="en-US"/>
              </w:rPr>
            </w:pPr>
            <w:r w:rsidRPr="007C2EF8">
              <w:rPr>
                <w:sz w:val="20"/>
                <w:szCs w:val="20"/>
              </w:rPr>
              <w:t>.028</w:t>
            </w:r>
          </w:p>
        </w:tc>
        <w:tc>
          <w:tcPr>
            <w:tcW w:w="992" w:type="dxa"/>
          </w:tcPr>
          <w:p w14:paraId="796328C1" w14:textId="7493D459"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.165</w:t>
            </w:r>
          </w:p>
        </w:tc>
        <w:tc>
          <w:tcPr>
            <w:tcW w:w="709" w:type="dxa"/>
          </w:tcPr>
          <w:p w14:paraId="6C1F6FD1" w14:textId="32C45A43"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0D11A0EF" w14:textId="4D7DBB0D"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0A643947" w14:textId="77777777" w:rsidTr="009F3862">
        <w:trPr>
          <w:jc w:val="center"/>
        </w:trPr>
        <w:tc>
          <w:tcPr>
            <w:tcW w:w="2524" w:type="dxa"/>
          </w:tcPr>
          <w:p w14:paraId="58D346C7" w14:textId="6334250F"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Bankruptcy</w:t>
            </w:r>
          </w:p>
        </w:tc>
        <w:tc>
          <w:tcPr>
            <w:tcW w:w="4281" w:type="dxa"/>
          </w:tcPr>
          <w:p w14:paraId="3C4F1BEE" w14:textId="2F94FB7A"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bankruptcy topic</w:t>
            </w:r>
          </w:p>
        </w:tc>
        <w:tc>
          <w:tcPr>
            <w:tcW w:w="850" w:type="dxa"/>
          </w:tcPr>
          <w:p w14:paraId="41EF58EB" w14:textId="522F6DDF"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163318F3" w14:textId="37428070" w:rsidR="007C2EF8" w:rsidRPr="007C2EF8" w:rsidRDefault="007C2EF8" w:rsidP="007C2EF8">
            <w:pPr>
              <w:widowControl w:val="0"/>
              <w:autoSpaceDE w:val="0"/>
              <w:autoSpaceDN w:val="0"/>
              <w:adjustRightInd w:val="0"/>
              <w:jc w:val="both"/>
              <w:rPr>
                <w:sz w:val="20"/>
                <w:szCs w:val="20"/>
                <w:lang w:val="en-US"/>
              </w:rPr>
            </w:pPr>
            <w:r w:rsidRPr="007C2EF8">
              <w:rPr>
                <w:sz w:val="20"/>
                <w:szCs w:val="20"/>
              </w:rPr>
              <w:t>.033</w:t>
            </w:r>
          </w:p>
        </w:tc>
        <w:tc>
          <w:tcPr>
            <w:tcW w:w="992" w:type="dxa"/>
          </w:tcPr>
          <w:p w14:paraId="4150D321" w14:textId="53A514D6" w:rsidR="007C2EF8" w:rsidRPr="007C2EF8" w:rsidRDefault="007C2EF8" w:rsidP="007C2EF8">
            <w:pPr>
              <w:widowControl w:val="0"/>
              <w:autoSpaceDE w:val="0"/>
              <w:autoSpaceDN w:val="0"/>
              <w:adjustRightInd w:val="0"/>
              <w:jc w:val="both"/>
              <w:rPr>
                <w:sz w:val="20"/>
                <w:szCs w:val="20"/>
                <w:lang w:val="en-US"/>
              </w:rPr>
            </w:pPr>
            <w:r w:rsidRPr="007C2EF8">
              <w:rPr>
                <w:sz w:val="20"/>
                <w:szCs w:val="20"/>
              </w:rPr>
              <w:t>.179</w:t>
            </w:r>
          </w:p>
        </w:tc>
        <w:tc>
          <w:tcPr>
            <w:tcW w:w="709" w:type="dxa"/>
          </w:tcPr>
          <w:p w14:paraId="54C08350" w14:textId="20FBB32B"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787A643C" w14:textId="127C9C64"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01A1CA25" w14:textId="77777777" w:rsidTr="009F3862">
        <w:trPr>
          <w:jc w:val="center"/>
        </w:trPr>
        <w:tc>
          <w:tcPr>
            <w:tcW w:w="2524" w:type="dxa"/>
          </w:tcPr>
          <w:p w14:paraId="41F6066D"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Administrative law</w:t>
            </w:r>
          </w:p>
        </w:tc>
        <w:tc>
          <w:tcPr>
            <w:tcW w:w="4281" w:type="dxa"/>
          </w:tcPr>
          <w:p w14:paraId="16614ED4"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administrative law topic</w:t>
            </w:r>
          </w:p>
        </w:tc>
        <w:tc>
          <w:tcPr>
            <w:tcW w:w="850" w:type="dxa"/>
          </w:tcPr>
          <w:p w14:paraId="2E19DC94" w14:textId="7622CBEC"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312FF122" w14:textId="0BBBE33D" w:rsidR="007C2EF8" w:rsidRPr="007C2EF8" w:rsidRDefault="007C2EF8" w:rsidP="007C2EF8">
            <w:pPr>
              <w:widowControl w:val="0"/>
              <w:autoSpaceDE w:val="0"/>
              <w:autoSpaceDN w:val="0"/>
              <w:adjustRightInd w:val="0"/>
              <w:jc w:val="both"/>
              <w:rPr>
                <w:sz w:val="20"/>
                <w:szCs w:val="20"/>
                <w:lang w:val="en-US"/>
              </w:rPr>
            </w:pPr>
            <w:r w:rsidRPr="007C2EF8">
              <w:rPr>
                <w:sz w:val="20"/>
                <w:szCs w:val="20"/>
              </w:rPr>
              <w:t>.017</w:t>
            </w:r>
          </w:p>
        </w:tc>
        <w:tc>
          <w:tcPr>
            <w:tcW w:w="992" w:type="dxa"/>
          </w:tcPr>
          <w:p w14:paraId="17427740" w14:textId="77F58D96" w:rsidR="007C2EF8" w:rsidRPr="007C2EF8" w:rsidRDefault="007C2EF8" w:rsidP="007C2EF8">
            <w:pPr>
              <w:widowControl w:val="0"/>
              <w:autoSpaceDE w:val="0"/>
              <w:autoSpaceDN w:val="0"/>
              <w:adjustRightInd w:val="0"/>
              <w:jc w:val="both"/>
              <w:rPr>
                <w:sz w:val="20"/>
                <w:szCs w:val="20"/>
                <w:lang w:val="en-US"/>
              </w:rPr>
            </w:pPr>
            <w:r w:rsidRPr="007C2EF8">
              <w:rPr>
                <w:sz w:val="20"/>
                <w:szCs w:val="20"/>
              </w:rPr>
              <w:t>.131</w:t>
            </w:r>
          </w:p>
        </w:tc>
        <w:tc>
          <w:tcPr>
            <w:tcW w:w="709" w:type="dxa"/>
          </w:tcPr>
          <w:p w14:paraId="6BE59A2E" w14:textId="64344634"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6258BEEF" w14:textId="03C45E90"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03693F08" w14:textId="77777777" w:rsidTr="009F3862">
        <w:trPr>
          <w:jc w:val="center"/>
        </w:trPr>
        <w:tc>
          <w:tcPr>
            <w:tcW w:w="2524" w:type="dxa"/>
          </w:tcPr>
          <w:p w14:paraId="36D48F76"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Banking law</w:t>
            </w:r>
          </w:p>
        </w:tc>
        <w:tc>
          <w:tcPr>
            <w:tcW w:w="4281" w:type="dxa"/>
          </w:tcPr>
          <w:p w14:paraId="1390672E"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banking law topic</w:t>
            </w:r>
          </w:p>
        </w:tc>
        <w:tc>
          <w:tcPr>
            <w:tcW w:w="850" w:type="dxa"/>
          </w:tcPr>
          <w:p w14:paraId="25D30F54" w14:textId="1D079834"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2CFFC529" w14:textId="4EC773C5" w:rsidR="007C2EF8" w:rsidRPr="007C2EF8" w:rsidRDefault="007C2EF8" w:rsidP="007C2EF8">
            <w:pPr>
              <w:widowControl w:val="0"/>
              <w:autoSpaceDE w:val="0"/>
              <w:autoSpaceDN w:val="0"/>
              <w:adjustRightInd w:val="0"/>
              <w:jc w:val="both"/>
              <w:rPr>
                <w:sz w:val="20"/>
                <w:szCs w:val="20"/>
                <w:lang w:val="en-US"/>
              </w:rPr>
            </w:pPr>
            <w:r w:rsidRPr="007C2EF8">
              <w:rPr>
                <w:sz w:val="20"/>
                <w:szCs w:val="20"/>
              </w:rPr>
              <w:t>.011</w:t>
            </w:r>
          </w:p>
        </w:tc>
        <w:tc>
          <w:tcPr>
            <w:tcW w:w="992" w:type="dxa"/>
          </w:tcPr>
          <w:p w14:paraId="6B3B7FD9" w14:textId="2D7F79E8" w:rsidR="007C2EF8" w:rsidRPr="007C2EF8" w:rsidRDefault="007C2EF8" w:rsidP="007C2EF8">
            <w:pPr>
              <w:widowControl w:val="0"/>
              <w:autoSpaceDE w:val="0"/>
              <w:autoSpaceDN w:val="0"/>
              <w:adjustRightInd w:val="0"/>
              <w:jc w:val="both"/>
              <w:rPr>
                <w:sz w:val="20"/>
                <w:szCs w:val="20"/>
                <w:lang w:val="en-US"/>
              </w:rPr>
            </w:pPr>
            <w:r w:rsidRPr="007C2EF8">
              <w:rPr>
                <w:sz w:val="20"/>
                <w:szCs w:val="20"/>
              </w:rPr>
              <w:t>.106</w:t>
            </w:r>
          </w:p>
        </w:tc>
        <w:tc>
          <w:tcPr>
            <w:tcW w:w="709" w:type="dxa"/>
          </w:tcPr>
          <w:p w14:paraId="64A48C62" w14:textId="29DAF6D3"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17AA82D1" w14:textId="1D568E5C"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7C2EF8" w14:paraId="6AB90F36" w14:textId="77777777" w:rsidTr="009F3862">
        <w:trPr>
          <w:jc w:val="center"/>
        </w:trPr>
        <w:tc>
          <w:tcPr>
            <w:tcW w:w="2524" w:type="dxa"/>
          </w:tcPr>
          <w:p w14:paraId="77A3C4BC" w14:textId="77777777" w:rsidR="007C2EF8" w:rsidRPr="007C2EF8" w:rsidRDefault="007C2EF8" w:rsidP="007C2EF8">
            <w:pPr>
              <w:widowControl w:val="0"/>
              <w:autoSpaceDE w:val="0"/>
              <w:autoSpaceDN w:val="0"/>
              <w:adjustRightInd w:val="0"/>
              <w:jc w:val="both"/>
              <w:rPr>
                <w:b/>
                <w:bCs/>
                <w:sz w:val="20"/>
                <w:szCs w:val="20"/>
                <w:lang w:val="en-US"/>
              </w:rPr>
            </w:pPr>
            <w:r w:rsidRPr="007C2EF8">
              <w:rPr>
                <w:b/>
                <w:bCs/>
                <w:sz w:val="20"/>
                <w:szCs w:val="20"/>
                <w:lang w:val="en-US"/>
              </w:rPr>
              <w:t>Other institutes</w:t>
            </w:r>
          </w:p>
        </w:tc>
        <w:tc>
          <w:tcPr>
            <w:tcW w:w="4281" w:type="dxa"/>
          </w:tcPr>
          <w:p w14:paraId="60BF4E4A" w14:textId="77777777" w:rsidR="007C2EF8" w:rsidRPr="007C2EF8" w:rsidRDefault="007C2EF8" w:rsidP="007C2EF8">
            <w:pPr>
              <w:widowControl w:val="0"/>
              <w:autoSpaceDE w:val="0"/>
              <w:autoSpaceDN w:val="0"/>
              <w:adjustRightInd w:val="0"/>
              <w:jc w:val="both"/>
              <w:rPr>
                <w:sz w:val="20"/>
                <w:szCs w:val="20"/>
                <w:lang w:val="en-US"/>
              </w:rPr>
            </w:pPr>
            <w:r w:rsidRPr="007C2EF8">
              <w:rPr>
                <w:sz w:val="20"/>
                <w:szCs w:val="20"/>
                <w:lang w:val="en-US"/>
              </w:rPr>
              <w:t>Dummy for other institutes topic</w:t>
            </w:r>
          </w:p>
        </w:tc>
        <w:tc>
          <w:tcPr>
            <w:tcW w:w="850" w:type="dxa"/>
          </w:tcPr>
          <w:p w14:paraId="262B5F9A" w14:textId="475D4C8F" w:rsidR="007C2EF8" w:rsidRPr="007C2EF8" w:rsidRDefault="007C2EF8" w:rsidP="007C2EF8">
            <w:pPr>
              <w:widowControl w:val="0"/>
              <w:autoSpaceDE w:val="0"/>
              <w:autoSpaceDN w:val="0"/>
              <w:adjustRightInd w:val="0"/>
              <w:jc w:val="both"/>
              <w:rPr>
                <w:sz w:val="20"/>
                <w:szCs w:val="20"/>
                <w:lang w:val="en-US"/>
              </w:rPr>
            </w:pPr>
            <w:r w:rsidRPr="007C2EF8">
              <w:rPr>
                <w:sz w:val="20"/>
                <w:szCs w:val="20"/>
              </w:rPr>
              <w:t>16789</w:t>
            </w:r>
          </w:p>
        </w:tc>
        <w:tc>
          <w:tcPr>
            <w:tcW w:w="993" w:type="dxa"/>
          </w:tcPr>
          <w:p w14:paraId="68FF4DF1" w14:textId="29C4F6B9" w:rsidR="007C2EF8" w:rsidRPr="007C2EF8" w:rsidRDefault="007C2EF8" w:rsidP="007C2EF8">
            <w:pPr>
              <w:widowControl w:val="0"/>
              <w:autoSpaceDE w:val="0"/>
              <w:autoSpaceDN w:val="0"/>
              <w:adjustRightInd w:val="0"/>
              <w:jc w:val="both"/>
              <w:rPr>
                <w:sz w:val="20"/>
                <w:szCs w:val="20"/>
                <w:lang w:val="en-US"/>
              </w:rPr>
            </w:pPr>
            <w:r w:rsidRPr="007C2EF8">
              <w:rPr>
                <w:sz w:val="20"/>
                <w:szCs w:val="20"/>
              </w:rPr>
              <w:t>.061</w:t>
            </w:r>
          </w:p>
        </w:tc>
        <w:tc>
          <w:tcPr>
            <w:tcW w:w="992" w:type="dxa"/>
          </w:tcPr>
          <w:p w14:paraId="255DFCD4" w14:textId="393280F6" w:rsidR="007C2EF8" w:rsidRPr="007C2EF8" w:rsidRDefault="007C2EF8" w:rsidP="007C2EF8">
            <w:pPr>
              <w:widowControl w:val="0"/>
              <w:autoSpaceDE w:val="0"/>
              <w:autoSpaceDN w:val="0"/>
              <w:adjustRightInd w:val="0"/>
              <w:jc w:val="both"/>
              <w:rPr>
                <w:sz w:val="20"/>
                <w:szCs w:val="20"/>
                <w:lang w:val="en-US"/>
              </w:rPr>
            </w:pPr>
            <w:r w:rsidRPr="007C2EF8">
              <w:rPr>
                <w:sz w:val="20"/>
                <w:szCs w:val="20"/>
              </w:rPr>
              <w:t>.24</w:t>
            </w:r>
          </w:p>
        </w:tc>
        <w:tc>
          <w:tcPr>
            <w:tcW w:w="709" w:type="dxa"/>
          </w:tcPr>
          <w:p w14:paraId="21B92889" w14:textId="0D35AC49" w:rsidR="007C2EF8" w:rsidRPr="007C2EF8" w:rsidRDefault="007C2EF8" w:rsidP="007C2EF8">
            <w:pPr>
              <w:widowControl w:val="0"/>
              <w:autoSpaceDE w:val="0"/>
              <w:autoSpaceDN w:val="0"/>
              <w:adjustRightInd w:val="0"/>
              <w:jc w:val="both"/>
              <w:rPr>
                <w:sz w:val="20"/>
                <w:szCs w:val="20"/>
                <w:lang w:val="en-US"/>
              </w:rPr>
            </w:pPr>
            <w:r w:rsidRPr="007C2EF8">
              <w:rPr>
                <w:sz w:val="20"/>
                <w:szCs w:val="20"/>
              </w:rPr>
              <w:t>0</w:t>
            </w:r>
          </w:p>
        </w:tc>
        <w:tc>
          <w:tcPr>
            <w:tcW w:w="782" w:type="dxa"/>
          </w:tcPr>
          <w:p w14:paraId="5754C93D" w14:textId="4799F121" w:rsidR="007C2EF8" w:rsidRPr="007C2EF8" w:rsidRDefault="007C2EF8" w:rsidP="007C2EF8">
            <w:pPr>
              <w:widowControl w:val="0"/>
              <w:autoSpaceDE w:val="0"/>
              <w:autoSpaceDN w:val="0"/>
              <w:adjustRightInd w:val="0"/>
              <w:jc w:val="both"/>
              <w:rPr>
                <w:sz w:val="20"/>
                <w:szCs w:val="20"/>
                <w:lang w:val="en-US"/>
              </w:rPr>
            </w:pPr>
            <w:r w:rsidRPr="007C2EF8">
              <w:rPr>
                <w:sz w:val="20"/>
                <w:szCs w:val="20"/>
              </w:rPr>
              <w:t>1</w:t>
            </w:r>
          </w:p>
        </w:tc>
      </w:tr>
      <w:tr w:rsidR="001B206F" w14:paraId="3513F879" w14:textId="77777777" w:rsidTr="009F3862">
        <w:trPr>
          <w:jc w:val="center"/>
        </w:trPr>
        <w:tc>
          <w:tcPr>
            <w:tcW w:w="2524" w:type="dxa"/>
          </w:tcPr>
          <w:p w14:paraId="58897397" w14:textId="18B5B673" w:rsidR="001B206F" w:rsidRPr="007C2EF8" w:rsidRDefault="00C1757C" w:rsidP="001B206F">
            <w:pPr>
              <w:widowControl w:val="0"/>
              <w:autoSpaceDE w:val="0"/>
              <w:autoSpaceDN w:val="0"/>
              <w:adjustRightInd w:val="0"/>
              <w:jc w:val="both"/>
              <w:rPr>
                <w:b/>
                <w:bCs/>
                <w:sz w:val="20"/>
                <w:szCs w:val="20"/>
                <w:lang w:val="en-US"/>
              </w:rPr>
            </w:pPr>
            <w:r>
              <w:rPr>
                <w:b/>
                <w:bCs/>
                <w:sz w:val="20"/>
                <w:szCs w:val="20"/>
                <w:lang w:val="en-US"/>
              </w:rPr>
              <w:t>L</w:t>
            </w:r>
            <w:r w:rsidR="001B206F" w:rsidRPr="007A5DEC">
              <w:rPr>
                <w:b/>
                <w:bCs/>
                <w:sz w:val="20"/>
                <w:szCs w:val="20"/>
                <w:lang w:val="en-US"/>
              </w:rPr>
              <w:t>aw</w:t>
            </w:r>
            <w:r w:rsidR="005A7262">
              <w:rPr>
                <w:b/>
                <w:bCs/>
                <w:sz w:val="20"/>
                <w:szCs w:val="20"/>
                <w:lang w:val="en-US"/>
              </w:rPr>
              <w:t>s</w:t>
            </w:r>
            <w:r w:rsidR="001B206F">
              <w:rPr>
                <w:b/>
                <w:bCs/>
                <w:sz w:val="20"/>
                <w:szCs w:val="20"/>
                <w:lang w:val="en-US"/>
              </w:rPr>
              <w:t xml:space="preserve"> and </w:t>
            </w:r>
            <w:r w:rsidR="001B206F" w:rsidRPr="007A5DEC">
              <w:rPr>
                <w:b/>
                <w:bCs/>
                <w:sz w:val="20"/>
                <w:szCs w:val="20"/>
                <w:lang w:val="en-US"/>
              </w:rPr>
              <w:t>reg</w:t>
            </w:r>
            <w:r w:rsidR="001B206F">
              <w:rPr>
                <w:b/>
                <w:bCs/>
                <w:sz w:val="20"/>
                <w:szCs w:val="20"/>
                <w:lang w:val="en-US"/>
              </w:rPr>
              <w:t>ulation</w:t>
            </w:r>
            <w:r w:rsidR="005A7262">
              <w:rPr>
                <w:b/>
                <w:bCs/>
                <w:sz w:val="20"/>
                <w:szCs w:val="20"/>
                <w:lang w:val="en-US"/>
              </w:rPr>
              <w:t>s</w:t>
            </w:r>
          </w:p>
        </w:tc>
        <w:tc>
          <w:tcPr>
            <w:tcW w:w="4281" w:type="dxa"/>
          </w:tcPr>
          <w:p w14:paraId="2C24540E" w14:textId="3955795E" w:rsidR="001B206F" w:rsidRPr="007C2EF8" w:rsidRDefault="001B206F" w:rsidP="001B206F">
            <w:pPr>
              <w:widowControl w:val="0"/>
              <w:autoSpaceDE w:val="0"/>
              <w:autoSpaceDN w:val="0"/>
              <w:adjustRightInd w:val="0"/>
              <w:jc w:val="both"/>
              <w:rPr>
                <w:sz w:val="20"/>
                <w:szCs w:val="20"/>
                <w:lang w:val="en-US"/>
              </w:rPr>
            </w:pPr>
            <w:r>
              <w:rPr>
                <w:sz w:val="20"/>
                <w:szCs w:val="20"/>
                <w:lang w:val="en-US"/>
              </w:rPr>
              <w:t>Normalized Index of laws a</w:t>
            </w:r>
            <w:r w:rsidR="003F3D1D">
              <w:rPr>
                <w:sz w:val="20"/>
                <w:szCs w:val="20"/>
                <w:lang w:val="en-US"/>
              </w:rPr>
              <w:t>n</w:t>
            </w:r>
            <w:r>
              <w:rPr>
                <w:sz w:val="20"/>
                <w:szCs w:val="20"/>
                <w:lang w:val="en-US"/>
              </w:rPr>
              <w:t>d regulations</w:t>
            </w:r>
          </w:p>
        </w:tc>
        <w:tc>
          <w:tcPr>
            <w:tcW w:w="850" w:type="dxa"/>
          </w:tcPr>
          <w:p w14:paraId="08B95BA8" w14:textId="18B8EFBB"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5985</w:t>
            </w:r>
          </w:p>
        </w:tc>
        <w:tc>
          <w:tcPr>
            <w:tcW w:w="993" w:type="dxa"/>
          </w:tcPr>
          <w:p w14:paraId="49FDE2D8" w14:textId="70E0D2A4"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.061</w:t>
            </w:r>
          </w:p>
        </w:tc>
        <w:tc>
          <w:tcPr>
            <w:tcW w:w="992" w:type="dxa"/>
          </w:tcPr>
          <w:p w14:paraId="2BF455C2" w14:textId="4B61968C"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.064</w:t>
            </w:r>
          </w:p>
        </w:tc>
        <w:tc>
          <w:tcPr>
            <w:tcW w:w="709" w:type="dxa"/>
          </w:tcPr>
          <w:p w14:paraId="578AAC6C" w14:textId="19688482"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.001</w:t>
            </w:r>
          </w:p>
        </w:tc>
        <w:tc>
          <w:tcPr>
            <w:tcW w:w="782" w:type="dxa"/>
          </w:tcPr>
          <w:p w14:paraId="7E0586DE" w14:textId="37F6BBC3"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.368</w:t>
            </w:r>
          </w:p>
        </w:tc>
      </w:tr>
      <w:tr w:rsidR="001B206F" w14:paraId="10C6C091" w14:textId="77777777" w:rsidTr="009F3862">
        <w:trPr>
          <w:jc w:val="center"/>
        </w:trPr>
        <w:tc>
          <w:tcPr>
            <w:tcW w:w="2524" w:type="dxa"/>
          </w:tcPr>
          <w:p w14:paraId="3C266ECA" w14:textId="1CCF5245" w:rsidR="001B206F" w:rsidRPr="007A5DEC" w:rsidRDefault="00C1757C" w:rsidP="001B206F">
            <w:pPr>
              <w:widowControl w:val="0"/>
              <w:autoSpaceDE w:val="0"/>
              <w:autoSpaceDN w:val="0"/>
              <w:adjustRightInd w:val="0"/>
              <w:jc w:val="both"/>
              <w:rPr>
                <w:b/>
                <w:bCs/>
                <w:sz w:val="20"/>
                <w:szCs w:val="20"/>
                <w:lang w:val="en-US"/>
              </w:rPr>
            </w:pPr>
            <w:r>
              <w:rPr>
                <w:b/>
                <w:bCs/>
                <w:sz w:val="20"/>
                <w:szCs w:val="20"/>
                <w:lang w:val="en-US"/>
              </w:rPr>
              <w:t>L</w:t>
            </w:r>
            <w:r w:rsidR="001B206F" w:rsidRPr="007A5DEC">
              <w:rPr>
                <w:b/>
                <w:bCs/>
                <w:sz w:val="20"/>
                <w:szCs w:val="20"/>
                <w:lang w:val="en-US"/>
              </w:rPr>
              <w:t>aw</w:t>
            </w:r>
            <w:r w:rsidR="005A7262">
              <w:rPr>
                <w:b/>
                <w:bCs/>
                <w:sz w:val="20"/>
                <w:szCs w:val="20"/>
                <w:lang w:val="en-US"/>
              </w:rPr>
              <w:t>s</w:t>
            </w:r>
          </w:p>
        </w:tc>
        <w:tc>
          <w:tcPr>
            <w:tcW w:w="4281" w:type="dxa"/>
          </w:tcPr>
          <w:p w14:paraId="29751047" w14:textId="427AF780" w:rsidR="001B206F" w:rsidRPr="007C2EF8" w:rsidRDefault="001B206F" w:rsidP="001B206F">
            <w:pPr>
              <w:widowControl w:val="0"/>
              <w:autoSpaceDE w:val="0"/>
              <w:autoSpaceDN w:val="0"/>
              <w:adjustRightInd w:val="0"/>
              <w:jc w:val="both"/>
              <w:rPr>
                <w:sz w:val="20"/>
                <w:szCs w:val="20"/>
                <w:lang w:val="en-US"/>
              </w:rPr>
            </w:pPr>
            <w:r w:rsidRPr="001B206F">
              <w:rPr>
                <w:sz w:val="20"/>
                <w:szCs w:val="20"/>
                <w:lang w:val="en-US"/>
              </w:rPr>
              <w:t>Normalized Index of laws</w:t>
            </w:r>
            <w:r>
              <w:rPr>
                <w:sz w:val="20"/>
                <w:szCs w:val="20"/>
                <w:lang w:val="en-US"/>
              </w:rPr>
              <w:t xml:space="preserve"> </w:t>
            </w:r>
          </w:p>
        </w:tc>
        <w:tc>
          <w:tcPr>
            <w:tcW w:w="850" w:type="dxa"/>
          </w:tcPr>
          <w:p w14:paraId="0AFE45EB" w14:textId="09D19C00"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5985</w:t>
            </w:r>
          </w:p>
        </w:tc>
        <w:tc>
          <w:tcPr>
            <w:tcW w:w="993" w:type="dxa"/>
          </w:tcPr>
          <w:p w14:paraId="57CCFED8" w14:textId="7BFDDDDA"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.06</w:t>
            </w:r>
          </w:p>
        </w:tc>
        <w:tc>
          <w:tcPr>
            <w:tcW w:w="992" w:type="dxa"/>
          </w:tcPr>
          <w:p w14:paraId="6E598054" w14:textId="79D949DB"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.088</w:t>
            </w:r>
          </w:p>
        </w:tc>
        <w:tc>
          <w:tcPr>
            <w:tcW w:w="709" w:type="dxa"/>
          </w:tcPr>
          <w:p w14:paraId="7A9D0AE0" w14:textId="59B02001"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.001</w:t>
            </w:r>
          </w:p>
        </w:tc>
        <w:tc>
          <w:tcPr>
            <w:tcW w:w="782" w:type="dxa"/>
          </w:tcPr>
          <w:p w14:paraId="75B73705" w14:textId="0F8DF3D2" w:rsidR="001B206F" w:rsidRPr="007C2EF8" w:rsidRDefault="001B206F" w:rsidP="001B206F">
            <w:pPr>
              <w:widowControl w:val="0"/>
              <w:autoSpaceDE w:val="0"/>
              <w:autoSpaceDN w:val="0"/>
              <w:adjustRightInd w:val="0"/>
              <w:jc w:val="both"/>
              <w:rPr>
                <w:sz w:val="20"/>
                <w:szCs w:val="20"/>
              </w:rPr>
            </w:pPr>
            <w:r w:rsidRPr="007C2EF8">
              <w:rPr>
                <w:sz w:val="20"/>
                <w:szCs w:val="20"/>
                <w:lang w:val="en-US"/>
              </w:rPr>
              <w:t>.317</w:t>
            </w:r>
          </w:p>
        </w:tc>
      </w:tr>
      <w:tr w:rsidR="001B206F" w14:paraId="0E045258" w14:textId="77777777" w:rsidTr="009F3862">
        <w:trPr>
          <w:jc w:val="center"/>
        </w:trPr>
        <w:tc>
          <w:tcPr>
            <w:tcW w:w="2524" w:type="dxa"/>
          </w:tcPr>
          <w:p w14:paraId="64108A8E" w14:textId="0BBB8EF6" w:rsidR="001B206F" w:rsidRPr="007A5DEC" w:rsidRDefault="00C1757C" w:rsidP="001B206F">
            <w:pPr>
              <w:widowControl w:val="0"/>
              <w:autoSpaceDE w:val="0"/>
              <w:autoSpaceDN w:val="0"/>
              <w:adjustRightInd w:val="0"/>
              <w:jc w:val="both"/>
              <w:rPr>
                <w:b/>
                <w:bCs/>
                <w:sz w:val="20"/>
                <w:szCs w:val="20"/>
                <w:lang w:val="en-US"/>
              </w:rPr>
            </w:pPr>
            <w:r>
              <w:rPr>
                <w:b/>
                <w:bCs/>
                <w:sz w:val="20"/>
                <w:szCs w:val="20"/>
                <w:lang w:val="en-US"/>
              </w:rPr>
              <w:t>R</w:t>
            </w:r>
            <w:r w:rsidR="001B206F" w:rsidRPr="007A5DEC">
              <w:rPr>
                <w:b/>
                <w:bCs/>
                <w:sz w:val="20"/>
                <w:szCs w:val="20"/>
                <w:lang w:val="en-US"/>
              </w:rPr>
              <w:t>eg</w:t>
            </w:r>
            <w:r w:rsidR="001B206F">
              <w:rPr>
                <w:b/>
                <w:bCs/>
                <w:sz w:val="20"/>
                <w:szCs w:val="20"/>
                <w:lang w:val="en-US"/>
              </w:rPr>
              <w:t>ulation</w:t>
            </w:r>
            <w:r w:rsidR="005A7262">
              <w:rPr>
                <w:b/>
                <w:bCs/>
                <w:sz w:val="20"/>
                <w:szCs w:val="20"/>
                <w:lang w:val="en-US"/>
              </w:rPr>
              <w:t>s</w:t>
            </w:r>
          </w:p>
        </w:tc>
        <w:tc>
          <w:tcPr>
            <w:tcW w:w="4281" w:type="dxa"/>
          </w:tcPr>
          <w:p w14:paraId="69A0551B" w14:textId="41A7319D" w:rsidR="001B206F" w:rsidRPr="007C2EF8" w:rsidRDefault="001B206F" w:rsidP="001B206F">
            <w:pPr>
              <w:widowControl w:val="0"/>
              <w:autoSpaceDE w:val="0"/>
              <w:autoSpaceDN w:val="0"/>
              <w:adjustRightInd w:val="0"/>
              <w:jc w:val="both"/>
              <w:rPr>
                <w:sz w:val="20"/>
                <w:szCs w:val="20"/>
                <w:lang w:val="en-US"/>
              </w:rPr>
            </w:pPr>
            <w:r w:rsidRPr="001B206F">
              <w:rPr>
                <w:sz w:val="20"/>
                <w:szCs w:val="20"/>
                <w:lang w:val="en-US"/>
              </w:rPr>
              <w:t>Normalized Index of regulations</w:t>
            </w:r>
          </w:p>
        </w:tc>
        <w:tc>
          <w:tcPr>
            <w:tcW w:w="850" w:type="dxa"/>
          </w:tcPr>
          <w:p w14:paraId="46EDDFC0" w14:textId="495A4EEB"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5985</w:t>
            </w:r>
          </w:p>
        </w:tc>
        <w:tc>
          <w:tcPr>
            <w:tcW w:w="993" w:type="dxa"/>
          </w:tcPr>
          <w:p w14:paraId="2EAD94A7" w14:textId="5534F333"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.057</w:t>
            </w:r>
          </w:p>
        </w:tc>
        <w:tc>
          <w:tcPr>
            <w:tcW w:w="992" w:type="dxa"/>
          </w:tcPr>
          <w:p w14:paraId="542CA495" w14:textId="1FF33DF6"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.044</w:t>
            </w:r>
          </w:p>
        </w:tc>
        <w:tc>
          <w:tcPr>
            <w:tcW w:w="709" w:type="dxa"/>
          </w:tcPr>
          <w:p w14:paraId="4FB2C0C5" w14:textId="54C8A9B8"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w:t>
            </w:r>
          </w:p>
        </w:tc>
        <w:tc>
          <w:tcPr>
            <w:tcW w:w="782" w:type="dxa"/>
          </w:tcPr>
          <w:p w14:paraId="179A1AD6" w14:textId="53CF79CF" w:rsidR="001B206F" w:rsidRPr="007C2EF8" w:rsidRDefault="001B206F" w:rsidP="001B206F">
            <w:pPr>
              <w:widowControl w:val="0"/>
              <w:autoSpaceDE w:val="0"/>
              <w:autoSpaceDN w:val="0"/>
              <w:adjustRightInd w:val="0"/>
              <w:jc w:val="both"/>
              <w:rPr>
                <w:sz w:val="20"/>
                <w:szCs w:val="20"/>
              </w:rPr>
            </w:pPr>
            <w:r w:rsidRPr="007C2EF8">
              <w:rPr>
                <w:sz w:val="20"/>
                <w:szCs w:val="20"/>
                <w:lang w:val="en-US"/>
              </w:rPr>
              <w:t>.386</w:t>
            </w:r>
          </w:p>
        </w:tc>
      </w:tr>
      <w:tr w:rsidR="001B206F" w14:paraId="74B79437" w14:textId="77777777" w:rsidTr="009F3862">
        <w:trPr>
          <w:jc w:val="center"/>
        </w:trPr>
        <w:tc>
          <w:tcPr>
            <w:tcW w:w="2524" w:type="dxa"/>
          </w:tcPr>
          <w:p w14:paraId="7D5570F4" w14:textId="55AC4C5A" w:rsidR="001B206F" w:rsidRPr="007A5DEC" w:rsidRDefault="001B206F" w:rsidP="001B206F">
            <w:pPr>
              <w:widowControl w:val="0"/>
              <w:autoSpaceDE w:val="0"/>
              <w:autoSpaceDN w:val="0"/>
              <w:adjustRightInd w:val="0"/>
              <w:jc w:val="both"/>
              <w:rPr>
                <w:b/>
                <w:bCs/>
                <w:sz w:val="20"/>
                <w:szCs w:val="20"/>
                <w:lang w:val="en-US"/>
              </w:rPr>
            </w:pPr>
            <w:r>
              <w:rPr>
                <w:b/>
                <w:bCs/>
                <w:sz w:val="20"/>
                <w:szCs w:val="20"/>
                <w:lang w:val="en-US"/>
              </w:rPr>
              <w:t>Sup</w:t>
            </w:r>
            <w:r w:rsidR="00C1757C">
              <w:rPr>
                <w:b/>
                <w:bCs/>
                <w:sz w:val="20"/>
                <w:szCs w:val="20"/>
                <w:lang w:val="en-US"/>
              </w:rPr>
              <w:t xml:space="preserve">reme </w:t>
            </w:r>
            <w:r>
              <w:rPr>
                <w:b/>
                <w:bCs/>
                <w:sz w:val="20"/>
                <w:szCs w:val="20"/>
                <w:lang w:val="en-US"/>
              </w:rPr>
              <w:t xml:space="preserve">Court </w:t>
            </w:r>
            <w:r w:rsidRPr="007A5DEC">
              <w:rPr>
                <w:b/>
                <w:bCs/>
                <w:sz w:val="20"/>
                <w:szCs w:val="20"/>
                <w:lang w:val="en-US"/>
              </w:rPr>
              <w:t>sen</w:t>
            </w:r>
            <w:r w:rsidR="00C1757C">
              <w:rPr>
                <w:b/>
                <w:bCs/>
                <w:sz w:val="20"/>
                <w:szCs w:val="20"/>
                <w:lang w:val="en-US"/>
              </w:rPr>
              <w:t>tences</w:t>
            </w:r>
            <w:r>
              <w:rPr>
                <w:b/>
                <w:bCs/>
                <w:sz w:val="20"/>
                <w:szCs w:val="20"/>
                <w:lang w:val="en-US"/>
              </w:rPr>
              <w:t xml:space="preserve"> </w:t>
            </w:r>
          </w:p>
        </w:tc>
        <w:tc>
          <w:tcPr>
            <w:tcW w:w="4281" w:type="dxa"/>
          </w:tcPr>
          <w:p w14:paraId="51DB3EBF" w14:textId="332F5CA9" w:rsidR="001B206F" w:rsidRPr="007C2EF8" w:rsidRDefault="001B206F" w:rsidP="001B206F">
            <w:pPr>
              <w:widowControl w:val="0"/>
              <w:autoSpaceDE w:val="0"/>
              <w:autoSpaceDN w:val="0"/>
              <w:adjustRightInd w:val="0"/>
              <w:jc w:val="both"/>
              <w:rPr>
                <w:sz w:val="20"/>
                <w:szCs w:val="20"/>
                <w:lang w:val="en-US"/>
              </w:rPr>
            </w:pPr>
            <w:r w:rsidRPr="001B206F">
              <w:rPr>
                <w:sz w:val="20"/>
                <w:szCs w:val="20"/>
                <w:lang w:val="en-US"/>
              </w:rPr>
              <w:t xml:space="preserve">Normalized Index of </w:t>
            </w:r>
            <w:r>
              <w:rPr>
                <w:sz w:val="20"/>
                <w:szCs w:val="20"/>
                <w:lang w:val="en-US"/>
              </w:rPr>
              <w:t>Supreme Court Sentences</w:t>
            </w:r>
          </w:p>
        </w:tc>
        <w:tc>
          <w:tcPr>
            <w:tcW w:w="850" w:type="dxa"/>
          </w:tcPr>
          <w:p w14:paraId="6302F3D6" w14:textId="28925993"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5985</w:t>
            </w:r>
          </w:p>
        </w:tc>
        <w:tc>
          <w:tcPr>
            <w:tcW w:w="993" w:type="dxa"/>
          </w:tcPr>
          <w:p w14:paraId="03513967" w14:textId="6B62C0DE"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.096</w:t>
            </w:r>
          </w:p>
        </w:tc>
        <w:tc>
          <w:tcPr>
            <w:tcW w:w="992" w:type="dxa"/>
          </w:tcPr>
          <w:p w14:paraId="5E13E408" w14:textId="519CD351"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.09</w:t>
            </w:r>
          </w:p>
        </w:tc>
        <w:tc>
          <w:tcPr>
            <w:tcW w:w="709" w:type="dxa"/>
          </w:tcPr>
          <w:p w14:paraId="3C1FE8EA" w14:textId="3123CC24" w:rsidR="001B206F" w:rsidRPr="007C2EF8" w:rsidRDefault="001B206F" w:rsidP="001B206F">
            <w:pPr>
              <w:widowControl w:val="0"/>
              <w:autoSpaceDE w:val="0"/>
              <w:autoSpaceDN w:val="0"/>
              <w:adjustRightInd w:val="0"/>
              <w:jc w:val="both"/>
              <w:rPr>
                <w:sz w:val="20"/>
                <w:szCs w:val="20"/>
                <w:lang w:val="en-US"/>
              </w:rPr>
            </w:pPr>
            <w:r w:rsidRPr="007C2EF8">
              <w:rPr>
                <w:sz w:val="20"/>
                <w:szCs w:val="20"/>
                <w:lang w:val="en-US"/>
              </w:rPr>
              <w:t>.015</w:t>
            </w:r>
          </w:p>
        </w:tc>
        <w:tc>
          <w:tcPr>
            <w:tcW w:w="782" w:type="dxa"/>
          </w:tcPr>
          <w:p w14:paraId="2F3739F7" w14:textId="5980CEB8" w:rsidR="001B206F" w:rsidRPr="007C2EF8" w:rsidRDefault="001B206F" w:rsidP="001B206F">
            <w:pPr>
              <w:widowControl w:val="0"/>
              <w:autoSpaceDE w:val="0"/>
              <w:autoSpaceDN w:val="0"/>
              <w:adjustRightInd w:val="0"/>
              <w:jc w:val="both"/>
              <w:rPr>
                <w:sz w:val="20"/>
                <w:szCs w:val="20"/>
              </w:rPr>
            </w:pPr>
            <w:r w:rsidRPr="007C2EF8">
              <w:rPr>
                <w:sz w:val="20"/>
                <w:szCs w:val="20"/>
                <w:lang w:val="en-US"/>
              </w:rPr>
              <w:t>.301</w:t>
            </w:r>
          </w:p>
        </w:tc>
      </w:tr>
    </w:tbl>
    <w:bookmarkEnd w:id="4"/>
    <w:p w14:paraId="3942A231" w14:textId="28699F94" w:rsidR="00C642E9" w:rsidRDefault="007C2EF8" w:rsidP="003326EC">
      <w:pPr>
        <w:pBdr>
          <w:top w:val="nil"/>
          <w:left w:val="nil"/>
          <w:bottom w:val="nil"/>
          <w:right w:val="nil"/>
          <w:between w:val="nil"/>
          <w:bar w:val="nil"/>
        </w:pBdr>
        <w:spacing w:after="120" w:line="480" w:lineRule="auto"/>
        <w:jc w:val="both"/>
        <w:rPr>
          <w:sz w:val="16"/>
          <w:szCs w:val="16"/>
          <w:lang w:val="en-GB"/>
        </w:rPr>
      </w:pPr>
      <w:r>
        <w:rPr>
          <w:sz w:val="16"/>
          <w:szCs w:val="16"/>
          <w:lang w:val="en-GB"/>
        </w:rPr>
        <w:t>S</w:t>
      </w:r>
      <w:r w:rsidR="00C642E9" w:rsidRPr="00F349B3">
        <w:rPr>
          <w:sz w:val="16"/>
          <w:szCs w:val="16"/>
          <w:lang w:val="en-GB"/>
        </w:rPr>
        <w:t>ource: our elaboration</w:t>
      </w:r>
      <w:r w:rsidR="00C642E9">
        <w:rPr>
          <w:sz w:val="16"/>
          <w:szCs w:val="16"/>
          <w:lang w:val="en-GB"/>
        </w:rPr>
        <w:t>.</w:t>
      </w:r>
      <w:r w:rsidR="00C642E9" w:rsidRPr="00C642E9">
        <w:rPr>
          <w:sz w:val="16"/>
          <w:szCs w:val="16"/>
          <w:lang w:val="en-GB"/>
        </w:rPr>
        <w:t xml:space="preserve"> </w:t>
      </w:r>
    </w:p>
    <w:p w14:paraId="1F9A67C3" w14:textId="77777777" w:rsidR="003125D8" w:rsidRDefault="003125D8" w:rsidP="003326EC">
      <w:pPr>
        <w:pBdr>
          <w:top w:val="nil"/>
          <w:left w:val="nil"/>
          <w:bottom w:val="nil"/>
          <w:right w:val="nil"/>
          <w:between w:val="nil"/>
          <w:bar w:val="nil"/>
        </w:pBdr>
        <w:spacing w:after="120" w:line="480" w:lineRule="auto"/>
        <w:jc w:val="both"/>
        <w:rPr>
          <w:rFonts w:eastAsia="Calibri" w:cs="Calibri"/>
          <w:color w:val="000000"/>
          <w:u w:color="000000"/>
          <w:bdr w:val="nil"/>
          <w:lang w:val="en-US"/>
        </w:rPr>
      </w:pPr>
    </w:p>
    <w:p w14:paraId="1A7B451D" w14:textId="77777777" w:rsidR="003125D8" w:rsidRDefault="003125D8" w:rsidP="003326EC">
      <w:pPr>
        <w:pBdr>
          <w:top w:val="nil"/>
          <w:left w:val="nil"/>
          <w:bottom w:val="nil"/>
          <w:right w:val="nil"/>
          <w:between w:val="nil"/>
          <w:bar w:val="nil"/>
        </w:pBdr>
        <w:spacing w:after="120" w:line="480" w:lineRule="auto"/>
        <w:jc w:val="both"/>
        <w:rPr>
          <w:rFonts w:eastAsia="Calibri" w:cs="Calibri"/>
          <w:color w:val="000000"/>
          <w:u w:color="000000"/>
          <w:bdr w:val="nil"/>
          <w:lang w:val="en-US"/>
        </w:rPr>
        <w:sectPr w:rsidR="003125D8" w:rsidSect="004F5ADA">
          <w:footerReference w:type="default" r:id="rId9"/>
          <w:headerReference w:type="first" r:id="rId10"/>
          <w:pgSz w:w="11906" w:h="16838"/>
          <w:pgMar w:top="1559" w:right="1701" w:bottom="1559" w:left="1701" w:header="709" w:footer="709" w:gutter="284"/>
          <w:cols w:space="708"/>
          <w:titlePg/>
          <w:docGrid w:linePitch="360"/>
        </w:sectPr>
      </w:pPr>
    </w:p>
    <w:p w14:paraId="7D8A0C3F" w14:textId="3EC1EBD1" w:rsidR="005377DA" w:rsidRPr="005377DA" w:rsidRDefault="005377DA" w:rsidP="005377DA">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sz w:val="24"/>
          <w:szCs w:val="24"/>
          <w:lang w:val="en-US"/>
        </w:rPr>
      </w:pPr>
      <w:r w:rsidRPr="000031BA">
        <w:rPr>
          <w:rFonts w:ascii="Times New Roman" w:eastAsia="Calibri" w:hAnsi="Times New Roman" w:cs="Calibri"/>
          <w:b/>
          <w:bCs/>
          <w:sz w:val="24"/>
          <w:szCs w:val="24"/>
          <w:lang w:val="en-US"/>
        </w:rPr>
        <w:lastRenderedPageBreak/>
        <w:t xml:space="preserve">Table </w:t>
      </w:r>
      <w:r>
        <w:rPr>
          <w:rFonts w:ascii="Times New Roman" w:eastAsia="Calibri" w:hAnsi="Times New Roman" w:cs="Calibri"/>
          <w:b/>
          <w:bCs/>
          <w:sz w:val="24"/>
          <w:szCs w:val="24"/>
          <w:lang w:val="en-US"/>
        </w:rPr>
        <w:t>2</w:t>
      </w:r>
      <w:r w:rsidRPr="000031BA">
        <w:rPr>
          <w:rFonts w:ascii="Times New Roman" w:eastAsia="Calibri" w:hAnsi="Times New Roman" w:cs="Calibri"/>
          <w:b/>
          <w:bCs/>
          <w:sz w:val="24"/>
          <w:szCs w:val="24"/>
          <w:lang w:val="en-US"/>
        </w:rPr>
        <w:t xml:space="preserve"> </w:t>
      </w:r>
      <w:r>
        <w:rPr>
          <w:rFonts w:ascii="Times New Roman" w:eastAsia="Calibri" w:hAnsi="Times New Roman" w:cs="Calibri"/>
          <w:b/>
          <w:bCs/>
          <w:sz w:val="24"/>
          <w:szCs w:val="24"/>
          <w:lang w:val="en-US"/>
        </w:rPr>
        <w:t>–</w:t>
      </w:r>
      <w:r w:rsidRPr="000031BA">
        <w:rPr>
          <w:rFonts w:ascii="Times New Roman" w:eastAsia="Calibri" w:hAnsi="Times New Roman" w:cs="Calibri"/>
          <w:b/>
          <w:bCs/>
          <w:sz w:val="24"/>
          <w:szCs w:val="24"/>
          <w:lang w:val="en-US"/>
        </w:rPr>
        <w:t xml:space="preserve"> </w:t>
      </w:r>
      <w:r>
        <w:rPr>
          <w:rFonts w:ascii="Times New Roman" w:eastAsia="Calibri" w:hAnsi="Times New Roman" w:cs="Calibri"/>
          <w:b/>
          <w:bCs/>
          <w:sz w:val="24"/>
          <w:szCs w:val="24"/>
          <w:lang w:val="en-US"/>
        </w:rPr>
        <w:t xml:space="preserve">Correlation matrix </w:t>
      </w:r>
    </w:p>
    <w:tbl>
      <w:tblPr>
        <w:tblW w:w="14508" w:type="dxa"/>
        <w:jc w:val="center"/>
        <w:tblLayout w:type="fixed"/>
        <w:tblLook w:val="0000" w:firstRow="0" w:lastRow="0" w:firstColumn="0" w:lastColumn="0" w:noHBand="0" w:noVBand="0"/>
      </w:tblPr>
      <w:tblGrid>
        <w:gridCol w:w="3628"/>
        <w:gridCol w:w="777"/>
        <w:gridCol w:w="777"/>
        <w:gridCol w:w="777"/>
        <w:gridCol w:w="778"/>
        <w:gridCol w:w="777"/>
        <w:gridCol w:w="777"/>
        <w:gridCol w:w="777"/>
        <w:gridCol w:w="777"/>
        <w:gridCol w:w="777"/>
        <w:gridCol w:w="777"/>
        <w:gridCol w:w="778"/>
        <w:gridCol w:w="777"/>
        <w:gridCol w:w="777"/>
        <w:gridCol w:w="777"/>
      </w:tblGrid>
      <w:tr w:rsidR="003125D8" w:rsidRPr="003125D8" w14:paraId="38F8C911" w14:textId="77777777" w:rsidTr="009F3862">
        <w:trPr>
          <w:jc w:val="center"/>
        </w:trPr>
        <w:tc>
          <w:tcPr>
            <w:tcW w:w="3628" w:type="dxa"/>
            <w:tcBorders>
              <w:top w:val="single" w:sz="4" w:space="0" w:color="auto"/>
              <w:left w:val="nil"/>
              <w:bottom w:val="single" w:sz="10" w:space="0" w:color="auto"/>
              <w:right w:val="nil"/>
            </w:tcBorders>
          </w:tcPr>
          <w:p w14:paraId="091A5F79" w14:textId="058738AA" w:rsidR="003125D8" w:rsidRPr="003125D8" w:rsidRDefault="003125D8" w:rsidP="00C642C2">
            <w:pPr>
              <w:widowControl w:val="0"/>
              <w:autoSpaceDE w:val="0"/>
              <w:autoSpaceDN w:val="0"/>
              <w:adjustRightInd w:val="0"/>
              <w:rPr>
                <w:b/>
                <w:bCs/>
                <w:sz w:val="20"/>
                <w:szCs w:val="20"/>
                <w:lang w:val="en-US"/>
              </w:rPr>
            </w:pPr>
            <w:r w:rsidRPr="003125D8">
              <w:rPr>
                <w:b/>
                <w:bCs/>
                <w:sz w:val="20"/>
                <w:szCs w:val="20"/>
                <w:lang w:val="en-US"/>
              </w:rPr>
              <w:t xml:space="preserve">  Variable</w:t>
            </w:r>
            <w:r w:rsidR="000F3B15">
              <w:rPr>
                <w:b/>
                <w:bCs/>
                <w:sz w:val="20"/>
                <w:szCs w:val="20"/>
                <w:lang w:val="en-US"/>
              </w:rPr>
              <w:t>s</w:t>
            </w:r>
          </w:p>
        </w:tc>
        <w:tc>
          <w:tcPr>
            <w:tcW w:w="777" w:type="dxa"/>
            <w:tcBorders>
              <w:top w:val="single" w:sz="4" w:space="0" w:color="auto"/>
              <w:left w:val="nil"/>
              <w:bottom w:val="single" w:sz="10" w:space="0" w:color="auto"/>
              <w:right w:val="nil"/>
            </w:tcBorders>
          </w:tcPr>
          <w:p w14:paraId="53CD6612"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w:t>
            </w:r>
          </w:p>
        </w:tc>
        <w:tc>
          <w:tcPr>
            <w:tcW w:w="777" w:type="dxa"/>
            <w:tcBorders>
              <w:top w:val="single" w:sz="4" w:space="0" w:color="auto"/>
              <w:left w:val="nil"/>
              <w:bottom w:val="single" w:sz="10" w:space="0" w:color="auto"/>
              <w:right w:val="nil"/>
            </w:tcBorders>
          </w:tcPr>
          <w:p w14:paraId="09D19476"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(2)</w:t>
            </w:r>
          </w:p>
        </w:tc>
        <w:tc>
          <w:tcPr>
            <w:tcW w:w="777" w:type="dxa"/>
            <w:tcBorders>
              <w:top w:val="single" w:sz="4" w:space="0" w:color="auto"/>
              <w:left w:val="nil"/>
              <w:bottom w:val="single" w:sz="10" w:space="0" w:color="auto"/>
              <w:right w:val="nil"/>
            </w:tcBorders>
          </w:tcPr>
          <w:p w14:paraId="48393720"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(3)</w:t>
            </w:r>
          </w:p>
        </w:tc>
        <w:tc>
          <w:tcPr>
            <w:tcW w:w="778" w:type="dxa"/>
            <w:tcBorders>
              <w:top w:val="single" w:sz="4" w:space="0" w:color="auto"/>
              <w:left w:val="nil"/>
              <w:bottom w:val="single" w:sz="10" w:space="0" w:color="auto"/>
              <w:right w:val="nil"/>
            </w:tcBorders>
          </w:tcPr>
          <w:p w14:paraId="5604B2AC"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(4)</w:t>
            </w:r>
          </w:p>
        </w:tc>
        <w:tc>
          <w:tcPr>
            <w:tcW w:w="777" w:type="dxa"/>
            <w:tcBorders>
              <w:top w:val="single" w:sz="4" w:space="0" w:color="auto"/>
              <w:left w:val="nil"/>
              <w:bottom w:val="single" w:sz="10" w:space="0" w:color="auto"/>
              <w:right w:val="nil"/>
            </w:tcBorders>
          </w:tcPr>
          <w:p w14:paraId="0D47477B"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(5)</w:t>
            </w:r>
          </w:p>
        </w:tc>
        <w:tc>
          <w:tcPr>
            <w:tcW w:w="777" w:type="dxa"/>
            <w:tcBorders>
              <w:top w:val="single" w:sz="4" w:space="0" w:color="auto"/>
              <w:left w:val="nil"/>
              <w:bottom w:val="single" w:sz="10" w:space="0" w:color="auto"/>
              <w:right w:val="nil"/>
            </w:tcBorders>
          </w:tcPr>
          <w:p w14:paraId="028DE8BE"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(6)</w:t>
            </w:r>
          </w:p>
        </w:tc>
        <w:tc>
          <w:tcPr>
            <w:tcW w:w="777" w:type="dxa"/>
            <w:tcBorders>
              <w:top w:val="single" w:sz="4" w:space="0" w:color="auto"/>
              <w:left w:val="nil"/>
              <w:bottom w:val="single" w:sz="10" w:space="0" w:color="auto"/>
              <w:right w:val="nil"/>
            </w:tcBorders>
          </w:tcPr>
          <w:p w14:paraId="19267733"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(7)</w:t>
            </w:r>
          </w:p>
        </w:tc>
        <w:tc>
          <w:tcPr>
            <w:tcW w:w="777" w:type="dxa"/>
            <w:tcBorders>
              <w:top w:val="single" w:sz="4" w:space="0" w:color="auto"/>
              <w:left w:val="nil"/>
              <w:bottom w:val="single" w:sz="10" w:space="0" w:color="auto"/>
              <w:right w:val="nil"/>
            </w:tcBorders>
          </w:tcPr>
          <w:p w14:paraId="73B79F84"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(8)</w:t>
            </w:r>
          </w:p>
        </w:tc>
        <w:tc>
          <w:tcPr>
            <w:tcW w:w="777" w:type="dxa"/>
            <w:tcBorders>
              <w:top w:val="single" w:sz="4" w:space="0" w:color="auto"/>
              <w:left w:val="nil"/>
              <w:bottom w:val="single" w:sz="10" w:space="0" w:color="auto"/>
              <w:right w:val="nil"/>
            </w:tcBorders>
          </w:tcPr>
          <w:p w14:paraId="666F8070"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(9)</w:t>
            </w:r>
          </w:p>
        </w:tc>
        <w:tc>
          <w:tcPr>
            <w:tcW w:w="777" w:type="dxa"/>
            <w:tcBorders>
              <w:top w:val="single" w:sz="4" w:space="0" w:color="auto"/>
              <w:left w:val="nil"/>
              <w:bottom w:val="single" w:sz="10" w:space="0" w:color="auto"/>
              <w:right w:val="nil"/>
            </w:tcBorders>
          </w:tcPr>
          <w:p w14:paraId="5E9F41B2"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(10)</w:t>
            </w:r>
          </w:p>
        </w:tc>
        <w:tc>
          <w:tcPr>
            <w:tcW w:w="778" w:type="dxa"/>
            <w:tcBorders>
              <w:top w:val="single" w:sz="4" w:space="0" w:color="auto"/>
              <w:left w:val="nil"/>
              <w:bottom w:val="single" w:sz="10" w:space="0" w:color="auto"/>
              <w:right w:val="nil"/>
            </w:tcBorders>
          </w:tcPr>
          <w:p w14:paraId="1EA830EB"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(11)</w:t>
            </w:r>
          </w:p>
        </w:tc>
        <w:tc>
          <w:tcPr>
            <w:tcW w:w="777" w:type="dxa"/>
            <w:tcBorders>
              <w:top w:val="single" w:sz="4" w:space="0" w:color="auto"/>
              <w:left w:val="nil"/>
              <w:bottom w:val="single" w:sz="10" w:space="0" w:color="auto"/>
              <w:right w:val="nil"/>
            </w:tcBorders>
          </w:tcPr>
          <w:p w14:paraId="35696663"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(12)</w:t>
            </w:r>
          </w:p>
        </w:tc>
        <w:tc>
          <w:tcPr>
            <w:tcW w:w="777" w:type="dxa"/>
            <w:tcBorders>
              <w:top w:val="single" w:sz="4" w:space="0" w:color="auto"/>
              <w:left w:val="nil"/>
              <w:bottom w:val="single" w:sz="10" w:space="0" w:color="auto"/>
              <w:right w:val="nil"/>
            </w:tcBorders>
          </w:tcPr>
          <w:p w14:paraId="2789B497"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(13)</w:t>
            </w:r>
          </w:p>
        </w:tc>
        <w:tc>
          <w:tcPr>
            <w:tcW w:w="777" w:type="dxa"/>
            <w:tcBorders>
              <w:top w:val="single" w:sz="4" w:space="0" w:color="auto"/>
              <w:left w:val="nil"/>
              <w:bottom w:val="single" w:sz="10" w:space="0" w:color="auto"/>
              <w:right w:val="nil"/>
            </w:tcBorders>
          </w:tcPr>
          <w:p w14:paraId="68E1C96A" w14:textId="77777777" w:rsidR="003125D8" w:rsidRPr="003125D8" w:rsidRDefault="003125D8" w:rsidP="00C642C2">
            <w:pPr>
              <w:widowControl w:val="0"/>
              <w:autoSpaceDE w:val="0"/>
              <w:autoSpaceDN w:val="0"/>
              <w:adjustRightInd w:val="0"/>
              <w:jc w:val="right"/>
              <w:rPr>
                <w:b/>
                <w:bCs/>
                <w:sz w:val="20"/>
                <w:szCs w:val="20"/>
                <w:lang w:val="en-US"/>
              </w:rPr>
            </w:pPr>
            <w:r w:rsidRPr="003125D8">
              <w:rPr>
                <w:b/>
                <w:bCs/>
                <w:sz w:val="20"/>
                <w:szCs w:val="20"/>
                <w:lang w:val="en-US"/>
              </w:rPr>
              <w:t xml:space="preserve">  (14)</w:t>
            </w:r>
          </w:p>
        </w:tc>
      </w:tr>
      <w:tr w:rsidR="007C2EF8" w:rsidRPr="007C2EF8" w14:paraId="2625CF3A" w14:textId="77777777" w:rsidTr="009F3862">
        <w:trPr>
          <w:gridAfter w:val="13"/>
          <w:wAfter w:w="10103" w:type="dxa"/>
          <w:jc w:val="center"/>
        </w:trPr>
        <w:tc>
          <w:tcPr>
            <w:tcW w:w="3628" w:type="dxa"/>
            <w:tcBorders>
              <w:top w:val="nil"/>
              <w:left w:val="nil"/>
              <w:bottom w:val="nil"/>
              <w:right w:val="nil"/>
            </w:tcBorders>
          </w:tcPr>
          <w:p w14:paraId="3B4657AF" w14:textId="427CD4DD" w:rsidR="007C2EF8" w:rsidRPr="003125D8" w:rsidRDefault="007C2EF8" w:rsidP="007C2EF8">
            <w:pPr>
              <w:widowControl w:val="0"/>
              <w:autoSpaceDE w:val="0"/>
              <w:autoSpaceDN w:val="0"/>
              <w:adjustRightInd w:val="0"/>
              <w:rPr>
                <w:sz w:val="20"/>
                <w:szCs w:val="20"/>
                <w:lang w:val="en-US"/>
              </w:rPr>
            </w:pPr>
            <w:bookmarkStart w:id="6" w:name="_Hlk144941358"/>
            <w:r w:rsidRPr="003125D8">
              <w:rPr>
                <w:b/>
                <w:bCs/>
                <w:sz w:val="20"/>
                <w:szCs w:val="20"/>
                <w:lang w:val="en-US"/>
                <w14:ligatures w14:val="standardContextual"/>
              </w:rPr>
              <w:t xml:space="preserve"> (1) Time duration</w:t>
            </w:r>
          </w:p>
        </w:tc>
        <w:tc>
          <w:tcPr>
            <w:tcW w:w="777" w:type="dxa"/>
            <w:tcBorders>
              <w:top w:val="nil"/>
              <w:left w:val="nil"/>
              <w:bottom w:val="nil"/>
              <w:right w:val="nil"/>
            </w:tcBorders>
          </w:tcPr>
          <w:p w14:paraId="149EAB7E" w14:textId="17299A4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6AD113C9" w14:textId="77777777" w:rsidTr="009F3862">
        <w:trPr>
          <w:gridAfter w:val="12"/>
          <w:wAfter w:w="9326" w:type="dxa"/>
          <w:jc w:val="center"/>
        </w:trPr>
        <w:tc>
          <w:tcPr>
            <w:tcW w:w="3628" w:type="dxa"/>
            <w:tcBorders>
              <w:top w:val="nil"/>
              <w:left w:val="nil"/>
              <w:bottom w:val="nil"/>
              <w:right w:val="nil"/>
            </w:tcBorders>
          </w:tcPr>
          <w:p w14:paraId="138B9E5E" w14:textId="583D50B9"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(2) Personality rights </w:t>
            </w:r>
          </w:p>
        </w:tc>
        <w:tc>
          <w:tcPr>
            <w:tcW w:w="777" w:type="dxa"/>
            <w:tcBorders>
              <w:top w:val="nil"/>
              <w:left w:val="nil"/>
              <w:bottom w:val="nil"/>
              <w:right w:val="nil"/>
            </w:tcBorders>
          </w:tcPr>
          <w:p w14:paraId="6E473BC3" w14:textId="33878861"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0.330</w:t>
            </w:r>
          </w:p>
        </w:tc>
        <w:tc>
          <w:tcPr>
            <w:tcW w:w="777" w:type="dxa"/>
            <w:tcBorders>
              <w:top w:val="nil"/>
              <w:left w:val="nil"/>
              <w:bottom w:val="nil"/>
              <w:right w:val="nil"/>
            </w:tcBorders>
          </w:tcPr>
          <w:p w14:paraId="3DCC89D9" w14:textId="0233082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4243ED5F" w14:textId="77777777" w:rsidTr="009F3862">
        <w:trPr>
          <w:gridAfter w:val="11"/>
          <w:wAfter w:w="8549" w:type="dxa"/>
          <w:jc w:val="center"/>
        </w:trPr>
        <w:tc>
          <w:tcPr>
            <w:tcW w:w="3628" w:type="dxa"/>
            <w:tcBorders>
              <w:top w:val="nil"/>
              <w:left w:val="nil"/>
              <w:bottom w:val="nil"/>
              <w:right w:val="nil"/>
            </w:tcBorders>
          </w:tcPr>
          <w:p w14:paraId="71F0EA92" w14:textId="3E24AEC0"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(3) Family rights</w:t>
            </w:r>
          </w:p>
        </w:tc>
        <w:tc>
          <w:tcPr>
            <w:tcW w:w="777" w:type="dxa"/>
            <w:tcBorders>
              <w:top w:val="nil"/>
              <w:left w:val="nil"/>
              <w:bottom w:val="nil"/>
              <w:right w:val="nil"/>
            </w:tcBorders>
          </w:tcPr>
          <w:p w14:paraId="4263DA40" w14:textId="3BE05EE7"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0.014</w:t>
            </w:r>
          </w:p>
        </w:tc>
        <w:tc>
          <w:tcPr>
            <w:tcW w:w="777" w:type="dxa"/>
            <w:tcBorders>
              <w:top w:val="nil"/>
              <w:left w:val="nil"/>
              <w:bottom w:val="nil"/>
              <w:right w:val="nil"/>
            </w:tcBorders>
          </w:tcPr>
          <w:p w14:paraId="0BB8A2CB" w14:textId="4ED34D7B"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-0.040</w:t>
            </w:r>
          </w:p>
        </w:tc>
        <w:tc>
          <w:tcPr>
            <w:tcW w:w="777" w:type="dxa"/>
            <w:tcBorders>
              <w:top w:val="nil"/>
              <w:left w:val="nil"/>
              <w:bottom w:val="nil"/>
              <w:right w:val="nil"/>
            </w:tcBorders>
          </w:tcPr>
          <w:p w14:paraId="4549FB8B" w14:textId="70088DB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0DDCFAA2" w14:textId="77777777" w:rsidTr="009F3862">
        <w:trPr>
          <w:gridAfter w:val="10"/>
          <w:wAfter w:w="7771" w:type="dxa"/>
          <w:jc w:val="center"/>
        </w:trPr>
        <w:tc>
          <w:tcPr>
            <w:tcW w:w="3628" w:type="dxa"/>
            <w:tcBorders>
              <w:top w:val="nil"/>
              <w:left w:val="nil"/>
              <w:bottom w:val="nil"/>
              <w:right w:val="nil"/>
            </w:tcBorders>
          </w:tcPr>
          <w:p w14:paraId="42F6223D" w14:textId="585A46B7"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(4) Property rights and </w:t>
            </w:r>
            <w:r>
              <w:rPr>
                <w:b/>
                <w:bCs/>
                <w:sz w:val="20"/>
                <w:szCs w:val="20"/>
                <w:lang w:val="en-US"/>
                <w14:ligatures w14:val="standardContextual"/>
              </w:rPr>
              <w:t>inheritance law</w:t>
            </w:r>
          </w:p>
        </w:tc>
        <w:tc>
          <w:tcPr>
            <w:tcW w:w="777" w:type="dxa"/>
            <w:tcBorders>
              <w:top w:val="nil"/>
              <w:left w:val="nil"/>
              <w:bottom w:val="nil"/>
              <w:right w:val="nil"/>
            </w:tcBorders>
          </w:tcPr>
          <w:p w14:paraId="778C57FF" w14:textId="5388231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0.214</w:t>
            </w:r>
          </w:p>
        </w:tc>
        <w:tc>
          <w:tcPr>
            <w:tcW w:w="777" w:type="dxa"/>
            <w:tcBorders>
              <w:top w:val="nil"/>
              <w:left w:val="nil"/>
              <w:bottom w:val="nil"/>
              <w:right w:val="nil"/>
            </w:tcBorders>
          </w:tcPr>
          <w:p w14:paraId="5E18C9AC" w14:textId="742C876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-0.040</w:t>
            </w:r>
          </w:p>
        </w:tc>
        <w:tc>
          <w:tcPr>
            <w:tcW w:w="777" w:type="dxa"/>
            <w:tcBorders>
              <w:top w:val="nil"/>
              <w:left w:val="nil"/>
              <w:bottom w:val="nil"/>
              <w:right w:val="nil"/>
            </w:tcBorders>
          </w:tcPr>
          <w:p w14:paraId="77FDA505" w14:textId="2678B51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-0.036</w:t>
            </w:r>
          </w:p>
        </w:tc>
        <w:tc>
          <w:tcPr>
            <w:tcW w:w="778" w:type="dxa"/>
            <w:tcBorders>
              <w:top w:val="nil"/>
              <w:left w:val="nil"/>
              <w:bottom w:val="nil"/>
              <w:right w:val="nil"/>
            </w:tcBorders>
          </w:tcPr>
          <w:p w14:paraId="58B0B357" w14:textId="196C70E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3EB451F3" w14:textId="77777777" w:rsidTr="009F3862">
        <w:trPr>
          <w:gridAfter w:val="9"/>
          <w:wAfter w:w="6994" w:type="dxa"/>
          <w:jc w:val="center"/>
        </w:trPr>
        <w:tc>
          <w:tcPr>
            <w:tcW w:w="3628" w:type="dxa"/>
            <w:tcBorders>
              <w:top w:val="nil"/>
              <w:left w:val="nil"/>
              <w:bottom w:val="nil"/>
              <w:right w:val="nil"/>
            </w:tcBorders>
          </w:tcPr>
          <w:p w14:paraId="7187CD26" w14:textId="014B136D"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(5) Contracts and obligations</w:t>
            </w:r>
          </w:p>
        </w:tc>
        <w:tc>
          <w:tcPr>
            <w:tcW w:w="777" w:type="dxa"/>
            <w:tcBorders>
              <w:top w:val="nil"/>
              <w:left w:val="nil"/>
              <w:bottom w:val="nil"/>
              <w:right w:val="nil"/>
            </w:tcBorders>
          </w:tcPr>
          <w:p w14:paraId="01D622C5" w14:textId="79B818D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0.260</w:t>
            </w:r>
          </w:p>
        </w:tc>
        <w:tc>
          <w:tcPr>
            <w:tcW w:w="777" w:type="dxa"/>
            <w:tcBorders>
              <w:top w:val="nil"/>
              <w:left w:val="nil"/>
              <w:bottom w:val="nil"/>
              <w:right w:val="nil"/>
            </w:tcBorders>
          </w:tcPr>
          <w:p w14:paraId="0F008BB4" w14:textId="6BC3A8FB"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-0.072</w:t>
            </w:r>
          </w:p>
        </w:tc>
        <w:tc>
          <w:tcPr>
            <w:tcW w:w="777" w:type="dxa"/>
            <w:tcBorders>
              <w:top w:val="nil"/>
              <w:left w:val="nil"/>
              <w:bottom w:val="nil"/>
              <w:right w:val="nil"/>
            </w:tcBorders>
          </w:tcPr>
          <w:p w14:paraId="22FC2B59" w14:textId="679EB6D8"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-0.065</w:t>
            </w:r>
          </w:p>
        </w:tc>
        <w:tc>
          <w:tcPr>
            <w:tcW w:w="778" w:type="dxa"/>
            <w:tcBorders>
              <w:top w:val="nil"/>
              <w:left w:val="nil"/>
              <w:bottom w:val="nil"/>
              <w:right w:val="nil"/>
            </w:tcBorders>
          </w:tcPr>
          <w:p w14:paraId="3F17AD3B" w14:textId="0712555C"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-0.065</w:t>
            </w:r>
          </w:p>
        </w:tc>
        <w:tc>
          <w:tcPr>
            <w:tcW w:w="777" w:type="dxa"/>
            <w:tcBorders>
              <w:top w:val="nil"/>
              <w:left w:val="nil"/>
              <w:bottom w:val="nil"/>
              <w:right w:val="nil"/>
            </w:tcBorders>
          </w:tcPr>
          <w:p w14:paraId="0A5D773F" w14:textId="64F15FF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6F51882C" w14:textId="77777777" w:rsidTr="009F3862">
        <w:trPr>
          <w:gridAfter w:val="8"/>
          <w:wAfter w:w="6217" w:type="dxa"/>
          <w:jc w:val="center"/>
        </w:trPr>
        <w:tc>
          <w:tcPr>
            <w:tcW w:w="3628" w:type="dxa"/>
            <w:tcBorders>
              <w:top w:val="nil"/>
              <w:left w:val="nil"/>
              <w:bottom w:val="nil"/>
              <w:right w:val="nil"/>
            </w:tcBorders>
          </w:tcPr>
          <w:p w14:paraId="26B8BB9C" w14:textId="22E36E63"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(6) </w:t>
            </w:r>
            <w:r>
              <w:rPr>
                <w:b/>
                <w:bCs/>
                <w:sz w:val="20"/>
                <w:szCs w:val="20"/>
                <w:lang w:val="en-US"/>
                <w14:ligatures w14:val="standardContextual"/>
              </w:rPr>
              <w:t>L</w:t>
            </w:r>
            <w:r w:rsidRPr="003125D8">
              <w:rPr>
                <w:b/>
                <w:bCs/>
                <w:sz w:val="20"/>
                <w:szCs w:val="20"/>
                <w:lang w:val="en-US"/>
                <w14:ligatures w14:val="standardContextual"/>
              </w:rPr>
              <w:t>iability</w:t>
            </w:r>
            <w:r>
              <w:rPr>
                <w:b/>
                <w:bCs/>
                <w:sz w:val="20"/>
                <w:szCs w:val="20"/>
                <w:lang w:val="en-US"/>
                <w14:ligatures w14:val="standardContextual"/>
              </w:rPr>
              <w:t xml:space="preserve"> for tort</w:t>
            </w:r>
          </w:p>
        </w:tc>
        <w:tc>
          <w:tcPr>
            <w:tcW w:w="777" w:type="dxa"/>
            <w:tcBorders>
              <w:top w:val="nil"/>
              <w:left w:val="nil"/>
              <w:bottom w:val="nil"/>
              <w:right w:val="nil"/>
            </w:tcBorders>
          </w:tcPr>
          <w:p w14:paraId="18020B78" w14:textId="6009EDAE"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0.290</w:t>
            </w:r>
          </w:p>
        </w:tc>
        <w:tc>
          <w:tcPr>
            <w:tcW w:w="777" w:type="dxa"/>
            <w:tcBorders>
              <w:top w:val="nil"/>
              <w:left w:val="nil"/>
              <w:bottom w:val="nil"/>
              <w:right w:val="nil"/>
            </w:tcBorders>
          </w:tcPr>
          <w:p w14:paraId="217EAC20" w14:textId="521BA4BE"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-0.048</w:t>
            </w:r>
          </w:p>
        </w:tc>
        <w:tc>
          <w:tcPr>
            <w:tcW w:w="777" w:type="dxa"/>
            <w:tcBorders>
              <w:top w:val="nil"/>
              <w:left w:val="nil"/>
              <w:bottom w:val="nil"/>
              <w:right w:val="nil"/>
            </w:tcBorders>
          </w:tcPr>
          <w:p w14:paraId="139DFD94" w14:textId="578BF94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-0.043</w:t>
            </w:r>
          </w:p>
        </w:tc>
        <w:tc>
          <w:tcPr>
            <w:tcW w:w="778" w:type="dxa"/>
            <w:tcBorders>
              <w:top w:val="nil"/>
              <w:left w:val="nil"/>
              <w:bottom w:val="nil"/>
              <w:right w:val="nil"/>
            </w:tcBorders>
          </w:tcPr>
          <w:p w14:paraId="2F15C1DA" w14:textId="6D27AD37"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-0.043</w:t>
            </w:r>
          </w:p>
        </w:tc>
        <w:tc>
          <w:tcPr>
            <w:tcW w:w="777" w:type="dxa"/>
            <w:tcBorders>
              <w:top w:val="nil"/>
              <w:left w:val="nil"/>
              <w:bottom w:val="nil"/>
              <w:right w:val="nil"/>
            </w:tcBorders>
          </w:tcPr>
          <w:p w14:paraId="70BA8CAD" w14:textId="2702645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-0.077</w:t>
            </w:r>
          </w:p>
        </w:tc>
        <w:tc>
          <w:tcPr>
            <w:tcW w:w="777" w:type="dxa"/>
            <w:tcBorders>
              <w:top w:val="nil"/>
              <w:left w:val="nil"/>
              <w:bottom w:val="nil"/>
              <w:right w:val="nil"/>
            </w:tcBorders>
          </w:tcPr>
          <w:p w14:paraId="3FB3C9CD" w14:textId="1EA30BA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7BCD5EB4" w14:textId="77777777" w:rsidTr="009F3862">
        <w:trPr>
          <w:gridAfter w:val="7"/>
          <w:wAfter w:w="5440" w:type="dxa"/>
          <w:jc w:val="center"/>
        </w:trPr>
        <w:tc>
          <w:tcPr>
            <w:tcW w:w="3628" w:type="dxa"/>
            <w:tcBorders>
              <w:top w:val="nil"/>
              <w:left w:val="nil"/>
              <w:bottom w:val="nil"/>
              <w:right w:val="nil"/>
            </w:tcBorders>
          </w:tcPr>
          <w:p w14:paraId="25E203DC" w14:textId="2AB34A79"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(7) Legal entities</w:t>
            </w:r>
          </w:p>
        </w:tc>
        <w:tc>
          <w:tcPr>
            <w:tcW w:w="777" w:type="dxa"/>
            <w:tcBorders>
              <w:top w:val="nil"/>
              <w:left w:val="nil"/>
              <w:bottom w:val="nil"/>
              <w:right w:val="nil"/>
            </w:tcBorders>
          </w:tcPr>
          <w:p w14:paraId="6ABADCC5" w14:textId="4049DF1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0.002</w:t>
            </w:r>
          </w:p>
        </w:tc>
        <w:tc>
          <w:tcPr>
            <w:tcW w:w="777" w:type="dxa"/>
            <w:tcBorders>
              <w:top w:val="nil"/>
              <w:left w:val="nil"/>
              <w:bottom w:val="nil"/>
              <w:right w:val="nil"/>
            </w:tcBorders>
          </w:tcPr>
          <w:p w14:paraId="1DB46735" w14:textId="2251D7BE"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2CE8167A" w14:textId="5D7FC0D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8" w:type="dxa"/>
            <w:tcBorders>
              <w:top w:val="nil"/>
              <w:left w:val="nil"/>
              <w:bottom w:val="nil"/>
              <w:right w:val="nil"/>
            </w:tcBorders>
          </w:tcPr>
          <w:p w14:paraId="5EB2FEF7" w14:textId="1069B15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13EC2FDC" w14:textId="29CB0F0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-0.005</w:t>
            </w:r>
          </w:p>
        </w:tc>
        <w:tc>
          <w:tcPr>
            <w:tcW w:w="777" w:type="dxa"/>
            <w:tcBorders>
              <w:top w:val="nil"/>
              <w:left w:val="nil"/>
              <w:bottom w:val="nil"/>
              <w:right w:val="nil"/>
            </w:tcBorders>
          </w:tcPr>
          <w:p w14:paraId="66F4D480" w14:textId="5FD294C1"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59891A93" w14:textId="4C7B2435"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4EBB6101" w14:textId="77777777" w:rsidTr="009F3862">
        <w:trPr>
          <w:gridAfter w:val="6"/>
          <w:wAfter w:w="4663" w:type="dxa"/>
          <w:jc w:val="center"/>
        </w:trPr>
        <w:tc>
          <w:tcPr>
            <w:tcW w:w="3628" w:type="dxa"/>
            <w:tcBorders>
              <w:top w:val="nil"/>
              <w:left w:val="nil"/>
              <w:bottom w:val="nil"/>
              <w:right w:val="nil"/>
            </w:tcBorders>
          </w:tcPr>
          <w:p w14:paraId="10B70F69" w14:textId="24E57D06"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(8) </w:t>
            </w:r>
            <w:r w:rsidRPr="003125D8">
              <w:rPr>
                <w:b/>
                <w:bCs/>
                <w:sz w:val="20"/>
                <w:szCs w:val="20"/>
                <w:lang w:val="en-US"/>
              </w:rPr>
              <w:t>Company law</w:t>
            </w:r>
          </w:p>
        </w:tc>
        <w:tc>
          <w:tcPr>
            <w:tcW w:w="777" w:type="dxa"/>
            <w:tcBorders>
              <w:top w:val="nil"/>
              <w:left w:val="nil"/>
              <w:bottom w:val="nil"/>
              <w:right w:val="nil"/>
            </w:tcBorders>
          </w:tcPr>
          <w:p w14:paraId="59D6F7E6" w14:textId="5C5F123B"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-0.009</w:t>
            </w:r>
          </w:p>
        </w:tc>
        <w:tc>
          <w:tcPr>
            <w:tcW w:w="777" w:type="dxa"/>
            <w:tcBorders>
              <w:top w:val="nil"/>
              <w:left w:val="nil"/>
              <w:bottom w:val="nil"/>
              <w:right w:val="nil"/>
            </w:tcBorders>
          </w:tcPr>
          <w:p w14:paraId="26F11AB5" w14:textId="51A621A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-0.005</w:t>
            </w:r>
          </w:p>
        </w:tc>
        <w:tc>
          <w:tcPr>
            <w:tcW w:w="777" w:type="dxa"/>
            <w:tcBorders>
              <w:top w:val="nil"/>
              <w:left w:val="nil"/>
              <w:bottom w:val="nil"/>
              <w:right w:val="nil"/>
            </w:tcBorders>
          </w:tcPr>
          <w:p w14:paraId="0A9A57AA" w14:textId="743B009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-0.005</w:t>
            </w:r>
          </w:p>
        </w:tc>
        <w:tc>
          <w:tcPr>
            <w:tcW w:w="778" w:type="dxa"/>
            <w:tcBorders>
              <w:top w:val="nil"/>
              <w:left w:val="nil"/>
              <w:bottom w:val="nil"/>
              <w:right w:val="nil"/>
            </w:tcBorders>
          </w:tcPr>
          <w:p w14:paraId="5E21DA4A" w14:textId="77FEBC4C"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-0.005</w:t>
            </w:r>
          </w:p>
        </w:tc>
        <w:tc>
          <w:tcPr>
            <w:tcW w:w="777" w:type="dxa"/>
            <w:tcBorders>
              <w:top w:val="nil"/>
              <w:left w:val="nil"/>
              <w:bottom w:val="nil"/>
              <w:right w:val="nil"/>
            </w:tcBorders>
          </w:tcPr>
          <w:p w14:paraId="53C0384D" w14:textId="1E25A94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-0.009</w:t>
            </w:r>
          </w:p>
        </w:tc>
        <w:tc>
          <w:tcPr>
            <w:tcW w:w="777" w:type="dxa"/>
            <w:tcBorders>
              <w:top w:val="nil"/>
              <w:left w:val="nil"/>
              <w:bottom w:val="nil"/>
              <w:right w:val="nil"/>
            </w:tcBorders>
          </w:tcPr>
          <w:p w14:paraId="103CBFA3" w14:textId="769F509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-0.006</w:t>
            </w:r>
          </w:p>
        </w:tc>
        <w:tc>
          <w:tcPr>
            <w:tcW w:w="777" w:type="dxa"/>
            <w:tcBorders>
              <w:top w:val="nil"/>
              <w:left w:val="nil"/>
              <w:bottom w:val="nil"/>
              <w:right w:val="nil"/>
            </w:tcBorders>
          </w:tcPr>
          <w:p w14:paraId="059085A5" w14:textId="39E883AB"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-0.000</w:t>
            </w:r>
          </w:p>
        </w:tc>
        <w:tc>
          <w:tcPr>
            <w:tcW w:w="777" w:type="dxa"/>
            <w:tcBorders>
              <w:top w:val="nil"/>
              <w:left w:val="nil"/>
              <w:bottom w:val="nil"/>
              <w:right w:val="nil"/>
            </w:tcBorders>
          </w:tcPr>
          <w:p w14:paraId="1463AB9D" w14:textId="0B4220B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4352D02A" w14:textId="77777777" w:rsidTr="009F3862">
        <w:trPr>
          <w:gridAfter w:val="5"/>
          <w:wAfter w:w="3886" w:type="dxa"/>
          <w:jc w:val="center"/>
        </w:trPr>
        <w:tc>
          <w:tcPr>
            <w:tcW w:w="3628" w:type="dxa"/>
            <w:tcBorders>
              <w:top w:val="nil"/>
              <w:left w:val="nil"/>
              <w:bottom w:val="nil"/>
              <w:right w:val="nil"/>
            </w:tcBorders>
          </w:tcPr>
          <w:p w14:paraId="05853B55" w14:textId="1A57B6CB"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(9)</w:t>
            </w:r>
            <w:r w:rsidRPr="003125D8">
              <w:rPr>
                <w:b/>
                <w:bCs/>
                <w:sz w:val="20"/>
                <w:szCs w:val="20"/>
                <w:lang w:val="en-US"/>
              </w:rPr>
              <w:t xml:space="preserve"> Lease and loan</w:t>
            </w:r>
          </w:p>
        </w:tc>
        <w:tc>
          <w:tcPr>
            <w:tcW w:w="777" w:type="dxa"/>
            <w:tcBorders>
              <w:top w:val="nil"/>
              <w:left w:val="nil"/>
              <w:bottom w:val="nil"/>
              <w:right w:val="nil"/>
            </w:tcBorders>
          </w:tcPr>
          <w:p w14:paraId="6341E8CB" w14:textId="039FADC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0.094</w:t>
            </w:r>
          </w:p>
        </w:tc>
        <w:tc>
          <w:tcPr>
            <w:tcW w:w="777" w:type="dxa"/>
            <w:tcBorders>
              <w:top w:val="nil"/>
              <w:left w:val="nil"/>
              <w:bottom w:val="nil"/>
              <w:right w:val="nil"/>
            </w:tcBorders>
          </w:tcPr>
          <w:p w14:paraId="728CA76F" w14:textId="10B301F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-0.036</w:t>
            </w:r>
          </w:p>
        </w:tc>
        <w:tc>
          <w:tcPr>
            <w:tcW w:w="777" w:type="dxa"/>
            <w:tcBorders>
              <w:top w:val="nil"/>
              <w:left w:val="nil"/>
              <w:bottom w:val="nil"/>
              <w:right w:val="nil"/>
            </w:tcBorders>
          </w:tcPr>
          <w:p w14:paraId="1900388D" w14:textId="5A5A3EC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-0.032</w:t>
            </w:r>
          </w:p>
        </w:tc>
        <w:tc>
          <w:tcPr>
            <w:tcW w:w="778" w:type="dxa"/>
            <w:tcBorders>
              <w:top w:val="nil"/>
              <w:left w:val="nil"/>
              <w:bottom w:val="nil"/>
              <w:right w:val="nil"/>
            </w:tcBorders>
          </w:tcPr>
          <w:p w14:paraId="38862A00" w14:textId="116A6FF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-0.032</w:t>
            </w:r>
          </w:p>
        </w:tc>
        <w:tc>
          <w:tcPr>
            <w:tcW w:w="777" w:type="dxa"/>
            <w:tcBorders>
              <w:top w:val="nil"/>
              <w:left w:val="nil"/>
              <w:bottom w:val="nil"/>
              <w:right w:val="nil"/>
            </w:tcBorders>
          </w:tcPr>
          <w:p w14:paraId="0E06255C" w14:textId="46FE8FA5"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-0.058</w:t>
            </w:r>
          </w:p>
        </w:tc>
        <w:tc>
          <w:tcPr>
            <w:tcW w:w="777" w:type="dxa"/>
            <w:tcBorders>
              <w:top w:val="nil"/>
              <w:left w:val="nil"/>
              <w:bottom w:val="nil"/>
              <w:right w:val="nil"/>
            </w:tcBorders>
          </w:tcPr>
          <w:p w14:paraId="1CD3E85B" w14:textId="6A28976C"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-0.038</w:t>
            </w:r>
          </w:p>
        </w:tc>
        <w:tc>
          <w:tcPr>
            <w:tcW w:w="777" w:type="dxa"/>
            <w:tcBorders>
              <w:top w:val="nil"/>
              <w:left w:val="nil"/>
              <w:bottom w:val="nil"/>
              <w:right w:val="nil"/>
            </w:tcBorders>
          </w:tcPr>
          <w:p w14:paraId="0885ABCD" w14:textId="3FA74EE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0B1C888E" w14:textId="5A747081"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-0.004</w:t>
            </w:r>
          </w:p>
        </w:tc>
        <w:tc>
          <w:tcPr>
            <w:tcW w:w="777" w:type="dxa"/>
            <w:tcBorders>
              <w:top w:val="nil"/>
              <w:left w:val="nil"/>
              <w:bottom w:val="nil"/>
              <w:right w:val="nil"/>
            </w:tcBorders>
          </w:tcPr>
          <w:p w14:paraId="60AF6216" w14:textId="4BCDAE4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4A78EA10" w14:textId="77777777" w:rsidTr="009F3862">
        <w:trPr>
          <w:gridAfter w:val="4"/>
          <w:wAfter w:w="3109" w:type="dxa"/>
          <w:jc w:val="center"/>
        </w:trPr>
        <w:tc>
          <w:tcPr>
            <w:tcW w:w="3628" w:type="dxa"/>
            <w:tcBorders>
              <w:top w:val="nil"/>
              <w:left w:val="nil"/>
              <w:bottom w:val="nil"/>
              <w:right w:val="nil"/>
            </w:tcBorders>
          </w:tcPr>
          <w:p w14:paraId="5B08C3DB" w14:textId="773F9EC2"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(10) </w:t>
            </w:r>
            <w:r w:rsidRPr="003125D8">
              <w:rPr>
                <w:b/>
                <w:bCs/>
                <w:sz w:val="20"/>
                <w:szCs w:val="20"/>
                <w:lang w:val="en-US"/>
              </w:rPr>
              <w:t>Bankruptcy</w:t>
            </w:r>
          </w:p>
        </w:tc>
        <w:tc>
          <w:tcPr>
            <w:tcW w:w="777" w:type="dxa"/>
            <w:tcBorders>
              <w:top w:val="nil"/>
              <w:left w:val="nil"/>
              <w:bottom w:val="nil"/>
              <w:right w:val="nil"/>
            </w:tcBorders>
          </w:tcPr>
          <w:p w14:paraId="7A4E9846" w14:textId="19F67BA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0.075</w:t>
            </w:r>
          </w:p>
        </w:tc>
        <w:tc>
          <w:tcPr>
            <w:tcW w:w="777" w:type="dxa"/>
            <w:tcBorders>
              <w:top w:val="nil"/>
              <w:left w:val="nil"/>
              <w:bottom w:val="nil"/>
              <w:right w:val="nil"/>
            </w:tcBorders>
          </w:tcPr>
          <w:p w14:paraId="3434AEF7" w14:textId="429E9F7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-0.039</w:t>
            </w:r>
          </w:p>
        </w:tc>
        <w:tc>
          <w:tcPr>
            <w:tcW w:w="777" w:type="dxa"/>
            <w:tcBorders>
              <w:top w:val="nil"/>
              <w:left w:val="nil"/>
              <w:bottom w:val="nil"/>
              <w:right w:val="nil"/>
            </w:tcBorders>
          </w:tcPr>
          <w:p w14:paraId="6429052E" w14:textId="2130B27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-0.035</w:t>
            </w:r>
          </w:p>
        </w:tc>
        <w:tc>
          <w:tcPr>
            <w:tcW w:w="778" w:type="dxa"/>
            <w:tcBorders>
              <w:top w:val="nil"/>
              <w:left w:val="nil"/>
              <w:bottom w:val="nil"/>
              <w:right w:val="nil"/>
            </w:tcBorders>
          </w:tcPr>
          <w:p w14:paraId="14B8B28B" w14:textId="7353CE7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-0.035</w:t>
            </w:r>
          </w:p>
        </w:tc>
        <w:tc>
          <w:tcPr>
            <w:tcW w:w="777" w:type="dxa"/>
            <w:tcBorders>
              <w:top w:val="nil"/>
              <w:left w:val="nil"/>
              <w:bottom w:val="nil"/>
              <w:right w:val="nil"/>
            </w:tcBorders>
          </w:tcPr>
          <w:p w14:paraId="0CA64981" w14:textId="0DECD1D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-0.063</w:t>
            </w:r>
          </w:p>
        </w:tc>
        <w:tc>
          <w:tcPr>
            <w:tcW w:w="777" w:type="dxa"/>
            <w:tcBorders>
              <w:top w:val="nil"/>
              <w:left w:val="nil"/>
              <w:bottom w:val="nil"/>
              <w:right w:val="nil"/>
            </w:tcBorders>
          </w:tcPr>
          <w:p w14:paraId="625E8685" w14:textId="7EFD6EE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-0.042</w:t>
            </w:r>
          </w:p>
        </w:tc>
        <w:tc>
          <w:tcPr>
            <w:tcW w:w="777" w:type="dxa"/>
            <w:tcBorders>
              <w:top w:val="nil"/>
              <w:left w:val="nil"/>
              <w:bottom w:val="nil"/>
              <w:right w:val="nil"/>
            </w:tcBorders>
          </w:tcPr>
          <w:p w14:paraId="5F5B800B" w14:textId="519AC23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544C1D22" w14:textId="136F211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-0.005</w:t>
            </w:r>
          </w:p>
        </w:tc>
        <w:tc>
          <w:tcPr>
            <w:tcW w:w="777" w:type="dxa"/>
            <w:tcBorders>
              <w:top w:val="nil"/>
              <w:left w:val="nil"/>
              <w:bottom w:val="nil"/>
              <w:right w:val="nil"/>
            </w:tcBorders>
          </w:tcPr>
          <w:p w14:paraId="070673DA" w14:textId="52C177C7"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-0.031</w:t>
            </w:r>
          </w:p>
        </w:tc>
        <w:tc>
          <w:tcPr>
            <w:tcW w:w="777" w:type="dxa"/>
            <w:tcBorders>
              <w:top w:val="nil"/>
              <w:left w:val="nil"/>
              <w:bottom w:val="nil"/>
              <w:right w:val="nil"/>
            </w:tcBorders>
          </w:tcPr>
          <w:p w14:paraId="1D972526" w14:textId="677FADA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08DDEED6" w14:textId="77777777" w:rsidTr="009F3862">
        <w:trPr>
          <w:gridAfter w:val="3"/>
          <w:wAfter w:w="2331" w:type="dxa"/>
          <w:jc w:val="center"/>
        </w:trPr>
        <w:tc>
          <w:tcPr>
            <w:tcW w:w="3628" w:type="dxa"/>
            <w:tcBorders>
              <w:top w:val="nil"/>
              <w:left w:val="nil"/>
              <w:bottom w:val="nil"/>
              <w:right w:val="nil"/>
            </w:tcBorders>
          </w:tcPr>
          <w:p w14:paraId="1BB837B0" w14:textId="32895ED3"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(11) </w:t>
            </w:r>
            <w:r w:rsidRPr="003125D8">
              <w:rPr>
                <w:b/>
                <w:bCs/>
                <w:sz w:val="20"/>
                <w:szCs w:val="20"/>
                <w:lang w:val="en-US"/>
              </w:rPr>
              <w:t>Administrative law</w:t>
            </w:r>
          </w:p>
        </w:tc>
        <w:tc>
          <w:tcPr>
            <w:tcW w:w="777" w:type="dxa"/>
            <w:tcBorders>
              <w:top w:val="nil"/>
              <w:left w:val="nil"/>
              <w:bottom w:val="nil"/>
              <w:right w:val="nil"/>
            </w:tcBorders>
          </w:tcPr>
          <w:p w14:paraId="053D268B" w14:textId="2F542AD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0.083</w:t>
            </w:r>
          </w:p>
        </w:tc>
        <w:tc>
          <w:tcPr>
            <w:tcW w:w="777" w:type="dxa"/>
            <w:tcBorders>
              <w:top w:val="nil"/>
              <w:left w:val="nil"/>
              <w:bottom w:val="nil"/>
              <w:right w:val="nil"/>
            </w:tcBorders>
          </w:tcPr>
          <w:p w14:paraId="15FC608A" w14:textId="32BBCD2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-0.028</w:t>
            </w:r>
          </w:p>
        </w:tc>
        <w:tc>
          <w:tcPr>
            <w:tcW w:w="777" w:type="dxa"/>
            <w:tcBorders>
              <w:top w:val="nil"/>
              <w:left w:val="nil"/>
              <w:bottom w:val="nil"/>
              <w:right w:val="nil"/>
            </w:tcBorders>
          </w:tcPr>
          <w:p w14:paraId="0E1050E6" w14:textId="202021D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-0.025</w:t>
            </w:r>
          </w:p>
        </w:tc>
        <w:tc>
          <w:tcPr>
            <w:tcW w:w="778" w:type="dxa"/>
            <w:tcBorders>
              <w:top w:val="nil"/>
              <w:left w:val="nil"/>
              <w:bottom w:val="nil"/>
              <w:right w:val="nil"/>
            </w:tcBorders>
          </w:tcPr>
          <w:p w14:paraId="22FC34F7" w14:textId="125DE761"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-0.025</w:t>
            </w:r>
          </w:p>
        </w:tc>
        <w:tc>
          <w:tcPr>
            <w:tcW w:w="777" w:type="dxa"/>
            <w:tcBorders>
              <w:top w:val="nil"/>
              <w:left w:val="nil"/>
              <w:bottom w:val="nil"/>
              <w:right w:val="nil"/>
            </w:tcBorders>
          </w:tcPr>
          <w:p w14:paraId="40889E0E" w14:textId="1856FC5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-0.045</w:t>
            </w:r>
          </w:p>
        </w:tc>
        <w:tc>
          <w:tcPr>
            <w:tcW w:w="777" w:type="dxa"/>
            <w:tcBorders>
              <w:top w:val="nil"/>
              <w:left w:val="nil"/>
              <w:bottom w:val="nil"/>
              <w:right w:val="nil"/>
            </w:tcBorders>
          </w:tcPr>
          <w:p w14:paraId="54244D03" w14:textId="3116FE4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-0.030</w:t>
            </w:r>
          </w:p>
        </w:tc>
        <w:tc>
          <w:tcPr>
            <w:tcW w:w="777" w:type="dxa"/>
            <w:tcBorders>
              <w:top w:val="nil"/>
              <w:left w:val="nil"/>
              <w:bottom w:val="nil"/>
              <w:right w:val="nil"/>
            </w:tcBorders>
          </w:tcPr>
          <w:p w14:paraId="0FAB4256" w14:textId="4AF2FD2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-0.002</w:t>
            </w:r>
          </w:p>
        </w:tc>
        <w:tc>
          <w:tcPr>
            <w:tcW w:w="777" w:type="dxa"/>
            <w:tcBorders>
              <w:top w:val="nil"/>
              <w:left w:val="nil"/>
              <w:bottom w:val="nil"/>
              <w:right w:val="nil"/>
            </w:tcBorders>
          </w:tcPr>
          <w:p w14:paraId="381C9357" w14:textId="436EC7CE"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3B4D4FFD" w14:textId="2B5D741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-0.023</w:t>
            </w:r>
          </w:p>
        </w:tc>
        <w:tc>
          <w:tcPr>
            <w:tcW w:w="777" w:type="dxa"/>
            <w:tcBorders>
              <w:top w:val="nil"/>
              <w:left w:val="nil"/>
              <w:bottom w:val="nil"/>
              <w:right w:val="nil"/>
            </w:tcBorders>
          </w:tcPr>
          <w:p w14:paraId="20027F85" w14:textId="7CAEE835"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-0.025</w:t>
            </w:r>
          </w:p>
        </w:tc>
        <w:tc>
          <w:tcPr>
            <w:tcW w:w="778" w:type="dxa"/>
            <w:tcBorders>
              <w:top w:val="nil"/>
              <w:left w:val="nil"/>
              <w:bottom w:val="nil"/>
              <w:right w:val="nil"/>
            </w:tcBorders>
          </w:tcPr>
          <w:p w14:paraId="1AE2C64B" w14:textId="29F1484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34EF41B7" w14:textId="77777777" w:rsidTr="009F3862">
        <w:trPr>
          <w:gridAfter w:val="2"/>
          <w:wAfter w:w="1554" w:type="dxa"/>
          <w:jc w:val="center"/>
        </w:trPr>
        <w:tc>
          <w:tcPr>
            <w:tcW w:w="3628" w:type="dxa"/>
            <w:tcBorders>
              <w:top w:val="nil"/>
              <w:left w:val="nil"/>
              <w:bottom w:val="nil"/>
              <w:right w:val="nil"/>
            </w:tcBorders>
          </w:tcPr>
          <w:p w14:paraId="45203513" w14:textId="4C0AD3F5"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(12) </w:t>
            </w:r>
            <w:r w:rsidRPr="003125D8">
              <w:rPr>
                <w:b/>
                <w:bCs/>
                <w:sz w:val="20"/>
                <w:szCs w:val="20"/>
                <w:lang w:val="en-US"/>
              </w:rPr>
              <w:t>Banking law</w:t>
            </w:r>
          </w:p>
        </w:tc>
        <w:tc>
          <w:tcPr>
            <w:tcW w:w="777" w:type="dxa"/>
            <w:tcBorders>
              <w:top w:val="nil"/>
              <w:left w:val="nil"/>
              <w:bottom w:val="nil"/>
              <w:right w:val="nil"/>
            </w:tcBorders>
          </w:tcPr>
          <w:p w14:paraId="7FA0EF9E" w14:textId="43D01F88"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0.088</w:t>
            </w:r>
          </w:p>
        </w:tc>
        <w:tc>
          <w:tcPr>
            <w:tcW w:w="777" w:type="dxa"/>
            <w:tcBorders>
              <w:top w:val="nil"/>
              <w:left w:val="nil"/>
              <w:bottom w:val="nil"/>
              <w:right w:val="nil"/>
            </w:tcBorders>
          </w:tcPr>
          <w:p w14:paraId="5C1578CF" w14:textId="6D55501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-0.023</w:t>
            </w:r>
          </w:p>
        </w:tc>
        <w:tc>
          <w:tcPr>
            <w:tcW w:w="777" w:type="dxa"/>
            <w:tcBorders>
              <w:top w:val="nil"/>
              <w:left w:val="nil"/>
              <w:bottom w:val="nil"/>
              <w:right w:val="nil"/>
            </w:tcBorders>
          </w:tcPr>
          <w:p w14:paraId="3EC87324" w14:textId="05C3214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-0.020</w:t>
            </w:r>
          </w:p>
        </w:tc>
        <w:tc>
          <w:tcPr>
            <w:tcW w:w="778" w:type="dxa"/>
            <w:tcBorders>
              <w:top w:val="nil"/>
              <w:left w:val="nil"/>
              <w:bottom w:val="nil"/>
              <w:right w:val="nil"/>
            </w:tcBorders>
          </w:tcPr>
          <w:p w14:paraId="2AF61308" w14:textId="4A06324C"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-0.021</w:t>
            </w:r>
          </w:p>
        </w:tc>
        <w:tc>
          <w:tcPr>
            <w:tcW w:w="777" w:type="dxa"/>
            <w:tcBorders>
              <w:top w:val="nil"/>
              <w:left w:val="nil"/>
              <w:bottom w:val="nil"/>
              <w:right w:val="nil"/>
            </w:tcBorders>
          </w:tcPr>
          <w:p w14:paraId="3D44E369" w14:textId="0D9EA2FC"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-0.036</w:t>
            </w:r>
          </w:p>
        </w:tc>
        <w:tc>
          <w:tcPr>
            <w:tcW w:w="777" w:type="dxa"/>
            <w:tcBorders>
              <w:top w:val="nil"/>
              <w:left w:val="nil"/>
              <w:bottom w:val="nil"/>
              <w:right w:val="nil"/>
            </w:tcBorders>
          </w:tcPr>
          <w:p w14:paraId="16D51441" w14:textId="281A1A8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-0.024</w:t>
            </w:r>
          </w:p>
        </w:tc>
        <w:tc>
          <w:tcPr>
            <w:tcW w:w="777" w:type="dxa"/>
            <w:tcBorders>
              <w:top w:val="nil"/>
              <w:left w:val="nil"/>
              <w:bottom w:val="nil"/>
              <w:right w:val="nil"/>
            </w:tcBorders>
          </w:tcPr>
          <w:p w14:paraId="0776C4AE" w14:textId="66A190F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-0.002</w:t>
            </w:r>
          </w:p>
        </w:tc>
        <w:tc>
          <w:tcPr>
            <w:tcW w:w="777" w:type="dxa"/>
            <w:tcBorders>
              <w:top w:val="nil"/>
              <w:left w:val="nil"/>
              <w:bottom w:val="nil"/>
              <w:right w:val="nil"/>
            </w:tcBorders>
          </w:tcPr>
          <w:p w14:paraId="7263EA20" w14:textId="08A3481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-0.003</w:t>
            </w:r>
          </w:p>
        </w:tc>
        <w:tc>
          <w:tcPr>
            <w:tcW w:w="777" w:type="dxa"/>
            <w:tcBorders>
              <w:top w:val="nil"/>
              <w:left w:val="nil"/>
              <w:bottom w:val="nil"/>
              <w:right w:val="nil"/>
            </w:tcBorders>
          </w:tcPr>
          <w:p w14:paraId="7E19C030" w14:textId="5128B6B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-0.018</w:t>
            </w:r>
          </w:p>
        </w:tc>
        <w:tc>
          <w:tcPr>
            <w:tcW w:w="777" w:type="dxa"/>
            <w:tcBorders>
              <w:top w:val="nil"/>
              <w:left w:val="nil"/>
              <w:bottom w:val="nil"/>
              <w:right w:val="nil"/>
            </w:tcBorders>
          </w:tcPr>
          <w:p w14:paraId="3CEEE74D" w14:textId="32B65AA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-0.020</w:t>
            </w:r>
          </w:p>
        </w:tc>
        <w:tc>
          <w:tcPr>
            <w:tcW w:w="778" w:type="dxa"/>
            <w:tcBorders>
              <w:top w:val="nil"/>
              <w:left w:val="nil"/>
              <w:bottom w:val="nil"/>
              <w:right w:val="nil"/>
            </w:tcBorders>
          </w:tcPr>
          <w:p w14:paraId="342C442C" w14:textId="1A1E049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-0.014</w:t>
            </w:r>
          </w:p>
        </w:tc>
        <w:tc>
          <w:tcPr>
            <w:tcW w:w="777" w:type="dxa"/>
            <w:tcBorders>
              <w:top w:val="nil"/>
              <w:left w:val="nil"/>
              <w:bottom w:val="nil"/>
              <w:right w:val="nil"/>
            </w:tcBorders>
          </w:tcPr>
          <w:p w14:paraId="2140259A" w14:textId="6FA3D37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bookmarkEnd w:id="6"/>
      <w:tr w:rsidR="007C2EF8" w:rsidRPr="007C2EF8" w14:paraId="3A5ED845" w14:textId="77777777" w:rsidTr="009F3862">
        <w:trPr>
          <w:gridAfter w:val="1"/>
          <w:wAfter w:w="777" w:type="dxa"/>
          <w:jc w:val="center"/>
        </w:trPr>
        <w:tc>
          <w:tcPr>
            <w:tcW w:w="3628" w:type="dxa"/>
            <w:tcBorders>
              <w:top w:val="nil"/>
              <w:left w:val="nil"/>
              <w:bottom w:val="nil"/>
              <w:right w:val="nil"/>
            </w:tcBorders>
          </w:tcPr>
          <w:p w14:paraId="59B8C8DE" w14:textId="76E38A7E"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(13) </w:t>
            </w:r>
            <w:r w:rsidRPr="003125D8">
              <w:rPr>
                <w:b/>
                <w:bCs/>
                <w:sz w:val="20"/>
                <w:szCs w:val="20"/>
                <w:lang w:val="en-US"/>
              </w:rPr>
              <w:t>Other institutes</w:t>
            </w:r>
          </w:p>
        </w:tc>
        <w:tc>
          <w:tcPr>
            <w:tcW w:w="777" w:type="dxa"/>
            <w:tcBorders>
              <w:top w:val="nil"/>
              <w:left w:val="nil"/>
              <w:bottom w:val="nil"/>
              <w:right w:val="nil"/>
            </w:tcBorders>
          </w:tcPr>
          <w:p w14:paraId="20FEE01D" w14:textId="7B62B164"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0.106</w:t>
            </w:r>
          </w:p>
        </w:tc>
        <w:tc>
          <w:tcPr>
            <w:tcW w:w="777" w:type="dxa"/>
            <w:tcBorders>
              <w:top w:val="nil"/>
              <w:left w:val="nil"/>
              <w:bottom w:val="nil"/>
              <w:right w:val="nil"/>
            </w:tcBorders>
          </w:tcPr>
          <w:p w14:paraId="6CE88EDA" w14:textId="65B0113E"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-0.054</w:t>
            </w:r>
          </w:p>
        </w:tc>
        <w:tc>
          <w:tcPr>
            <w:tcW w:w="777" w:type="dxa"/>
            <w:tcBorders>
              <w:top w:val="nil"/>
              <w:left w:val="nil"/>
              <w:bottom w:val="nil"/>
              <w:right w:val="nil"/>
            </w:tcBorders>
          </w:tcPr>
          <w:p w14:paraId="30BD24A0" w14:textId="3E568DD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-0.049</w:t>
            </w:r>
          </w:p>
        </w:tc>
        <w:tc>
          <w:tcPr>
            <w:tcW w:w="778" w:type="dxa"/>
            <w:tcBorders>
              <w:top w:val="nil"/>
              <w:left w:val="nil"/>
              <w:bottom w:val="nil"/>
              <w:right w:val="nil"/>
            </w:tcBorders>
          </w:tcPr>
          <w:p w14:paraId="6332E976" w14:textId="0ABE0B6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-0.049</w:t>
            </w:r>
          </w:p>
        </w:tc>
        <w:tc>
          <w:tcPr>
            <w:tcW w:w="777" w:type="dxa"/>
            <w:tcBorders>
              <w:top w:val="nil"/>
              <w:left w:val="nil"/>
              <w:bottom w:val="nil"/>
              <w:right w:val="nil"/>
            </w:tcBorders>
          </w:tcPr>
          <w:p w14:paraId="33333DD1" w14:textId="42C6E2A2"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-0.087</w:t>
            </w:r>
          </w:p>
        </w:tc>
        <w:tc>
          <w:tcPr>
            <w:tcW w:w="777" w:type="dxa"/>
            <w:tcBorders>
              <w:top w:val="nil"/>
              <w:left w:val="nil"/>
              <w:bottom w:val="nil"/>
              <w:right w:val="nil"/>
            </w:tcBorders>
          </w:tcPr>
          <w:p w14:paraId="4FD74E9F" w14:textId="5DDAEDA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-0.058</w:t>
            </w:r>
          </w:p>
        </w:tc>
        <w:tc>
          <w:tcPr>
            <w:tcW w:w="777" w:type="dxa"/>
            <w:tcBorders>
              <w:top w:val="nil"/>
              <w:left w:val="nil"/>
              <w:bottom w:val="nil"/>
              <w:right w:val="nil"/>
            </w:tcBorders>
          </w:tcPr>
          <w:p w14:paraId="11EFFF7C" w14:textId="38E94577"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-0.004</w:t>
            </w:r>
          </w:p>
        </w:tc>
        <w:tc>
          <w:tcPr>
            <w:tcW w:w="777" w:type="dxa"/>
            <w:tcBorders>
              <w:top w:val="nil"/>
              <w:left w:val="nil"/>
              <w:bottom w:val="nil"/>
              <w:right w:val="nil"/>
            </w:tcBorders>
          </w:tcPr>
          <w:p w14:paraId="3F28E3BB" w14:textId="6292836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-0.007</w:t>
            </w:r>
          </w:p>
        </w:tc>
        <w:tc>
          <w:tcPr>
            <w:tcW w:w="777" w:type="dxa"/>
            <w:tcBorders>
              <w:top w:val="nil"/>
              <w:left w:val="nil"/>
              <w:bottom w:val="nil"/>
              <w:right w:val="nil"/>
            </w:tcBorders>
          </w:tcPr>
          <w:p w14:paraId="1EB552CE" w14:textId="50BF8B1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-0.043</w:t>
            </w:r>
          </w:p>
        </w:tc>
        <w:tc>
          <w:tcPr>
            <w:tcW w:w="777" w:type="dxa"/>
            <w:tcBorders>
              <w:top w:val="nil"/>
              <w:left w:val="nil"/>
              <w:bottom w:val="nil"/>
              <w:right w:val="nil"/>
            </w:tcBorders>
          </w:tcPr>
          <w:p w14:paraId="2D366275" w14:textId="59240137"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-0.047</w:t>
            </w:r>
          </w:p>
        </w:tc>
        <w:tc>
          <w:tcPr>
            <w:tcW w:w="778" w:type="dxa"/>
            <w:tcBorders>
              <w:top w:val="nil"/>
              <w:left w:val="nil"/>
              <w:bottom w:val="nil"/>
              <w:right w:val="nil"/>
            </w:tcBorders>
          </w:tcPr>
          <w:p w14:paraId="1A6BF022" w14:textId="66A5B26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-0.034</w:t>
            </w:r>
          </w:p>
        </w:tc>
        <w:tc>
          <w:tcPr>
            <w:tcW w:w="777" w:type="dxa"/>
            <w:tcBorders>
              <w:top w:val="nil"/>
              <w:left w:val="nil"/>
              <w:bottom w:val="nil"/>
              <w:right w:val="nil"/>
            </w:tcBorders>
          </w:tcPr>
          <w:p w14:paraId="39E802B9" w14:textId="73934EE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-0.027</w:t>
            </w:r>
          </w:p>
        </w:tc>
        <w:tc>
          <w:tcPr>
            <w:tcW w:w="777" w:type="dxa"/>
            <w:tcBorders>
              <w:top w:val="nil"/>
              <w:left w:val="nil"/>
              <w:bottom w:val="nil"/>
              <w:right w:val="nil"/>
            </w:tcBorders>
          </w:tcPr>
          <w:p w14:paraId="14BD39CB" w14:textId="2789DE70"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r w:rsidR="007C2EF8" w:rsidRPr="007C2EF8" w14:paraId="040A010E" w14:textId="77777777" w:rsidTr="009F3862">
        <w:trPr>
          <w:jc w:val="center"/>
        </w:trPr>
        <w:tc>
          <w:tcPr>
            <w:tcW w:w="3628" w:type="dxa"/>
            <w:tcBorders>
              <w:top w:val="nil"/>
              <w:left w:val="nil"/>
              <w:bottom w:val="nil"/>
              <w:right w:val="nil"/>
            </w:tcBorders>
          </w:tcPr>
          <w:p w14:paraId="639B9965" w14:textId="798EA3FB" w:rsidR="007C2EF8" w:rsidRPr="003125D8" w:rsidRDefault="007C2EF8" w:rsidP="007C2EF8">
            <w:pPr>
              <w:widowControl w:val="0"/>
              <w:autoSpaceDE w:val="0"/>
              <w:autoSpaceDN w:val="0"/>
              <w:adjustRightInd w:val="0"/>
              <w:rPr>
                <w:sz w:val="20"/>
                <w:szCs w:val="20"/>
                <w:lang w:val="en-US"/>
              </w:rPr>
            </w:pPr>
            <w:r w:rsidRPr="003125D8">
              <w:rPr>
                <w:b/>
                <w:bCs/>
                <w:sz w:val="20"/>
                <w:szCs w:val="20"/>
                <w:lang w:val="en-US"/>
                <w14:ligatures w14:val="standardContextual"/>
              </w:rPr>
              <w:t xml:space="preserve"> (14) </w:t>
            </w:r>
            <w:r w:rsidRPr="003125D8">
              <w:rPr>
                <w:b/>
                <w:bCs/>
                <w:sz w:val="20"/>
                <w:szCs w:val="20"/>
                <w:lang w:val="en-US"/>
              </w:rPr>
              <w:t>Special proceedings</w:t>
            </w:r>
          </w:p>
        </w:tc>
        <w:tc>
          <w:tcPr>
            <w:tcW w:w="777" w:type="dxa"/>
            <w:tcBorders>
              <w:top w:val="nil"/>
              <w:left w:val="nil"/>
              <w:bottom w:val="nil"/>
              <w:right w:val="nil"/>
            </w:tcBorders>
          </w:tcPr>
          <w:p w14:paraId="635898B9" w14:textId="4F220B38"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-0.659</w:t>
            </w:r>
          </w:p>
        </w:tc>
        <w:tc>
          <w:tcPr>
            <w:tcW w:w="777" w:type="dxa"/>
            <w:tcBorders>
              <w:top w:val="nil"/>
              <w:left w:val="nil"/>
              <w:bottom w:val="nil"/>
              <w:right w:val="nil"/>
            </w:tcBorders>
          </w:tcPr>
          <w:p w14:paraId="58E7D3A9" w14:textId="10019AF5"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-0.250</w:t>
            </w:r>
          </w:p>
        </w:tc>
        <w:tc>
          <w:tcPr>
            <w:tcW w:w="777" w:type="dxa"/>
            <w:tcBorders>
              <w:top w:val="nil"/>
              <w:left w:val="nil"/>
              <w:bottom w:val="nil"/>
              <w:right w:val="nil"/>
            </w:tcBorders>
          </w:tcPr>
          <w:p w14:paraId="50AFEE28" w14:textId="7B3DC44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-0.225</w:t>
            </w:r>
          </w:p>
        </w:tc>
        <w:tc>
          <w:tcPr>
            <w:tcW w:w="778" w:type="dxa"/>
            <w:tcBorders>
              <w:top w:val="nil"/>
              <w:left w:val="nil"/>
              <w:bottom w:val="nil"/>
              <w:right w:val="nil"/>
            </w:tcBorders>
          </w:tcPr>
          <w:p w14:paraId="085066BA" w14:textId="756340E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-0.226</w:t>
            </w:r>
          </w:p>
        </w:tc>
        <w:tc>
          <w:tcPr>
            <w:tcW w:w="777" w:type="dxa"/>
            <w:tcBorders>
              <w:top w:val="nil"/>
              <w:left w:val="nil"/>
              <w:bottom w:val="nil"/>
              <w:right w:val="nil"/>
            </w:tcBorders>
          </w:tcPr>
          <w:p w14:paraId="0F819A28" w14:textId="684B55E9"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-0.402</w:t>
            </w:r>
          </w:p>
        </w:tc>
        <w:tc>
          <w:tcPr>
            <w:tcW w:w="777" w:type="dxa"/>
            <w:tcBorders>
              <w:top w:val="nil"/>
              <w:left w:val="nil"/>
              <w:bottom w:val="nil"/>
              <w:right w:val="nil"/>
            </w:tcBorders>
          </w:tcPr>
          <w:p w14:paraId="7A03A6ED" w14:textId="0277A9AF"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-0.267</w:t>
            </w:r>
          </w:p>
        </w:tc>
        <w:tc>
          <w:tcPr>
            <w:tcW w:w="777" w:type="dxa"/>
            <w:tcBorders>
              <w:top w:val="nil"/>
              <w:left w:val="nil"/>
              <w:bottom w:val="nil"/>
              <w:right w:val="nil"/>
            </w:tcBorders>
          </w:tcPr>
          <w:p w14:paraId="7927CD5A" w14:textId="1CA3DF3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-0.018</w:t>
            </w:r>
          </w:p>
        </w:tc>
        <w:tc>
          <w:tcPr>
            <w:tcW w:w="777" w:type="dxa"/>
            <w:tcBorders>
              <w:top w:val="nil"/>
              <w:left w:val="nil"/>
              <w:bottom w:val="nil"/>
              <w:right w:val="nil"/>
            </w:tcBorders>
          </w:tcPr>
          <w:p w14:paraId="06FDEE42" w14:textId="643ABBCA"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-0.030</w:t>
            </w:r>
          </w:p>
        </w:tc>
        <w:tc>
          <w:tcPr>
            <w:tcW w:w="777" w:type="dxa"/>
            <w:tcBorders>
              <w:top w:val="nil"/>
              <w:left w:val="nil"/>
              <w:bottom w:val="nil"/>
              <w:right w:val="nil"/>
            </w:tcBorders>
          </w:tcPr>
          <w:p w14:paraId="56AA177E" w14:textId="76E6AB73"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-0.201</w:t>
            </w:r>
          </w:p>
        </w:tc>
        <w:tc>
          <w:tcPr>
            <w:tcW w:w="777" w:type="dxa"/>
            <w:tcBorders>
              <w:top w:val="nil"/>
              <w:left w:val="nil"/>
              <w:bottom w:val="nil"/>
              <w:right w:val="nil"/>
            </w:tcBorders>
          </w:tcPr>
          <w:p w14:paraId="56541B7B" w14:textId="2C4E57E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-0.218</w:t>
            </w:r>
          </w:p>
        </w:tc>
        <w:tc>
          <w:tcPr>
            <w:tcW w:w="778" w:type="dxa"/>
            <w:tcBorders>
              <w:top w:val="nil"/>
              <w:left w:val="nil"/>
              <w:bottom w:val="nil"/>
              <w:right w:val="nil"/>
            </w:tcBorders>
          </w:tcPr>
          <w:p w14:paraId="73AF2E4C" w14:textId="06697A66"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-0.157</w:t>
            </w:r>
          </w:p>
        </w:tc>
        <w:tc>
          <w:tcPr>
            <w:tcW w:w="777" w:type="dxa"/>
            <w:tcBorders>
              <w:top w:val="nil"/>
              <w:left w:val="nil"/>
              <w:bottom w:val="nil"/>
              <w:right w:val="nil"/>
            </w:tcBorders>
          </w:tcPr>
          <w:p w14:paraId="22901A0A" w14:textId="0903EFA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-0.127</w:t>
            </w:r>
          </w:p>
        </w:tc>
        <w:tc>
          <w:tcPr>
            <w:tcW w:w="777" w:type="dxa"/>
            <w:tcBorders>
              <w:top w:val="nil"/>
              <w:left w:val="nil"/>
              <w:bottom w:val="nil"/>
              <w:right w:val="nil"/>
            </w:tcBorders>
          </w:tcPr>
          <w:p w14:paraId="0D43B200" w14:textId="031A09EB" w:rsidR="007C2EF8" w:rsidRPr="007C2EF8" w:rsidRDefault="007C2EF8" w:rsidP="007C2EF8">
            <w:pPr>
              <w:widowControl w:val="0"/>
              <w:autoSpaceDE w:val="0"/>
              <w:autoSpaceDN w:val="0"/>
              <w:adjustRightInd w:val="0"/>
              <w:jc w:val="right"/>
              <w:rPr>
                <w:sz w:val="20"/>
                <w:szCs w:val="20"/>
                <w:lang w:val="en-US"/>
              </w:rPr>
            </w:pPr>
            <w:r w:rsidRPr="007C2EF8">
              <w:rPr>
                <w:sz w:val="20"/>
                <w:szCs w:val="20"/>
              </w:rPr>
              <w:t>-0.302</w:t>
            </w:r>
          </w:p>
        </w:tc>
        <w:tc>
          <w:tcPr>
            <w:tcW w:w="777" w:type="dxa"/>
            <w:tcBorders>
              <w:top w:val="nil"/>
              <w:left w:val="nil"/>
              <w:bottom w:val="nil"/>
              <w:right w:val="nil"/>
            </w:tcBorders>
          </w:tcPr>
          <w:p w14:paraId="79105E99" w14:textId="7939148D" w:rsidR="007C2EF8" w:rsidRPr="007C2EF8" w:rsidRDefault="007C2EF8" w:rsidP="007C2EF8">
            <w:pPr>
              <w:widowControl w:val="0"/>
              <w:autoSpaceDE w:val="0"/>
              <w:autoSpaceDN w:val="0"/>
              <w:adjustRightInd w:val="0"/>
              <w:jc w:val="right"/>
              <w:rPr>
                <w:sz w:val="20"/>
                <w:szCs w:val="20"/>
                <w:lang w:val="en-US"/>
              </w:rPr>
            </w:pPr>
            <w:r w:rsidRPr="007C2EF8">
              <w:rPr>
                <w:sz w:val="20"/>
                <w:szCs w:val="20"/>
              </w:rPr>
              <w:t>1.000</w:t>
            </w:r>
          </w:p>
        </w:tc>
      </w:tr>
    </w:tbl>
    <w:p w14:paraId="328E8FA5" w14:textId="23A21E3C" w:rsidR="005420E6" w:rsidRDefault="005420E6" w:rsidP="005420E6">
      <w:pPr>
        <w:pBdr>
          <w:top w:val="nil"/>
          <w:left w:val="nil"/>
          <w:bottom w:val="nil"/>
          <w:right w:val="nil"/>
          <w:between w:val="nil"/>
          <w:bar w:val="nil"/>
        </w:pBdr>
        <w:spacing w:after="120" w:line="480" w:lineRule="auto"/>
        <w:jc w:val="both"/>
        <w:rPr>
          <w:rFonts w:eastAsia="Calibri" w:cs="Calibri"/>
          <w:color w:val="000000"/>
          <w:u w:color="000000"/>
          <w:bdr w:val="nil"/>
          <w:lang w:val="en-US"/>
        </w:rPr>
      </w:pPr>
      <w:r w:rsidRPr="00F349B3">
        <w:rPr>
          <w:sz w:val="16"/>
          <w:szCs w:val="16"/>
          <w:lang w:val="en-GB"/>
        </w:rPr>
        <w:t>Source: our elaboration</w:t>
      </w:r>
      <w:r w:rsidR="007E6A76">
        <w:rPr>
          <w:sz w:val="16"/>
          <w:szCs w:val="16"/>
          <w:lang w:val="en-GB"/>
        </w:rPr>
        <w:t xml:space="preserve">. </w:t>
      </w:r>
    </w:p>
    <w:p w14:paraId="29193B3D" w14:textId="77777777" w:rsidR="0098544C" w:rsidRDefault="0098544C" w:rsidP="003326EC">
      <w:pPr>
        <w:pBdr>
          <w:top w:val="nil"/>
          <w:left w:val="nil"/>
          <w:bottom w:val="nil"/>
          <w:right w:val="nil"/>
          <w:between w:val="nil"/>
          <w:bar w:val="nil"/>
        </w:pBdr>
        <w:spacing w:after="120" w:line="480" w:lineRule="auto"/>
        <w:jc w:val="both"/>
        <w:rPr>
          <w:rFonts w:eastAsia="Calibri" w:cs="Calibri"/>
          <w:color w:val="000000"/>
          <w:u w:color="000000"/>
          <w:bdr w:val="nil"/>
          <w:lang w:val="en-US"/>
        </w:rPr>
      </w:pPr>
    </w:p>
    <w:p w14:paraId="2010EB31" w14:textId="77777777" w:rsidR="003125D8" w:rsidRDefault="003125D8" w:rsidP="003326EC">
      <w:pPr>
        <w:pBdr>
          <w:top w:val="nil"/>
          <w:left w:val="nil"/>
          <w:bottom w:val="nil"/>
          <w:right w:val="nil"/>
          <w:between w:val="nil"/>
          <w:bar w:val="nil"/>
        </w:pBdr>
        <w:spacing w:after="120" w:line="480" w:lineRule="auto"/>
        <w:jc w:val="both"/>
        <w:rPr>
          <w:rFonts w:eastAsia="Calibri" w:cs="Calibri"/>
          <w:color w:val="000000"/>
          <w:u w:color="000000"/>
          <w:bdr w:val="nil"/>
          <w:lang w:val="en-US"/>
        </w:rPr>
      </w:pPr>
    </w:p>
    <w:p w14:paraId="74DA4235" w14:textId="77777777" w:rsidR="003125D8" w:rsidRDefault="003125D8" w:rsidP="003326EC">
      <w:pPr>
        <w:pBdr>
          <w:top w:val="nil"/>
          <w:left w:val="nil"/>
          <w:bottom w:val="nil"/>
          <w:right w:val="nil"/>
          <w:between w:val="nil"/>
          <w:bar w:val="nil"/>
        </w:pBdr>
        <w:spacing w:after="120" w:line="480" w:lineRule="auto"/>
        <w:jc w:val="both"/>
        <w:rPr>
          <w:rFonts w:eastAsia="Calibri" w:cs="Calibri"/>
          <w:color w:val="000000"/>
          <w:u w:color="000000"/>
          <w:bdr w:val="nil"/>
          <w:lang w:val="en-US"/>
        </w:rPr>
        <w:sectPr w:rsidR="003125D8" w:rsidSect="0098544C">
          <w:pgSz w:w="16838" w:h="11906" w:orient="landscape"/>
          <w:pgMar w:top="1701" w:right="1559" w:bottom="1701" w:left="1559" w:header="709" w:footer="709" w:gutter="284"/>
          <w:cols w:space="708"/>
          <w:titlePg/>
          <w:docGrid w:linePitch="360"/>
        </w:sectPr>
      </w:pPr>
    </w:p>
    <w:p w14:paraId="28080BD1" w14:textId="7BFAA51F" w:rsidR="00F904B1" w:rsidRPr="00F904B1" w:rsidRDefault="00F904B1" w:rsidP="00F904B1">
      <w:pPr>
        <w:pBdr>
          <w:top w:val="nil"/>
          <w:left w:val="nil"/>
          <w:bottom w:val="nil"/>
          <w:right w:val="nil"/>
          <w:between w:val="nil"/>
          <w:bar w:val="nil"/>
        </w:pBdr>
        <w:spacing w:after="120" w:line="480" w:lineRule="auto"/>
        <w:jc w:val="both"/>
        <w:rPr>
          <w:rFonts w:eastAsia="Calibri" w:cs="Calibri"/>
          <w:color w:val="000000"/>
          <w:u w:color="000000"/>
          <w:bdr w:val="nil"/>
          <w:lang w:val="en-GB"/>
        </w:rPr>
      </w:pPr>
      <w:r w:rsidRPr="0001447F">
        <w:rPr>
          <w:rFonts w:eastAsia="Calibri" w:cs="Calibri"/>
          <w:color w:val="000000"/>
          <w:u w:color="000000"/>
          <w:bdr w:val="nil"/>
          <w:lang w:val="en-US"/>
        </w:rPr>
        <w:lastRenderedPageBreak/>
        <w:t>The sample is composed</w:t>
      </w:r>
      <w:r w:rsidR="00231A04">
        <w:rPr>
          <w:rFonts w:eastAsia="Calibri" w:cs="Calibri"/>
          <w:color w:val="000000"/>
          <w:u w:color="000000"/>
          <w:bdr w:val="nil"/>
          <w:lang w:val="en-US"/>
        </w:rPr>
        <w:t xml:space="preserve"> </w:t>
      </w:r>
      <w:r w:rsidR="00231A04" w:rsidRPr="0001447F">
        <w:rPr>
          <w:rFonts w:eastAsia="Calibri" w:cs="Calibri"/>
          <w:color w:val="000000"/>
          <w:u w:color="000000"/>
          <w:bdr w:val="nil"/>
          <w:lang w:val="en-GB"/>
        </w:rPr>
        <w:t xml:space="preserve">for 4.29% </w:t>
      </w:r>
      <w:r w:rsidR="00231A04">
        <w:rPr>
          <w:rFonts w:eastAsia="Calibri" w:cs="Calibri"/>
          <w:color w:val="000000"/>
          <w:u w:color="000000"/>
          <w:bdr w:val="nil"/>
          <w:lang w:val="en-US"/>
        </w:rPr>
        <w:t xml:space="preserve">by </w:t>
      </w:r>
      <w:r w:rsidRPr="0001447F">
        <w:rPr>
          <w:rFonts w:eastAsia="Calibri" w:cs="Calibri"/>
          <w:color w:val="000000"/>
          <w:u w:color="000000"/>
          <w:bdr w:val="nil"/>
          <w:lang w:val="en-GB"/>
        </w:rPr>
        <w:t>personality rights (</w:t>
      </w:r>
      <w:r w:rsidR="00492D4D" w:rsidRPr="0001447F">
        <w:rPr>
          <w:rFonts w:eastAsia="Calibri" w:cs="Calibri"/>
          <w:color w:val="000000"/>
          <w:u w:color="000000"/>
          <w:bdr w:val="nil"/>
          <w:lang w:val="en-GB"/>
        </w:rPr>
        <w:t>721</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3.50%</w:t>
      </w:r>
      <w:r w:rsidR="00231A04">
        <w:rPr>
          <w:rFonts w:eastAsia="Calibri" w:cs="Calibri"/>
          <w:color w:val="000000"/>
          <w:u w:color="000000"/>
          <w:bdr w:val="nil"/>
          <w:lang w:val="en-GB"/>
        </w:rPr>
        <w:t xml:space="preserve"> by </w:t>
      </w:r>
      <w:r w:rsidRPr="0001447F">
        <w:rPr>
          <w:rFonts w:eastAsia="Calibri" w:cs="Calibri"/>
          <w:color w:val="000000"/>
          <w:u w:color="000000"/>
          <w:bdr w:val="nil"/>
          <w:lang w:val="en-GB"/>
        </w:rPr>
        <w:t>family rights (</w:t>
      </w:r>
      <w:r w:rsidR="00492D4D" w:rsidRPr="0001447F">
        <w:rPr>
          <w:rFonts w:eastAsia="Calibri" w:cs="Calibri"/>
          <w:color w:val="000000"/>
          <w:u w:color="000000"/>
          <w:bdr w:val="nil"/>
          <w:lang w:val="en-GB"/>
        </w:rPr>
        <w:t>587</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3.53% </w:t>
      </w:r>
      <w:r w:rsidR="00231A04">
        <w:rPr>
          <w:rFonts w:eastAsia="Calibri" w:cs="Calibri"/>
          <w:color w:val="000000"/>
          <w:u w:color="000000"/>
          <w:bdr w:val="nil"/>
          <w:lang w:val="en-GB"/>
        </w:rPr>
        <w:t xml:space="preserve">by </w:t>
      </w:r>
      <w:r w:rsidRPr="0001447F">
        <w:rPr>
          <w:rFonts w:eastAsia="Calibri" w:cs="Calibri"/>
          <w:color w:val="000000"/>
          <w:u w:color="000000"/>
          <w:bdr w:val="nil"/>
          <w:lang w:val="en-GB"/>
        </w:rPr>
        <w:t>property and in</w:t>
      </w:r>
      <w:r w:rsidR="005069E8" w:rsidRPr="0001447F">
        <w:rPr>
          <w:rFonts w:eastAsia="Calibri" w:cs="Calibri"/>
          <w:color w:val="000000"/>
          <w:u w:color="000000"/>
          <w:bdr w:val="nil"/>
          <w:lang w:val="en-GB"/>
        </w:rPr>
        <w:t>heritance</w:t>
      </w:r>
      <w:r w:rsidRPr="0001447F">
        <w:rPr>
          <w:rFonts w:eastAsia="Calibri" w:cs="Calibri"/>
          <w:color w:val="000000"/>
          <w:u w:color="000000"/>
          <w:bdr w:val="nil"/>
          <w:lang w:val="en-GB"/>
        </w:rPr>
        <w:t xml:space="preserve"> law (</w:t>
      </w:r>
      <w:r w:rsidR="00492D4D" w:rsidRPr="0001447F">
        <w:rPr>
          <w:rFonts w:eastAsia="Calibri" w:cs="Calibri"/>
          <w:color w:val="000000"/>
          <w:u w:color="000000"/>
          <w:bdr w:val="nil"/>
          <w:lang w:val="en-GB"/>
        </w:rPr>
        <w:t>592</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10.38%</w:t>
      </w:r>
      <w:r w:rsidR="00231A04">
        <w:rPr>
          <w:rFonts w:eastAsia="Calibri" w:cs="Calibri"/>
          <w:color w:val="000000"/>
          <w:u w:color="000000"/>
          <w:bdr w:val="nil"/>
          <w:lang w:val="en-GB"/>
        </w:rPr>
        <w:t xml:space="preserve"> by </w:t>
      </w:r>
      <w:r w:rsidRPr="0001447F">
        <w:rPr>
          <w:rFonts w:eastAsia="Calibri" w:cs="Calibri"/>
          <w:color w:val="000000"/>
          <w:u w:color="000000"/>
          <w:bdr w:val="nil"/>
          <w:lang w:val="en-GB"/>
        </w:rPr>
        <w:t>contracts and obligations (</w:t>
      </w:r>
      <w:r w:rsidR="00492D4D" w:rsidRPr="0001447F">
        <w:rPr>
          <w:rFonts w:eastAsia="Calibri" w:cs="Calibri"/>
          <w:color w:val="000000"/>
          <w:u w:color="000000"/>
          <w:bdr w:val="nil"/>
          <w:lang w:val="en-GB"/>
        </w:rPr>
        <w:t>1,742</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4.88%</w:t>
      </w:r>
      <w:r w:rsidR="00231A04">
        <w:rPr>
          <w:rFonts w:eastAsia="Calibri" w:cs="Calibri"/>
          <w:color w:val="000000"/>
          <w:u w:color="000000"/>
          <w:bdr w:val="nil"/>
          <w:lang w:val="en-GB"/>
        </w:rPr>
        <w:t xml:space="preserve"> by </w:t>
      </w:r>
      <w:r w:rsidRPr="0001447F">
        <w:rPr>
          <w:rFonts w:eastAsia="Calibri" w:cs="Calibri"/>
          <w:color w:val="000000"/>
          <w:u w:color="000000"/>
          <w:bdr w:val="nil"/>
          <w:lang w:val="en-GB"/>
        </w:rPr>
        <w:t xml:space="preserve">liability </w:t>
      </w:r>
      <w:r w:rsidR="0051096F" w:rsidRPr="0001447F">
        <w:rPr>
          <w:rFonts w:eastAsia="Calibri" w:cs="Calibri"/>
          <w:color w:val="000000"/>
          <w:u w:color="000000"/>
          <w:bdr w:val="nil"/>
          <w:lang w:val="en-GB"/>
        </w:rPr>
        <w:t>for tort</w:t>
      </w:r>
      <w:r w:rsidRPr="0001447F">
        <w:rPr>
          <w:rFonts w:eastAsia="Calibri" w:cs="Calibri"/>
          <w:color w:val="000000"/>
          <w:u w:color="000000"/>
          <w:bdr w:val="nil"/>
          <w:lang w:val="en-GB"/>
        </w:rPr>
        <w:t xml:space="preserve"> (</w:t>
      </w:r>
      <w:r w:rsidR="00492D4D" w:rsidRPr="0001447F">
        <w:rPr>
          <w:rFonts w:eastAsia="Calibri" w:cs="Calibri"/>
          <w:color w:val="000000"/>
          <w:u w:color="000000"/>
          <w:bdr w:val="nil"/>
          <w:lang w:val="en-GB"/>
        </w:rPr>
        <w:t>819</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0.02% </w:t>
      </w:r>
      <w:r w:rsidR="00231A04">
        <w:rPr>
          <w:rFonts w:eastAsia="Calibri" w:cs="Calibri"/>
          <w:color w:val="000000"/>
          <w:u w:color="000000"/>
          <w:bdr w:val="nil"/>
          <w:lang w:val="en-GB"/>
        </w:rPr>
        <w:t xml:space="preserve">by </w:t>
      </w:r>
      <w:r w:rsidR="005069E8" w:rsidRPr="0001447F">
        <w:rPr>
          <w:rFonts w:eastAsia="Calibri" w:cs="Calibri"/>
          <w:color w:val="000000"/>
          <w:u w:color="000000"/>
          <w:bdr w:val="nil"/>
          <w:lang w:val="en-GB"/>
        </w:rPr>
        <w:t>legal entities (</w:t>
      </w:r>
      <w:r w:rsidR="00492D4D" w:rsidRPr="0001447F">
        <w:rPr>
          <w:rFonts w:eastAsia="Calibri" w:cs="Calibri"/>
          <w:color w:val="000000"/>
          <w:u w:color="000000"/>
          <w:bdr w:val="nil"/>
          <w:lang w:val="en-GB"/>
        </w:rPr>
        <w:t>4</w:t>
      </w:r>
      <w:r w:rsidR="005069E8"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0.07% </w:t>
      </w:r>
      <w:r w:rsidR="00231A04">
        <w:rPr>
          <w:rFonts w:eastAsia="Calibri" w:cs="Calibri"/>
          <w:color w:val="000000"/>
          <w:u w:color="000000"/>
          <w:bdr w:val="nil"/>
          <w:lang w:val="en-GB"/>
        </w:rPr>
        <w:t xml:space="preserve">by </w:t>
      </w:r>
      <w:r w:rsidR="005069E8" w:rsidRPr="0001447F">
        <w:rPr>
          <w:rFonts w:eastAsia="Calibri" w:cs="Calibri"/>
          <w:color w:val="000000"/>
          <w:u w:color="000000"/>
          <w:bdr w:val="nil"/>
          <w:lang w:val="en-GB"/>
        </w:rPr>
        <w:t>company law (</w:t>
      </w:r>
      <w:r w:rsidR="00492D4D" w:rsidRPr="0001447F">
        <w:rPr>
          <w:rFonts w:eastAsia="Calibri" w:cs="Calibri"/>
          <w:color w:val="000000"/>
          <w:u w:color="000000"/>
          <w:bdr w:val="nil"/>
          <w:lang w:val="en-GB"/>
        </w:rPr>
        <w:t>1</w:t>
      </w:r>
      <w:r w:rsidR="005069E8" w:rsidRPr="0001447F">
        <w:rPr>
          <w:rFonts w:eastAsia="Calibri" w:cs="Calibri"/>
          <w:color w:val="000000"/>
          <w:u w:color="000000"/>
          <w:bdr w:val="nil"/>
          <w:lang w:val="en-GB"/>
        </w:rPr>
        <w:t xml:space="preserve">1 obs.), </w:t>
      </w:r>
      <w:r w:rsidR="00231A04" w:rsidRPr="0001447F">
        <w:rPr>
          <w:rFonts w:eastAsia="Calibri" w:cs="Calibri"/>
          <w:color w:val="000000"/>
          <w:u w:color="000000"/>
          <w:bdr w:val="nil"/>
          <w:lang w:val="en-GB"/>
        </w:rPr>
        <w:t xml:space="preserve">2.81% </w:t>
      </w:r>
      <w:r w:rsidR="00231A04">
        <w:rPr>
          <w:rFonts w:eastAsia="Calibri" w:cs="Calibri"/>
          <w:color w:val="000000"/>
          <w:u w:color="000000"/>
          <w:bdr w:val="nil"/>
          <w:lang w:val="en-GB"/>
        </w:rPr>
        <w:t xml:space="preserve">by </w:t>
      </w:r>
      <w:r w:rsidRPr="0001447F">
        <w:rPr>
          <w:rFonts w:eastAsia="Calibri" w:cs="Calibri"/>
          <w:color w:val="000000"/>
          <w:u w:color="000000"/>
          <w:bdr w:val="nil"/>
          <w:lang w:val="en-GB"/>
        </w:rPr>
        <w:t>lease and</w:t>
      </w:r>
      <w:r w:rsidR="0035059B">
        <w:rPr>
          <w:rFonts w:eastAsia="Calibri" w:cs="Calibri"/>
          <w:color w:val="000000"/>
          <w:u w:color="000000"/>
          <w:bdr w:val="nil"/>
          <w:lang w:val="en-GB"/>
        </w:rPr>
        <w:t xml:space="preserve"> </w:t>
      </w:r>
      <w:proofErr w:type="spellStart"/>
      <w:r w:rsidR="0035059B">
        <w:rPr>
          <w:rFonts w:eastAsia="Calibri" w:cs="Calibri"/>
          <w:color w:val="000000"/>
          <w:u w:color="000000"/>
          <w:bdr w:val="nil"/>
          <w:lang w:val="en-GB"/>
        </w:rPr>
        <w:t>commodat</w:t>
      </w:r>
      <w:r w:rsidR="00BE0482">
        <w:rPr>
          <w:rFonts w:eastAsia="Calibri" w:cs="Calibri"/>
          <w:color w:val="000000"/>
          <w:u w:color="000000"/>
          <w:bdr w:val="nil"/>
          <w:lang w:val="en-GB"/>
        </w:rPr>
        <w:t>um</w:t>
      </w:r>
      <w:proofErr w:type="spellEnd"/>
      <w:r w:rsidRPr="0001447F">
        <w:rPr>
          <w:rFonts w:eastAsia="Calibri" w:cs="Calibri"/>
          <w:color w:val="000000"/>
          <w:u w:color="000000"/>
          <w:bdr w:val="nil"/>
          <w:lang w:val="en-GB"/>
        </w:rPr>
        <w:t xml:space="preserve"> (</w:t>
      </w:r>
      <w:r w:rsidR="00492D4D" w:rsidRPr="0001447F">
        <w:rPr>
          <w:rFonts w:eastAsia="Calibri" w:cs="Calibri"/>
          <w:color w:val="000000"/>
          <w:u w:color="000000"/>
          <w:bdr w:val="nil"/>
          <w:lang w:val="en-GB"/>
        </w:rPr>
        <w:t>471</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3.30% </w:t>
      </w:r>
      <w:r w:rsidR="00231A04">
        <w:rPr>
          <w:rFonts w:eastAsia="Calibri" w:cs="Calibri"/>
          <w:color w:val="000000"/>
          <w:u w:color="000000"/>
          <w:bdr w:val="nil"/>
          <w:lang w:val="en-GB"/>
        </w:rPr>
        <w:t xml:space="preserve">by </w:t>
      </w:r>
      <w:r w:rsidR="000C30C7" w:rsidRPr="0001447F">
        <w:rPr>
          <w:rFonts w:eastAsia="Calibri" w:cs="Calibri"/>
          <w:color w:val="000000"/>
          <w:u w:color="000000"/>
          <w:bdr w:val="nil"/>
          <w:lang w:val="en-GB"/>
        </w:rPr>
        <w:t>bankruptcy</w:t>
      </w:r>
      <w:r w:rsidRPr="0001447F">
        <w:rPr>
          <w:rFonts w:eastAsia="Calibri" w:cs="Calibri"/>
          <w:color w:val="000000"/>
          <w:u w:color="000000"/>
          <w:bdr w:val="nil"/>
          <w:lang w:val="en-GB"/>
        </w:rPr>
        <w:t xml:space="preserve"> </w:t>
      </w:r>
      <w:r w:rsidR="00231A04">
        <w:rPr>
          <w:rFonts w:eastAsia="Calibri" w:cs="Calibri"/>
          <w:color w:val="000000"/>
          <w:u w:color="000000"/>
          <w:bdr w:val="nil"/>
          <w:lang w:val="en-GB"/>
        </w:rPr>
        <w:t>(</w:t>
      </w:r>
      <w:r w:rsidR="00492D4D" w:rsidRPr="0001447F">
        <w:rPr>
          <w:rFonts w:eastAsia="Calibri" w:cs="Calibri"/>
          <w:color w:val="000000"/>
          <w:u w:color="000000"/>
          <w:bdr w:val="nil"/>
          <w:lang w:val="en-GB"/>
        </w:rPr>
        <w:t>554</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1.75% </w:t>
      </w:r>
      <w:r w:rsidR="00231A04">
        <w:rPr>
          <w:rFonts w:eastAsia="Calibri" w:cs="Calibri"/>
          <w:color w:val="000000"/>
          <w:u w:color="000000"/>
          <w:bdr w:val="nil"/>
          <w:lang w:val="en-GB"/>
        </w:rPr>
        <w:t xml:space="preserve">by </w:t>
      </w:r>
      <w:r w:rsidRPr="0001447F">
        <w:rPr>
          <w:rFonts w:eastAsia="Calibri" w:cs="Calibri"/>
          <w:color w:val="000000"/>
          <w:u w:color="000000"/>
          <w:bdr w:val="nil"/>
          <w:lang w:val="en-GB"/>
        </w:rPr>
        <w:t>administrative law (</w:t>
      </w:r>
      <w:r w:rsidR="00492D4D" w:rsidRPr="0001447F">
        <w:rPr>
          <w:rFonts w:eastAsia="Calibri" w:cs="Calibri"/>
          <w:color w:val="000000"/>
          <w:u w:color="000000"/>
          <w:bdr w:val="nil"/>
          <w:lang w:val="en-GB"/>
        </w:rPr>
        <w:t>293</w:t>
      </w:r>
      <w:r w:rsidRPr="0001447F">
        <w:rPr>
          <w:rFonts w:eastAsia="Calibri" w:cs="Calibri"/>
          <w:color w:val="000000"/>
          <w:u w:color="000000"/>
          <w:bdr w:val="nil"/>
          <w:lang w:val="en-GB"/>
        </w:rPr>
        <w:t xml:space="preserve"> obs.), </w:t>
      </w:r>
      <w:r w:rsidR="00231A04" w:rsidRPr="0001447F">
        <w:rPr>
          <w:rFonts w:eastAsia="Calibri" w:cs="Calibri"/>
          <w:color w:val="000000"/>
          <w:u w:color="000000"/>
          <w:bdr w:val="nil"/>
          <w:lang w:val="en-GB"/>
        </w:rPr>
        <w:t xml:space="preserve">1.14% </w:t>
      </w:r>
      <w:r w:rsidR="00231A04">
        <w:rPr>
          <w:rFonts w:eastAsia="Calibri" w:cs="Calibri"/>
          <w:color w:val="000000"/>
          <w:u w:color="000000"/>
          <w:bdr w:val="nil"/>
          <w:lang w:val="en-GB"/>
        </w:rPr>
        <w:t xml:space="preserve">by </w:t>
      </w:r>
      <w:r w:rsidR="005069E8" w:rsidRPr="0001447F">
        <w:rPr>
          <w:rFonts w:eastAsia="Calibri" w:cs="Calibri"/>
          <w:color w:val="000000"/>
          <w:u w:color="000000"/>
          <w:bdr w:val="nil"/>
          <w:lang w:val="en-GB"/>
        </w:rPr>
        <w:t>banking law (</w:t>
      </w:r>
      <w:r w:rsidR="00492D4D" w:rsidRPr="0001447F">
        <w:rPr>
          <w:rFonts w:eastAsia="Calibri" w:cs="Calibri"/>
          <w:color w:val="000000"/>
          <w:u w:color="000000"/>
          <w:bdr w:val="nil"/>
          <w:lang w:val="en-GB"/>
        </w:rPr>
        <w:t>191</w:t>
      </w:r>
      <w:r w:rsidR="005069E8" w:rsidRPr="0001447F">
        <w:rPr>
          <w:rFonts w:eastAsia="Calibri" w:cs="Calibri"/>
          <w:color w:val="000000"/>
          <w:u w:color="000000"/>
          <w:bdr w:val="nil"/>
          <w:lang w:val="en-GB"/>
        </w:rPr>
        <w:t xml:space="preserve"> obs.), </w:t>
      </w:r>
      <w:r w:rsidR="00231A04">
        <w:rPr>
          <w:rFonts w:eastAsia="Calibri" w:cs="Calibri"/>
          <w:color w:val="000000"/>
          <w:u w:color="000000"/>
          <w:bdr w:val="nil"/>
          <w:lang w:val="en-GB"/>
        </w:rPr>
        <w:t xml:space="preserve">and </w:t>
      </w:r>
      <w:r w:rsidR="00231A04" w:rsidRPr="0001447F">
        <w:rPr>
          <w:rFonts w:eastAsia="Calibri" w:cs="Calibri"/>
          <w:color w:val="000000"/>
          <w:u w:color="000000"/>
          <w:bdr w:val="nil"/>
          <w:lang w:val="en-GB"/>
        </w:rPr>
        <w:t xml:space="preserve">6.13% </w:t>
      </w:r>
      <w:r w:rsidR="00231A04">
        <w:rPr>
          <w:rFonts w:eastAsia="Calibri" w:cs="Calibri"/>
          <w:color w:val="000000"/>
          <w:u w:color="000000"/>
          <w:bdr w:val="nil"/>
          <w:lang w:val="en-GB"/>
        </w:rPr>
        <w:t xml:space="preserve">by </w:t>
      </w:r>
      <w:r w:rsidRPr="0001447F">
        <w:rPr>
          <w:rFonts w:eastAsia="Calibri" w:cs="Calibri"/>
          <w:color w:val="000000"/>
          <w:u w:color="000000"/>
          <w:bdr w:val="nil"/>
          <w:lang w:val="en-GB"/>
        </w:rPr>
        <w:t>other institutes (</w:t>
      </w:r>
      <w:r w:rsidR="00492D4D" w:rsidRPr="0001447F">
        <w:rPr>
          <w:rFonts w:eastAsia="Calibri" w:cs="Calibri"/>
          <w:color w:val="000000"/>
          <w:u w:color="000000"/>
          <w:bdr w:val="nil"/>
          <w:lang w:val="en-GB"/>
        </w:rPr>
        <w:t>1,030</w:t>
      </w:r>
      <w:r w:rsidRPr="0001447F">
        <w:rPr>
          <w:rFonts w:eastAsia="Calibri" w:cs="Calibri"/>
          <w:color w:val="000000"/>
          <w:u w:color="000000"/>
          <w:bdr w:val="nil"/>
          <w:lang w:val="en-GB"/>
        </w:rPr>
        <w:t xml:space="preserve"> obs.).</w:t>
      </w:r>
      <w:r w:rsidR="00492D4D" w:rsidRPr="0001447F">
        <w:rPr>
          <w:rFonts w:eastAsia="Calibri" w:cs="Calibri"/>
          <w:color w:val="000000"/>
          <w:u w:color="000000"/>
          <w:bdr w:val="nil"/>
          <w:lang w:val="en-GB"/>
        </w:rPr>
        <w:t xml:space="preserve"> The remaining 58.22% (9,774</w:t>
      </w:r>
      <w:r w:rsidR="00231A04">
        <w:rPr>
          <w:rFonts w:eastAsia="Calibri" w:cs="Calibri"/>
          <w:color w:val="000000"/>
          <w:u w:color="000000"/>
          <w:bdr w:val="nil"/>
          <w:lang w:val="en-GB"/>
        </w:rPr>
        <w:t xml:space="preserve"> obs.</w:t>
      </w:r>
      <w:r w:rsidR="00492D4D" w:rsidRPr="0001447F">
        <w:rPr>
          <w:rFonts w:eastAsia="Calibri" w:cs="Calibri"/>
          <w:color w:val="000000"/>
          <w:u w:color="000000"/>
          <w:bdr w:val="nil"/>
          <w:lang w:val="en-GB"/>
        </w:rPr>
        <w:t>) are the special proceedings.</w:t>
      </w:r>
      <w:r w:rsidR="00492D4D">
        <w:rPr>
          <w:rFonts w:eastAsia="Calibri" w:cs="Calibri"/>
          <w:color w:val="000000"/>
          <w:u w:color="000000"/>
          <w:bdr w:val="nil"/>
          <w:lang w:val="en-GB"/>
        </w:rPr>
        <w:t xml:space="preserve"> </w:t>
      </w:r>
    </w:p>
    <w:p w14:paraId="57BA25AB" w14:textId="1F738868" w:rsidR="00F904B1" w:rsidRDefault="008C5FD0" w:rsidP="00F904B1">
      <w:pPr>
        <w:pBdr>
          <w:top w:val="nil"/>
          <w:left w:val="nil"/>
          <w:bottom w:val="nil"/>
          <w:right w:val="nil"/>
          <w:between w:val="nil"/>
          <w:bar w:val="nil"/>
        </w:pBdr>
        <w:spacing w:after="120" w:line="480" w:lineRule="auto"/>
        <w:jc w:val="both"/>
        <w:rPr>
          <w:rFonts w:eastAsia="Calibri" w:cs="Calibri"/>
          <w:color w:val="000000"/>
          <w:u w:color="000000"/>
          <w:bdr w:val="nil"/>
          <w:lang w:val="en-GB"/>
        </w:rPr>
      </w:pPr>
      <w:r>
        <w:rPr>
          <w:rFonts w:eastAsia="Calibri" w:cs="Calibri"/>
          <w:color w:val="000000"/>
          <w:u w:color="000000"/>
          <w:bdr w:val="nil"/>
          <w:lang w:val="en-GB"/>
        </w:rPr>
        <w:t xml:space="preserve">The </w:t>
      </w:r>
      <w:r w:rsidR="00F904B1" w:rsidRPr="00F904B1">
        <w:rPr>
          <w:rFonts w:eastAsia="Calibri" w:cs="Calibri"/>
          <w:color w:val="000000"/>
          <w:u w:color="000000"/>
          <w:bdr w:val="nil"/>
          <w:lang w:val="en-GB"/>
        </w:rPr>
        <w:t>Figure 1</w:t>
      </w:r>
      <w:r>
        <w:rPr>
          <w:rFonts w:eastAsia="Calibri" w:cs="Calibri"/>
          <w:color w:val="000000"/>
          <w:u w:color="000000"/>
          <w:bdr w:val="nil"/>
          <w:lang w:val="en-GB"/>
        </w:rPr>
        <w:t xml:space="preserve"> below </w:t>
      </w:r>
      <w:r w:rsidR="00EA6CDF">
        <w:rPr>
          <w:rFonts w:eastAsia="Calibri" w:cs="Calibri"/>
          <w:color w:val="000000"/>
          <w:u w:color="000000"/>
          <w:bdr w:val="nil"/>
          <w:lang w:val="en-GB"/>
        </w:rPr>
        <w:t>displays</w:t>
      </w:r>
      <w:r>
        <w:rPr>
          <w:rFonts w:eastAsia="Calibri" w:cs="Calibri"/>
          <w:color w:val="000000"/>
          <w:u w:color="000000"/>
          <w:bdr w:val="nil"/>
          <w:lang w:val="en-GB"/>
        </w:rPr>
        <w:t xml:space="preserve"> </w:t>
      </w:r>
      <w:r w:rsidR="00580753">
        <w:rPr>
          <w:rFonts w:eastAsia="Calibri" w:cs="Calibri"/>
          <w:color w:val="000000"/>
          <w:u w:color="000000"/>
          <w:bdr w:val="nil"/>
          <w:lang w:val="en-GB"/>
        </w:rPr>
        <w:t xml:space="preserve">the </w:t>
      </w:r>
      <w:r w:rsidR="00580753" w:rsidRPr="00F904B1">
        <w:rPr>
          <w:rFonts w:eastAsia="Calibri" w:cs="Calibri"/>
          <w:color w:val="000000"/>
          <w:u w:color="000000"/>
          <w:bdr w:val="nil"/>
          <w:lang w:val="en-GB"/>
        </w:rPr>
        <w:t>total number of defined disputes</w:t>
      </w:r>
      <w:r w:rsidR="00580753">
        <w:rPr>
          <w:rFonts w:eastAsia="Calibri" w:cs="Calibri"/>
          <w:color w:val="000000"/>
          <w:u w:color="000000"/>
          <w:bdr w:val="nil"/>
          <w:lang w:val="en-GB"/>
        </w:rPr>
        <w:t xml:space="preserve"> </w:t>
      </w:r>
      <w:r w:rsidR="00F904B1" w:rsidRPr="00F904B1">
        <w:rPr>
          <w:rFonts w:eastAsia="Calibri" w:cs="Calibri"/>
          <w:color w:val="000000"/>
          <w:u w:color="000000"/>
          <w:bdr w:val="nil"/>
          <w:lang w:val="en-GB"/>
        </w:rPr>
        <w:t>by topic</w:t>
      </w:r>
      <w:r w:rsidR="0074278F">
        <w:rPr>
          <w:rFonts w:eastAsia="Calibri" w:cs="Calibri"/>
          <w:color w:val="000000"/>
          <w:u w:color="000000"/>
          <w:bdr w:val="nil"/>
          <w:lang w:val="en-GB"/>
        </w:rPr>
        <w:t>.</w:t>
      </w:r>
      <w:r w:rsidR="00551E06">
        <w:rPr>
          <w:rFonts w:eastAsia="Calibri" w:cs="Calibri"/>
          <w:color w:val="000000"/>
          <w:u w:color="000000"/>
          <w:bdr w:val="nil"/>
          <w:lang w:val="en-GB"/>
        </w:rPr>
        <w:t xml:space="preserve"> </w:t>
      </w:r>
      <w:r w:rsidR="00551E06" w:rsidRPr="00321FDE">
        <w:rPr>
          <w:rFonts w:eastAsia="Calibri" w:cs="Calibri"/>
          <w:color w:val="000000"/>
          <w:u w:color="000000"/>
          <w:bdr w:val="nil"/>
          <w:lang w:val="en-GB"/>
        </w:rPr>
        <w:t xml:space="preserve">Figure </w:t>
      </w:r>
      <w:r w:rsidR="00551E06">
        <w:rPr>
          <w:rFonts w:eastAsia="Calibri" w:cs="Calibri"/>
          <w:color w:val="000000"/>
          <w:u w:color="000000"/>
          <w:bdr w:val="nil"/>
          <w:lang w:val="en-GB"/>
        </w:rPr>
        <w:t>2</w:t>
      </w:r>
      <w:r w:rsidR="00551E06" w:rsidRPr="00321FDE">
        <w:rPr>
          <w:rFonts w:eastAsia="Calibri" w:cs="Calibri"/>
          <w:color w:val="000000"/>
          <w:u w:color="000000"/>
          <w:bdr w:val="nil"/>
          <w:lang w:val="en-GB"/>
        </w:rPr>
        <w:t xml:space="preserve"> reports </w:t>
      </w:r>
      <w:r w:rsidR="00E32709">
        <w:rPr>
          <w:rFonts w:eastAsia="Calibri" w:cs="Calibri"/>
          <w:color w:val="000000"/>
          <w:u w:color="000000"/>
          <w:bdr w:val="nil"/>
          <w:lang w:val="en-GB"/>
        </w:rPr>
        <w:t xml:space="preserve">the </w:t>
      </w:r>
      <w:r w:rsidR="00551E06" w:rsidRPr="00321FDE">
        <w:rPr>
          <w:rFonts w:eastAsia="Calibri" w:cs="Calibri"/>
          <w:color w:val="000000"/>
          <w:u w:color="000000"/>
          <w:bdr w:val="nil"/>
          <w:lang w:val="en-GB"/>
        </w:rPr>
        <w:t>average duration of disputes defined in 2022</w:t>
      </w:r>
      <w:r w:rsidR="00551E06">
        <w:rPr>
          <w:rFonts w:eastAsia="Calibri" w:cs="Calibri"/>
          <w:color w:val="000000"/>
          <w:u w:color="000000"/>
          <w:bdr w:val="nil"/>
          <w:lang w:val="en-GB"/>
        </w:rPr>
        <w:t xml:space="preserve"> </w:t>
      </w:r>
      <w:r w:rsidR="00D6012B">
        <w:rPr>
          <w:rFonts w:eastAsia="Calibri" w:cs="Calibri"/>
          <w:color w:val="000000"/>
          <w:u w:color="000000"/>
          <w:bdr w:val="nil"/>
          <w:lang w:val="en-GB"/>
        </w:rPr>
        <w:t>by topic</w:t>
      </w:r>
      <w:r w:rsidR="00551E06">
        <w:rPr>
          <w:rFonts w:eastAsia="Calibri" w:cs="Calibri"/>
          <w:color w:val="000000"/>
          <w:u w:color="000000"/>
          <w:bdr w:val="nil"/>
          <w:lang w:val="en-GB"/>
        </w:rPr>
        <w:t>.</w:t>
      </w:r>
    </w:p>
    <w:p w14:paraId="21A8A0DD" w14:textId="77777777" w:rsidR="00612BB3" w:rsidRDefault="00612BB3" w:rsidP="00F904B1">
      <w:pPr>
        <w:pBdr>
          <w:top w:val="nil"/>
          <w:left w:val="nil"/>
          <w:bottom w:val="nil"/>
          <w:right w:val="nil"/>
          <w:between w:val="nil"/>
          <w:bar w:val="nil"/>
        </w:pBdr>
        <w:spacing w:after="120" w:line="480" w:lineRule="auto"/>
        <w:jc w:val="both"/>
        <w:rPr>
          <w:rFonts w:eastAsia="Calibri" w:cs="Calibri"/>
          <w:color w:val="000000"/>
          <w:u w:color="000000"/>
          <w:bdr w:val="nil"/>
          <w:lang w:val="en-GB"/>
        </w:rPr>
      </w:pPr>
    </w:p>
    <w:p w14:paraId="4AFD5D53" w14:textId="65EE6452" w:rsidR="00305A35" w:rsidRPr="00305A35" w:rsidRDefault="00305A35" w:rsidP="00305A35">
      <w:pPr>
        <w:pBdr>
          <w:top w:val="nil"/>
          <w:left w:val="nil"/>
          <w:bottom w:val="nil"/>
          <w:right w:val="nil"/>
          <w:between w:val="nil"/>
          <w:bar w:val="nil"/>
        </w:pBdr>
        <w:spacing w:after="120" w:line="480" w:lineRule="auto"/>
        <w:jc w:val="center"/>
        <w:rPr>
          <w:rFonts w:eastAsia="Calibri" w:cs="Calibri"/>
          <w:b/>
          <w:bCs/>
          <w:color w:val="000000"/>
          <w:u w:color="000000"/>
          <w:bdr w:val="nil"/>
          <w:lang w:val="en-GB"/>
        </w:rPr>
      </w:pPr>
      <w:bookmarkStart w:id="7" w:name="_Hlk137308399"/>
      <w:r w:rsidRPr="00305A35">
        <w:rPr>
          <w:rFonts w:eastAsia="Calibri" w:cs="Calibri"/>
          <w:b/>
          <w:bCs/>
          <w:color w:val="000000"/>
          <w:u w:color="000000"/>
          <w:bdr w:val="nil"/>
          <w:lang w:val="en-GB"/>
        </w:rPr>
        <w:t xml:space="preserve">Figure 1 </w:t>
      </w:r>
      <w:r w:rsidR="00F262D6" w:rsidRPr="00F262D6">
        <w:rPr>
          <w:rFonts w:eastAsia="Calibri" w:cs="Calibri"/>
          <w:b/>
          <w:bCs/>
          <w:color w:val="000000"/>
          <w:u w:color="000000"/>
          <w:bdr w:val="nil"/>
          <w:lang w:val="en-US"/>
        </w:rPr>
        <w:t>–</w:t>
      </w:r>
      <w:r w:rsidRPr="00305A35">
        <w:rPr>
          <w:rFonts w:eastAsia="Calibri" w:cs="Calibri"/>
          <w:b/>
          <w:bCs/>
          <w:color w:val="000000"/>
          <w:u w:color="000000"/>
          <w:bdr w:val="nil"/>
          <w:lang w:val="en-GB"/>
        </w:rPr>
        <w:t xml:space="preserve"> Number of defined disputes by topic</w:t>
      </w:r>
    </w:p>
    <w:bookmarkEnd w:id="7"/>
    <w:p w14:paraId="348931CD" w14:textId="52887662" w:rsidR="00305A35" w:rsidRDefault="00612BB3" w:rsidP="00305A35">
      <w:pPr>
        <w:pBdr>
          <w:top w:val="nil"/>
          <w:left w:val="nil"/>
          <w:bottom w:val="nil"/>
          <w:right w:val="nil"/>
          <w:between w:val="nil"/>
          <w:bar w:val="nil"/>
        </w:pBdr>
        <w:spacing w:after="120" w:line="480" w:lineRule="auto"/>
        <w:jc w:val="center"/>
        <w:rPr>
          <w:rFonts w:eastAsia="Calibri" w:cs="Calibri"/>
          <w:color w:val="000000"/>
          <w:u w:color="000000"/>
          <w:bdr w:val="nil"/>
          <w:lang w:val="en-GB"/>
        </w:rPr>
      </w:pPr>
      <w:r w:rsidRPr="00612BB3">
        <w:rPr>
          <w:rFonts w:eastAsia="Calibri" w:cs="Calibri"/>
          <w:noProof/>
          <w:color w:val="000000"/>
          <w:u w:color="000000"/>
          <w:bdr w:val="nil"/>
        </w:rPr>
        <w:drawing>
          <wp:inline distT="0" distB="0" distL="0" distR="0" wp14:anchorId="4A16B809" wp14:editId="3AFEC13C">
            <wp:extent cx="4991100" cy="3629891"/>
            <wp:effectExtent l="0" t="0" r="0" b="8890"/>
            <wp:docPr id="13636899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91418" cy="3630122"/>
                    </a:xfrm>
                    <a:prstGeom prst="rect">
                      <a:avLst/>
                    </a:prstGeom>
                    <a:noFill/>
                    <a:ln>
                      <a:noFill/>
                    </a:ln>
                  </pic:spPr>
                </pic:pic>
              </a:graphicData>
            </a:graphic>
          </wp:inline>
        </w:drawing>
      </w:r>
    </w:p>
    <w:p w14:paraId="03A95685" w14:textId="580E8A56" w:rsidR="00305A35" w:rsidRDefault="00305A35" w:rsidP="00305A35">
      <w:pPr>
        <w:pBdr>
          <w:top w:val="nil"/>
          <w:left w:val="nil"/>
          <w:bottom w:val="nil"/>
          <w:right w:val="nil"/>
          <w:between w:val="nil"/>
          <w:bar w:val="nil"/>
        </w:pBdr>
        <w:spacing w:after="120"/>
        <w:jc w:val="center"/>
        <w:rPr>
          <w:rFonts w:eastAsia="Calibri" w:cs="Calibri"/>
          <w:sz w:val="20"/>
          <w:szCs w:val="20"/>
          <w:lang w:val="en-US"/>
        </w:rPr>
      </w:pPr>
      <w:bookmarkStart w:id="8" w:name="_Hlk137308436"/>
      <w:r w:rsidRPr="00305A35">
        <w:rPr>
          <w:rFonts w:eastAsia="Calibri" w:cs="Calibri"/>
          <w:color w:val="000000"/>
          <w:sz w:val="20"/>
          <w:szCs w:val="20"/>
          <w:u w:color="000000"/>
          <w:bdr w:val="nil"/>
          <w:lang w:val="en-GB"/>
        </w:rPr>
        <w:t xml:space="preserve">Source: Own elaboration from </w:t>
      </w:r>
      <w:r w:rsidRPr="00305A35">
        <w:rPr>
          <w:rFonts w:eastAsia="Calibri" w:cs="Calibri"/>
          <w:sz w:val="20"/>
          <w:szCs w:val="20"/>
          <w:lang w:val="en-US"/>
        </w:rPr>
        <w:t>Inspector Package software powered by the Ministry of Justice (</w:t>
      </w:r>
      <w:proofErr w:type="spellStart"/>
      <w:r w:rsidRPr="00305A35">
        <w:rPr>
          <w:rFonts w:eastAsia="Calibri" w:cs="Calibri"/>
          <w:sz w:val="20"/>
          <w:szCs w:val="20"/>
          <w:lang w:val="en-US"/>
        </w:rPr>
        <w:t>Pacchetto</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Ispettore</w:t>
      </w:r>
      <w:proofErr w:type="spellEnd"/>
      <w:r w:rsidRPr="00305A35">
        <w:rPr>
          <w:rFonts w:eastAsia="Calibri" w:cs="Calibri"/>
          <w:sz w:val="20"/>
          <w:szCs w:val="20"/>
          <w:lang w:val="en-US"/>
        </w:rPr>
        <w:t xml:space="preserve"> – </w:t>
      </w:r>
      <w:proofErr w:type="spellStart"/>
      <w:r w:rsidRPr="00305A35">
        <w:rPr>
          <w:rFonts w:eastAsia="Calibri" w:cs="Calibri"/>
          <w:sz w:val="20"/>
          <w:szCs w:val="20"/>
          <w:lang w:val="en-US"/>
        </w:rPr>
        <w:t>Ministero</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della</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Giustizia</w:t>
      </w:r>
      <w:proofErr w:type="spellEnd"/>
      <w:r w:rsidRPr="00305A35">
        <w:rPr>
          <w:rFonts w:eastAsia="Calibri" w:cs="Calibri"/>
          <w:sz w:val="20"/>
          <w:szCs w:val="20"/>
          <w:lang w:val="en-US"/>
        </w:rPr>
        <w:t>)</w:t>
      </w:r>
    </w:p>
    <w:p w14:paraId="01B8A31F" w14:textId="77777777" w:rsidR="00295A50" w:rsidRDefault="00295A50" w:rsidP="00305A35">
      <w:pPr>
        <w:pBdr>
          <w:top w:val="nil"/>
          <w:left w:val="nil"/>
          <w:bottom w:val="nil"/>
          <w:right w:val="nil"/>
          <w:between w:val="nil"/>
          <w:bar w:val="nil"/>
        </w:pBdr>
        <w:spacing w:after="120"/>
        <w:jc w:val="center"/>
        <w:rPr>
          <w:rFonts w:eastAsia="Calibri" w:cs="Calibri"/>
          <w:sz w:val="20"/>
          <w:szCs w:val="20"/>
          <w:lang w:val="en-US"/>
        </w:rPr>
      </w:pPr>
    </w:p>
    <w:bookmarkEnd w:id="8"/>
    <w:p w14:paraId="2316366F" w14:textId="1F1422D6" w:rsidR="00F904B1" w:rsidRDefault="00601466" w:rsidP="00F904B1">
      <w:pPr>
        <w:pBdr>
          <w:top w:val="nil"/>
          <w:left w:val="nil"/>
          <w:bottom w:val="nil"/>
          <w:right w:val="nil"/>
          <w:between w:val="nil"/>
          <w:bar w:val="nil"/>
        </w:pBdr>
        <w:spacing w:after="120" w:line="480" w:lineRule="auto"/>
        <w:jc w:val="both"/>
        <w:rPr>
          <w:rFonts w:eastAsia="Calibri" w:cs="Calibri"/>
          <w:color w:val="000000"/>
          <w:u w:color="000000"/>
          <w:bdr w:val="nil"/>
          <w:lang w:val="en-GB"/>
        </w:rPr>
      </w:pPr>
      <w:r>
        <w:rPr>
          <w:rFonts w:eastAsia="Calibri" w:cs="Calibri"/>
          <w:color w:val="000000"/>
          <w:u w:color="000000"/>
          <w:bdr w:val="nil"/>
          <w:lang w:val="en-GB"/>
        </w:rPr>
        <w:lastRenderedPageBreak/>
        <w:t xml:space="preserve">Figure 2 highlights </w:t>
      </w:r>
      <w:r w:rsidRPr="00670FE7">
        <w:rPr>
          <w:lang w:val="en-GB"/>
        </w:rPr>
        <w:t xml:space="preserve">the following average durations for various legal categories in days: </w:t>
      </w:r>
      <w:r w:rsidR="00F904B1" w:rsidRPr="00321FDE">
        <w:rPr>
          <w:rFonts w:eastAsia="Calibri" w:cs="Calibri"/>
          <w:color w:val="000000"/>
          <w:u w:color="000000"/>
          <w:bdr w:val="nil"/>
          <w:lang w:val="en-GB"/>
        </w:rPr>
        <w:t>1,</w:t>
      </w:r>
      <w:r w:rsidR="0051096F" w:rsidRPr="00321FDE">
        <w:rPr>
          <w:rFonts w:eastAsia="Calibri" w:cs="Calibri"/>
          <w:color w:val="000000"/>
          <w:u w:color="000000"/>
          <w:bdr w:val="nil"/>
          <w:lang w:val="en-GB"/>
        </w:rPr>
        <w:t>372</w:t>
      </w:r>
      <w:r w:rsidR="00F904B1" w:rsidRPr="00321FDE">
        <w:rPr>
          <w:rFonts w:eastAsia="Calibri" w:cs="Calibri"/>
          <w:color w:val="000000"/>
          <w:u w:color="000000"/>
          <w:bdr w:val="nil"/>
          <w:lang w:val="en-GB"/>
        </w:rPr>
        <w:t xml:space="preserve"> days</w:t>
      </w:r>
      <w:r>
        <w:rPr>
          <w:rFonts w:eastAsia="Calibri" w:cs="Calibri"/>
          <w:color w:val="000000"/>
          <w:u w:color="000000"/>
          <w:bdr w:val="nil"/>
          <w:lang w:val="en-GB"/>
        </w:rPr>
        <w:t xml:space="preserve"> </w:t>
      </w:r>
      <w:r w:rsidR="00F904B1" w:rsidRPr="00321FDE">
        <w:rPr>
          <w:rFonts w:eastAsia="Calibri" w:cs="Calibri"/>
          <w:color w:val="000000"/>
          <w:u w:color="000000"/>
          <w:bdr w:val="nil"/>
          <w:lang w:val="en-GB"/>
        </w:rPr>
        <w:t xml:space="preserve">for personality rights, </w:t>
      </w:r>
      <w:r w:rsidR="0051096F" w:rsidRPr="00321FDE">
        <w:rPr>
          <w:rFonts w:eastAsia="Calibri" w:cs="Calibri"/>
          <w:color w:val="000000"/>
          <w:u w:color="000000"/>
          <w:bdr w:val="nil"/>
          <w:lang w:val="en-GB"/>
        </w:rPr>
        <w:t>470</w:t>
      </w:r>
      <w:r w:rsidR="00F904B1" w:rsidRPr="00321FDE">
        <w:rPr>
          <w:rFonts w:eastAsia="Calibri" w:cs="Calibri"/>
          <w:color w:val="000000"/>
          <w:u w:color="000000"/>
          <w:bdr w:val="nil"/>
          <w:lang w:val="en-GB"/>
        </w:rPr>
        <w:t xml:space="preserve"> days for family rights, 1,</w:t>
      </w:r>
      <w:r w:rsidR="0051096F" w:rsidRPr="00321FDE">
        <w:rPr>
          <w:rFonts w:eastAsia="Calibri" w:cs="Calibri"/>
          <w:color w:val="000000"/>
          <w:u w:color="000000"/>
          <w:bdr w:val="nil"/>
          <w:lang w:val="en-GB"/>
        </w:rPr>
        <w:t>104</w:t>
      </w:r>
      <w:r w:rsidR="00F904B1" w:rsidRPr="00321FDE">
        <w:rPr>
          <w:rFonts w:eastAsia="Calibri" w:cs="Calibri"/>
          <w:color w:val="000000"/>
          <w:u w:color="000000"/>
          <w:bdr w:val="nil"/>
          <w:lang w:val="en-GB"/>
        </w:rPr>
        <w:t xml:space="preserve"> days for property and inheritance law, </w:t>
      </w:r>
      <w:r w:rsidR="0051096F" w:rsidRPr="00321FDE">
        <w:rPr>
          <w:rFonts w:eastAsia="Calibri" w:cs="Calibri"/>
          <w:color w:val="000000"/>
          <w:u w:color="000000"/>
          <w:bdr w:val="nil"/>
          <w:lang w:val="en-GB"/>
        </w:rPr>
        <w:t>890</w:t>
      </w:r>
      <w:r w:rsidR="00F904B1" w:rsidRPr="00321FDE">
        <w:rPr>
          <w:rFonts w:eastAsia="Calibri" w:cs="Calibri"/>
          <w:color w:val="000000"/>
          <w:u w:color="000000"/>
          <w:bdr w:val="nil"/>
          <w:lang w:val="en-GB"/>
        </w:rPr>
        <w:t xml:space="preserve"> days for contracts and obligations, 1,</w:t>
      </w:r>
      <w:r w:rsidR="0051096F" w:rsidRPr="00321FDE">
        <w:rPr>
          <w:rFonts w:eastAsia="Calibri" w:cs="Calibri"/>
          <w:color w:val="000000"/>
          <w:u w:color="000000"/>
          <w:bdr w:val="nil"/>
          <w:lang w:val="en-GB"/>
        </w:rPr>
        <w:t>201</w:t>
      </w:r>
      <w:r w:rsidR="00F904B1" w:rsidRPr="00321FDE">
        <w:rPr>
          <w:rFonts w:eastAsia="Calibri" w:cs="Calibri"/>
          <w:color w:val="000000"/>
          <w:u w:color="000000"/>
          <w:bdr w:val="nil"/>
          <w:lang w:val="en-GB"/>
        </w:rPr>
        <w:t xml:space="preserve"> days for liability</w:t>
      </w:r>
      <w:r w:rsidR="00661EAD" w:rsidRPr="00321FDE">
        <w:rPr>
          <w:rFonts w:eastAsia="Calibri" w:cs="Calibri"/>
          <w:color w:val="000000"/>
          <w:u w:color="000000"/>
          <w:bdr w:val="nil"/>
          <w:lang w:val="en-GB"/>
        </w:rPr>
        <w:t xml:space="preserve"> for tort</w:t>
      </w:r>
      <w:r w:rsidR="00F904B1" w:rsidRPr="00321FDE">
        <w:rPr>
          <w:rFonts w:eastAsia="Calibri" w:cs="Calibri"/>
          <w:color w:val="000000"/>
          <w:u w:color="000000"/>
          <w:bdr w:val="nil"/>
          <w:lang w:val="en-GB"/>
        </w:rPr>
        <w:t xml:space="preserve">, </w:t>
      </w:r>
      <w:r w:rsidR="00661EAD" w:rsidRPr="00321FDE">
        <w:rPr>
          <w:rFonts w:eastAsia="Calibri" w:cs="Calibri"/>
          <w:color w:val="000000"/>
          <w:u w:color="000000"/>
          <w:bdr w:val="nil"/>
          <w:lang w:val="en-GB"/>
        </w:rPr>
        <w:t>488</w:t>
      </w:r>
      <w:r w:rsidR="00F904B1" w:rsidRPr="00321FDE">
        <w:rPr>
          <w:rFonts w:eastAsia="Calibri" w:cs="Calibri"/>
          <w:color w:val="000000"/>
          <w:u w:color="000000"/>
          <w:bdr w:val="nil"/>
          <w:lang w:val="en-GB"/>
        </w:rPr>
        <w:t xml:space="preserve"> days for legal entities, </w:t>
      </w:r>
      <w:r w:rsidR="00661EAD" w:rsidRPr="00321FDE">
        <w:rPr>
          <w:rFonts w:eastAsia="Calibri" w:cs="Calibri"/>
          <w:color w:val="000000"/>
          <w:u w:color="000000"/>
          <w:bdr w:val="nil"/>
          <w:lang w:val="en-GB"/>
        </w:rPr>
        <w:t>222</w:t>
      </w:r>
      <w:r w:rsidR="00F904B1" w:rsidRPr="00321FDE">
        <w:rPr>
          <w:rFonts w:eastAsia="Calibri" w:cs="Calibri"/>
          <w:color w:val="000000"/>
          <w:u w:color="000000"/>
          <w:bdr w:val="nil"/>
          <w:lang w:val="en-GB"/>
        </w:rPr>
        <w:t xml:space="preserve"> days for company law, </w:t>
      </w:r>
      <w:r w:rsidR="00661EAD" w:rsidRPr="00321FDE">
        <w:rPr>
          <w:rFonts w:eastAsia="Calibri" w:cs="Calibri"/>
          <w:color w:val="000000"/>
          <w:u w:color="000000"/>
          <w:bdr w:val="nil"/>
          <w:lang w:val="en-GB"/>
        </w:rPr>
        <w:t xml:space="preserve">763 </w:t>
      </w:r>
      <w:r w:rsidR="00F904B1" w:rsidRPr="00321FDE">
        <w:rPr>
          <w:rFonts w:eastAsia="Calibri" w:cs="Calibri"/>
          <w:color w:val="000000"/>
          <w:u w:color="000000"/>
          <w:bdr w:val="nil"/>
          <w:lang w:val="en-GB"/>
        </w:rPr>
        <w:t xml:space="preserve">days for lease and </w:t>
      </w:r>
      <w:proofErr w:type="spellStart"/>
      <w:r w:rsidR="00321FDE" w:rsidRPr="00321FDE">
        <w:rPr>
          <w:rFonts w:eastAsia="Calibri" w:cs="Calibri"/>
          <w:color w:val="000000"/>
          <w:u w:color="000000"/>
          <w:bdr w:val="nil"/>
          <w:lang w:val="en-GB"/>
        </w:rPr>
        <w:t>commodat</w:t>
      </w:r>
      <w:r w:rsidR="007654C4">
        <w:rPr>
          <w:rFonts w:eastAsia="Calibri" w:cs="Calibri"/>
          <w:color w:val="000000"/>
          <w:u w:color="000000"/>
          <w:bdr w:val="nil"/>
          <w:lang w:val="en-GB"/>
        </w:rPr>
        <w:t>um</w:t>
      </w:r>
      <w:proofErr w:type="spellEnd"/>
      <w:r w:rsidR="00F904B1" w:rsidRPr="00321FDE">
        <w:rPr>
          <w:rFonts w:eastAsia="Calibri" w:cs="Calibri"/>
          <w:color w:val="000000"/>
          <w:u w:color="000000"/>
          <w:bdr w:val="nil"/>
          <w:lang w:val="en-GB"/>
        </w:rPr>
        <w:t xml:space="preserve">, </w:t>
      </w:r>
      <w:r w:rsidR="00661EAD" w:rsidRPr="00321FDE">
        <w:rPr>
          <w:rFonts w:eastAsia="Calibri" w:cs="Calibri"/>
          <w:color w:val="000000"/>
          <w:u w:color="000000"/>
          <w:bdr w:val="nil"/>
          <w:lang w:val="en-GB"/>
        </w:rPr>
        <w:t xml:space="preserve">672 </w:t>
      </w:r>
      <w:r w:rsidR="00F904B1" w:rsidRPr="00321FDE">
        <w:rPr>
          <w:rFonts w:eastAsia="Calibri" w:cs="Calibri"/>
          <w:color w:val="000000"/>
          <w:u w:color="000000"/>
          <w:bdr w:val="nil"/>
          <w:lang w:val="en-GB"/>
        </w:rPr>
        <w:t xml:space="preserve">days for </w:t>
      </w:r>
      <w:r w:rsidR="00A83992" w:rsidRPr="00321FDE">
        <w:rPr>
          <w:rFonts w:eastAsia="Calibri" w:cs="Calibri"/>
          <w:color w:val="000000"/>
          <w:u w:color="000000"/>
          <w:bdr w:val="nil"/>
          <w:lang w:val="en-GB"/>
        </w:rPr>
        <w:t>bankruptcy</w:t>
      </w:r>
      <w:r w:rsidR="00F904B1" w:rsidRPr="00321FDE">
        <w:rPr>
          <w:rFonts w:eastAsia="Calibri" w:cs="Calibri"/>
          <w:color w:val="000000"/>
          <w:u w:color="000000"/>
          <w:bdr w:val="nil"/>
          <w:lang w:val="en-GB"/>
        </w:rPr>
        <w:t xml:space="preserve">, </w:t>
      </w:r>
      <w:r w:rsidR="00661EAD" w:rsidRPr="00321FDE">
        <w:rPr>
          <w:rFonts w:eastAsia="Calibri" w:cs="Calibri"/>
          <w:color w:val="000000"/>
          <w:u w:color="000000"/>
          <w:bdr w:val="nil"/>
          <w:lang w:val="en-GB"/>
        </w:rPr>
        <w:t>803</w:t>
      </w:r>
      <w:r w:rsidR="00F904B1" w:rsidRPr="00321FDE">
        <w:rPr>
          <w:rFonts w:eastAsia="Calibri" w:cs="Calibri"/>
          <w:color w:val="000000"/>
          <w:u w:color="000000"/>
          <w:bdr w:val="nil"/>
          <w:lang w:val="en-GB"/>
        </w:rPr>
        <w:t xml:space="preserve"> days for administrative law, </w:t>
      </w:r>
      <w:r w:rsidR="00661EAD" w:rsidRPr="00321FDE">
        <w:rPr>
          <w:rFonts w:eastAsia="Calibri" w:cs="Calibri"/>
          <w:color w:val="000000"/>
          <w:u w:color="000000"/>
          <w:bdr w:val="nil"/>
          <w:lang w:val="en-GB"/>
        </w:rPr>
        <w:t>925</w:t>
      </w:r>
      <w:r w:rsidR="00F904B1" w:rsidRPr="00321FDE">
        <w:rPr>
          <w:rFonts w:eastAsia="Calibri" w:cs="Calibri"/>
          <w:color w:val="000000"/>
          <w:u w:color="000000"/>
          <w:bdr w:val="nil"/>
          <w:lang w:val="en-GB"/>
        </w:rPr>
        <w:t xml:space="preserve"> days for banking law,</w:t>
      </w:r>
      <w:r>
        <w:rPr>
          <w:rFonts w:eastAsia="Calibri" w:cs="Calibri"/>
          <w:color w:val="000000"/>
          <w:u w:color="000000"/>
          <w:bdr w:val="nil"/>
          <w:lang w:val="en-GB"/>
        </w:rPr>
        <w:t xml:space="preserve"> and</w:t>
      </w:r>
      <w:r w:rsidR="00F904B1" w:rsidRPr="00321FDE">
        <w:rPr>
          <w:rFonts w:eastAsia="Calibri" w:cs="Calibri"/>
          <w:color w:val="000000"/>
          <w:u w:color="000000"/>
          <w:bdr w:val="nil"/>
          <w:lang w:val="en-GB"/>
        </w:rPr>
        <w:t xml:space="preserve"> </w:t>
      </w:r>
      <w:r w:rsidR="00661EAD" w:rsidRPr="00321FDE">
        <w:rPr>
          <w:rFonts w:eastAsia="Calibri" w:cs="Calibri"/>
          <w:color w:val="000000"/>
          <w:u w:color="000000"/>
          <w:bdr w:val="nil"/>
          <w:lang w:val="en-GB"/>
        </w:rPr>
        <w:t>677</w:t>
      </w:r>
      <w:r w:rsidR="00F904B1" w:rsidRPr="00321FDE">
        <w:rPr>
          <w:rFonts w:eastAsia="Calibri" w:cs="Calibri"/>
          <w:color w:val="000000"/>
          <w:u w:color="000000"/>
          <w:bdr w:val="nil"/>
          <w:lang w:val="en-GB"/>
        </w:rPr>
        <w:t xml:space="preserve"> days for other institutes. Special proceedings</w:t>
      </w:r>
      <w:r w:rsidR="00FE682C">
        <w:rPr>
          <w:rFonts w:eastAsia="Calibri" w:cs="Calibri"/>
          <w:color w:val="000000"/>
          <w:u w:color="000000"/>
          <w:bdr w:val="nil"/>
          <w:lang w:val="en-GB"/>
        </w:rPr>
        <w:t xml:space="preserve"> usually concluded with a precautionary order</w:t>
      </w:r>
      <w:r w:rsidR="00F904B1" w:rsidRPr="00321FDE">
        <w:rPr>
          <w:rFonts w:eastAsia="Calibri" w:cs="Calibri"/>
          <w:color w:val="000000"/>
          <w:u w:color="000000"/>
          <w:bdr w:val="nil"/>
          <w:lang w:val="en-GB"/>
        </w:rPr>
        <w:t xml:space="preserve"> take on average </w:t>
      </w:r>
      <w:r w:rsidR="00661EAD" w:rsidRPr="00321FDE">
        <w:rPr>
          <w:rFonts w:eastAsia="Calibri" w:cs="Calibri"/>
          <w:color w:val="000000"/>
          <w:u w:color="000000"/>
          <w:bdr w:val="nil"/>
          <w:lang w:val="en-GB"/>
        </w:rPr>
        <w:t>87</w:t>
      </w:r>
      <w:r w:rsidR="00F904B1" w:rsidRPr="00321FDE">
        <w:rPr>
          <w:rFonts w:eastAsia="Calibri" w:cs="Calibri"/>
          <w:color w:val="000000"/>
          <w:u w:color="000000"/>
          <w:bdr w:val="nil"/>
          <w:lang w:val="en-GB"/>
        </w:rPr>
        <w:t xml:space="preserve"> days (see also Table </w:t>
      </w:r>
      <w:r w:rsidR="0074278F">
        <w:rPr>
          <w:rFonts w:eastAsia="Calibri" w:cs="Calibri"/>
          <w:color w:val="000000"/>
          <w:u w:color="000000"/>
          <w:bdr w:val="nil"/>
          <w:lang w:val="en-GB"/>
        </w:rPr>
        <w:t>5</w:t>
      </w:r>
      <w:r w:rsidR="007E6A76">
        <w:rPr>
          <w:rFonts w:eastAsia="Calibri" w:cs="Calibri"/>
          <w:color w:val="000000"/>
          <w:u w:color="000000"/>
          <w:bdr w:val="nil"/>
          <w:lang w:val="en-GB"/>
        </w:rPr>
        <w:t xml:space="preserve"> for comparison of the subsamples</w:t>
      </w:r>
      <w:r w:rsidR="00F904B1" w:rsidRPr="00321FDE">
        <w:rPr>
          <w:rFonts w:eastAsia="Calibri" w:cs="Calibri"/>
          <w:color w:val="000000"/>
          <w:u w:color="000000"/>
          <w:bdr w:val="nil"/>
          <w:lang w:val="en-GB"/>
        </w:rPr>
        <w:t>).</w:t>
      </w:r>
      <w:r w:rsidR="00F904B1" w:rsidRPr="00F904B1">
        <w:rPr>
          <w:rFonts w:eastAsia="Calibri" w:cs="Calibri"/>
          <w:color w:val="000000"/>
          <w:u w:color="000000"/>
          <w:bdr w:val="nil"/>
          <w:lang w:val="en-GB"/>
        </w:rPr>
        <w:t xml:space="preserve"> </w:t>
      </w:r>
    </w:p>
    <w:p w14:paraId="791EFB06" w14:textId="77777777" w:rsidR="008009AB" w:rsidRPr="00F904B1" w:rsidRDefault="008009AB" w:rsidP="00F904B1">
      <w:pPr>
        <w:pBdr>
          <w:top w:val="nil"/>
          <w:left w:val="nil"/>
          <w:bottom w:val="nil"/>
          <w:right w:val="nil"/>
          <w:between w:val="nil"/>
          <w:bar w:val="nil"/>
        </w:pBdr>
        <w:spacing w:after="120" w:line="480" w:lineRule="auto"/>
        <w:jc w:val="both"/>
        <w:rPr>
          <w:rFonts w:eastAsia="Calibri" w:cs="Calibri"/>
          <w:color w:val="000000"/>
          <w:u w:color="000000"/>
          <w:bdr w:val="nil"/>
          <w:lang w:val="en-GB"/>
        </w:rPr>
      </w:pPr>
    </w:p>
    <w:p w14:paraId="3F9F8BCF" w14:textId="5993354B" w:rsidR="00DB38F9" w:rsidRPr="00295A50" w:rsidRDefault="007C2EF8" w:rsidP="00DB38F9">
      <w:pPr>
        <w:pBdr>
          <w:top w:val="nil"/>
          <w:left w:val="nil"/>
          <w:bottom w:val="nil"/>
          <w:right w:val="nil"/>
          <w:between w:val="nil"/>
          <w:bar w:val="nil"/>
        </w:pBdr>
        <w:spacing w:after="120" w:line="480" w:lineRule="auto"/>
        <w:jc w:val="center"/>
        <w:rPr>
          <w:rFonts w:eastAsia="Calibri" w:cs="Calibri"/>
          <w:b/>
          <w:bCs/>
          <w:color w:val="000000"/>
          <w:u w:color="000000"/>
          <w:bdr w:val="nil"/>
          <w:lang w:val="en-GB"/>
        </w:rPr>
      </w:pPr>
      <w:r>
        <w:rPr>
          <w:rFonts w:eastAsia="Calibri" w:cs="Calibri"/>
          <w:b/>
          <w:bCs/>
          <w:color w:val="000000"/>
          <w:u w:color="000000"/>
          <w:bdr w:val="nil"/>
          <w:lang w:val="en-GB"/>
        </w:rPr>
        <w:t>F</w:t>
      </w:r>
      <w:r w:rsidR="00DB38F9" w:rsidRPr="00305A35">
        <w:rPr>
          <w:rFonts w:eastAsia="Calibri" w:cs="Calibri"/>
          <w:b/>
          <w:bCs/>
          <w:color w:val="000000"/>
          <w:u w:color="000000"/>
          <w:bdr w:val="nil"/>
          <w:lang w:val="en-GB"/>
        </w:rPr>
        <w:t xml:space="preserve">igure </w:t>
      </w:r>
      <w:r w:rsidR="00612BB3">
        <w:rPr>
          <w:rFonts w:eastAsia="Calibri" w:cs="Calibri"/>
          <w:b/>
          <w:bCs/>
          <w:color w:val="000000"/>
          <w:u w:color="000000"/>
          <w:bdr w:val="nil"/>
          <w:lang w:val="en-GB"/>
        </w:rPr>
        <w:t>2</w:t>
      </w:r>
      <w:r w:rsidR="00DB38F9" w:rsidRPr="00305A35">
        <w:rPr>
          <w:rFonts w:eastAsia="Calibri" w:cs="Calibri"/>
          <w:b/>
          <w:bCs/>
          <w:color w:val="000000"/>
          <w:u w:color="000000"/>
          <w:bdr w:val="nil"/>
          <w:lang w:val="en-GB"/>
        </w:rPr>
        <w:t xml:space="preserve"> </w:t>
      </w:r>
      <w:r w:rsidR="00DB38F9">
        <w:rPr>
          <w:rFonts w:eastAsia="Calibri" w:cs="Calibri"/>
          <w:b/>
          <w:bCs/>
          <w:color w:val="000000"/>
          <w:u w:color="000000"/>
          <w:bdr w:val="nil"/>
          <w:lang w:val="en-GB"/>
        </w:rPr>
        <w:t>–</w:t>
      </w:r>
      <w:r w:rsidR="00DB38F9" w:rsidRPr="00305A35">
        <w:rPr>
          <w:rFonts w:eastAsia="Calibri" w:cs="Calibri"/>
          <w:b/>
          <w:bCs/>
          <w:color w:val="000000"/>
          <w:u w:color="000000"/>
          <w:bdr w:val="nil"/>
          <w:lang w:val="en-GB"/>
        </w:rPr>
        <w:t xml:space="preserve"> </w:t>
      </w:r>
      <w:r w:rsidR="00DB38F9">
        <w:rPr>
          <w:rFonts w:eastAsia="Calibri" w:cs="Calibri"/>
          <w:b/>
          <w:bCs/>
          <w:color w:val="000000"/>
          <w:u w:color="000000"/>
          <w:bdr w:val="nil"/>
          <w:lang w:val="en-GB"/>
        </w:rPr>
        <w:t xml:space="preserve">Average </w:t>
      </w:r>
      <w:r w:rsidR="006004F9">
        <w:rPr>
          <w:rFonts w:eastAsia="Calibri" w:cs="Calibri"/>
          <w:b/>
          <w:bCs/>
          <w:color w:val="000000"/>
          <w:u w:color="000000"/>
          <w:bdr w:val="nil"/>
          <w:lang w:val="en-GB"/>
        </w:rPr>
        <w:t xml:space="preserve">time </w:t>
      </w:r>
      <w:r w:rsidR="00DB38F9">
        <w:rPr>
          <w:rFonts w:eastAsia="Calibri" w:cs="Calibri"/>
          <w:b/>
          <w:bCs/>
          <w:color w:val="000000"/>
          <w:u w:color="000000"/>
          <w:bdr w:val="nil"/>
          <w:lang w:val="en-GB"/>
        </w:rPr>
        <w:t>duration of</w:t>
      </w:r>
      <w:r w:rsidR="00DB38F9" w:rsidRPr="00305A35">
        <w:rPr>
          <w:rFonts w:eastAsia="Calibri" w:cs="Calibri"/>
          <w:b/>
          <w:bCs/>
          <w:color w:val="000000"/>
          <w:u w:color="000000"/>
          <w:bdr w:val="nil"/>
          <w:lang w:val="en-GB"/>
        </w:rPr>
        <w:t xml:space="preserve"> disputes by </w:t>
      </w:r>
      <w:r w:rsidR="00DB38F9">
        <w:rPr>
          <w:rFonts w:eastAsia="Calibri" w:cs="Calibri"/>
          <w:b/>
          <w:bCs/>
          <w:color w:val="000000"/>
          <w:u w:color="000000"/>
          <w:bdr w:val="nil"/>
          <w:lang w:val="en-GB"/>
        </w:rPr>
        <w:t>topic</w:t>
      </w:r>
    </w:p>
    <w:p w14:paraId="144EF166" w14:textId="3E10D2C2" w:rsidR="007C2EF8" w:rsidRDefault="008009AB" w:rsidP="006004F9">
      <w:pPr>
        <w:pBdr>
          <w:top w:val="nil"/>
          <w:left w:val="nil"/>
          <w:bottom w:val="nil"/>
          <w:right w:val="nil"/>
          <w:between w:val="nil"/>
          <w:bar w:val="nil"/>
        </w:pBdr>
        <w:spacing w:after="120" w:line="480" w:lineRule="auto"/>
        <w:jc w:val="center"/>
        <w:rPr>
          <w:rFonts w:eastAsia="Calibri" w:cs="Calibri"/>
          <w:color w:val="000000"/>
          <w:u w:color="000000"/>
          <w:bdr w:val="nil"/>
          <w:lang w:val="en-GB"/>
        </w:rPr>
      </w:pPr>
      <w:r w:rsidRPr="008009AB">
        <w:rPr>
          <w:rFonts w:eastAsia="Calibri" w:cs="Calibri"/>
          <w:noProof/>
          <w:color w:val="000000"/>
          <w:u w:color="000000"/>
          <w:bdr w:val="nil"/>
        </w:rPr>
        <w:drawing>
          <wp:inline distT="0" distB="0" distL="0" distR="0" wp14:anchorId="28B39848" wp14:editId="7DCBB771">
            <wp:extent cx="4976813" cy="3619500"/>
            <wp:effectExtent l="0" t="0" r="0" b="0"/>
            <wp:docPr id="107137104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78476" cy="3620710"/>
                    </a:xfrm>
                    <a:prstGeom prst="rect">
                      <a:avLst/>
                    </a:prstGeom>
                    <a:noFill/>
                    <a:ln>
                      <a:noFill/>
                    </a:ln>
                  </pic:spPr>
                </pic:pic>
              </a:graphicData>
            </a:graphic>
          </wp:inline>
        </w:drawing>
      </w:r>
    </w:p>
    <w:p w14:paraId="19F0844D" w14:textId="04F92384" w:rsidR="006004F9" w:rsidRDefault="006004F9" w:rsidP="006004F9">
      <w:pPr>
        <w:pBdr>
          <w:top w:val="nil"/>
          <w:left w:val="nil"/>
          <w:bottom w:val="nil"/>
          <w:right w:val="nil"/>
          <w:between w:val="nil"/>
          <w:bar w:val="nil"/>
        </w:pBdr>
        <w:spacing w:after="120"/>
        <w:jc w:val="center"/>
        <w:rPr>
          <w:rFonts w:eastAsia="Calibri" w:cs="Calibri"/>
          <w:sz w:val="20"/>
          <w:szCs w:val="20"/>
          <w:lang w:val="en-US"/>
        </w:rPr>
      </w:pPr>
      <w:r w:rsidRPr="00305A35">
        <w:rPr>
          <w:rFonts w:eastAsia="Calibri" w:cs="Calibri"/>
          <w:color w:val="000000"/>
          <w:sz w:val="20"/>
          <w:szCs w:val="20"/>
          <w:u w:color="000000"/>
          <w:bdr w:val="nil"/>
          <w:lang w:val="en-GB"/>
        </w:rPr>
        <w:t xml:space="preserve">Source: Own elaboration from </w:t>
      </w:r>
      <w:r w:rsidRPr="00305A35">
        <w:rPr>
          <w:rFonts w:eastAsia="Calibri" w:cs="Calibri"/>
          <w:sz w:val="20"/>
          <w:szCs w:val="20"/>
          <w:lang w:val="en-US"/>
        </w:rPr>
        <w:t>Inspector Package software powered by the Ministry of Justice (</w:t>
      </w:r>
      <w:proofErr w:type="spellStart"/>
      <w:r w:rsidRPr="00305A35">
        <w:rPr>
          <w:rFonts w:eastAsia="Calibri" w:cs="Calibri"/>
          <w:sz w:val="20"/>
          <w:szCs w:val="20"/>
          <w:lang w:val="en-US"/>
        </w:rPr>
        <w:t>Pacchetto</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Ispettore</w:t>
      </w:r>
      <w:proofErr w:type="spellEnd"/>
      <w:r w:rsidRPr="00305A35">
        <w:rPr>
          <w:rFonts w:eastAsia="Calibri" w:cs="Calibri"/>
          <w:sz w:val="20"/>
          <w:szCs w:val="20"/>
          <w:lang w:val="en-US"/>
        </w:rPr>
        <w:t xml:space="preserve"> – </w:t>
      </w:r>
      <w:proofErr w:type="spellStart"/>
      <w:r w:rsidRPr="00305A35">
        <w:rPr>
          <w:rFonts w:eastAsia="Calibri" w:cs="Calibri"/>
          <w:sz w:val="20"/>
          <w:szCs w:val="20"/>
          <w:lang w:val="en-US"/>
        </w:rPr>
        <w:t>Ministero</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della</w:t>
      </w:r>
      <w:proofErr w:type="spellEnd"/>
      <w:r w:rsidRPr="00305A35">
        <w:rPr>
          <w:rFonts w:eastAsia="Calibri" w:cs="Calibri"/>
          <w:sz w:val="20"/>
          <w:szCs w:val="20"/>
          <w:lang w:val="en-US"/>
        </w:rPr>
        <w:t xml:space="preserve"> </w:t>
      </w:r>
      <w:proofErr w:type="spellStart"/>
      <w:r w:rsidRPr="00305A35">
        <w:rPr>
          <w:rFonts w:eastAsia="Calibri" w:cs="Calibri"/>
          <w:sz w:val="20"/>
          <w:szCs w:val="20"/>
          <w:lang w:val="en-US"/>
        </w:rPr>
        <w:t>Giustizia</w:t>
      </w:r>
      <w:proofErr w:type="spellEnd"/>
      <w:r w:rsidRPr="00305A35">
        <w:rPr>
          <w:rFonts w:eastAsia="Calibri" w:cs="Calibri"/>
          <w:sz w:val="20"/>
          <w:szCs w:val="20"/>
          <w:lang w:val="en-US"/>
        </w:rPr>
        <w:t>)</w:t>
      </w:r>
    </w:p>
    <w:p w14:paraId="4F065FA9" w14:textId="3B103532" w:rsidR="00DB38F9" w:rsidRPr="006004F9" w:rsidRDefault="00DB38F9" w:rsidP="00DB38F9">
      <w:pPr>
        <w:pBdr>
          <w:top w:val="nil"/>
          <w:left w:val="nil"/>
          <w:bottom w:val="nil"/>
          <w:right w:val="nil"/>
          <w:between w:val="nil"/>
          <w:bar w:val="nil"/>
        </w:pBdr>
        <w:spacing w:after="120" w:line="480" w:lineRule="auto"/>
        <w:jc w:val="center"/>
        <w:rPr>
          <w:rFonts w:eastAsia="Calibri" w:cs="Calibri"/>
          <w:b/>
          <w:bCs/>
          <w:color w:val="000000"/>
          <w:u w:color="000000"/>
          <w:bdr w:val="nil"/>
          <w:lang w:val="en-US"/>
        </w:rPr>
      </w:pPr>
    </w:p>
    <w:p w14:paraId="660C973B" w14:textId="77777777" w:rsidR="00DB38F9" w:rsidRDefault="00DB38F9" w:rsidP="003326EC">
      <w:pPr>
        <w:pBdr>
          <w:top w:val="nil"/>
          <w:left w:val="nil"/>
          <w:bottom w:val="nil"/>
          <w:right w:val="nil"/>
          <w:between w:val="nil"/>
          <w:bar w:val="nil"/>
        </w:pBdr>
        <w:spacing w:after="120" w:line="480" w:lineRule="auto"/>
        <w:jc w:val="both"/>
        <w:rPr>
          <w:rFonts w:eastAsia="Calibri" w:cs="Calibri"/>
          <w:color w:val="000000"/>
          <w:u w:color="000000"/>
          <w:bdr w:val="nil"/>
          <w:lang w:val="en-GB"/>
        </w:rPr>
      </w:pPr>
    </w:p>
    <w:p w14:paraId="1BB18345" w14:textId="0856F0D2" w:rsidR="0049213B" w:rsidRPr="006660CA" w:rsidRDefault="0049213B" w:rsidP="0049213B">
      <w:pPr>
        <w:pBdr>
          <w:top w:val="nil"/>
          <w:left w:val="nil"/>
          <w:bottom w:val="nil"/>
          <w:right w:val="nil"/>
          <w:between w:val="nil"/>
          <w:bar w:val="nil"/>
        </w:pBdr>
        <w:spacing w:after="120" w:line="480" w:lineRule="auto"/>
        <w:jc w:val="both"/>
        <w:rPr>
          <w:b/>
          <w:bCs/>
          <w:lang w:val="en-GB"/>
        </w:rPr>
      </w:pPr>
      <w:r w:rsidRPr="006660CA">
        <w:rPr>
          <w:b/>
          <w:bCs/>
          <w:lang w:val="en-GB"/>
        </w:rPr>
        <w:lastRenderedPageBreak/>
        <w:t xml:space="preserve">3.1 </w:t>
      </w:r>
      <w:r w:rsidR="00BB04AB">
        <w:rPr>
          <w:b/>
          <w:bCs/>
          <w:lang w:val="en-GB"/>
        </w:rPr>
        <w:t>Regulatory</w:t>
      </w:r>
      <w:r w:rsidRPr="006660CA">
        <w:rPr>
          <w:b/>
          <w:bCs/>
          <w:lang w:val="en-GB"/>
        </w:rPr>
        <w:t xml:space="preserve"> complexity ind</w:t>
      </w:r>
      <w:r w:rsidR="006038A7">
        <w:rPr>
          <w:b/>
          <w:bCs/>
          <w:lang w:val="en-GB"/>
        </w:rPr>
        <w:t>icators</w:t>
      </w:r>
      <w:r w:rsidRPr="006660CA">
        <w:rPr>
          <w:b/>
          <w:bCs/>
          <w:lang w:val="en-GB"/>
        </w:rPr>
        <w:t xml:space="preserve"> at </w:t>
      </w:r>
      <w:r w:rsidR="00A4437E">
        <w:rPr>
          <w:b/>
          <w:bCs/>
          <w:lang w:val="en-GB"/>
        </w:rPr>
        <w:t>topic</w:t>
      </w:r>
      <w:r w:rsidRPr="006660CA">
        <w:rPr>
          <w:b/>
          <w:bCs/>
          <w:lang w:val="en-GB"/>
        </w:rPr>
        <w:t xml:space="preserve"> level</w:t>
      </w:r>
    </w:p>
    <w:p w14:paraId="6A1B403F" w14:textId="6B531E31" w:rsidR="0049213B" w:rsidRPr="00835B91" w:rsidRDefault="00835B91" w:rsidP="002E4687">
      <w:pPr>
        <w:pBdr>
          <w:top w:val="nil"/>
          <w:left w:val="nil"/>
          <w:bottom w:val="nil"/>
          <w:right w:val="nil"/>
          <w:between w:val="nil"/>
          <w:bar w:val="nil"/>
        </w:pBdr>
        <w:spacing w:line="480" w:lineRule="auto"/>
        <w:jc w:val="both"/>
        <w:rPr>
          <w:lang w:val="en-GB"/>
        </w:rPr>
      </w:pPr>
      <w:r w:rsidRPr="00835B91">
        <w:rPr>
          <w:shd w:val="clear" w:color="auto" w:fill="FFFFFF"/>
          <w:lang w:val="en-GB"/>
        </w:rPr>
        <w:t>In Italy</w:t>
      </w:r>
      <w:r w:rsidR="00914967">
        <w:rPr>
          <w:shd w:val="clear" w:color="auto" w:fill="FFFFFF"/>
          <w:lang w:val="en-GB"/>
        </w:rPr>
        <w:t>,</w:t>
      </w:r>
      <w:r w:rsidRPr="00835B91">
        <w:rPr>
          <w:shd w:val="clear" w:color="auto" w:fill="FFFFFF"/>
          <w:lang w:val="en-GB"/>
        </w:rPr>
        <w:t xml:space="preserve"> </w:t>
      </w:r>
      <w:r w:rsidR="00914967">
        <w:rPr>
          <w:shd w:val="clear" w:color="auto" w:fill="FFFFFF"/>
          <w:lang w:val="en-GB"/>
        </w:rPr>
        <w:t>as</w:t>
      </w:r>
      <w:r w:rsidR="00914967" w:rsidRPr="00835B91">
        <w:rPr>
          <w:shd w:val="clear" w:color="auto" w:fill="FFFFFF"/>
          <w:lang w:val="en-GB"/>
        </w:rPr>
        <w:t xml:space="preserve"> </w:t>
      </w:r>
      <w:r w:rsidRPr="00835B91">
        <w:rPr>
          <w:shd w:val="clear" w:color="auto" w:fill="FFFFFF"/>
          <w:lang w:val="en-GB"/>
        </w:rPr>
        <w:t>in many others civil law countries</w:t>
      </w:r>
      <w:r w:rsidR="00914967">
        <w:rPr>
          <w:shd w:val="clear" w:color="auto" w:fill="FFFFFF"/>
          <w:lang w:val="en-GB"/>
        </w:rPr>
        <w:t>,</w:t>
      </w:r>
      <w:r w:rsidRPr="00835B91">
        <w:rPr>
          <w:shd w:val="clear" w:color="auto" w:fill="FFFFFF"/>
          <w:lang w:val="en-GB"/>
        </w:rPr>
        <w:t xml:space="preserve"> laws remain in force until </w:t>
      </w:r>
      <w:r w:rsidR="00914967">
        <w:rPr>
          <w:shd w:val="clear" w:color="auto" w:fill="FFFFFF"/>
          <w:lang w:val="en-GB"/>
        </w:rPr>
        <w:t>they are</w:t>
      </w:r>
      <w:r w:rsidRPr="00835B91">
        <w:rPr>
          <w:shd w:val="clear" w:color="auto" w:fill="FFFFFF"/>
          <w:lang w:val="en-GB"/>
        </w:rPr>
        <w:t xml:space="preserve"> tacitly or explicitly repealed by a subsequent law</w:t>
      </w:r>
      <w:r w:rsidR="002E4687">
        <w:rPr>
          <w:shd w:val="clear" w:color="auto" w:fill="FFFFFF"/>
          <w:lang w:val="en-GB"/>
        </w:rPr>
        <w:t xml:space="preserve"> and they are in some cases better interpreted through Court Sentences.</w:t>
      </w:r>
      <w:r w:rsidR="007654C4">
        <w:rPr>
          <w:shd w:val="clear" w:color="auto" w:fill="FFFFFF"/>
          <w:lang w:val="en-GB"/>
        </w:rPr>
        <w:t xml:space="preserve"> In this sense,</w:t>
      </w:r>
      <w:r w:rsidR="002E4687">
        <w:rPr>
          <w:shd w:val="clear" w:color="auto" w:fill="FFFFFF"/>
          <w:lang w:val="en-GB"/>
        </w:rPr>
        <w:t xml:space="preserve"> </w:t>
      </w:r>
      <w:r w:rsidR="007654C4">
        <w:rPr>
          <w:shd w:val="clear" w:color="auto" w:fill="FFFFFF"/>
          <w:lang w:val="en-GB"/>
        </w:rPr>
        <w:t>a</w:t>
      </w:r>
      <w:r w:rsidR="0049213B" w:rsidRPr="00835B91">
        <w:rPr>
          <w:lang w:val="en-GB"/>
        </w:rPr>
        <w:t xml:space="preserve"> simple way to calculate an indicator of </w:t>
      </w:r>
      <w:r w:rsidR="002E4687">
        <w:rPr>
          <w:lang w:val="en-GB"/>
        </w:rPr>
        <w:t>legislative</w:t>
      </w:r>
      <w:r w:rsidR="0049213B" w:rsidRPr="00835B91">
        <w:rPr>
          <w:lang w:val="en-GB"/>
        </w:rPr>
        <w:t xml:space="preserve"> complexity at </w:t>
      </w:r>
      <w:r w:rsidR="00907DAE">
        <w:rPr>
          <w:lang w:val="en-GB"/>
        </w:rPr>
        <w:t>topic</w:t>
      </w:r>
      <w:r w:rsidR="0049213B" w:rsidRPr="00835B91">
        <w:rPr>
          <w:lang w:val="en-GB"/>
        </w:rPr>
        <w:t xml:space="preserve"> level</w:t>
      </w:r>
      <w:r w:rsidR="00E16380">
        <w:rPr>
          <w:lang w:val="en-GB"/>
        </w:rPr>
        <w:t xml:space="preserve"> </w:t>
      </w:r>
      <w:r w:rsidR="0049213B" w:rsidRPr="00835B91">
        <w:rPr>
          <w:lang w:val="en-GB"/>
        </w:rPr>
        <w:t>is to follows the quantitative approach</w:t>
      </w:r>
      <w:r w:rsidR="001225A3">
        <w:rPr>
          <w:lang w:val="en-GB"/>
        </w:rPr>
        <w:t xml:space="preserve">, which consider just the number of regulations </w:t>
      </w:r>
      <w:proofErr w:type="gramStart"/>
      <w:r w:rsidR="001225A3">
        <w:rPr>
          <w:lang w:val="en-GB"/>
        </w:rPr>
        <w:t>in order to</w:t>
      </w:r>
      <w:proofErr w:type="gramEnd"/>
      <w:r w:rsidR="001225A3">
        <w:rPr>
          <w:lang w:val="en-GB"/>
        </w:rPr>
        <w:t xml:space="preserve"> compute the complexity of a legal system</w:t>
      </w:r>
      <w:r w:rsidR="0049213B" w:rsidRPr="00835B91">
        <w:rPr>
          <w:lang w:val="en-GB"/>
        </w:rPr>
        <w:t xml:space="preserve"> </w:t>
      </w:r>
      <w:bookmarkStart w:id="9" w:name="_Hlk144942087"/>
      <w:r w:rsidR="0049213B" w:rsidRPr="00835B91">
        <w:rPr>
          <w:lang w:val="en-GB"/>
        </w:rPr>
        <w:t>(</w:t>
      </w:r>
      <w:r w:rsidR="007972F0" w:rsidRPr="00835B91">
        <w:rPr>
          <w:lang w:val="en-GB"/>
        </w:rPr>
        <w:t xml:space="preserve">Di Vita, 2010; </w:t>
      </w:r>
      <w:r w:rsidR="0049213B" w:rsidRPr="00835B91">
        <w:rPr>
          <w:lang w:val="en-GB"/>
        </w:rPr>
        <w:t xml:space="preserve">De Lucio </w:t>
      </w:r>
      <w:r w:rsidR="006660CA" w:rsidRPr="00835B91">
        <w:rPr>
          <w:lang w:val="en-GB"/>
        </w:rPr>
        <w:t xml:space="preserve">&amp; </w:t>
      </w:r>
      <w:r w:rsidR="0049213B" w:rsidRPr="00835B91">
        <w:rPr>
          <w:lang w:val="en-GB"/>
        </w:rPr>
        <w:t xml:space="preserve">Mora-Sanguinetti, </w:t>
      </w:r>
      <w:r w:rsidR="0049213B" w:rsidRPr="002E4687">
        <w:rPr>
          <w:lang w:val="en-GB"/>
        </w:rPr>
        <w:t>2021)</w:t>
      </w:r>
      <w:r w:rsidR="001225A3">
        <w:rPr>
          <w:rStyle w:val="Rimandonotaapidipagina"/>
          <w:lang w:val="en-GB"/>
        </w:rPr>
        <w:footnoteReference w:id="7"/>
      </w:r>
      <w:r w:rsidR="00825728" w:rsidRPr="002E4687">
        <w:rPr>
          <w:lang w:val="en-GB"/>
        </w:rPr>
        <w:t>.</w:t>
      </w:r>
      <w:r w:rsidR="00CF4D2C" w:rsidRPr="002E4687">
        <w:rPr>
          <w:lang w:val="en-GB"/>
        </w:rPr>
        <w:t xml:space="preserve"> </w:t>
      </w:r>
      <w:r w:rsidR="002E4687" w:rsidRPr="002E4687">
        <w:rPr>
          <w:lang w:val="en-GB"/>
        </w:rPr>
        <w:t xml:space="preserve">This method can be used not only in Italy, but also in any country that has a system of government with different levels, where there are many sources of law: international organizations (such as the European Union), the central state, the </w:t>
      </w:r>
      <w:proofErr w:type="gramStart"/>
      <w:r w:rsidR="002E4687" w:rsidRPr="002E4687">
        <w:rPr>
          <w:lang w:val="en-GB"/>
        </w:rPr>
        <w:t>regions</w:t>
      </w:r>
      <w:proofErr w:type="gramEnd"/>
      <w:r w:rsidR="002E4687" w:rsidRPr="002E4687">
        <w:rPr>
          <w:lang w:val="en-GB"/>
        </w:rPr>
        <w:t xml:space="preserve"> and the Constitutional Court (that issues rulings that have the force of law for lower courts), all of which can create regulation, without any </w:t>
      </w:r>
      <w:r w:rsidR="002E4687">
        <w:rPr>
          <w:lang w:val="en-GB"/>
        </w:rPr>
        <w:t xml:space="preserve">alignment </w:t>
      </w:r>
      <w:r w:rsidR="002E4687" w:rsidRPr="002E4687">
        <w:rPr>
          <w:lang w:val="en-GB"/>
        </w:rPr>
        <w:t>among them</w:t>
      </w:r>
      <w:r w:rsidR="002E4687">
        <w:rPr>
          <w:lang w:val="en-GB"/>
        </w:rPr>
        <w:t xml:space="preserve"> (Di Vita, 2018)</w:t>
      </w:r>
      <w:r w:rsidR="002E4687" w:rsidRPr="002E4687">
        <w:rPr>
          <w:lang w:val="en-GB"/>
        </w:rPr>
        <w:t xml:space="preserve">. </w:t>
      </w:r>
      <w:r w:rsidR="00CF4D2C" w:rsidRPr="002E4687">
        <w:rPr>
          <w:lang w:val="en-GB"/>
        </w:rPr>
        <w:t xml:space="preserve">Table 3 reports </w:t>
      </w:r>
      <w:r w:rsidR="002E4687" w:rsidRPr="002E4687">
        <w:rPr>
          <w:lang w:val="en-GB"/>
        </w:rPr>
        <w:t>our set</w:t>
      </w:r>
      <w:r w:rsidR="002E4687" w:rsidRPr="002E4687">
        <w:rPr>
          <w:rFonts w:eastAsia="Calibri" w:cs="Calibri"/>
          <w:lang w:val="en-GB"/>
        </w:rPr>
        <w:t xml:space="preserve"> of </w:t>
      </w:r>
      <w:r w:rsidR="007654C4">
        <w:rPr>
          <w:rFonts w:eastAsia="Calibri" w:cs="Calibri"/>
          <w:lang w:val="en-GB"/>
        </w:rPr>
        <w:t xml:space="preserve">regulatory </w:t>
      </w:r>
      <w:r w:rsidR="002E4687" w:rsidRPr="002E4687">
        <w:rPr>
          <w:lang w:val="en-GB"/>
        </w:rPr>
        <w:t>complexity indicators at topic level</w:t>
      </w:r>
      <w:bookmarkEnd w:id="9"/>
      <w:r w:rsidR="002E4687">
        <w:rPr>
          <w:lang w:val="en-GB"/>
        </w:rPr>
        <w:t>. I</w:t>
      </w:r>
      <w:r w:rsidR="00145672" w:rsidRPr="002E4687">
        <w:rPr>
          <w:lang w:val="en-GB"/>
        </w:rPr>
        <w:t>n detail, c</w:t>
      </w:r>
      <w:r w:rsidR="00825728" w:rsidRPr="002E4687">
        <w:rPr>
          <w:lang w:val="en-GB"/>
        </w:rPr>
        <w:t xml:space="preserve">olumns from 1 to 4 </w:t>
      </w:r>
      <w:r w:rsidR="00145672" w:rsidRPr="002E4687">
        <w:rPr>
          <w:lang w:val="en-GB"/>
        </w:rPr>
        <w:t xml:space="preserve">display </w:t>
      </w:r>
      <w:r w:rsidR="002E4687" w:rsidRPr="002E4687">
        <w:rPr>
          <w:lang w:val="en-GB"/>
        </w:rPr>
        <w:t>in</w:t>
      </w:r>
      <w:r w:rsidR="00825728" w:rsidRPr="002E4687">
        <w:rPr>
          <w:lang w:val="en-GB"/>
        </w:rPr>
        <w:t xml:space="preserve"> absolute value</w:t>
      </w:r>
      <w:r w:rsidR="002E4687" w:rsidRPr="002E4687">
        <w:rPr>
          <w:lang w:val="en-GB"/>
        </w:rPr>
        <w:t xml:space="preserve"> the number of laws and regulations, only laws, only regulation, sentences of the Supreme Court </w:t>
      </w:r>
      <w:r w:rsidR="00825728" w:rsidRPr="002E4687">
        <w:rPr>
          <w:lang w:val="en-GB"/>
        </w:rPr>
        <w:t>while columns from 5 to 8 the normalized ones.</w:t>
      </w:r>
      <w:r w:rsidR="00825728" w:rsidRPr="00835B91">
        <w:rPr>
          <w:lang w:val="en-GB"/>
        </w:rPr>
        <w:t xml:space="preserve"> </w:t>
      </w:r>
    </w:p>
    <w:p w14:paraId="327CB07E" w14:textId="7167A930" w:rsidR="0049213B" w:rsidRPr="00835B91" w:rsidRDefault="00835B91" w:rsidP="0049213B">
      <w:pPr>
        <w:pBdr>
          <w:top w:val="nil"/>
          <w:left w:val="nil"/>
          <w:bottom w:val="nil"/>
          <w:right w:val="nil"/>
          <w:between w:val="nil"/>
          <w:bar w:val="nil"/>
        </w:pBdr>
        <w:spacing w:after="120" w:line="480" w:lineRule="auto"/>
        <w:jc w:val="both"/>
        <w:rPr>
          <w:lang w:val="en-GB"/>
        </w:rPr>
      </w:pPr>
      <w:r w:rsidRPr="00835B91">
        <w:rPr>
          <w:lang w:val="en-GB"/>
        </w:rPr>
        <w:t>Considering the topic</w:t>
      </w:r>
      <w:r w:rsidR="002E4687">
        <w:rPr>
          <w:lang w:val="en-GB"/>
        </w:rPr>
        <w:t>s</w:t>
      </w:r>
      <w:r w:rsidRPr="00835B91">
        <w:rPr>
          <w:lang w:val="en-GB"/>
        </w:rPr>
        <w:t xml:space="preserve"> </w:t>
      </w:r>
      <w:r w:rsidR="002E4687">
        <w:rPr>
          <w:lang w:val="en-GB"/>
        </w:rPr>
        <w:t>described</w:t>
      </w:r>
      <w:r w:rsidRPr="00835B91">
        <w:rPr>
          <w:lang w:val="en-GB"/>
        </w:rPr>
        <w:t xml:space="preserve"> </w:t>
      </w:r>
      <w:r w:rsidR="0049213B" w:rsidRPr="00835B91">
        <w:rPr>
          <w:lang w:val="en-GB"/>
        </w:rPr>
        <w:t>in Table 1</w:t>
      </w:r>
      <w:r w:rsidR="002E4687">
        <w:rPr>
          <w:lang w:val="en-GB"/>
        </w:rPr>
        <w:t xml:space="preserve"> and </w:t>
      </w:r>
      <w:r w:rsidR="0049213B" w:rsidRPr="00835B91">
        <w:rPr>
          <w:lang w:val="en-GB"/>
        </w:rPr>
        <w:t>follow</w:t>
      </w:r>
      <w:r w:rsidR="002E4687">
        <w:rPr>
          <w:lang w:val="en-GB"/>
        </w:rPr>
        <w:t>ing</w:t>
      </w:r>
      <w:r w:rsidR="0049213B" w:rsidRPr="00835B91">
        <w:rPr>
          <w:lang w:val="en-GB"/>
        </w:rPr>
        <w:t xml:space="preserve"> the quantitative approach</w:t>
      </w:r>
      <w:r w:rsidR="001225A3">
        <w:rPr>
          <w:lang w:val="en-GB"/>
        </w:rPr>
        <w:t xml:space="preserve">, we account for </w:t>
      </w:r>
      <w:r w:rsidR="006660CA" w:rsidRPr="00835B91">
        <w:rPr>
          <w:lang w:val="en-GB"/>
        </w:rPr>
        <w:t xml:space="preserve">both </w:t>
      </w:r>
      <w:r w:rsidR="0049213B" w:rsidRPr="00835B91">
        <w:rPr>
          <w:lang w:val="en-GB"/>
        </w:rPr>
        <w:t xml:space="preserve">the number of laws </w:t>
      </w:r>
      <w:r w:rsidRPr="00835B91">
        <w:rPr>
          <w:lang w:val="en-GB"/>
        </w:rPr>
        <w:t xml:space="preserve">and regulations </w:t>
      </w:r>
      <w:r w:rsidR="001225A3">
        <w:rPr>
          <w:lang w:val="en-GB"/>
        </w:rPr>
        <w:t>at</w:t>
      </w:r>
      <w:r w:rsidR="0049213B" w:rsidRPr="00835B91">
        <w:rPr>
          <w:lang w:val="en-GB"/>
        </w:rPr>
        <w:t xml:space="preserve"> </w:t>
      </w:r>
      <w:r w:rsidRPr="00835B91">
        <w:rPr>
          <w:lang w:val="en-GB"/>
        </w:rPr>
        <w:t>topic</w:t>
      </w:r>
      <w:r w:rsidR="0049213B" w:rsidRPr="00835B91">
        <w:rPr>
          <w:lang w:val="en-GB"/>
        </w:rPr>
        <w:t xml:space="preserve"> </w:t>
      </w:r>
      <w:r w:rsidR="001225A3">
        <w:rPr>
          <w:lang w:val="en-GB"/>
        </w:rPr>
        <w:t xml:space="preserve">level issued </w:t>
      </w:r>
      <w:r w:rsidR="0049213B" w:rsidRPr="00835B91">
        <w:rPr>
          <w:lang w:val="en-GB"/>
        </w:rPr>
        <w:t>in the last twenty</w:t>
      </w:r>
      <w:r w:rsidR="00617653">
        <w:rPr>
          <w:lang w:val="en-GB"/>
        </w:rPr>
        <w:t xml:space="preserve"> </w:t>
      </w:r>
      <w:r w:rsidR="0049213B" w:rsidRPr="00835B91">
        <w:rPr>
          <w:lang w:val="en-GB"/>
        </w:rPr>
        <w:t>years</w:t>
      </w:r>
      <w:r w:rsidRPr="00835B91">
        <w:rPr>
          <w:lang w:val="en-GB"/>
        </w:rPr>
        <w:t xml:space="preserve"> </w:t>
      </w:r>
      <w:r w:rsidR="00617653">
        <w:rPr>
          <w:lang w:val="en-GB"/>
        </w:rPr>
        <w:t>(</w:t>
      </w:r>
      <w:r w:rsidR="00617653" w:rsidRPr="00617653">
        <w:rPr>
          <w:lang w:val="en-GB"/>
        </w:rPr>
        <w:t xml:space="preserve">up </w:t>
      </w:r>
      <w:r w:rsidR="00617653">
        <w:rPr>
          <w:lang w:val="en-GB"/>
        </w:rPr>
        <w:t xml:space="preserve">to </w:t>
      </w:r>
      <w:r w:rsidR="00617653" w:rsidRPr="00617653">
        <w:rPr>
          <w:lang w:val="en-GB"/>
        </w:rPr>
        <w:t>31th December 2022</w:t>
      </w:r>
      <w:r w:rsidR="00617653">
        <w:rPr>
          <w:lang w:val="en-GB"/>
        </w:rPr>
        <w:t>)</w:t>
      </w:r>
      <w:r w:rsidR="00617653">
        <w:rPr>
          <w:rStyle w:val="Rimandonotaapidipagina"/>
          <w:lang w:val="en-GB"/>
        </w:rPr>
        <w:footnoteReference w:id="8"/>
      </w:r>
      <w:r w:rsidR="00617653" w:rsidRPr="00835B91">
        <w:rPr>
          <w:lang w:val="en-GB"/>
        </w:rPr>
        <w:t xml:space="preserve"> </w:t>
      </w:r>
      <w:r w:rsidR="0049213B" w:rsidRPr="00835B91">
        <w:rPr>
          <w:lang w:val="en-GB"/>
        </w:rPr>
        <w:t>a</w:t>
      </w:r>
      <w:r w:rsidR="006660CA" w:rsidRPr="00835B91">
        <w:rPr>
          <w:lang w:val="en-GB"/>
        </w:rPr>
        <w:t>nd</w:t>
      </w:r>
      <w:r w:rsidR="0049213B" w:rsidRPr="00835B91">
        <w:rPr>
          <w:lang w:val="en-GB"/>
        </w:rPr>
        <w:t xml:space="preserve"> the number of sentences issued by the </w:t>
      </w:r>
      <w:r w:rsidRPr="00835B91">
        <w:rPr>
          <w:lang w:val="en-GB"/>
        </w:rPr>
        <w:t>Supreme Court (</w:t>
      </w:r>
      <w:r w:rsidR="0049213B" w:rsidRPr="00835B91">
        <w:rPr>
          <w:lang w:val="en-GB"/>
        </w:rPr>
        <w:t xml:space="preserve">Corte di </w:t>
      </w:r>
      <w:proofErr w:type="spellStart"/>
      <w:r w:rsidR="0049213B" w:rsidRPr="00835B91">
        <w:rPr>
          <w:lang w:val="en-GB"/>
        </w:rPr>
        <w:t>Cassazione</w:t>
      </w:r>
      <w:proofErr w:type="spellEnd"/>
      <w:r w:rsidRPr="00835B91">
        <w:rPr>
          <w:lang w:val="en-GB"/>
        </w:rPr>
        <w:t xml:space="preserve">) in 2022 </w:t>
      </w:r>
      <w:r w:rsidR="0049213B" w:rsidRPr="00835B91">
        <w:rPr>
          <w:lang w:val="en-GB"/>
        </w:rPr>
        <w:t xml:space="preserve">and </w:t>
      </w:r>
      <w:r w:rsidR="00907DAE">
        <w:rPr>
          <w:lang w:val="en-GB"/>
        </w:rPr>
        <w:t xml:space="preserve">then we </w:t>
      </w:r>
      <w:r w:rsidR="0049213B" w:rsidRPr="00835B91">
        <w:rPr>
          <w:lang w:val="en-GB"/>
        </w:rPr>
        <w:t>normalize their value</w:t>
      </w:r>
      <w:r w:rsidRPr="00835B91">
        <w:rPr>
          <w:lang w:val="en-GB"/>
        </w:rPr>
        <w:t>s</w:t>
      </w:r>
      <w:r>
        <w:rPr>
          <w:lang w:val="en-GB"/>
        </w:rPr>
        <w:t xml:space="preserve"> (Table 3). </w:t>
      </w:r>
      <w:r w:rsidR="00907DAE">
        <w:rPr>
          <w:lang w:val="en-GB"/>
        </w:rPr>
        <w:t>Following this approach</w:t>
      </w:r>
      <w:r w:rsidR="001225A3">
        <w:rPr>
          <w:lang w:val="en-GB"/>
        </w:rPr>
        <w:t>, we obtain</w:t>
      </w:r>
      <w:r w:rsidR="00907DAE" w:rsidRPr="00907DAE">
        <w:rPr>
          <w:lang w:val="en-GB"/>
        </w:rPr>
        <w:t xml:space="preserve"> a simple way to address</w:t>
      </w:r>
      <w:r w:rsidR="001225A3">
        <w:rPr>
          <w:lang w:val="en-GB"/>
        </w:rPr>
        <w:t xml:space="preserve"> a</w:t>
      </w:r>
      <w:r w:rsidR="00907DAE" w:rsidRPr="00907DAE">
        <w:rPr>
          <w:lang w:val="en-GB"/>
        </w:rPr>
        <w:t xml:space="preserve"> </w:t>
      </w:r>
      <w:r w:rsidR="001225A3">
        <w:rPr>
          <w:lang w:val="en-GB"/>
        </w:rPr>
        <w:t xml:space="preserve">set of </w:t>
      </w:r>
      <w:r w:rsidR="007654C4">
        <w:rPr>
          <w:lang w:val="en-GB"/>
        </w:rPr>
        <w:t>regulatory</w:t>
      </w:r>
      <w:r w:rsidR="00907DAE" w:rsidRPr="00907DAE">
        <w:rPr>
          <w:lang w:val="en-GB"/>
        </w:rPr>
        <w:t xml:space="preserve"> complexity </w:t>
      </w:r>
      <w:r w:rsidR="001225A3">
        <w:rPr>
          <w:lang w:val="en-GB"/>
        </w:rPr>
        <w:t xml:space="preserve">indicators </w:t>
      </w:r>
      <w:r w:rsidR="00907DAE" w:rsidRPr="00907DAE">
        <w:rPr>
          <w:lang w:val="en-GB"/>
        </w:rPr>
        <w:t xml:space="preserve">at </w:t>
      </w:r>
      <w:r w:rsidR="00907DAE">
        <w:rPr>
          <w:lang w:val="en-GB"/>
        </w:rPr>
        <w:t>topic</w:t>
      </w:r>
      <w:r w:rsidR="00907DAE" w:rsidRPr="00907DAE">
        <w:rPr>
          <w:lang w:val="en-GB"/>
        </w:rPr>
        <w:t xml:space="preserve"> level.</w:t>
      </w:r>
    </w:p>
    <w:p w14:paraId="415C964A" w14:textId="77777777" w:rsidR="00761384" w:rsidRPr="00835B91" w:rsidRDefault="00761384" w:rsidP="0049213B">
      <w:pPr>
        <w:pBdr>
          <w:top w:val="nil"/>
          <w:left w:val="nil"/>
          <w:bottom w:val="nil"/>
          <w:right w:val="nil"/>
          <w:between w:val="nil"/>
          <w:bar w:val="nil"/>
        </w:pBdr>
        <w:spacing w:after="120" w:line="480" w:lineRule="auto"/>
        <w:jc w:val="both"/>
        <w:rPr>
          <w:lang w:val="en-GB"/>
        </w:rPr>
      </w:pPr>
    </w:p>
    <w:p w14:paraId="3FA54423" w14:textId="6E6245CE" w:rsidR="006660CA" w:rsidRDefault="006660CA" w:rsidP="006660CA">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eastAsia="Calibri" w:hAnsi="Times New Roman" w:cs="Calibri"/>
          <w:b/>
          <w:bCs/>
          <w:sz w:val="24"/>
          <w:szCs w:val="24"/>
          <w:lang w:val="en-GB"/>
        </w:rPr>
      </w:pPr>
      <w:r w:rsidRPr="001472AA">
        <w:rPr>
          <w:rFonts w:ascii="Times New Roman" w:eastAsia="Calibri" w:hAnsi="Times New Roman" w:cs="Calibri"/>
          <w:b/>
          <w:bCs/>
          <w:sz w:val="24"/>
          <w:szCs w:val="24"/>
          <w:lang w:val="en-GB"/>
        </w:rPr>
        <w:lastRenderedPageBreak/>
        <w:t xml:space="preserve">Table </w:t>
      </w:r>
      <w:r>
        <w:rPr>
          <w:rFonts w:ascii="Times New Roman" w:eastAsia="Calibri" w:hAnsi="Times New Roman" w:cs="Calibri"/>
          <w:b/>
          <w:bCs/>
          <w:sz w:val="24"/>
          <w:szCs w:val="24"/>
          <w:lang w:val="en-GB"/>
        </w:rPr>
        <w:t>3</w:t>
      </w:r>
      <w:r w:rsidRPr="001472AA">
        <w:rPr>
          <w:rFonts w:ascii="Times New Roman" w:eastAsia="Calibri" w:hAnsi="Times New Roman" w:cs="Calibri"/>
          <w:b/>
          <w:bCs/>
          <w:sz w:val="24"/>
          <w:szCs w:val="24"/>
          <w:lang w:val="en-GB"/>
        </w:rPr>
        <w:t xml:space="preserve"> </w:t>
      </w:r>
      <w:r w:rsidRPr="00F262D6">
        <w:rPr>
          <w:rFonts w:ascii="Times New Roman" w:eastAsia="Calibri" w:hAnsi="Times New Roman" w:cs="Calibri"/>
          <w:b/>
          <w:bCs/>
          <w:sz w:val="24"/>
          <w:szCs w:val="24"/>
          <w:lang w:val="en-US"/>
        </w:rPr>
        <w:t>–</w:t>
      </w:r>
      <w:r w:rsidR="007E6A76">
        <w:rPr>
          <w:rFonts w:ascii="Times New Roman" w:eastAsia="Calibri" w:hAnsi="Times New Roman" w:cs="Calibri"/>
          <w:b/>
          <w:bCs/>
          <w:sz w:val="24"/>
          <w:szCs w:val="24"/>
          <w:lang w:val="en-US"/>
        </w:rPr>
        <w:t xml:space="preserve"> </w:t>
      </w:r>
      <w:r>
        <w:rPr>
          <w:rFonts w:ascii="Times New Roman" w:eastAsia="Calibri" w:hAnsi="Times New Roman" w:cs="Calibri"/>
          <w:b/>
          <w:bCs/>
          <w:sz w:val="24"/>
          <w:szCs w:val="24"/>
          <w:lang w:val="en-GB"/>
        </w:rPr>
        <w:t>Regulatory</w:t>
      </w:r>
      <w:r w:rsidR="007E6A76">
        <w:rPr>
          <w:rFonts w:ascii="Times New Roman" w:eastAsia="Calibri" w:hAnsi="Times New Roman" w:cs="Calibri"/>
          <w:b/>
          <w:bCs/>
          <w:sz w:val="24"/>
          <w:szCs w:val="24"/>
          <w:lang w:val="en-GB"/>
        </w:rPr>
        <w:t xml:space="preserve"> </w:t>
      </w:r>
      <w:r>
        <w:rPr>
          <w:rFonts w:ascii="Times New Roman" w:eastAsia="Calibri" w:hAnsi="Times New Roman" w:cs="Calibri"/>
          <w:b/>
          <w:bCs/>
          <w:sz w:val="24"/>
          <w:szCs w:val="24"/>
          <w:lang w:val="en-GB"/>
        </w:rPr>
        <w:t xml:space="preserve">complexity </w:t>
      </w:r>
      <w:r w:rsidR="007E6A76">
        <w:rPr>
          <w:rFonts w:ascii="Times New Roman" w:eastAsia="Calibri" w:hAnsi="Times New Roman" w:cs="Calibri"/>
          <w:b/>
          <w:bCs/>
          <w:sz w:val="24"/>
          <w:szCs w:val="24"/>
          <w:lang w:val="en-GB"/>
        </w:rPr>
        <w:t xml:space="preserve">indicators </w:t>
      </w:r>
      <w:r>
        <w:rPr>
          <w:rFonts w:ascii="Times New Roman" w:eastAsia="Calibri" w:hAnsi="Times New Roman" w:cs="Calibri"/>
          <w:b/>
          <w:bCs/>
          <w:sz w:val="24"/>
          <w:szCs w:val="24"/>
          <w:lang w:val="en-GB"/>
        </w:rPr>
        <w:t xml:space="preserve">at </w:t>
      </w:r>
      <w:r w:rsidR="00744709">
        <w:rPr>
          <w:rFonts w:ascii="Times New Roman" w:eastAsia="Calibri" w:hAnsi="Times New Roman" w:cs="Calibri"/>
          <w:b/>
          <w:bCs/>
          <w:sz w:val="24"/>
          <w:szCs w:val="24"/>
          <w:lang w:val="en-GB"/>
        </w:rPr>
        <w:t>topic</w:t>
      </w:r>
      <w:r>
        <w:rPr>
          <w:rFonts w:ascii="Times New Roman" w:eastAsia="Calibri" w:hAnsi="Times New Roman" w:cs="Calibri"/>
          <w:b/>
          <w:bCs/>
          <w:sz w:val="24"/>
          <w:szCs w:val="24"/>
          <w:lang w:val="en-GB"/>
        </w:rPr>
        <w:t xml:space="preserve"> level</w:t>
      </w:r>
    </w:p>
    <w:tbl>
      <w:tblPr>
        <w:tblStyle w:val="Grigliatabella"/>
        <w:tblW w:w="9357" w:type="dxa"/>
        <w:jc w:val="center"/>
        <w:tblLayout w:type="fixed"/>
        <w:tblLook w:val="04A0" w:firstRow="1" w:lastRow="0" w:firstColumn="1" w:lastColumn="0" w:noHBand="0" w:noVBand="1"/>
      </w:tblPr>
      <w:tblGrid>
        <w:gridCol w:w="1417"/>
        <w:gridCol w:w="992"/>
        <w:gridCol w:w="709"/>
        <w:gridCol w:w="851"/>
        <w:gridCol w:w="993"/>
        <w:gridCol w:w="993"/>
        <w:gridCol w:w="850"/>
        <w:gridCol w:w="1276"/>
        <w:gridCol w:w="1276"/>
      </w:tblGrid>
      <w:tr w:rsidR="00B3210F" w:rsidRPr="00BF24D1" w14:paraId="2E3EF3DA" w14:textId="437858A9" w:rsidTr="009F3862">
        <w:trPr>
          <w:trHeight w:val="1476"/>
          <w:jc w:val="center"/>
        </w:trPr>
        <w:tc>
          <w:tcPr>
            <w:tcW w:w="1417" w:type="dxa"/>
          </w:tcPr>
          <w:p w14:paraId="5633BF2B" w14:textId="77777777" w:rsidR="00835B91" w:rsidRDefault="00835B91" w:rsidP="00C15F75">
            <w:pPr>
              <w:pBdr>
                <w:top w:val="nil"/>
                <w:left w:val="nil"/>
                <w:bottom w:val="nil"/>
                <w:right w:val="nil"/>
                <w:between w:val="nil"/>
                <w:bar w:val="nil"/>
              </w:pBdr>
              <w:spacing w:after="120" w:line="480" w:lineRule="auto"/>
              <w:jc w:val="both"/>
              <w:rPr>
                <w:b/>
                <w:bCs/>
                <w:sz w:val="20"/>
                <w:szCs w:val="20"/>
                <w:lang w:val="en-US"/>
              </w:rPr>
            </w:pPr>
          </w:p>
          <w:p w14:paraId="674F3F36" w14:textId="560D4598" w:rsidR="00B3210F" w:rsidRPr="00C15F75" w:rsidRDefault="00C15F75" w:rsidP="00C15F75">
            <w:pPr>
              <w:pBdr>
                <w:top w:val="nil"/>
                <w:left w:val="nil"/>
                <w:bottom w:val="nil"/>
                <w:right w:val="nil"/>
                <w:between w:val="nil"/>
                <w:bar w:val="nil"/>
              </w:pBdr>
              <w:spacing w:after="120" w:line="480" w:lineRule="auto"/>
              <w:jc w:val="both"/>
              <w:rPr>
                <w:smallCaps/>
                <w:sz w:val="20"/>
                <w:szCs w:val="20"/>
                <w:lang w:val="en-GB"/>
              </w:rPr>
            </w:pPr>
            <w:r w:rsidRPr="00C15F75">
              <w:rPr>
                <w:b/>
                <w:bCs/>
                <w:sz w:val="20"/>
                <w:szCs w:val="20"/>
                <w:lang w:val="en-US"/>
              </w:rPr>
              <w:t xml:space="preserve">  Variables</w:t>
            </w:r>
          </w:p>
        </w:tc>
        <w:tc>
          <w:tcPr>
            <w:tcW w:w="992" w:type="dxa"/>
          </w:tcPr>
          <w:p w14:paraId="2F84699B" w14:textId="61349CD5" w:rsidR="00B3210F" w:rsidRPr="00761384" w:rsidRDefault="00B3210F" w:rsidP="00C15F75">
            <w:pPr>
              <w:jc w:val="center"/>
              <w:rPr>
                <w:b/>
                <w:bCs/>
                <w:smallCaps/>
                <w:sz w:val="20"/>
                <w:szCs w:val="20"/>
                <w:lang w:val="en-GB"/>
              </w:rPr>
            </w:pPr>
            <w:r w:rsidRPr="00761384">
              <w:rPr>
                <w:b/>
                <w:bCs/>
                <w:smallCaps/>
                <w:sz w:val="20"/>
                <w:szCs w:val="20"/>
                <w:lang w:val="en-GB"/>
              </w:rPr>
              <w:t>(1)</w:t>
            </w:r>
          </w:p>
          <w:p w14:paraId="098B5087" w14:textId="340EA239" w:rsidR="00B3210F" w:rsidRPr="00761384" w:rsidRDefault="00C15F75" w:rsidP="00761384">
            <w:pPr>
              <w:pBdr>
                <w:top w:val="nil"/>
                <w:left w:val="nil"/>
                <w:bottom w:val="nil"/>
                <w:right w:val="nil"/>
                <w:between w:val="nil"/>
                <w:bar w:val="nil"/>
              </w:pBdr>
              <w:spacing w:after="120" w:line="480" w:lineRule="auto"/>
              <w:jc w:val="center"/>
              <w:rPr>
                <w:b/>
                <w:bCs/>
                <w:smallCaps/>
                <w:sz w:val="20"/>
                <w:szCs w:val="20"/>
                <w:lang w:val="en-GB"/>
              </w:rPr>
            </w:pPr>
            <w:r w:rsidRPr="00761384">
              <w:rPr>
                <w:b/>
                <w:bCs/>
                <w:sz w:val="20"/>
                <w:szCs w:val="20"/>
                <w:lang w:val="en-GB"/>
              </w:rPr>
              <w:t xml:space="preserve">Laws &amp; Reg. </w:t>
            </w:r>
          </w:p>
        </w:tc>
        <w:tc>
          <w:tcPr>
            <w:tcW w:w="709" w:type="dxa"/>
          </w:tcPr>
          <w:p w14:paraId="381D29F0" w14:textId="7393ABAE" w:rsidR="00B3210F" w:rsidRPr="00761384" w:rsidRDefault="00B3210F" w:rsidP="007C3ECA">
            <w:pPr>
              <w:jc w:val="center"/>
              <w:rPr>
                <w:b/>
                <w:bCs/>
                <w:smallCaps/>
                <w:sz w:val="20"/>
                <w:szCs w:val="20"/>
                <w:lang w:val="en-GB"/>
              </w:rPr>
            </w:pPr>
            <w:r w:rsidRPr="00761384">
              <w:rPr>
                <w:b/>
                <w:bCs/>
                <w:smallCaps/>
                <w:sz w:val="20"/>
                <w:szCs w:val="20"/>
                <w:lang w:val="en-GB"/>
              </w:rPr>
              <w:t>(2)</w:t>
            </w:r>
          </w:p>
          <w:p w14:paraId="70FEBE82" w14:textId="7C173FBA" w:rsidR="00C15F75"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 xml:space="preserve">Laws </w:t>
            </w:r>
          </w:p>
          <w:p w14:paraId="409D0E67" w14:textId="7FAF06D8" w:rsidR="00B3210F" w:rsidRPr="00761384" w:rsidRDefault="00B3210F" w:rsidP="007C3ECA">
            <w:pPr>
              <w:jc w:val="center"/>
              <w:rPr>
                <w:b/>
                <w:bCs/>
                <w:smallCaps/>
                <w:sz w:val="20"/>
                <w:szCs w:val="20"/>
                <w:lang w:val="en-GB"/>
              </w:rPr>
            </w:pPr>
          </w:p>
        </w:tc>
        <w:tc>
          <w:tcPr>
            <w:tcW w:w="851" w:type="dxa"/>
          </w:tcPr>
          <w:p w14:paraId="650BBDF8" w14:textId="1BAD5C93" w:rsidR="00B3210F" w:rsidRPr="00761384" w:rsidRDefault="00B3210F" w:rsidP="007C3ECA">
            <w:pPr>
              <w:jc w:val="center"/>
              <w:rPr>
                <w:b/>
                <w:bCs/>
                <w:smallCaps/>
                <w:sz w:val="20"/>
                <w:szCs w:val="20"/>
                <w:lang w:val="en-GB"/>
              </w:rPr>
            </w:pPr>
            <w:r w:rsidRPr="00761384">
              <w:rPr>
                <w:b/>
                <w:bCs/>
                <w:smallCaps/>
                <w:sz w:val="20"/>
                <w:szCs w:val="20"/>
                <w:lang w:val="en-GB"/>
              </w:rPr>
              <w:t>(3)</w:t>
            </w:r>
          </w:p>
          <w:p w14:paraId="59298735" w14:textId="18FF2482" w:rsidR="00C15F75"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 xml:space="preserve">Reg. </w:t>
            </w:r>
          </w:p>
          <w:p w14:paraId="643E6A92" w14:textId="15879FA4" w:rsidR="00B3210F" w:rsidRPr="00761384" w:rsidRDefault="00B3210F" w:rsidP="007C3ECA">
            <w:pPr>
              <w:jc w:val="center"/>
              <w:rPr>
                <w:b/>
                <w:bCs/>
                <w:smallCaps/>
                <w:sz w:val="20"/>
                <w:szCs w:val="20"/>
                <w:lang w:val="en-GB"/>
              </w:rPr>
            </w:pPr>
          </w:p>
        </w:tc>
        <w:tc>
          <w:tcPr>
            <w:tcW w:w="993" w:type="dxa"/>
          </w:tcPr>
          <w:p w14:paraId="21F236F8" w14:textId="77777777" w:rsidR="00B3210F" w:rsidRPr="00761384" w:rsidRDefault="00B3210F" w:rsidP="007C3ECA">
            <w:pPr>
              <w:jc w:val="center"/>
              <w:rPr>
                <w:b/>
                <w:bCs/>
                <w:smallCaps/>
                <w:sz w:val="20"/>
                <w:szCs w:val="20"/>
                <w:lang w:val="en-GB"/>
              </w:rPr>
            </w:pPr>
            <w:r w:rsidRPr="00761384">
              <w:rPr>
                <w:b/>
                <w:bCs/>
                <w:smallCaps/>
                <w:sz w:val="20"/>
                <w:szCs w:val="20"/>
                <w:lang w:val="en-GB"/>
              </w:rPr>
              <w:t>(7)</w:t>
            </w:r>
          </w:p>
          <w:p w14:paraId="77BE33A6" w14:textId="5F368584" w:rsidR="00C15F75"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 xml:space="preserve">Supreme Court Sent. </w:t>
            </w:r>
          </w:p>
          <w:p w14:paraId="427FB1BA" w14:textId="5E24A552" w:rsidR="00B3210F" w:rsidRPr="00761384" w:rsidRDefault="00B3210F" w:rsidP="007C3ECA">
            <w:pPr>
              <w:jc w:val="center"/>
              <w:rPr>
                <w:b/>
                <w:bCs/>
                <w:smallCaps/>
                <w:color w:val="000000" w:themeColor="text1"/>
                <w:sz w:val="20"/>
                <w:szCs w:val="20"/>
                <w:lang w:val="en-GB"/>
              </w:rPr>
            </w:pPr>
          </w:p>
        </w:tc>
        <w:tc>
          <w:tcPr>
            <w:tcW w:w="993" w:type="dxa"/>
          </w:tcPr>
          <w:p w14:paraId="5A7E5C23" w14:textId="1F06F5F0" w:rsidR="00B3210F" w:rsidRPr="00761384" w:rsidRDefault="00B3210F" w:rsidP="007C3ECA">
            <w:pPr>
              <w:jc w:val="center"/>
              <w:rPr>
                <w:b/>
                <w:bCs/>
                <w:smallCaps/>
                <w:color w:val="000000" w:themeColor="text1"/>
                <w:sz w:val="20"/>
                <w:szCs w:val="20"/>
                <w:lang w:val="en-GB"/>
              </w:rPr>
            </w:pPr>
            <w:r w:rsidRPr="00761384">
              <w:rPr>
                <w:b/>
                <w:bCs/>
                <w:smallCaps/>
                <w:color w:val="000000" w:themeColor="text1"/>
                <w:sz w:val="20"/>
                <w:szCs w:val="20"/>
                <w:lang w:val="en-GB"/>
              </w:rPr>
              <w:t>(4)</w:t>
            </w:r>
          </w:p>
          <w:p w14:paraId="498B451F" w14:textId="1E3EA921" w:rsidR="00B3210F"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Laws &amp; Reg. Norm.</w:t>
            </w:r>
          </w:p>
        </w:tc>
        <w:tc>
          <w:tcPr>
            <w:tcW w:w="850" w:type="dxa"/>
          </w:tcPr>
          <w:p w14:paraId="6DBC90E1" w14:textId="32C40AA2" w:rsidR="00B3210F" w:rsidRPr="00761384" w:rsidRDefault="00B3210F" w:rsidP="007C3ECA">
            <w:pPr>
              <w:jc w:val="center"/>
              <w:rPr>
                <w:b/>
                <w:bCs/>
                <w:smallCaps/>
                <w:sz w:val="20"/>
                <w:szCs w:val="20"/>
                <w:lang w:val="en-GB"/>
              </w:rPr>
            </w:pPr>
            <w:r w:rsidRPr="00761384">
              <w:rPr>
                <w:b/>
                <w:bCs/>
                <w:smallCaps/>
                <w:sz w:val="20"/>
                <w:szCs w:val="20"/>
                <w:lang w:val="en-GB"/>
              </w:rPr>
              <w:t>(5)</w:t>
            </w:r>
          </w:p>
          <w:p w14:paraId="426F4222" w14:textId="7A80F58F" w:rsidR="00C15F75"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Laws Norm.</w:t>
            </w:r>
          </w:p>
          <w:p w14:paraId="7EE7872E" w14:textId="7C23D7A2" w:rsidR="00B3210F" w:rsidRPr="00761384" w:rsidRDefault="00B3210F" w:rsidP="007C3ECA">
            <w:pPr>
              <w:jc w:val="center"/>
              <w:rPr>
                <w:b/>
                <w:bCs/>
                <w:smallCaps/>
                <w:sz w:val="20"/>
                <w:szCs w:val="20"/>
                <w:lang w:val="en-GB"/>
              </w:rPr>
            </w:pPr>
          </w:p>
        </w:tc>
        <w:tc>
          <w:tcPr>
            <w:tcW w:w="1276" w:type="dxa"/>
          </w:tcPr>
          <w:p w14:paraId="05704668" w14:textId="070DF959" w:rsidR="00B3210F" w:rsidRPr="00761384" w:rsidRDefault="00B3210F" w:rsidP="007C3ECA">
            <w:pPr>
              <w:jc w:val="center"/>
              <w:rPr>
                <w:b/>
                <w:bCs/>
                <w:smallCaps/>
                <w:sz w:val="20"/>
                <w:szCs w:val="20"/>
                <w:lang w:val="en-GB"/>
              </w:rPr>
            </w:pPr>
            <w:r w:rsidRPr="00761384">
              <w:rPr>
                <w:b/>
                <w:bCs/>
                <w:smallCaps/>
                <w:sz w:val="20"/>
                <w:szCs w:val="20"/>
                <w:lang w:val="en-GB"/>
              </w:rPr>
              <w:t>(6)</w:t>
            </w:r>
          </w:p>
          <w:p w14:paraId="421BF73A" w14:textId="755DC8B4" w:rsidR="00C15F75" w:rsidRPr="00761384" w:rsidRDefault="00C15F75" w:rsidP="00C15F75">
            <w:pPr>
              <w:pBdr>
                <w:top w:val="nil"/>
                <w:left w:val="nil"/>
                <w:bottom w:val="nil"/>
                <w:right w:val="nil"/>
                <w:between w:val="nil"/>
                <w:bar w:val="nil"/>
              </w:pBdr>
              <w:spacing w:after="120" w:line="480" w:lineRule="auto"/>
              <w:jc w:val="center"/>
              <w:rPr>
                <w:b/>
                <w:bCs/>
                <w:sz w:val="20"/>
                <w:szCs w:val="20"/>
                <w:lang w:val="en-GB"/>
              </w:rPr>
            </w:pPr>
            <w:r w:rsidRPr="00761384">
              <w:rPr>
                <w:b/>
                <w:bCs/>
                <w:sz w:val="20"/>
                <w:szCs w:val="20"/>
                <w:lang w:val="en-GB"/>
              </w:rPr>
              <w:t xml:space="preserve">Reg. Norm.  </w:t>
            </w:r>
          </w:p>
          <w:p w14:paraId="1339F683" w14:textId="4C07042C" w:rsidR="00B3210F" w:rsidRPr="00761384" w:rsidRDefault="00B3210F" w:rsidP="007C3ECA">
            <w:pPr>
              <w:jc w:val="center"/>
              <w:rPr>
                <w:b/>
                <w:bCs/>
                <w:smallCaps/>
                <w:sz w:val="20"/>
                <w:szCs w:val="20"/>
                <w:lang w:val="en-GB"/>
              </w:rPr>
            </w:pPr>
          </w:p>
        </w:tc>
        <w:tc>
          <w:tcPr>
            <w:tcW w:w="1276" w:type="dxa"/>
          </w:tcPr>
          <w:p w14:paraId="55BEE45F" w14:textId="3C8B495A" w:rsidR="00B3210F" w:rsidRPr="00761384" w:rsidRDefault="00B3210F" w:rsidP="007C3ECA">
            <w:pPr>
              <w:jc w:val="center"/>
              <w:rPr>
                <w:b/>
                <w:bCs/>
                <w:smallCaps/>
                <w:sz w:val="20"/>
                <w:szCs w:val="20"/>
                <w:lang w:val="en-GB"/>
              </w:rPr>
            </w:pPr>
            <w:r w:rsidRPr="00761384">
              <w:rPr>
                <w:b/>
                <w:bCs/>
                <w:smallCaps/>
                <w:sz w:val="20"/>
                <w:szCs w:val="20"/>
                <w:lang w:val="en-GB"/>
              </w:rPr>
              <w:t>(8)</w:t>
            </w:r>
          </w:p>
          <w:p w14:paraId="7AEE2B4D" w14:textId="4652413B" w:rsidR="00B3210F" w:rsidRPr="00761384" w:rsidRDefault="00C15F75" w:rsidP="00761384">
            <w:pPr>
              <w:pBdr>
                <w:top w:val="nil"/>
                <w:left w:val="nil"/>
                <w:bottom w:val="nil"/>
                <w:right w:val="nil"/>
                <w:between w:val="nil"/>
                <w:bar w:val="nil"/>
              </w:pBdr>
              <w:spacing w:after="120" w:line="480" w:lineRule="auto"/>
              <w:jc w:val="center"/>
              <w:rPr>
                <w:b/>
                <w:bCs/>
                <w:smallCaps/>
                <w:sz w:val="20"/>
                <w:szCs w:val="20"/>
                <w:lang w:val="en-GB"/>
              </w:rPr>
            </w:pPr>
            <w:r w:rsidRPr="00761384">
              <w:rPr>
                <w:b/>
                <w:bCs/>
                <w:sz w:val="20"/>
                <w:szCs w:val="20"/>
                <w:lang w:val="en-GB"/>
              </w:rPr>
              <w:t xml:space="preserve">Supreme Court Sent. Norm. </w:t>
            </w:r>
          </w:p>
        </w:tc>
      </w:tr>
      <w:tr w:rsidR="00B3210F" w:rsidRPr="00BF24D1" w14:paraId="149434D5" w14:textId="1E0015FF" w:rsidTr="009F3862">
        <w:trPr>
          <w:trHeight w:val="275"/>
          <w:jc w:val="center"/>
        </w:trPr>
        <w:tc>
          <w:tcPr>
            <w:tcW w:w="1417" w:type="dxa"/>
          </w:tcPr>
          <w:p w14:paraId="2D6F1BD9" w14:textId="3992BAF9" w:rsidR="00B3210F" w:rsidRPr="00BF24D1" w:rsidRDefault="00B3210F" w:rsidP="00B3210F">
            <w:pPr>
              <w:spacing w:line="240" w:lineRule="atLeast"/>
              <w:rPr>
                <w:smallCaps/>
                <w:sz w:val="20"/>
                <w:szCs w:val="20"/>
                <w:lang w:val="en-GB"/>
              </w:rPr>
            </w:pPr>
            <w:r>
              <w:rPr>
                <w:b/>
                <w:bCs/>
                <w:sz w:val="20"/>
                <w:szCs w:val="20"/>
                <w:lang w:val="en-US"/>
                <w14:ligatures w14:val="standardContextual"/>
              </w:rPr>
              <w:t>1.</w:t>
            </w:r>
            <w:r w:rsidRPr="003125D8">
              <w:rPr>
                <w:b/>
                <w:bCs/>
                <w:sz w:val="20"/>
                <w:szCs w:val="20"/>
                <w:lang w:val="en-US"/>
                <w14:ligatures w14:val="standardContextual"/>
              </w:rPr>
              <w:t xml:space="preserve"> Personality rights </w:t>
            </w:r>
          </w:p>
        </w:tc>
        <w:tc>
          <w:tcPr>
            <w:tcW w:w="992" w:type="dxa"/>
          </w:tcPr>
          <w:p w14:paraId="401DB6E8" w14:textId="311094FA" w:rsidR="00B3210F" w:rsidRPr="00BF24D1" w:rsidRDefault="00B3210F" w:rsidP="00B3210F">
            <w:pPr>
              <w:spacing w:line="240" w:lineRule="atLeast"/>
              <w:jc w:val="center"/>
              <w:rPr>
                <w:smallCaps/>
                <w:sz w:val="20"/>
                <w:szCs w:val="20"/>
                <w:lang w:val="en-GB"/>
              </w:rPr>
            </w:pPr>
            <w:r w:rsidRPr="00BF24D1">
              <w:rPr>
                <w:sz w:val="20"/>
                <w:szCs w:val="20"/>
                <w:lang w:val="en-GB"/>
              </w:rPr>
              <w:t>3576</w:t>
            </w:r>
          </w:p>
        </w:tc>
        <w:tc>
          <w:tcPr>
            <w:tcW w:w="709" w:type="dxa"/>
          </w:tcPr>
          <w:p w14:paraId="4EFEAB69" w14:textId="2C4B3052" w:rsidR="00B3210F" w:rsidRPr="00BF24D1" w:rsidRDefault="00B3210F" w:rsidP="00B3210F">
            <w:pPr>
              <w:spacing w:line="240" w:lineRule="atLeast"/>
              <w:jc w:val="center"/>
              <w:rPr>
                <w:smallCaps/>
                <w:sz w:val="20"/>
                <w:szCs w:val="20"/>
                <w:lang w:val="en-GB"/>
              </w:rPr>
            </w:pPr>
            <w:r w:rsidRPr="00BF24D1">
              <w:rPr>
                <w:smallCaps/>
                <w:sz w:val="20"/>
                <w:szCs w:val="20"/>
                <w:lang w:val="en-GB"/>
              </w:rPr>
              <w:t>1589</w:t>
            </w:r>
          </w:p>
        </w:tc>
        <w:tc>
          <w:tcPr>
            <w:tcW w:w="851" w:type="dxa"/>
          </w:tcPr>
          <w:p w14:paraId="1B02BFC7" w14:textId="646BA09D" w:rsidR="00B3210F" w:rsidRPr="00BF24D1" w:rsidRDefault="00B3210F" w:rsidP="00B3210F">
            <w:pPr>
              <w:spacing w:line="240" w:lineRule="atLeast"/>
              <w:jc w:val="center"/>
              <w:rPr>
                <w:smallCaps/>
                <w:sz w:val="20"/>
                <w:szCs w:val="20"/>
                <w:lang w:val="en-GB"/>
              </w:rPr>
            </w:pPr>
            <w:r w:rsidRPr="00BF24D1">
              <w:rPr>
                <w:smallCaps/>
                <w:sz w:val="20"/>
                <w:szCs w:val="20"/>
                <w:lang w:val="en-GB"/>
              </w:rPr>
              <w:t>1987</w:t>
            </w:r>
          </w:p>
        </w:tc>
        <w:tc>
          <w:tcPr>
            <w:tcW w:w="993" w:type="dxa"/>
          </w:tcPr>
          <w:p w14:paraId="0CAC1A15" w14:textId="2B84C340" w:rsidR="00B3210F" w:rsidRPr="00BF24D1" w:rsidRDefault="00B3210F" w:rsidP="00B3210F">
            <w:pPr>
              <w:spacing w:line="240" w:lineRule="atLeast"/>
              <w:jc w:val="center"/>
              <w:rPr>
                <w:smallCaps/>
                <w:sz w:val="20"/>
                <w:szCs w:val="20"/>
                <w:lang w:val="en-GB"/>
              </w:rPr>
            </w:pPr>
            <w:r w:rsidRPr="00BF24D1">
              <w:rPr>
                <w:smallCaps/>
                <w:sz w:val="20"/>
                <w:szCs w:val="20"/>
                <w:lang w:val="en-GB"/>
              </w:rPr>
              <w:t>66906</w:t>
            </w:r>
          </w:p>
        </w:tc>
        <w:tc>
          <w:tcPr>
            <w:tcW w:w="993" w:type="dxa"/>
          </w:tcPr>
          <w:p w14:paraId="5383E698" w14:textId="01B1D00D" w:rsidR="00B3210F" w:rsidRPr="00BF24D1" w:rsidRDefault="00B3210F" w:rsidP="00B3210F">
            <w:pPr>
              <w:spacing w:line="240" w:lineRule="atLeast"/>
              <w:jc w:val="center"/>
              <w:rPr>
                <w:smallCaps/>
                <w:sz w:val="20"/>
                <w:szCs w:val="20"/>
                <w:lang w:val="en-GB"/>
              </w:rPr>
            </w:pPr>
            <w:r w:rsidRPr="00BF24D1">
              <w:rPr>
                <w:smallCaps/>
                <w:sz w:val="20"/>
                <w:szCs w:val="20"/>
                <w:lang w:val="en-GB"/>
              </w:rPr>
              <w:t>.1781</w:t>
            </w:r>
          </w:p>
        </w:tc>
        <w:tc>
          <w:tcPr>
            <w:tcW w:w="850" w:type="dxa"/>
          </w:tcPr>
          <w:p w14:paraId="063242FE" w14:textId="7ABD0A8C" w:rsidR="00B3210F" w:rsidRPr="00BF24D1" w:rsidRDefault="00B3210F" w:rsidP="00B3210F">
            <w:pPr>
              <w:spacing w:line="240" w:lineRule="atLeast"/>
              <w:jc w:val="center"/>
              <w:rPr>
                <w:smallCaps/>
                <w:sz w:val="20"/>
                <w:szCs w:val="20"/>
                <w:lang w:val="en-GB"/>
              </w:rPr>
            </w:pPr>
            <w:r w:rsidRPr="00BF24D1">
              <w:rPr>
                <w:smallCaps/>
                <w:sz w:val="20"/>
                <w:szCs w:val="20"/>
                <w:lang w:val="en-GB"/>
              </w:rPr>
              <w:t>.2872</w:t>
            </w:r>
          </w:p>
        </w:tc>
        <w:tc>
          <w:tcPr>
            <w:tcW w:w="1276" w:type="dxa"/>
          </w:tcPr>
          <w:p w14:paraId="5140C1B8" w14:textId="67D7F5D1" w:rsidR="00B3210F" w:rsidRPr="00BF24D1" w:rsidRDefault="00B3210F" w:rsidP="00B3210F">
            <w:pPr>
              <w:spacing w:line="240" w:lineRule="atLeast"/>
              <w:jc w:val="center"/>
              <w:rPr>
                <w:smallCaps/>
                <w:sz w:val="20"/>
                <w:szCs w:val="20"/>
                <w:lang w:val="en-GB"/>
              </w:rPr>
            </w:pPr>
            <w:r w:rsidRPr="00BF24D1">
              <w:rPr>
                <w:smallCaps/>
                <w:sz w:val="20"/>
                <w:szCs w:val="20"/>
                <w:lang w:val="en-GB"/>
              </w:rPr>
              <w:t>.1217</w:t>
            </w:r>
          </w:p>
        </w:tc>
        <w:tc>
          <w:tcPr>
            <w:tcW w:w="1276" w:type="dxa"/>
          </w:tcPr>
          <w:p w14:paraId="04589635" w14:textId="795B710D" w:rsidR="00B3210F" w:rsidRPr="00BF24D1" w:rsidRDefault="00B3210F" w:rsidP="00B3210F">
            <w:pPr>
              <w:spacing w:line="240" w:lineRule="atLeast"/>
              <w:jc w:val="center"/>
              <w:rPr>
                <w:smallCaps/>
                <w:sz w:val="20"/>
                <w:szCs w:val="20"/>
                <w:lang w:val="en-GB"/>
              </w:rPr>
            </w:pPr>
            <w:r w:rsidRPr="00BF24D1">
              <w:rPr>
                <w:smallCaps/>
                <w:sz w:val="20"/>
                <w:szCs w:val="20"/>
                <w:lang w:val="en-GB"/>
              </w:rPr>
              <w:t>.3014</w:t>
            </w:r>
          </w:p>
        </w:tc>
      </w:tr>
      <w:tr w:rsidR="00B3210F" w:rsidRPr="00BF24D1" w14:paraId="3290A348" w14:textId="55871611" w:rsidTr="009F3862">
        <w:trPr>
          <w:trHeight w:val="275"/>
          <w:jc w:val="center"/>
        </w:trPr>
        <w:tc>
          <w:tcPr>
            <w:tcW w:w="1417" w:type="dxa"/>
          </w:tcPr>
          <w:p w14:paraId="0F116D8A" w14:textId="38A19B90"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2. </w:t>
            </w:r>
            <w:r w:rsidRPr="003125D8">
              <w:rPr>
                <w:b/>
                <w:bCs/>
                <w:sz w:val="20"/>
                <w:szCs w:val="20"/>
                <w:lang w:val="en-US"/>
                <w14:ligatures w14:val="standardContextual"/>
              </w:rPr>
              <w:t>Family rights</w:t>
            </w:r>
          </w:p>
        </w:tc>
        <w:tc>
          <w:tcPr>
            <w:tcW w:w="992" w:type="dxa"/>
          </w:tcPr>
          <w:p w14:paraId="14BB8B1A" w14:textId="221FB9E2" w:rsidR="00B3210F" w:rsidRPr="00BF24D1" w:rsidRDefault="00B3210F" w:rsidP="00B3210F">
            <w:pPr>
              <w:spacing w:line="240" w:lineRule="atLeast"/>
              <w:jc w:val="center"/>
              <w:rPr>
                <w:smallCaps/>
                <w:sz w:val="20"/>
                <w:szCs w:val="20"/>
                <w:lang w:val="en-GB"/>
              </w:rPr>
            </w:pPr>
            <w:r w:rsidRPr="00BF24D1">
              <w:rPr>
                <w:sz w:val="20"/>
                <w:szCs w:val="20"/>
                <w:lang w:val="en-GB"/>
              </w:rPr>
              <w:t>729</w:t>
            </w:r>
          </w:p>
        </w:tc>
        <w:tc>
          <w:tcPr>
            <w:tcW w:w="709" w:type="dxa"/>
          </w:tcPr>
          <w:p w14:paraId="79D40F00" w14:textId="5B89744F" w:rsidR="00B3210F" w:rsidRPr="00BF24D1" w:rsidRDefault="00B3210F" w:rsidP="00B3210F">
            <w:pPr>
              <w:spacing w:line="240" w:lineRule="atLeast"/>
              <w:jc w:val="center"/>
              <w:rPr>
                <w:smallCaps/>
                <w:sz w:val="20"/>
                <w:szCs w:val="20"/>
                <w:lang w:val="en-GB"/>
              </w:rPr>
            </w:pPr>
            <w:r w:rsidRPr="00BF24D1">
              <w:rPr>
                <w:smallCaps/>
                <w:sz w:val="20"/>
                <w:szCs w:val="20"/>
                <w:lang w:val="en-GB"/>
              </w:rPr>
              <w:t>265</w:t>
            </w:r>
          </w:p>
        </w:tc>
        <w:tc>
          <w:tcPr>
            <w:tcW w:w="851" w:type="dxa"/>
          </w:tcPr>
          <w:p w14:paraId="575079CB" w14:textId="0313307E" w:rsidR="00B3210F" w:rsidRPr="00BF24D1" w:rsidRDefault="00B3210F" w:rsidP="00B3210F">
            <w:pPr>
              <w:spacing w:line="240" w:lineRule="atLeast"/>
              <w:jc w:val="center"/>
              <w:rPr>
                <w:smallCaps/>
                <w:sz w:val="20"/>
                <w:szCs w:val="20"/>
                <w:lang w:val="en-GB"/>
              </w:rPr>
            </w:pPr>
            <w:r w:rsidRPr="00BF24D1">
              <w:rPr>
                <w:smallCaps/>
                <w:sz w:val="20"/>
                <w:szCs w:val="20"/>
                <w:lang w:val="en-GB"/>
              </w:rPr>
              <w:t>464</w:t>
            </w:r>
          </w:p>
        </w:tc>
        <w:tc>
          <w:tcPr>
            <w:tcW w:w="993" w:type="dxa"/>
          </w:tcPr>
          <w:p w14:paraId="33131434" w14:textId="1F4325B3" w:rsidR="00B3210F" w:rsidRPr="00BF24D1" w:rsidRDefault="00B3210F" w:rsidP="00B3210F">
            <w:pPr>
              <w:spacing w:line="240" w:lineRule="atLeast"/>
              <w:jc w:val="center"/>
              <w:rPr>
                <w:smallCaps/>
                <w:sz w:val="20"/>
                <w:szCs w:val="20"/>
                <w:lang w:val="en-GB"/>
              </w:rPr>
            </w:pPr>
            <w:r w:rsidRPr="00BF24D1">
              <w:rPr>
                <w:smallCaps/>
                <w:sz w:val="20"/>
                <w:szCs w:val="20"/>
                <w:lang w:val="en-GB"/>
              </w:rPr>
              <w:t>14683</w:t>
            </w:r>
          </w:p>
        </w:tc>
        <w:tc>
          <w:tcPr>
            <w:tcW w:w="993" w:type="dxa"/>
          </w:tcPr>
          <w:p w14:paraId="455D5842" w14:textId="67A44F49" w:rsidR="00B3210F" w:rsidRPr="00BF24D1" w:rsidRDefault="00B3210F" w:rsidP="00B3210F">
            <w:pPr>
              <w:spacing w:line="240" w:lineRule="atLeast"/>
              <w:jc w:val="center"/>
              <w:rPr>
                <w:smallCaps/>
                <w:sz w:val="20"/>
                <w:szCs w:val="20"/>
                <w:lang w:val="en-GB"/>
              </w:rPr>
            </w:pPr>
            <w:r w:rsidRPr="00BF24D1">
              <w:rPr>
                <w:smallCaps/>
                <w:sz w:val="20"/>
                <w:szCs w:val="20"/>
                <w:lang w:val="en-GB"/>
              </w:rPr>
              <w:t>.0036</w:t>
            </w:r>
          </w:p>
        </w:tc>
        <w:tc>
          <w:tcPr>
            <w:tcW w:w="850" w:type="dxa"/>
          </w:tcPr>
          <w:p w14:paraId="290FAAF4" w14:textId="353CDB7D" w:rsidR="00B3210F" w:rsidRPr="00BF24D1" w:rsidRDefault="00B3210F" w:rsidP="00B3210F">
            <w:pPr>
              <w:spacing w:line="240" w:lineRule="atLeast"/>
              <w:jc w:val="center"/>
              <w:rPr>
                <w:smallCaps/>
                <w:sz w:val="20"/>
                <w:szCs w:val="20"/>
                <w:lang w:val="en-GB"/>
              </w:rPr>
            </w:pPr>
            <w:r w:rsidRPr="00BF24D1">
              <w:rPr>
                <w:smallCaps/>
                <w:sz w:val="20"/>
                <w:szCs w:val="20"/>
                <w:lang w:val="en-GB"/>
              </w:rPr>
              <w:t>.0371</w:t>
            </w:r>
          </w:p>
        </w:tc>
        <w:tc>
          <w:tcPr>
            <w:tcW w:w="1276" w:type="dxa"/>
          </w:tcPr>
          <w:p w14:paraId="591E1759" w14:textId="6B6F8164" w:rsidR="00B3210F" w:rsidRPr="00BF24D1" w:rsidRDefault="00B3210F" w:rsidP="00B3210F">
            <w:pPr>
              <w:spacing w:line="240" w:lineRule="atLeast"/>
              <w:jc w:val="center"/>
              <w:rPr>
                <w:smallCaps/>
                <w:sz w:val="20"/>
                <w:szCs w:val="20"/>
                <w:lang w:val="en-GB"/>
              </w:rPr>
            </w:pPr>
            <w:r w:rsidRPr="00BF24D1">
              <w:rPr>
                <w:smallCaps/>
                <w:sz w:val="20"/>
                <w:szCs w:val="20"/>
                <w:lang w:val="en-GB"/>
              </w:rPr>
              <w:t>.0317</w:t>
            </w:r>
          </w:p>
        </w:tc>
        <w:tc>
          <w:tcPr>
            <w:tcW w:w="1276" w:type="dxa"/>
          </w:tcPr>
          <w:p w14:paraId="3A666776" w14:textId="589A5F9C" w:rsidR="00B3210F" w:rsidRPr="00BF24D1" w:rsidRDefault="00B3210F" w:rsidP="00B3210F">
            <w:pPr>
              <w:spacing w:line="240" w:lineRule="atLeast"/>
              <w:jc w:val="center"/>
              <w:rPr>
                <w:smallCaps/>
                <w:sz w:val="20"/>
                <w:szCs w:val="20"/>
                <w:lang w:val="en-GB"/>
              </w:rPr>
            </w:pPr>
            <w:r w:rsidRPr="00BF24D1">
              <w:rPr>
                <w:smallCaps/>
                <w:sz w:val="20"/>
                <w:szCs w:val="20"/>
                <w:lang w:val="en-GB"/>
              </w:rPr>
              <w:t>.0661</w:t>
            </w:r>
          </w:p>
        </w:tc>
      </w:tr>
      <w:tr w:rsidR="00B3210F" w:rsidRPr="00BF24D1" w14:paraId="7FD6DB2D" w14:textId="059BF92E" w:rsidTr="009F3862">
        <w:trPr>
          <w:trHeight w:val="275"/>
          <w:jc w:val="center"/>
        </w:trPr>
        <w:tc>
          <w:tcPr>
            <w:tcW w:w="1417" w:type="dxa"/>
          </w:tcPr>
          <w:p w14:paraId="6FB545A2" w14:textId="7BD54237"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3. </w:t>
            </w:r>
            <w:r w:rsidRPr="003125D8">
              <w:rPr>
                <w:b/>
                <w:bCs/>
                <w:sz w:val="20"/>
                <w:szCs w:val="20"/>
                <w:lang w:val="en-US"/>
                <w14:ligatures w14:val="standardContextual"/>
              </w:rPr>
              <w:t xml:space="preserve">Property rights and </w:t>
            </w:r>
            <w:r>
              <w:rPr>
                <w:b/>
                <w:bCs/>
                <w:sz w:val="20"/>
                <w:szCs w:val="20"/>
                <w:lang w:val="en-US"/>
                <w14:ligatures w14:val="standardContextual"/>
              </w:rPr>
              <w:t>inheritance law</w:t>
            </w:r>
          </w:p>
        </w:tc>
        <w:tc>
          <w:tcPr>
            <w:tcW w:w="992" w:type="dxa"/>
          </w:tcPr>
          <w:p w14:paraId="71D4D8E5" w14:textId="21CBF08B" w:rsidR="00B3210F" w:rsidRPr="00BF24D1" w:rsidRDefault="00B3210F" w:rsidP="00B3210F">
            <w:pPr>
              <w:spacing w:line="240" w:lineRule="atLeast"/>
              <w:jc w:val="center"/>
              <w:rPr>
                <w:smallCaps/>
                <w:sz w:val="20"/>
                <w:szCs w:val="20"/>
                <w:lang w:val="en-GB"/>
              </w:rPr>
            </w:pPr>
            <w:r w:rsidRPr="00BF24D1">
              <w:rPr>
                <w:sz w:val="20"/>
                <w:szCs w:val="20"/>
                <w:lang w:val="en-GB"/>
              </w:rPr>
              <w:t>1646</w:t>
            </w:r>
          </w:p>
        </w:tc>
        <w:tc>
          <w:tcPr>
            <w:tcW w:w="709" w:type="dxa"/>
          </w:tcPr>
          <w:p w14:paraId="0D91BDEF" w14:textId="433FCF38" w:rsidR="00B3210F" w:rsidRPr="00BF24D1" w:rsidRDefault="00B3210F" w:rsidP="00B3210F">
            <w:pPr>
              <w:spacing w:line="240" w:lineRule="atLeast"/>
              <w:jc w:val="center"/>
              <w:rPr>
                <w:smallCaps/>
                <w:sz w:val="20"/>
                <w:szCs w:val="20"/>
                <w:lang w:val="en-GB"/>
              </w:rPr>
            </w:pPr>
            <w:r w:rsidRPr="00BF24D1">
              <w:rPr>
                <w:smallCaps/>
                <w:sz w:val="20"/>
                <w:szCs w:val="20"/>
                <w:lang w:val="en-GB"/>
              </w:rPr>
              <w:t>495</w:t>
            </w:r>
          </w:p>
        </w:tc>
        <w:tc>
          <w:tcPr>
            <w:tcW w:w="851" w:type="dxa"/>
          </w:tcPr>
          <w:p w14:paraId="2B302D4D" w14:textId="123811D7" w:rsidR="00B3210F" w:rsidRPr="00BF24D1" w:rsidRDefault="00B3210F" w:rsidP="00B3210F">
            <w:pPr>
              <w:spacing w:line="240" w:lineRule="atLeast"/>
              <w:jc w:val="center"/>
              <w:rPr>
                <w:smallCaps/>
                <w:sz w:val="20"/>
                <w:szCs w:val="20"/>
                <w:lang w:val="en-GB"/>
              </w:rPr>
            </w:pPr>
            <w:r w:rsidRPr="00BF24D1">
              <w:rPr>
                <w:smallCaps/>
                <w:sz w:val="20"/>
                <w:szCs w:val="20"/>
                <w:lang w:val="en-GB"/>
              </w:rPr>
              <w:t>1251</w:t>
            </w:r>
          </w:p>
        </w:tc>
        <w:tc>
          <w:tcPr>
            <w:tcW w:w="993" w:type="dxa"/>
          </w:tcPr>
          <w:p w14:paraId="1E65D81B" w14:textId="6E0A0763" w:rsidR="00B3210F" w:rsidRPr="00BF24D1" w:rsidRDefault="00B3210F" w:rsidP="00B3210F">
            <w:pPr>
              <w:spacing w:line="240" w:lineRule="atLeast"/>
              <w:jc w:val="center"/>
              <w:rPr>
                <w:smallCaps/>
                <w:sz w:val="20"/>
                <w:szCs w:val="20"/>
                <w:lang w:val="en-GB"/>
              </w:rPr>
            </w:pPr>
            <w:r w:rsidRPr="00BF24D1">
              <w:rPr>
                <w:smallCaps/>
                <w:sz w:val="20"/>
                <w:szCs w:val="20"/>
                <w:lang w:val="en-GB"/>
              </w:rPr>
              <w:t>8053</w:t>
            </w:r>
          </w:p>
        </w:tc>
        <w:tc>
          <w:tcPr>
            <w:tcW w:w="993" w:type="dxa"/>
          </w:tcPr>
          <w:p w14:paraId="7246B4A4" w14:textId="1CF8829A" w:rsidR="00B3210F" w:rsidRPr="00BF24D1" w:rsidRDefault="00B3210F" w:rsidP="00B3210F">
            <w:pPr>
              <w:spacing w:line="240" w:lineRule="atLeast"/>
              <w:jc w:val="center"/>
              <w:rPr>
                <w:smallCaps/>
                <w:sz w:val="20"/>
                <w:szCs w:val="20"/>
                <w:lang w:val="en-GB"/>
              </w:rPr>
            </w:pPr>
            <w:r w:rsidRPr="00BF24D1">
              <w:rPr>
                <w:smallCaps/>
                <w:sz w:val="20"/>
                <w:szCs w:val="20"/>
                <w:lang w:val="en-GB"/>
              </w:rPr>
              <w:t>.0819</w:t>
            </w:r>
          </w:p>
        </w:tc>
        <w:tc>
          <w:tcPr>
            <w:tcW w:w="850" w:type="dxa"/>
          </w:tcPr>
          <w:p w14:paraId="1D8CF755" w14:textId="5804C9EA" w:rsidR="00B3210F" w:rsidRPr="00BF24D1" w:rsidRDefault="00B3210F" w:rsidP="00B3210F">
            <w:pPr>
              <w:spacing w:line="240" w:lineRule="atLeast"/>
              <w:jc w:val="center"/>
              <w:rPr>
                <w:smallCaps/>
                <w:sz w:val="20"/>
                <w:szCs w:val="20"/>
                <w:lang w:val="en-GB"/>
              </w:rPr>
            </w:pPr>
            <w:r w:rsidRPr="00BF24D1">
              <w:rPr>
                <w:smallCaps/>
                <w:sz w:val="20"/>
                <w:szCs w:val="20"/>
                <w:lang w:val="en-GB"/>
              </w:rPr>
              <w:t>.0895</w:t>
            </w:r>
          </w:p>
        </w:tc>
        <w:tc>
          <w:tcPr>
            <w:tcW w:w="1276" w:type="dxa"/>
          </w:tcPr>
          <w:p w14:paraId="43F9462E" w14:textId="091C0BD6" w:rsidR="00B3210F" w:rsidRPr="00BF24D1" w:rsidRDefault="00B3210F" w:rsidP="00B3210F">
            <w:pPr>
              <w:spacing w:line="240" w:lineRule="atLeast"/>
              <w:jc w:val="center"/>
              <w:rPr>
                <w:smallCaps/>
                <w:sz w:val="20"/>
                <w:szCs w:val="20"/>
                <w:lang w:val="en-GB"/>
              </w:rPr>
            </w:pPr>
            <w:r w:rsidRPr="00BF24D1">
              <w:rPr>
                <w:smallCaps/>
                <w:sz w:val="20"/>
                <w:szCs w:val="20"/>
                <w:lang w:val="en-GB"/>
              </w:rPr>
              <w:t>.0855</w:t>
            </w:r>
          </w:p>
        </w:tc>
        <w:tc>
          <w:tcPr>
            <w:tcW w:w="1276" w:type="dxa"/>
          </w:tcPr>
          <w:p w14:paraId="4BB30EFC" w14:textId="076C664D" w:rsidR="00B3210F" w:rsidRPr="00BF24D1" w:rsidRDefault="00B3210F" w:rsidP="00B3210F">
            <w:pPr>
              <w:spacing w:line="240" w:lineRule="atLeast"/>
              <w:jc w:val="center"/>
              <w:rPr>
                <w:smallCaps/>
                <w:sz w:val="20"/>
                <w:szCs w:val="20"/>
                <w:lang w:val="en-GB"/>
              </w:rPr>
            </w:pPr>
            <w:r w:rsidRPr="00BF24D1">
              <w:rPr>
                <w:smallCaps/>
                <w:sz w:val="20"/>
                <w:szCs w:val="20"/>
                <w:lang w:val="en-GB"/>
              </w:rPr>
              <w:t>.0363</w:t>
            </w:r>
          </w:p>
        </w:tc>
      </w:tr>
      <w:tr w:rsidR="00B3210F" w:rsidRPr="00BF24D1" w14:paraId="1D63AF94" w14:textId="2F52B902" w:rsidTr="009F3862">
        <w:trPr>
          <w:trHeight w:val="275"/>
          <w:jc w:val="center"/>
        </w:trPr>
        <w:tc>
          <w:tcPr>
            <w:tcW w:w="1417" w:type="dxa"/>
          </w:tcPr>
          <w:p w14:paraId="04C3DEB3" w14:textId="49ED48B6"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4. </w:t>
            </w:r>
            <w:r w:rsidRPr="003125D8">
              <w:rPr>
                <w:b/>
                <w:bCs/>
                <w:sz w:val="20"/>
                <w:szCs w:val="20"/>
                <w:lang w:val="en-US"/>
                <w14:ligatures w14:val="standardContextual"/>
              </w:rPr>
              <w:t>Contracts and obligations</w:t>
            </w:r>
          </w:p>
        </w:tc>
        <w:tc>
          <w:tcPr>
            <w:tcW w:w="992" w:type="dxa"/>
          </w:tcPr>
          <w:p w14:paraId="70A354F7" w14:textId="1CFB37A0" w:rsidR="00B3210F" w:rsidRPr="00BF24D1" w:rsidRDefault="00B3210F" w:rsidP="00B3210F">
            <w:pPr>
              <w:spacing w:line="240" w:lineRule="atLeast"/>
              <w:jc w:val="center"/>
              <w:rPr>
                <w:smallCaps/>
                <w:sz w:val="20"/>
                <w:szCs w:val="20"/>
                <w:lang w:val="en-GB"/>
              </w:rPr>
            </w:pPr>
            <w:r w:rsidRPr="00BF24D1">
              <w:rPr>
                <w:sz w:val="20"/>
                <w:szCs w:val="20"/>
                <w:lang w:val="en-GB"/>
              </w:rPr>
              <w:t>749</w:t>
            </w:r>
          </w:p>
        </w:tc>
        <w:tc>
          <w:tcPr>
            <w:tcW w:w="709" w:type="dxa"/>
          </w:tcPr>
          <w:p w14:paraId="44FF7F3E" w14:textId="01FD6CFE" w:rsidR="00B3210F" w:rsidRPr="00BF24D1" w:rsidRDefault="00B3210F" w:rsidP="00B3210F">
            <w:pPr>
              <w:spacing w:line="240" w:lineRule="atLeast"/>
              <w:jc w:val="center"/>
              <w:rPr>
                <w:smallCaps/>
                <w:sz w:val="20"/>
                <w:szCs w:val="20"/>
                <w:lang w:val="en-GB"/>
              </w:rPr>
            </w:pPr>
            <w:r w:rsidRPr="00BF24D1">
              <w:rPr>
                <w:smallCaps/>
                <w:sz w:val="20"/>
                <w:szCs w:val="20"/>
                <w:lang w:val="en-GB"/>
              </w:rPr>
              <w:t>95</w:t>
            </w:r>
          </w:p>
        </w:tc>
        <w:tc>
          <w:tcPr>
            <w:tcW w:w="851" w:type="dxa"/>
          </w:tcPr>
          <w:p w14:paraId="18C13C93" w14:textId="0C112433" w:rsidR="00B3210F" w:rsidRPr="00BF24D1" w:rsidRDefault="00B3210F" w:rsidP="00B3210F">
            <w:pPr>
              <w:spacing w:line="240" w:lineRule="atLeast"/>
              <w:jc w:val="center"/>
              <w:rPr>
                <w:smallCaps/>
                <w:sz w:val="20"/>
                <w:szCs w:val="20"/>
                <w:lang w:val="en-GB"/>
              </w:rPr>
            </w:pPr>
            <w:r w:rsidRPr="00BF24D1">
              <w:rPr>
                <w:smallCaps/>
                <w:sz w:val="20"/>
                <w:szCs w:val="20"/>
                <w:lang w:val="en-GB"/>
              </w:rPr>
              <w:t>654</w:t>
            </w:r>
          </w:p>
        </w:tc>
        <w:tc>
          <w:tcPr>
            <w:tcW w:w="993" w:type="dxa"/>
          </w:tcPr>
          <w:p w14:paraId="27510B04" w14:textId="11CA461F" w:rsidR="00B3210F" w:rsidRPr="00BF24D1" w:rsidRDefault="00B3210F" w:rsidP="00B3210F">
            <w:pPr>
              <w:spacing w:line="240" w:lineRule="atLeast"/>
              <w:jc w:val="center"/>
              <w:rPr>
                <w:smallCaps/>
                <w:sz w:val="20"/>
                <w:szCs w:val="20"/>
                <w:lang w:val="en-GB"/>
              </w:rPr>
            </w:pPr>
            <w:r w:rsidRPr="00BF24D1">
              <w:rPr>
                <w:smallCaps/>
                <w:sz w:val="20"/>
                <w:szCs w:val="20"/>
                <w:lang w:val="en-GB"/>
              </w:rPr>
              <w:t>20301</w:t>
            </w:r>
          </w:p>
        </w:tc>
        <w:tc>
          <w:tcPr>
            <w:tcW w:w="993" w:type="dxa"/>
          </w:tcPr>
          <w:p w14:paraId="483D9F14" w14:textId="7CB2B2E9" w:rsidR="00B3210F" w:rsidRPr="00BF24D1" w:rsidRDefault="00B3210F" w:rsidP="00B3210F">
            <w:pPr>
              <w:spacing w:line="240" w:lineRule="atLeast"/>
              <w:jc w:val="center"/>
              <w:rPr>
                <w:smallCaps/>
                <w:sz w:val="20"/>
                <w:szCs w:val="20"/>
                <w:lang w:val="en-GB"/>
              </w:rPr>
            </w:pPr>
            <w:r w:rsidRPr="00BF24D1">
              <w:rPr>
                <w:smallCaps/>
                <w:sz w:val="20"/>
                <w:szCs w:val="20"/>
                <w:lang w:val="en-GB"/>
              </w:rPr>
              <w:t>.0378</w:t>
            </w:r>
          </w:p>
        </w:tc>
        <w:tc>
          <w:tcPr>
            <w:tcW w:w="850" w:type="dxa"/>
          </w:tcPr>
          <w:p w14:paraId="7F0CADA2" w14:textId="0D0D6F18" w:rsidR="00B3210F" w:rsidRPr="00BF24D1" w:rsidRDefault="00B3210F" w:rsidP="00B3210F">
            <w:pPr>
              <w:spacing w:line="240" w:lineRule="atLeast"/>
              <w:jc w:val="center"/>
              <w:rPr>
                <w:smallCaps/>
                <w:sz w:val="20"/>
                <w:szCs w:val="20"/>
                <w:lang w:val="en-GB"/>
              </w:rPr>
            </w:pPr>
            <w:r w:rsidRPr="00BF24D1">
              <w:rPr>
                <w:smallCaps/>
                <w:sz w:val="20"/>
                <w:szCs w:val="20"/>
                <w:lang w:val="en-GB"/>
              </w:rPr>
              <w:t>.0172</w:t>
            </w:r>
          </w:p>
        </w:tc>
        <w:tc>
          <w:tcPr>
            <w:tcW w:w="1276" w:type="dxa"/>
          </w:tcPr>
          <w:p w14:paraId="246E2B38" w14:textId="159687D0" w:rsidR="00B3210F" w:rsidRPr="00BF24D1" w:rsidRDefault="00B3210F" w:rsidP="00B3210F">
            <w:pPr>
              <w:spacing w:line="240" w:lineRule="atLeast"/>
              <w:jc w:val="center"/>
              <w:rPr>
                <w:smallCaps/>
                <w:sz w:val="20"/>
                <w:szCs w:val="20"/>
                <w:lang w:val="en-GB"/>
              </w:rPr>
            </w:pPr>
            <w:r w:rsidRPr="00BF24D1">
              <w:rPr>
                <w:smallCaps/>
                <w:sz w:val="20"/>
                <w:szCs w:val="20"/>
                <w:lang w:val="en-GB"/>
              </w:rPr>
              <w:t>.0447</w:t>
            </w:r>
          </w:p>
        </w:tc>
        <w:tc>
          <w:tcPr>
            <w:tcW w:w="1276" w:type="dxa"/>
          </w:tcPr>
          <w:p w14:paraId="139044F1" w14:textId="3552C348" w:rsidR="00B3210F" w:rsidRPr="00BF24D1" w:rsidRDefault="00B3210F" w:rsidP="00B3210F">
            <w:pPr>
              <w:spacing w:line="240" w:lineRule="atLeast"/>
              <w:jc w:val="center"/>
              <w:rPr>
                <w:smallCaps/>
                <w:sz w:val="20"/>
                <w:szCs w:val="20"/>
                <w:lang w:val="en-GB"/>
              </w:rPr>
            </w:pPr>
            <w:r w:rsidRPr="00BF24D1">
              <w:rPr>
                <w:smallCaps/>
                <w:sz w:val="20"/>
                <w:szCs w:val="20"/>
                <w:lang w:val="en-GB"/>
              </w:rPr>
              <w:t>.0914</w:t>
            </w:r>
          </w:p>
        </w:tc>
      </w:tr>
      <w:tr w:rsidR="00B3210F" w:rsidRPr="00BF24D1" w14:paraId="380728E6" w14:textId="20B18268" w:rsidTr="009F3862">
        <w:trPr>
          <w:trHeight w:val="275"/>
          <w:jc w:val="center"/>
        </w:trPr>
        <w:tc>
          <w:tcPr>
            <w:tcW w:w="1417" w:type="dxa"/>
          </w:tcPr>
          <w:p w14:paraId="4F855441" w14:textId="69D28305"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5. </w:t>
            </w:r>
            <w:r w:rsidR="00617653">
              <w:rPr>
                <w:b/>
                <w:bCs/>
                <w:sz w:val="20"/>
                <w:szCs w:val="20"/>
                <w:lang w:val="en-US"/>
                <w14:ligatures w14:val="standardContextual"/>
              </w:rPr>
              <w:t>L</w:t>
            </w:r>
            <w:r w:rsidRPr="003125D8">
              <w:rPr>
                <w:b/>
                <w:bCs/>
                <w:sz w:val="20"/>
                <w:szCs w:val="20"/>
                <w:lang w:val="en-US"/>
                <w14:ligatures w14:val="standardContextual"/>
              </w:rPr>
              <w:t>iability</w:t>
            </w:r>
            <w:r w:rsidR="00617653">
              <w:rPr>
                <w:b/>
                <w:bCs/>
                <w:sz w:val="20"/>
                <w:szCs w:val="20"/>
                <w:lang w:val="en-US"/>
                <w14:ligatures w14:val="standardContextual"/>
              </w:rPr>
              <w:t xml:space="preserve"> for tort</w:t>
            </w:r>
          </w:p>
        </w:tc>
        <w:tc>
          <w:tcPr>
            <w:tcW w:w="992" w:type="dxa"/>
          </w:tcPr>
          <w:p w14:paraId="14537A17" w14:textId="2FCC3644" w:rsidR="00B3210F" w:rsidRPr="00BF24D1" w:rsidRDefault="00B3210F" w:rsidP="00B3210F">
            <w:pPr>
              <w:spacing w:line="240" w:lineRule="atLeast"/>
              <w:jc w:val="center"/>
              <w:rPr>
                <w:smallCaps/>
                <w:sz w:val="20"/>
                <w:szCs w:val="20"/>
                <w:lang w:val="en-GB"/>
              </w:rPr>
            </w:pPr>
            <w:r w:rsidRPr="00BF24D1">
              <w:rPr>
                <w:sz w:val="20"/>
                <w:szCs w:val="20"/>
                <w:lang w:val="en-GB"/>
              </w:rPr>
              <w:t>12</w:t>
            </w:r>
          </w:p>
        </w:tc>
        <w:tc>
          <w:tcPr>
            <w:tcW w:w="709" w:type="dxa"/>
          </w:tcPr>
          <w:p w14:paraId="617F761B" w14:textId="724AF0FC" w:rsidR="00B3210F" w:rsidRPr="00BF24D1" w:rsidRDefault="00B3210F" w:rsidP="00B3210F">
            <w:pPr>
              <w:spacing w:line="240" w:lineRule="atLeast"/>
              <w:jc w:val="center"/>
              <w:rPr>
                <w:smallCaps/>
                <w:sz w:val="20"/>
                <w:szCs w:val="20"/>
                <w:lang w:val="en-GB"/>
              </w:rPr>
            </w:pPr>
            <w:r w:rsidRPr="00BF24D1">
              <w:rPr>
                <w:smallCaps/>
                <w:sz w:val="20"/>
                <w:szCs w:val="20"/>
                <w:lang w:val="en-GB"/>
              </w:rPr>
              <w:t>8</w:t>
            </w:r>
          </w:p>
        </w:tc>
        <w:tc>
          <w:tcPr>
            <w:tcW w:w="851" w:type="dxa"/>
          </w:tcPr>
          <w:p w14:paraId="71E2DB06" w14:textId="08A680C3" w:rsidR="00B3210F" w:rsidRPr="00BF24D1" w:rsidRDefault="00B3210F" w:rsidP="00B3210F">
            <w:pPr>
              <w:spacing w:line="240" w:lineRule="atLeast"/>
              <w:jc w:val="center"/>
              <w:rPr>
                <w:smallCaps/>
                <w:sz w:val="20"/>
                <w:szCs w:val="20"/>
                <w:lang w:val="en-GB"/>
              </w:rPr>
            </w:pPr>
            <w:r w:rsidRPr="00BF24D1">
              <w:rPr>
                <w:smallCaps/>
                <w:sz w:val="20"/>
                <w:szCs w:val="20"/>
                <w:lang w:val="en-GB"/>
              </w:rPr>
              <w:t>4</w:t>
            </w:r>
          </w:p>
        </w:tc>
        <w:tc>
          <w:tcPr>
            <w:tcW w:w="993" w:type="dxa"/>
          </w:tcPr>
          <w:p w14:paraId="52D3E6B3" w14:textId="17F0CF22" w:rsidR="00B3210F" w:rsidRPr="00BF24D1" w:rsidRDefault="00B3210F" w:rsidP="00B3210F">
            <w:pPr>
              <w:spacing w:line="240" w:lineRule="atLeast"/>
              <w:jc w:val="center"/>
              <w:rPr>
                <w:smallCaps/>
                <w:sz w:val="20"/>
                <w:szCs w:val="20"/>
                <w:lang w:val="en-GB"/>
              </w:rPr>
            </w:pPr>
            <w:r w:rsidRPr="00BF24D1">
              <w:rPr>
                <w:smallCaps/>
                <w:sz w:val="20"/>
                <w:szCs w:val="20"/>
                <w:lang w:val="en-GB"/>
              </w:rPr>
              <w:t>8057</w:t>
            </w:r>
          </w:p>
        </w:tc>
        <w:tc>
          <w:tcPr>
            <w:tcW w:w="993" w:type="dxa"/>
          </w:tcPr>
          <w:p w14:paraId="26F960A1" w14:textId="3B374418" w:rsidR="00B3210F" w:rsidRPr="00BF24D1" w:rsidRDefault="00B3210F" w:rsidP="00B3210F">
            <w:pPr>
              <w:spacing w:line="240" w:lineRule="atLeast"/>
              <w:jc w:val="center"/>
              <w:rPr>
                <w:smallCaps/>
                <w:sz w:val="20"/>
                <w:szCs w:val="20"/>
                <w:lang w:val="en-GB"/>
              </w:rPr>
            </w:pPr>
            <w:r w:rsidRPr="00BF24D1">
              <w:rPr>
                <w:smallCaps/>
                <w:sz w:val="20"/>
                <w:szCs w:val="20"/>
                <w:lang w:val="en-GB"/>
              </w:rPr>
              <w:t>.0006</w:t>
            </w:r>
          </w:p>
        </w:tc>
        <w:tc>
          <w:tcPr>
            <w:tcW w:w="850" w:type="dxa"/>
          </w:tcPr>
          <w:p w14:paraId="47FCC63F" w14:textId="448A12FE" w:rsidR="00B3210F" w:rsidRPr="00BF24D1" w:rsidRDefault="00B3210F" w:rsidP="00B3210F">
            <w:pPr>
              <w:spacing w:line="240" w:lineRule="atLeast"/>
              <w:jc w:val="center"/>
              <w:rPr>
                <w:smallCaps/>
                <w:sz w:val="20"/>
                <w:szCs w:val="20"/>
                <w:lang w:val="en-GB"/>
              </w:rPr>
            </w:pPr>
            <w:r w:rsidRPr="00BF24D1">
              <w:rPr>
                <w:smallCaps/>
                <w:sz w:val="20"/>
                <w:szCs w:val="20"/>
                <w:lang w:val="en-GB"/>
              </w:rPr>
              <w:t>.0014</w:t>
            </w:r>
          </w:p>
        </w:tc>
        <w:tc>
          <w:tcPr>
            <w:tcW w:w="1276" w:type="dxa"/>
          </w:tcPr>
          <w:p w14:paraId="474E3CD9" w14:textId="4AE4F07B" w:rsidR="00B3210F" w:rsidRPr="00BF24D1" w:rsidRDefault="00B3210F" w:rsidP="00B3210F">
            <w:pPr>
              <w:spacing w:line="240" w:lineRule="atLeast"/>
              <w:jc w:val="center"/>
              <w:rPr>
                <w:smallCaps/>
                <w:sz w:val="20"/>
                <w:szCs w:val="20"/>
                <w:lang w:val="en-GB"/>
              </w:rPr>
            </w:pPr>
            <w:r w:rsidRPr="00BF24D1">
              <w:rPr>
                <w:smallCaps/>
                <w:sz w:val="20"/>
                <w:szCs w:val="20"/>
                <w:lang w:val="en-GB"/>
              </w:rPr>
              <w:t>.0003</w:t>
            </w:r>
          </w:p>
        </w:tc>
        <w:tc>
          <w:tcPr>
            <w:tcW w:w="1276" w:type="dxa"/>
          </w:tcPr>
          <w:p w14:paraId="54E493BE" w14:textId="5311D558" w:rsidR="00B3210F" w:rsidRPr="00BF24D1" w:rsidRDefault="00B3210F" w:rsidP="00B3210F">
            <w:pPr>
              <w:spacing w:line="240" w:lineRule="atLeast"/>
              <w:jc w:val="center"/>
              <w:rPr>
                <w:smallCaps/>
                <w:sz w:val="20"/>
                <w:szCs w:val="20"/>
                <w:lang w:val="en-GB"/>
              </w:rPr>
            </w:pPr>
            <w:r w:rsidRPr="00BF24D1">
              <w:rPr>
                <w:smallCaps/>
                <w:sz w:val="20"/>
                <w:szCs w:val="20"/>
                <w:lang w:val="en-GB"/>
              </w:rPr>
              <w:t>.0363</w:t>
            </w:r>
          </w:p>
        </w:tc>
      </w:tr>
      <w:tr w:rsidR="00B3210F" w:rsidRPr="00BF24D1" w14:paraId="6C093C76" w14:textId="6004B032" w:rsidTr="009F3862">
        <w:trPr>
          <w:trHeight w:val="275"/>
          <w:jc w:val="center"/>
        </w:trPr>
        <w:tc>
          <w:tcPr>
            <w:tcW w:w="1417" w:type="dxa"/>
          </w:tcPr>
          <w:p w14:paraId="55BDF657" w14:textId="480E5492"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6. </w:t>
            </w:r>
            <w:r w:rsidRPr="003125D8">
              <w:rPr>
                <w:b/>
                <w:bCs/>
                <w:sz w:val="20"/>
                <w:szCs w:val="20"/>
                <w:lang w:val="en-US"/>
                <w14:ligatures w14:val="standardContextual"/>
              </w:rPr>
              <w:t>Legal entities</w:t>
            </w:r>
          </w:p>
        </w:tc>
        <w:tc>
          <w:tcPr>
            <w:tcW w:w="992" w:type="dxa"/>
          </w:tcPr>
          <w:p w14:paraId="05B8E264" w14:textId="7347AD21" w:rsidR="00B3210F" w:rsidRPr="00BF24D1" w:rsidRDefault="00B3210F" w:rsidP="00B3210F">
            <w:pPr>
              <w:spacing w:line="240" w:lineRule="atLeast"/>
              <w:jc w:val="center"/>
              <w:rPr>
                <w:smallCaps/>
                <w:sz w:val="20"/>
                <w:szCs w:val="20"/>
                <w:lang w:val="en-GB"/>
              </w:rPr>
            </w:pPr>
            <w:r w:rsidRPr="00BF24D1">
              <w:rPr>
                <w:sz w:val="20"/>
                <w:szCs w:val="20"/>
                <w:lang w:val="en-GB"/>
              </w:rPr>
              <w:t>7398</w:t>
            </w:r>
          </w:p>
        </w:tc>
        <w:tc>
          <w:tcPr>
            <w:tcW w:w="709" w:type="dxa"/>
          </w:tcPr>
          <w:p w14:paraId="20D1B9D9" w14:textId="400BF3E7" w:rsidR="00B3210F" w:rsidRPr="00BF24D1" w:rsidRDefault="00B3210F" w:rsidP="00B3210F">
            <w:pPr>
              <w:spacing w:line="240" w:lineRule="atLeast"/>
              <w:jc w:val="center"/>
              <w:rPr>
                <w:smallCaps/>
                <w:sz w:val="20"/>
                <w:szCs w:val="20"/>
                <w:lang w:val="en-GB"/>
              </w:rPr>
            </w:pPr>
            <w:r w:rsidRPr="00BF24D1">
              <w:rPr>
                <w:smallCaps/>
                <w:sz w:val="20"/>
                <w:szCs w:val="20"/>
                <w:lang w:val="en-GB"/>
              </w:rPr>
              <w:t>1754</w:t>
            </w:r>
          </w:p>
        </w:tc>
        <w:tc>
          <w:tcPr>
            <w:tcW w:w="851" w:type="dxa"/>
          </w:tcPr>
          <w:p w14:paraId="28D3710E" w14:textId="607BF307" w:rsidR="00B3210F" w:rsidRPr="00BF24D1" w:rsidRDefault="00B3210F" w:rsidP="00B3210F">
            <w:pPr>
              <w:spacing w:line="240" w:lineRule="atLeast"/>
              <w:jc w:val="center"/>
              <w:rPr>
                <w:smallCaps/>
                <w:sz w:val="20"/>
                <w:szCs w:val="20"/>
                <w:lang w:val="en-GB"/>
              </w:rPr>
            </w:pPr>
            <w:r w:rsidRPr="00BF24D1">
              <w:rPr>
                <w:smallCaps/>
                <w:sz w:val="20"/>
                <w:szCs w:val="20"/>
                <w:lang w:val="en-GB"/>
              </w:rPr>
              <w:t>5644</w:t>
            </w:r>
          </w:p>
        </w:tc>
        <w:tc>
          <w:tcPr>
            <w:tcW w:w="993" w:type="dxa"/>
          </w:tcPr>
          <w:p w14:paraId="6F642748" w14:textId="0C4703DA" w:rsidR="00B3210F" w:rsidRPr="00BF24D1" w:rsidRDefault="00B3210F" w:rsidP="00B3210F">
            <w:pPr>
              <w:spacing w:line="240" w:lineRule="atLeast"/>
              <w:jc w:val="center"/>
              <w:rPr>
                <w:smallCaps/>
                <w:sz w:val="20"/>
                <w:szCs w:val="20"/>
                <w:lang w:val="en-GB"/>
              </w:rPr>
            </w:pPr>
            <w:r w:rsidRPr="00BF24D1">
              <w:rPr>
                <w:smallCaps/>
                <w:sz w:val="20"/>
                <w:szCs w:val="20"/>
                <w:lang w:val="en-GB"/>
              </w:rPr>
              <w:t>7479</w:t>
            </w:r>
          </w:p>
        </w:tc>
        <w:tc>
          <w:tcPr>
            <w:tcW w:w="993" w:type="dxa"/>
          </w:tcPr>
          <w:p w14:paraId="52A4FAE7" w14:textId="69BF80B0" w:rsidR="00B3210F" w:rsidRPr="00BF24D1" w:rsidRDefault="00B3210F" w:rsidP="00B3210F">
            <w:pPr>
              <w:spacing w:line="240" w:lineRule="atLeast"/>
              <w:jc w:val="center"/>
              <w:rPr>
                <w:smallCaps/>
                <w:sz w:val="20"/>
                <w:szCs w:val="20"/>
                <w:lang w:val="en-GB"/>
              </w:rPr>
            </w:pPr>
            <w:r w:rsidRPr="00BF24D1">
              <w:rPr>
                <w:smallCaps/>
                <w:sz w:val="20"/>
                <w:szCs w:val="20"/>
                <w:lang w:val="en-GB"/>
              </w:rPr>
              <w:t>.3683</w:t>
            </w:r>
          </w:p>
        </w:tc>
        <w:tc>
          <w:tcPr>
            <w:tcW w:w="850" w:type="dxa"/>
          </w:tcPr>
          <w:p w14:paraId="1E3A6170" w14:textId="41CCB764" w:rsidR="00B3210F" w:rsidRPr="00BF24D1" w:rsidRDefault="00B3210F" w:rsidP="00B3210F">
            <w:pPr>
              <w:spacing w:line="240" w:lineRule="atLeast"/>
              <w:jc w:val="center"/>
              <w:rPr>
                <w:smallCaps/>
                <w:sz w:val="20"/>
                <w:szCs w:val="20"/>
                <w:lang w:val="en-GB"/>
              </w:rPr>
            </w:pPr>
            <w:r w:rsidRPr="00BF24D1">
              <w:rPr>
                <w:smallCaps/>
                <w:sz w:val="20"/>
                <w:szCs w:val="20"/>
                <w:lang w:val="en-GB"/>
              </w:rPr>
              <w:t>.3171</w:t>
            </w:r>
          </w:p>
        </w:tc>
        <w:tc>
          <w:tcPr>
            <w:tcW w:w="1276" w:type="dxa"/>
          </w:tcPr>
          <w:p w14:paraId="40B8C048" w14:textId="4BEA882F" w:rsidR="00B3210F" w:rsidRPr="00BF24D1" w:rsidRDefault="00B3210F" w:rsidP="00B3210F">
            <w:pPr>
              <w:spacing w:line="240" w:lineRule="atLeast"/>
              <w:jc w:val="center"/>
              <w:rPr>
                <w:smallCaps/>
                <w:sz w:val="20"/>
                <w:szCs w:val="20"/>
                <w:lang w:val="en-GB"/>
              </w:rPr>
            </w:pPr>
            <w:r w:rsidRPr="00BF24D1">
              <w:rPr>
                <w:smallCaps/>
                <w:sz w:val="20"/>
                <w:szCs w:val="20"/>
                <w:lang w:val="en-GB"/>
              </w:rPr>
              <w:t>.3857</w:t>
            </w:r>
          </w:p>
        </w:tc>
        <w:tc>
          <w:tcPr>
            <w:tcW w:w="1276" w:type="dxa"/>
          </w:tcPr>
          <w:p w14:paraId="2EE855A4" w14:textId="689FE94F" w:rsidR="00B3210F" w:rsidRPr="00BF24D1" w:rsidRDefault="00B3210F" w:rsidP="00B3210F">
            <w:pPr>
              <w:spacing w:line="240" w:lineRule="atLeast"/>
              <w:jc w:val="center"/>
              <w:rPr>
                <w:smallCaps/>
                <w:sz w:val="20"/>
                <w:szCs w:val="20"/>
                <w:lang w:val="en-GB"/>
              </w:rPr>
            </w:pPr>
            <w:r w:rsidRPr="00BF24D1">
              <w:rPr>
                <w:smallCaps/>
                <w:sz w:val="20"/>
                <w:szCs w:val="20"/>
                <w:lang w:val="en-GB"/>
              </w:rPr>
              <w:t>.0338</w:t>
            </w:r>
          </w:p>
        </w:tc>
      </w:tr>
      <w:tr w:rsidR="00B3210F" w:rsidRPr="00BF24D1" w14:paraId="3E3CE2CD" w14:textId="222A4880" w:rsidTr="009F3862">
        <w:trPr>
          <w:trHeight w:val="275"/>
          <w:jc w:val="center"/>
        </w:trPr>
        <w:tc>
          <w:tcPr>
            <w:tcW w:w="1417" w:type="dxa"/>
          </w:tcPr>
          <w:p w14:paraId="672F163F" w14:textId="62B258C7"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7. </w:t>
            </w:r>
            <w:r w:rsidRPr="003125D8">
              <w:rPr>
                <w:b/>
                <w:bCs/>
                <w:sz w:val="20"/>
                <w:szCs w:val="20"/>
                <w:lang w:val="en-US"/>
                <w14:ligatures w14:val="standardContextual"/>
              </w:rPr>
              <w:t xml:space="preserve"> </w:t>
            </w:r>
            <w:r w:rsidRPr="003125D8">
              <w:rPr>
                <w:b/>
                <w:bCs/>
                <w:sz w:val="20"/>
                <w:szCs w:val="20"/>
                <w:lang w:val="en-US"/>
              </w:rPr>
              <w:t>Company law</w:t>
            </w:r>
          </w:p>
        </w:tc>
        <w:tc>
          <w:tcPr>
            <w:tcW w:w="992" w:type="dxa"/>
          </w:tcPr>
          <w:p w14:paraId="39616CAF" w14:textId="1C42A004" w:rsidR="00B3210F" w:rsidRPr="00BF24D1" w:rsidRDefault="00B3210F" w:rsidP="00B3210F">
            <w:pPr>
              <w:spacing w:line="240" w:lineRule="atLeast"/>
              <w:jc w:val="center"/>
              <w:rPr>
                <w:smallCaps/>
                <w:sz w:val="20"/>
                <w:szCs w:val="20"/>
                <w:lang w:val="en-GB"/>
              </w:rPr>
            </w:pPr>
            <w:r w:rsidRPr="00BF24D1">
              <w:rPr>
                <w:sz w:val="20"/>
                <w:szCs w:val="20"/>
                <w:lang w:val="en-GB"/>
              </w:rPr>
              <w:t>1574</w:t>
            </w:r>
          </w:p>
        </w:tc>
        <w:tc>
          <w:tcPr>
            <w:tcW w:w="709" w:type="dxa"/>
          </w:tcPr>
          <w:p w14:paraId="69934C1D" w14:textId="2598B52B" w:rsidR="00B3210F" w:rsidRPr="00BF24D1" w:rsidRDefault="00B3210F" w:rsidP="00B3210F">
            <w:pPr>
              <w:spacing w:line="240" w:lineRule="atLeast"/>
              <w:jc w:val="center"/>
              <w:rPr>
                <w:smallCaps/>
                <w:sz w:val="20"/>
                <w:szCs w:val="20"/>
                <w:lang w:val="en-GB"/>
              </w:rPr>
            </w:pPr>
            <w:r w:rsidRPr="00BF24D1">
              <w:rPr>
                <w:smallCaps/>
                <w:sz w:val="20"/>
                <w:szCs w:val="20"/>
                <w:lang w:val="en-GB"/>
              </w:rPr>
              <w:t>653</w:t>
            </w:r>
          </w:p>
        </w:tc>
        <w:tc>
          <w:tcPr>
            <w:tcW w:w="851" w:type="dxa"/>
          </w:tcPr>
          <w:p w14:paraId="52DBECDF" w14:textId="0E274942" w:rsidR="00B3210F" w:rsidRPr="00BF24D1" w:rsidRDefault="00B3210F" w:rsidP="00B3210F">
            <w:pPr>
              <w:spacing w:line="240" w:lineRule="atLeast"/>
              <w:jc w:val="center"/>
              <w:rPr>
                <w:smallCaps/>
                <w:sz w:val="20"/>
                <w:szCs w:val="20"/>
                <w:lang w:val="en-GB"/>
              </w:rPr>
            </w:pPr>
            <w:r w:rsidRPr="00BF24D1">
              <w:rPr>
                <w:smallCaps/>
                <w:sz w:val="20"/>
                <w:szCs w:val="20"/>
                <w:lang w:val="en-GB"/>
              </w:rPr>
              <w:t>921</w:t>
            </w:r>
          </w:p>
        </w:tc>
        <w:tc>
          <w:tcPr>
            <w:tcW w:w="993" w:type="dxa"/>
          </w:tcPr>
          <w:p w14:paraId="7AE653A1" w14:textId="1B6B7406" w:rsidR="00B3210F" w:rsidRPr="00BF24D1" w:rsidRDefault="00B3210F" w:rsidP="00B3210F">
            <w:pPr>
              <w:spacing w:line="240" w:lineRule="atLeast"/>
              <w:jc w:val="center"/>
              <w:rPr>
                <w:smallCaps/>
                <w:sz w:val="20"/>
                <w:szCs w:val="20"/>
                <w:lang w:val="en-GB"/>
              </w:rPr>
            </w:pPr>
            <w:r w:rsidRPr="00BF24D1">
              <w:rPr>
                <w:smallCaps/>
                <w:sz w:val="20"/>
                <w:szCs w:val="20"/>
                <w:lang w:val="en-GB"/>
              </w:rPr>
              <w:t>21949</w:t>
            </w:r>
          </w:p>
        </w:tc>
        <w:tc>
          <w:tcPr>
            <w:tcW w:w="993" w:type="dxa"/>
          </w:tcPr>
          <w:p w14:paraId="5A1AF5E9" w14:textId="352608AC" w:rsidR="00B3210F" w:rsidRPr="00BF24D1" w:rsidRDefault="00B3210F" w:rsidP="00B3210F">
            <w:pPr>
              <w:spacing w:line="240" w:lineRule="atLeast"/>
              <w:jc w:val="center"/>
              <w:rPr>
                <w:smallCaps/>
                <w:sz w:val="20"/>
                <w:szCs w:val="20"/>
                <w:lang w:val="en-GB"/>
              </w:rPr>
            </w:pPr>
            <w:r w:rsidRPr="00BF24D1">
              <w:rPr>
                <w:smallCaps/>
                <w:sz w:val="20"/>
                <w:szCs w:val="20"/>
                <w:lang w:val="en-GB"/>
              </w:rPr>
              <w:t>.0784</w:t>
            </w:r>
          </w:p>
        </w:tc>
        <w:tc>
          <w:tcPr>
            <w:tcW w:w="850" w:type="dxa"/>
          </w:tcPr>
          <w:p w14:paraId="5758CFBF" w14:textId="55EA218F" w:rsidR="00B3210F" w:rsidRPr="00BF24D1" w:rsidRDefault="00B3210F" w:rsidP="00B3210F">
            <w:pPr>
              <w:spacing w:line="240" w:lineRule="atLeast"/>
              <w:jc w:val="center"/>
              <w:rPr>
                <w:smallCaps/>
                <w:sz w:val="20"/>
                <w:szCs w:val="20"/>
                <w:lang w:val="en-GB"/>
              </w:rPr>
            </w:pPr>
            <w:r w:rsidRPr="00BF24D1">
              <w:rPr>
                <w:smallCaps/>
                <w:sz w:val="20"/>
                <w:szCs w:val="20"/>
                <w:lang w:val="en-GB"/>
              </w:rPr>
              <w:t>.1181</w:t>
            </w:r>
          </w:p>
        </w:tc>
        <w:tc>
          <w:tcPr>
            <w:tcW w:w="1276" w:type="dxa"/>
          </w:tcPr>
          <w:p w14:paraId="0526C601" w14:textId="7F774352" w:rsidR="00B3210F" w:rsidRPr="00BF24D1" w:rsidRDefault="00B3210F" w:rsidP="00B3210F">
            <w:pPr>
              <w:spacing w:line="240" w:lineRule="atLeast"/>
              <w:jc w:val="center"/>
              <w:rPr>
                <w:smallCaps/>
                <w:sz w:val="20"/>
                <w:szCs w:val="20"/>
                <w:lang w:val="en-GB"/>
              </w:rPr>
            </w:pPr>
            <w:r w:rsidRPr="00BF24D1">
              <w:rPr>
                <w:smallCaps/>
                <w:sz w:val="20"/>
                <w:szCs w:val="20"/>
                <w:lang w:val="en-GB"/>
              </w:rPr>
              <w:t>.0629</w:t>
            </w:r>
          </w:p>
        </w:tc>
        <w:tc>
          <w:tcPr>
            <w:tcW w:w="1276" w:type="dxa"/>
          </w:tcPr>
          <w:p w14:paraId="4B2C1AC2" w14:textId="1FFBD014" w:rsidR="00B3210F" w:rsidRPr="00BF24D1" w:rsidRDefault="00B3210F" w:rsidP="00B3210F">
            <w:pPr>
              <w:spacing w:line="240" w:lineRule="atLeast"/>
              <w:jc w:val="center"/>
              <w:rPr>
                <w:smallCaps/>
                <w:sz w:val="20"/>
                <w:szCs w:val="20"/>
                <w:lang w:val="en-GB"/>
              </w:rPr>
            </w:pPr>
            <w:r w:rsidRPr="00BF24D1">
              <w:rPr>
                <w:smallCaps/>
                <w:sz w:val="20"/>
                <w:szCs w:val="20"/>
                <w:lang w:val="en-GB"/>
              </w:rPr>
              <w:t>.0989</w:t>
            </w:r>
          </w:p>
        </w:tc>
      </w:tr>
      <w:tr w:rsidR="00B3210F" w:rsidRPr="00BF24D1" w14:paraId="146D76B0" w14:textId="760B7085" w:rsidTr="009F3862">
        <w:trPr>
          <w:trHeight w:val="275"/>
          <w:jc w:val="center"/>
        </w:trPr>
        <w:tc>
          <w:tcPr>
            <w:tcW w:w="1417" w:type="dxa"/>
          </w:tcPr>
          <w:p w14:paraId="754DF864" w14:textId="0BA0696B"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8. </w:t>
            </w:r>
            <w:r w:rsidRPr="003125D8">
              <w:rPr>
                <w:b/>
                <w:bCs/>
                <w:sz w:val="20"/>
                <w:szCs w:val="20"/>
                <w:lang w:val="en-US"/>
              </w:rPr>
              <w:t xml:space="preserve"> Lease and </w:t>
            </w:r>
            <w:proofErr w:type="spellStart"/>
            <w:r w:rsidR="007654C4">
              <w:rPr>
                <w:b/>
                <w:bCs/>
                <w:sz w:val="20"/>
                <w:szCs w:val="20"/>
                <w:lang w:val="en-US"/>
              </w:rPr>
              <w:t>commodatum</w:t>
            </w:r>
            <w:proofErr w:type="spellEnd"/>
          </w:p>
        </w:tc>
        <w:tc>
          <w:tcPr>
            <w:tcW w:w="992" w:type="dxa"/>
          </w:tcPr>
          <w:p w14:paraId="40D5AE7C" w14:textId="293292D5" w:rsidR="00B3210F" w:rsidRPr="00BF24D1" w:rsidRDefault="00B3210F" w:rsidP="00B3210F">
            <w:pPr>
              <w:spacing w:line="240" w:lineRule="atLeast"/>
              <w:jc w:val="center"/>
              <w:rPr>
                <w:smallCaps/>
                <w:sz w:val="20"/>
                <w:szCs w:val="20"/>
              </w:rPr>
            </w:pPr>
            <w:r w:rsidRPr="00BF24D1">
              <w:rPr>
                <w:smallCaps/>
                <w:sz w:val="20"/>
                <w:szCs w:val="20"/>
              </w:rPr>
              <w:t>130</w:t>
            </w:r>
          </w:p>
        </w:tc>
        <w:tc>
          <w:tcPr>
            <w:tcW w:w="709" w:type="dxa"/>
          </w:tcPr>
          <w:p w14:paraId="6093A6FB" w14:textId="6E6AFAB3" w:rsidR="00B3210F" w:rsidRPr="00BF24D1" w:rsidRDefault="00B3210F" w:rsidP="00B3210F">
            <w:pPr>
              <w:spacing w:line="240" w:lineRule="atLeast"/>
              <w:jc w:val="center"/>
              <w:rPr>
                <w:smallCaps/>
                <w:sz w:val="20"/>
                <w:szCs w:val="20"/>
              </w:rPr>
            </w:pPr>
            <w:r w:rsidRPr="00BF24D1">
              <w:rPr>
                <w:smallCaps/>
                <w:sz w:val="20"/>
                <w:szCs w:val="20"/>
              </w:rPr>
              <w:t>13</w:t>
            </w:r>
          </w:p>
        </w:tc>
        <w:tc>
          <w:tcPr>
            <w:tcW w:w="851" w:type="dxa"/>
          </w:tcPr>
          <w:p w14:paraId="1B79E685" w14:textId="1369C859" w:rsidR="00B3210F" w:rsidRPr="00BF24D1" w:rsidRDefault="00B3210F" w:rsidP="00B3210F">
            <w:pPr>
              <w:spacing w:line="240" w:lineRule="atLeast"/>
              <w:jc w:val="center"/>
              <w:rPr>
                <w:smallCaps/>
                <w:sz w:val="20"/>
                <w:szCs w:val="20"/>
              </w:rPr>
            </w:pPr>
            <w:r w:rsidRPr="00BF24D1">
              <w:rPr>
                <w:smallCaps/>
                <w:sz w:val="20"/>
                <w:szCs w:val="20"/>
              </w:rPr>
              <w:t>117</w:t>
            </w:r>
          </w:p>
        </w:tc>
        <w:tc>
          <w:tcPr>
            <w:tcW w:w="993" w:type="dxa"/>
          </w:tcPr>
          <w:p w14:paraId="71FADD9D" w14:textId="044EDC01" w:rsidR="00B3210F" w:rsidRPr="00BF24D1" w:rsidRDefault="00B3210F" w:rsidP="00B3210F">
            <w:pPr>
              <w:spacing w:line="240" w:lineRule="atLeast"/>
              <w:jc w:val="center"/>
              <w:rPr>
                <w:smallCaps/>
                <w:sz w:val="20"/>
                <w:szCs w:val="20"/>
              </w:rPr>
            </w:pPr>
            <w:r w:rsidRPr="00BF24D1">
              <w:rPr>
                <w:smallCaps/>
                <w:sz w:val="20"/>
                <w:szCs w:val="20"/>
              </w:rPr>
              <w:t>3444</w:t>
            </w:r>
          </w:p>
        </w:tc>
        <w:tc>
          <w:tcPr>
            <w:tcW w:w="993" w:type="dxa"/>
          </w:tcPr>
          <w:p w14:paraId="2E8D2F0B" w14:textId="7780CE08" w:rsidR="00B3210F" w:rsidRPr="00BF24D1" w:rsidRDefault="00B3210F" w:rsidP="00B3210F">
            <w:pPr>
              <w:spacing w:line="240" w:lineRule="atLeast"/>
              <w:jc w:val="center"/>
              <w:rPr>
                <w:smallCaps/>
                <w:sz w:val="20"/>
                <w:szCs w:val="20"/>
              </w:rPr>
            </w:pPr>
            <w:r w:rsidRPr="00BF24D1">
              <w:rPr>
                <w:smallCaps/>
                <w:sz w:val="20"/>
                <w:szCs w:val="20"/>
              </w:rPr>
              <w:t>.0065</w:t>
            </w:r>
          </w:p>
        </w:tc>
        <w:tc>
          <w:tcPr>
            <w:tcW w:w="850" w:type="dxa"/>
          </w:tcPr>
          <w:p w14:paraId="795291B5" w14:textId="6CCE08DF" w:rsidR="00B3210F" w:rsidRPr="00BF24D1" w:rsidRDefault="00B3210F" w:rsidP="00B3210F">
            <w:pPr>
              <w:spacing w:line="240" w:lineRule="atLeast"/>
              <w:jc w:val="center"/>
              <w:rPr>
                <w:smallCaps/>
                <w:sz w:val="20"/>
                <w:szCs w:val="20"/>
              </w:rPr>
            </w:pPr>
            <w:r w:rsidRPr="00BF24D1">
              <w:rPr>
                <w:smallCaps/>
                <w:sz w:val="20"/>
                <w:szCs w:val="20"/>
              </w:rPr>
              <w:t>.0023</w:t>
            </w:r>
          </w:p>
        </w:tc>
        <w:tc>
          <w:tcPr>
            <w:tcW w:w="1276" w:type="dxa"/>
          </w:tcPr>
          <w:p w14:paraId="6FACCF5A" w14:textId="4FA9C0BF" w:rsidR="00B3210F" w:rsidRPr="00BF24D1" w:rsidRDefault="00B3210F" w:rsidP="00B3210F">
            <w:pPr>
              <w:spacing w:line="240" w:lineRule="atLeast"/>
              <w:jc w:val="center"/>
              <w:rPr>
                <w:smallCaps/>
                <w:sz w:val="20"/>
                <w:szCs w:val="20"/>
              </w:rPr>
            </w:pPr>
            <w:r w:rsidRPr="00BF24D1">
              <w:rPr>
                <w:smallCaps/>
                <w:sz w:val="20"/>
                <w:szCs w:val="20"/>
              </w:rPr>
              <w:t>.0079</w:t>
            </w:r>
          </w:p>
        </w:tc>
        <w:tc>
          <w:tcPr>
            <w:tcW w:w="1276" w:type="dxa"/>
          </w:tcPr>
          <w:p w14:paraId="2FE89BAC" w14:textId="1A6A5D1E" w:rsidR="00B3210F" w:rsidRPr="00BF24D1" w:rsidRDefault="00B3210F" w:rsidP="00B3210F">
            <w:pPr>
              <w:spacing w:line="240" w:lineRule="atLeast"/>
              <w:jc w:val="center"/>
              <w:rPr>
                <w:smallCaps/>
                <w:sz w:val="20"/>
                <w:szCs w:val="20"/>
              </w:rPr>
            </w:pPr>
            <w:r w:rsidRPr="00BF24D1">
              <w:rPr>
                <w:smallCaps/>
                <w:sz w:val="20"/>
                <w:szCs w:val="20"/>
              </w:rPr>
              <w:t>.0155</w:t>
            </w:r>
          </w:p>
        </w:tc>
      </w:tr>
      <w:tr w:rsidR="00B3210F" w:rsidRPr="00BF24D1" w14:paraId="282BBCCC" w14:textId="09A8EAFB" w:rsidTr="009F3862">
        <w:trPr>
          <w:trHeight w:val="275"/>
          <w:jc w:val="center"/>
        </w:trPr>
        <w:tc>
          <w:tcPr>
            <w:tcW w:w="1417" w:type="dxa"/>
          </w:tcPr>
          <w:p w14:paraId="4C4E8ACF" w14:textId="116DF5EA"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9. </w:t>
            </w:r>
            <w:r w:rsidRPr="003125D8">
              <w:rPr>
                <w:b/>
                <w:bCs/>
                <w:sz w:val="20"/>
                <w:szCs w:val="20"/>
                <w:lang w:val="en-US"/>
              </w:rPr>
              <w:t>Bankruptcy</w:t>
            </w:r>
          </w:p>
        </w:tc>
        <w:tc>
          <w:tcPr>
            <w:tcW w:w="992" w:type="dxa"/>
          </w:tcPr>
          <w:p w14:paraId="466EF4A3" w14:textId="39B12490" w:rsidR="00B3210F" w:rsidRPr="00BF24D1" w:rsidRDefault="00B3210F" w:rsidP="00B3210F">
            <w:pPr>
              <w:spacing w:line="240" w:lineRule="atLeast"/>
              <w:jc w:val="center"/>
              <w:rPr>
                <w:smallCaps/>
                <w:sz w:val="20"/>
                <w:szCs w:val="20"/>
                <w:lang w:val="en-GB"/>
              </w:rPr>
            </w:pPr>
            <w:r w:rsidRPr="00BF24D1">
              <w:rPr>
                <w:sz w:val="20"/>
                <w:szCs w:val="20"/>
              </w:rPr>
              <w:t>1822</w:t>
            </w:r>
          </w:p>
        </w:tc>
        <w:tc>
          <w:tcPr>
            <w:tcW w:w="709" w:type="dxa"/>
          </w:tcPr>
          <w:p w14:paraId="29ABDB9F" w14:textId="19209B31" w:rsidR="00B3210F" w:rsidRPr="00BF24D1" w:rsidRDefault="00B3210F" w:rsidP="00B3210F">
            <w:pPr>
              <w:spacing w:line="240" w:lineRule="atLeast"/>
              <w:jc w:val="center"/>
              <w:rPr>
                <w:smallCaps/>
                <w:sz w:val="20"/>
                <w:szCs w:val="20"/>
                <w:lang w:val="en-GB"/>
              </w:rPr>
            </w:pPr>
            <w:r w:rsidRPr="00BF24D1">
              <w:rPr>
                <w:smallCaps/>
                <w:sz w:val="20"/>
                <w:szCs w:val="20"/>
                <w:lang w:val="en-GB"/>
              </w:rPr>
              <w:t>202</w:t>
            </w:r>
          </w:p>
        </w:tc>
        <w:tc>
          <w:tcPr>
            <w:tcW w:w="851" w:type="dxa"/>
          </w:tcPr>
          <w:p w14:paraId="41152466" w14:textId="3766F0C1" w:rsidR="00B3210F" w:rsidRPr="00BF24D1" w:rsidRDefault="00B3210F" w:rsidP="00B3210F">
            <w:pPr>
              <w:spacing w:line="240" w:lineRule="atLeast"/>
              <w:jc w:val="center"/>
              <w:rPr>
                <w:smallCaps/>
                <w:sz w:val="20"/>
                <w:szCs w:val="20"/>
                <w:lang w:val="en-GB"/>
              </w:rPr>
            </w:pPr>
            <w:r w:rsidRPr="00BF24D1">
              <w:rPr>
                <w:smallCaps/>
                <w:sz w:val="20"/>
                <w:szCs w:val="20"/>
                <w:lang w:val="en-GB"/>
              </w:rPr>
              <w:t>1602</w:t>
            </w:r>
          </w:p>
        </w:tc>
        <w:tc>
          <w:tcPr>
            <w:tcW w:w="993" w:type="dxa"/>
          </w:tcPr>
          <w:p w14:paraId="77915C68" w14:textId="605AD353" w:rsidR="00B3210F" w:rsidRPr="00BF24D1" w:rsidRDefault="00B3210F" w:rsidP="00B3210F">
            <w:pPr>
              <w:spacing w:line="240" w:lineRule="atLeast"/>
              <w:jc w:val="center"/>
              <w:rPr>
                <w:smallCaps/>
                <w:sz w:val="20"/>
                <w:szCs w:val="20"/>
                <w:lang w:val="en-GB"/>
              </w:rPr>
            </w:pPr>
            <w:r w:rsidRPr="00BF24D1">
              <w:rPr>
                <w:smallCaps/>
                <w:sz w:val="20"/>
                <w:szCs w:val="20"/>
                <w:lang w:val="en-GB"/>
              </w:rPr>
              <w:t>7644</w:t>
            </w:r>
          </w:p>
        </w:tc>
        <w:tc>
          <w:tcPr>
            <w:tcW w:w="993" w:type="dxa"/>
          </w:tcPr>
          <w:p w14:paraId="63223B63" w14:textId="29650486" w:rsidR="00B3210F" w:rsidRPr="00BF24D1" w:rsidRDefault="00B3210F" w:rsidP="00B3210F">
            <w:pPr>
              <w:spacing w:line="240" w:lineRule="atLeast"/>
              <w:jc w:val="center"/>
              <w:rPr>
                <w:smallCaps/>
                <w:sz w:val="20"/>
                <w:szCs w:val="20"/>
                <w:lang w:val="en-GB"/>
              </w:rPr>
            </w:pPr>
            <w:r w:rsidRPr="00BF24D1">
              <w:rPr>
                <w:smallCaps/>
                <w:sz w:val="20"/>
                <w:szCs w:val="20"/>
                <w:lang w:val="en-GB"/>
              </w:rPr>
              <w:t>.0972</w:t>
            </w:r>
          </w:p>
        </w:tc>
        <w:tc>
          <w:tcPr>
            <w:tcW w:w="850" w:type="dxa"/>
          </w:tcPr>
          <w:p w14:paraId="334D391B" w14:textId="64AB6593" w:rsidR="00B3210F" w:rsidRPr="00BF24D1" w:rsidRDefault="00B3210F" w:rsidP="00B3210F">
            <w:pPr>
              <w:spacing w:line="240" w:lineRule="atLeast"/>
              <w:jc w:val="center"/>
              <w:rPr>
                <w:smallCaps/>
                <w:sz w:val="20"/>
                <w:szCs w:val="20"/>
                <w:lang w:val="en-GB"/>
              </w:rPr>
            </w:pPr>
            <w:r w:rsidRPr="00BF24D1">
              <w:rPr>
                <w:smallCaps/>
                <w:sz w:val="20"/>
                <w:szCs w:val="20"/>
                <w:lang w:val="en-GB"/>
              </w:rPr>
              <w:t>.0365</w:t>
            </w:r>
          </w:p>
        </w:tc>
        <w:tc>
          <w:tcPr>
            <w:tcW w:w="1276" w:type="dxa"/>
          </w:tcPr>
          <w:p w14:paraId="3494891E" w14:textId="3E5431F5" w:rsidR="00B3210F" w:rsidRPr="00BF24D1" w:rsidRDefault="00B3210F" w:rsidP="00B3210F">
            <w:pPr>
              <w:spacing w:line="240" w:lineRule="atLeast"/>
              <w:jc w:val="center"/>
              <w:rPr>
                <w:smallCaps/>
                <w:sz w:val="20"/>
                <w:szCs w:val="20"/>
                <w:lang w:val="en-GB"/>
              </w:rPr>
            </w:pPr>
            <w:r w:rsidRPr="00BF24D1">
              <w:rPr>
                <w:smallCaps/>
                <w:sz w:val="20"/>
                <w:szCs w:val="20"/>
                <w:lang w:val="en-GB"/>
              </w:rPr>
              <w:t>.1095</w:t>
            </w:r>
          </w:p>
        </w:tc>
        <w:tc>
          <w:tcPr>
            <w:tcW w:w="1276" w:type="dxa"/>
          </w:tcPr>
          <w:p w14:paraId="304B5C54" w14:textId="7D83172B" w:rsidR="00B3210F" w:rsidRPr="00BF24D1" w:rsidRDefault="00B3210F" w:rsidP="00B3210F">
            <w:pPr>
              <w:spacing w:line="240" w:lineRule="atLeast"/>
              <w:jc w:val="center"/>
              <w:rPr>
                <w:smallCaps/>
                <w:sz w:val="20"/>
                <w:szCs w:val="20"/>
                <w:lang w:val="en-GB"/>
              </w:rPr>
            </w:pPr>
            <w:r w:rsidRPr="00BF24D1">
              <w:rPr>
                <w:smallCaps/>
                <w:sz w:val="20"/>
                <w:szCs w:val="20"/>
                <w:lang w:val="en-GB"/>
              </w:rPr>
              <w:t>.0344</w:t>
            </w:r>
          </w:p>
        </w:tc>
      </w:tr>
      <w:tr w:rsidR="00B3210F" w:rsidRPr="00BF24D1" w14:paraId="1C9EDE96" w14:textId="5621BE62" w:rsidTr="009F3862">
        <w:trPr>
          <w:trHeight w:val="275"/>
          <w:jc w:val="center"/>
        </w:trPr>
        <w:tc>
          <w:tcPr>
            <w:tcW w:w="1417" w:type="dxa"/>
          </w:tcPr>
          <w:p w14:paraId="5B81AD53" w14:textId="67E46308"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10. </w:t>
            </w:r>
            <w:r w:rsidRPr="003125D8">
              <w:rPr>
                <w:b/>
                <w:bCs/>
                <w:sz w:val="20"/>
                <w:szCs w:val="20"/>
                <w:lang w:val="en-US"/>
              </w:rPr>
              <w:t>Administrative law</w:t>
            </w:r>
          </w:p>
        </w:tc>
        <w:tc>
          <w:tcPr>
            <w:tcW w:w="992" w:type="dxa"/>
          </w:tcPr>
          <w:p w14:paraId="30F6A165" w14:textId="01D14C82" w:rsidR="00B3210F" w:rsidRPr="00BF24D1" w:rsidRDefault="00B3210F" w:rsidP="00B3210F">
            <w:pPr>
              <w:spacing w:line="240" w:lineRule="atLeast"/>
              <w:jc w:val="center"/>
              <w:rPr>
                <w:smallCaps/>
                <w:sz w:val="20"/>
                <w:szCs w:val="20"/>
                <w:lang w:val="en-GB"/>
              </w:rPr>
            </w:pPr>
            <w:r w:rsidRPr="00BF24D1">
              <w:rPr>
                <w:sz w:val="20"/>
                <w:szCs w:val="20"/>
              </w:rPr>
              <w:t>2160</w:t>
            </w:r>
          </w:p>
        </w:tc>
        <w:tc>
          <w:tcPr>
            <w:tcW w:w="709" w:type="dxa"/>
          </w:tcPr>
          <w:p w14:paraId="009A7DE1" w14:textId="29AC95B3" w:rsidR="00B3210F" w:rsidRPr="00BF24D1" w:rsidRDefault="00B3210F" w:rsidP="00B3210F">
            <w:pPr>
              <w:spacing w:line="240" w:lineRule="atLeast"/>
              <w:jc w:val="center"/>
              <w:rPr>
                <w:smallCaps/>
                <w:sz w:val="20"/>
                <w:szCs w:val="20"/>
                <w:lang w:val="en-GB"/>
              </w:rPr>
            </w:pPr>
            <w:r w:rsidRPr="00BF24D1">
              <w:rPr>
                <w:smallCaps/>
                <w:sz w:val="20"/>
                <w:szCs w:val="20"/>
                <w:lang w:val="en-GB"/>
              </w:rPr>
              <w:t>407</w:t>
            </w:r>
          </w:p>
        </w:tc>
        <w:tc>
          <w:tcPr>
            <w:tcW w:w="851" w:type="dxa"/>
          </w:tcPr>
          <w:p w14:paraId="41DBE094" w14:textId="5CF7BC4B" w:rsidR="00B3210F" w:rsidRPr="00BF24D1" w:rsidRDefault="00B3210F" w:rsidP="00B3210F">
            <w:pPr>
              <w:spacing w:line="240" w:lineRule="atLeast"/>
              <w:jc w:val="center"/>
              <w:rPr>
                <w:smallCaps/>
                <w:sz w:val="20"/>
                <w:szCs w:val="20"/>
                <w:lang w:val="en-GB"/>
              </w:rPr>
            </w:pPr>
            <w:r w:rsidRPr="00BF24D1">
              <w:rPr>
                <w:smallCaps/>
                <w:sz w:val="20"/>
                <w:szCs w:val="20"/>
                <w:lang w:val="en-GB"/>
              </w:rPr>
              <w:t>1753</w:t>
            </w:r>
          </w:p>
        </w:tc>
        <w:tc>
          <w:tcPr>
            <w:tcW w:w="993" w:type="dxa"/>
          </w:tcPr>
          <w:p w14:paraId="07F3DB68" w14:textId="176A0380" w:rsidR="00B3210F" w:rsidRPr="00BF24D1" w:rsidRDefault="00B3210F" w:rsidP="00B3210F">
            <w:pPr>
              <w:spacing w:line="240" w:lineRule="atLeast"/>
              <w:jc w:val="center"/>
              <w:rPr>
                <w:smallCaps/>
                <w:sz w:val="20"/>
                <w:szCs w:val="20"/>
                <w:lang w:val="en-GB"/>
              </w:rPr>
            </w:pPr>
            <w:r w:rsidRPr="00BF24D1">
              <w:rPr>
                <w:smallCaps/>
                <w:sz w:val="20"/>
                <w:szCs w:val="20"/>
                <w:lang w:val="en-GB"/>
              </w:rPr>
              <w:t>54666</w:t>
            </w:r>
          </w:p>
        </w:tc>
        <w:tc>
          <w:tcPr>
            <w:tcW w:w="993" w:type="dxa"/>
          </w:tcPr>
          <w:p w14:paraId="2B435E51" w14:textId="66E959EE" w:rsidR="00B3210F" w:rsidRPr="00BF24D1" w:rsidRDefault="00B3210F" w:rsidP="00B3210F">
            <w:pPr>
              <w:spacing w:line="240" w:lineRule="atLeast"/>
              <w:jc w:val="center"/>
              <w:rPr>
                <w:smallCaps/>
                <w:sz w:val="20"/>
                <w:szCs w:val="20"/>
                <w:lang w:val="en-GB"/>
              </w:rPr>
            </w:pPr>
            <w:r w:rsidRPr="00BF24D1">
              <w:rPr>
                <w:smallCaps/>
                <w:sz w:val="20"/>
                <w:szCs w:val="20"/>
                <w:lang w:val="en-GB"/>
              </w:rPr>
              <w:t>.1978</w:t>
            </w:r>
          </w:p>
        </w:tc>
        <w:tc>
          <w:tcPr>
            <w:tcW w:w="850" w:type="dxa"/>
          </w:tcPr>
          <w:p w14:paraId="5286127B" w14:textId="1E64B038" w:rsidR="00B3210F" w:rsidRPr="00BF24D1" w:rsidRDefault="00B3210F" w:rsidP="00B3210F">
            <w:pPr>
              <w:spacing w:line="240" w:lineRule="atLeast"/>
              <w:jc w:val="center"/>
              <w:rPr>
                <w:smallCaps/>
                <w:sz w:val="20"/>
                <w:szCs w:val="20"/>
                <w:lang w:val="en-GB"/>
              </w:rPr>
            </w:pPr>
            <w:r w:rsidRPr="00BF24D1">
              <w:rPr>
                <w:smallCaps/>
                <w:sz w:val="20"/>
                <w:szCs w:val="20"/>
                <w:lang w:val="en-GB"/>
              </w:rPr>
              <w:t>.0736</w:t>
            </w:r>
          </w:p>
        </w:tc>
        <w:tc>
          <w:tcPr>
            <w:tcW w:w="1276" w:type="dxa"/>
          </w:tcPr>
          <w:p w14:paraId="7C7FD657" w14:textId="3F0D644A" w:rsidR="00B3210F" w:rsidRPr="00BF24D1" w:rsidRDefault="00B3210F" w:rsidP="00B3210F">
            <w:pPr>
              <w:spacing w:line="240" w:lineRule="atLeast"/>
              <w:jc w:val="center"/>
              <w:rPr>
                <w:smallCaps/>
                <w:sz w:val="20"/>
                <w:szCs w:val="20"/>
                <w:lang w:val="en-GB"/>
              </w:rPr>
            </w:pPr>
            <w:r w:rsidRPr="00BF24D1">
              <w:rPr>
                <w:smallCaps/>
                <w:sz w:val="20"/>
                <w:szCs w:val="20"/>
                <w:lang w:val="en-GB"/>
              </w:rPr>
              <w:t>.1198</w:t>
            </w:r>
          </w:p>
        </w:tc>
        <w:tc>
          <w:tcPr>
            <w:tcW w:w="1276" w:type="dxa"/>
          </w:tcPr>
          <w:p w14:paraId="67919475" w14:textId="792EC5EE" w:rsidR="00B3210F" w:rsidRPr="00BF24D1" w:rsidRDefault="00B3210F" w:rsidP="00B3210F">
            <w:pPr>
              <w:spacing w:line="240" w:lineRule="atLeast"/>
              <w:jc w:val="center"/>
              <w:rPr>
                <w:smallCaps/>
                <w:sz w:val="20"/>
                <w:szCs w:val="20"/>
                <w:lang w:val="en-GB"/>
              </w:rPr>
            </w:pPr>
            <w:r w:rsidRPr="00BF24D1">
              <w:rPr>
                <w:smallCaps/>
                <w:sz w:val="20"/>
                <w:szCs w:val="20"/>
                <w:lang w:val="en-GB"/>
              </w:rPr>
              <w:t>.2462</w:t>
            </w:r>
          </w:p>
        </w:tc>
      </w:tr>
      <w:tr w:rsidR="00B3210F" w:rsidRPr="00BF24D1" w14:paraId="731056C7" w14:textId="56F94B0F" w:rsidTr="009F3862">
        <w:trPr>
          <w:trHeight w:val="43"/>
          <w:jc w:val="center"/>
        </w:trPr>
        <w:tc>
          <w:tcPr>
            <w:tcW w:w="1417" w:type="dxa"/>
          </w:tcPr>
          <w:p w14:paraId="6031D45F" w14:textId="3F84A104" w:rsidR="00B3210F" w:rsidRPr="00BF24D1" w:rsidRDefault="00B3210F" w:rsidP="00B3210F">
            <w:pPr>
              <w:spacing w:line="240" w:lineRule="atLeast"/>
              <w:rPr>
                <w:smallCaps/>
                <w:sz w:val="20"/>
                <w:szCs w:val="20"/>
                <w:lang w:val="en-GB"/>
              </w:rPr>
            </w:pPr>
            <w:r>
              <w:rPr>
                <w:b/>
                <w:bCs/>
                <w:sz w:val="20"/>
                <w:szCs w:val="20"/>
                <w:lang w:val="en-US"/>
                <w14:ligatures w14:val="standardContextual"/>
              </w:rPr>
              <w:t xml:space="preserve">11. </w:t>
            </w:r>
            <w:r w:rsidRPr="003125D8">
              <w:rPr>
                <w:b/>
                <w:bCs/>
                <w:sz w:val="20"/>
                <w:szCs w:val="20"/>
                <w:lang w:val="en-US"/>
              </w:rPr>
              <w:t>Banking law</w:t>
            </w:r>
          </w:p>
        </w:tc>
        <w:tc>
          <w:tcPr>
            <w:tcW w:w="992" w:type="dxa"/>
          </w:tcPr>
          <w:p w14:paraId="15CDE26F" w14:textId="642E40C7" w:rsidR="00B3210F" w:rsidRPr="00BF24D1" w:rsidRDefault="00B3210F" w:rsidP="00B3210F">
            <w:pPr>
              <w:spacing w:line="240" w:lineRule="atLeast"/>
              <w:jc w:val="center"/>
              <w:rPr>
                <w:smallCaps/>
                <w:sz w:val="20"/>
                <w:szCs w:val="20"/>
                <w:lang w:val="en-GB"/>
              </w:rPr>
            </w:pPr>
            <w:r w:rsidRPr="00BF24D1">
              <w:rPr>
                <w:sz w:val="20"/>
                <w:szCs w:val="20"/>
              </w:rPr>
              <w:t>288</w:t>
            </w:r>
          </w:p>
        </w:tc>
        <w:tc>
          <w:tcPr>
            <w:tcW w:w="709" w:type="dxa"/>
          </w:tcPr>
          <w:p w14:paraId="167469CF" w14:textId="6FFB0B6B" w:rsidR="00B3210F" w:rsidRPr="00BF24D1" w:rsidRDefault="00B3210F" w:rsidP="00B3210F">
            <w:pPr>
              <w:spacing w:line="240" w:lineRule="atLeast"/>
              <w:jc w:val="center"/>
              <w:rPr>
                <w:smallCaps/>
                <w:sz w:val="20"/>
                <w:szCs w:val="20"/>
                <w:lang w:val="en-GB"/>
              </w:rPr>
            </w:pPr>
            <w:r w:rsidRPr="00BF24D1">
              <w:rPr>
                <w:smallCaps/>
                <w:sz w:val="20"/>
                <w:szCs w:val="20"/>
                <w:lang w:val="en-GB"/>
              </w:rPr>
              <w:t>52</w:t>
            </w:r>
          </w:p>
        </w:tc>
        <w:tc>
          <w:tcPr>
            <w:tcW w:w="851" w:type="dxa"/>
          </w:tcPr>
          <w:p w14:paraId="0B0BE77E" w14:textId="0CF2042E" w:rsidR="00B3210F" w:rsidRPr="00BF24D1" w:rsidRDefault="00B3210F" w:rsidP="00B3210F">
            <w:pPr>
              <w:spacing w:line="240" w:lineRule="atLeast"/>
              <w:jc w:val="center"/>
              <w:rPr>
                <w:smallCaps/>
                <w:sz w:val="20"/>
                <w:szCs w:val="20"/>
                <w:lang w:val="en-GB"/>
              </w:rPr>
            </w:pPr>
            <w:r w:rsidRPr="00BF24D1">
              <w:rPr>
                <w:smallCaps/>
                <w:sz w:val="20"/>
                <w:szCs w:val="20"/>
                <w:lang w:val="en-GB"/>
              </w:rPr>
              <w:t>236</w:t>
            </w:r>
          </w:p>
        </w:tc>
        <w:tc>
          <w:tcPr>
            <w:tcW w:w="993" w:type="dxa"/>
          </w:tcPr>
          <w:p w14:paraId="5122E720" w14:textId="59151200" w:rsidR="00B3210F" w:rsidRPr="00BF24D1" w:rsidRDefault="00B3210F" w:rsidP="00B3210F">
            <w:pPr>
              <w:spacing w:line="240" w:lineRule="atLeast"/>
              <w:jc w:val="center"/>
              <w:rPr>
                <w:smallCaps/>
                <w:sz w:val="20"/>
                <w:szCs w:val="20"/>
                <w:lang w:val="en-GB"/>
              </w:rPr>
            </w:pPr>
            <w:r w:rsidRPr="00BF24D1">
              <w:rPr>
                <w:smallCaps/>
                <w:sz w:val="20"/>
                <w:szCs w:val="20"/>
                <w:lang w:val="en-GB"/>
              </w:rPr>
              <w:t>8834</w:t>
            </w:r>
          </w:p>
        </w:tc>
        <w:tc>
          <w:tcPr>
            <w:tcW w:w="993" w:type="dxa"/>
          </w:tcPr>
          <w:p w14:paraId="62BC9693" w14:textId="2D3BAE1E" w:rsidR="00B3210F" w:rsidRPr="00BF24D1" w:rsidRDefault="00B3210F" w:rsidP="00B3210F">
            <w:pPr>
              <w:spacing w:line="240" w:lineRule="atLeast"/>
              <w:jc w:val="center"/>
              <w:rPr>
                <w:smallCaps/>
                <w:sz w:val="20"/>
                <w:szCs w:val="20"/>
                <w:lang w:val="en-GB"/>
              </w:rPr>
            </w:pPr>
            <w:r w:rsidRPr="00BF24D1">
              <w:rPr>
                <w:smallCaps/>
                <w:sz w:val="20"/>
                <w:szCs w:val="20"/>
                <w:lang w:val="en-GB"/>
              </w:rPr>
              <w:t>.0143</w:t>
            </w:r>
          </w:p>
        </w:tc>
        <w:tc>
          <w:tcPr>
            <w:tcW w:w="850" w:type="dxa"/>
          </w:tcPr>
          <w:p w14:paraId="77E98261" w14:textId="17C90978" w:rsidR="00B3210F" w:rsidRPr="00BF24D1" w:rsidRDefault="00B3210F" w:rsidP="00B3210F">
            <w:pPr>
              <w:spacing w:line="240" w:lineRule="atLeast"/>
              <w:jc w:val="center"/>
              <w:rPr>
                <w:smallCaps/>
                <w:sz w:val="20"/>
                <w:szCs w:val="20"/>
                <w:lang w:val="en-GB"/>
              </w:rPr>
            </w:pPr>
            <w:r w:rsidRPr="00BF24D1">
              <w:rPr>
                <w:smallCaps/>
                <w:sz w:val="20"/>
                <w:szCs w:val="20"/>
                <w:lang w:val="en-GB"/>
              </w:rPr>
              <w:t>.0094</w:t>
            </w:r>
          </w:p>
        </w:tc>
        <w:tc>
          <w:tcPr>
            <w:tcW w:w="1276" w:type="dxa"/>
          </w:tcPr>
          <w:p w14:paraId="543BC28A" w14:textId="7FCD2E04" w:rsidR="00B3210F" w:rsidRPr="00BF24D1" w:rsidRDefault="00B3210F" w:rsidP="00B3210F">
            <w:pPr>
              <w:spacing w:line="240" w:lineRule="atLeast"/>
              <w:jc w:val="center"/>
              <w:rPr>
                <w:smallCaps/>
                <w:sz w:val="20"/>
                <w:szCs w:val="20"/>
                <w:lang w:val="en-GB"/>
              </w:rPr>
            </w:pPr>
            <w:r w:rsidRPr="00BF24D1">
              <w:rPr>
                <w:smallCaps/>
                <w:sz w:val="20"/>
                <w:szCs w:val="20"/>
                <w:lang w:val="en-GB"/>
              </w:rPr>
              <w:t>.0161</w:t>
            </w:r>
          </w:p>
        </w:tc>
        <w:tc>
          <w:tcPr>
            <w:tcW w:w="1276" w:type="dxa"/>
          </w:tcPr>
          <w:p w14:paraId="34C15046" w14:textId="1D00486C" w:rsidR="00B3210F" w:rsidRPr="00BF24D1" w:rsidRDefault="00B3210F" w:rsidP="00B3210F">
            <w:pPr>
              <w:spacing w:line="240" w:lineRule="atLeast"/>
              <w:jc w:val="center"/>
              <w:rPr>
                <w:smallCaps/>
                <w:sz w:val="20"/>
                <w:szCs w:val="20"/>
                <w:lang w:val="en-GB"/>
              </w:rPr>
            </w:pPr>
            <w:r w:rsidRPr="00BF24D1">
              <w:rPr>
                <w:smallCaps/>
                <w:sz w:val="20"/>
                <w:szCs w:val="20"/>
                <w:lang w:val="en-GB"/>
              </w:rPr>
              <w:t>. 0398</w:t>
            </w:r>
          </w:p>
        </w:tc>
      </w:tr>
    </w:tbl>
    <w:p w14:paraId="6885CFC7" w14:textId="019F7C0A" w:rsidR="00A27DEA" w:rsidRDefault="00A27DEA" w:rsidP="00A27DEA">
      <w:pPr>
        <w:pBdr>
          <w:top w:val="nil"/>
          <w:left w:val="nil"/>
          <w:bottom w:val="nil"/>
          <w:right w:val="nil"/>
          <w:between w:val="nil"/>
          <w:bar w:val="nil"/>
        </w:pBdr>
        <w:spacing w:after="120" w:line="480" w:lineRule="auto"/>
        <w:jc w:val="both"/>
        <w:rPr>
          <w:rFonts w:eastAsia="Calibri" w:cs="Calibri"/>
          <w:color w:val="000000"/>
          <w:u w:color="000000"/>
          <w:bdr w:val="nil"/>
          <w:lang w:val="en-US"/>
        </w:rPr>
      </w:pPr>
      <w:r w:rsidRPr="00F349B3">
        <w:rPr>
          <w:sz w:val="16"/>
          <w:szCs w:val="16"/>
          <w:lang w:val="en-GB"/>
        </w:rPr>
        <w:t>Source: our elaboration</w:t>
      </w:r>
      <w:r w:rsidR="002A0A71">
        <w:rPr>
          <w:sz w:val="16"/>
          <w:szCs w:val="16"/>
          <w:lang w:val="en-GB"/>
        </w:rPr>
        <w:t xml:space="preserve">. </w:t>
      </w:r>
    </w:p>
    <w:p w14:paraId="30C08963" w14:textId="77777777" w:rsidR="00504606" w:rsidRDefault="00504606" w:rsidP="00504606">
      <w:pPr>
        <w:pBdr>
          <w:top w:val="nil"/>
          <w:left w:val="nil"/>
          <w:bottom w:val="nil"/>
          <w:right w:val="nil"/>
          <w:between w:val="nil"/>
          <w:bar w:val="nil"/>
        </w:pBdr>
        <w:spacing w:line="480" w:lineRule="auto"/>
        <w:jc w:val="both"/>
        <w:rPr>
          <w:color w:val="FF0000"/>
        </w:rPr>
      </w:pPr>
    </w:p>
    <w:p w14:paraId="68904AE7" w14:textId="488F3F4F" w:rsidR="0049213B" w:rsidRPr="00907DAE" w:rsidRDefault="00815D34" w:rsidP="00504606">
      <w:pPr>
        <w:pBdr>
          <w:top w:val="nil"/>
          <w:left w:val="nil"/>
          <w:bottom w:val="nil"/>
          <w:right w:val="nil"/>
          <w:between w:val="nil"/>
          <w:bar w:val="nil"/>
        </w:pBdr>
        <w:spacing w:line="480" w:lineRule="auto"/>
        <w:jc w:val="both"/>
        <w:rPr>
          <w:shd w:val="clear" w:color="auto" w:fill="FFFFFF"/>
          <w:lang w:val="en-GB"/>
        </w:rPr>
      </w:pPr>
      <w:r w:rsidRPr="006660CA">
        <w:rPr>
          <w:rFonts w:eastAsia="Calibri"/>
          <w:u w:color="000000"/>
          <w:bdr w:val="nil"/>
          <w:lang w:val="en-US"/>
        </w:rPr>
        <w:t xml:space="preserve">The </w:t>
      </w:r>
      <w:r w:rsidR="00907DAE">
        <w:rPr>
          <w:rFonts w:eastAsia="Calibri"/>
          <w:u w:color="000000"/>
          <w:bdr w:val="nil"/>
          <w:lang w:val="en-US"/>
        </w:rPr>
        <w:t>topic “</w:t>
      </w:r>
      <w:r w:rsidR="00B3210F">
        <w:rPr>
          <w:rFonts w:eastAsia="Calibri"/>
          <w:u w:color="000000"/>
          <w:bdr w:val="nil"/>
          <w:lang w:val="en-US"/>
        </w:rPr>
        <w:t>O</w:t>
      </w:r>
      <w:r w:rsidRPr="006660CA">
        <w:rPr>
          <w:rFonts w:eastAsia="Calibri"/>
          <w:u w:color="000000"/>
          <w:bdr w:val="nil"/>
          <w:lang w:val="en-US"/>
        </w:rPr>
        <w:t>thers institutes</w:t>
      </w:r>
      <w:r w:rsidR="00907DAE">
        <w:rPr>
          <w:rFonts w:eastAsia="Calibri"/>
          <w:u w:color="000000"/>
          <w:bdr w:val="nil"/>
          <w:lang w:val="en-US"/>
        </w:rPr>
        <w:t>”</w:t>
      </w:r>
      <w:r w:rsidRPr="006660CA">
        <w:rPr>
          <w:rFonts w:eastAsia="Calibri"/>
          <w:u w:color="000000"/>
          <w:bdr w:val="nil"/>
          <w:lang w:val="en-US"/>
        </w:rPr>
        <w:t xml:space="preserve"> </w:t>
      </w:r>
      <w:r w:rsidR="00907DAE">
        <w:rPr>
          <w:rFonts w:eastAsia="Calibri"/>
          <w:u w:color="000000"/>
          <w:bdr w:val="nil"/>
          <w:lang w:val="en-US"/>
        </w:rPr>
        <w:t>is</w:t>
      </w:r>
      <w:r w:rsidRPr="006660CA">
        <w:rPr>
          <w:rFonts w:eastAsia="Calibri"/>
          <w:u w:color="000000"/>
          <w:bdr w:val="nil"/>
          <w:lang w:val="en-US"/>
        </w:rPr>
        <w:t xml:space="preserve"> a mixed issued that is impossible to clustering in a sectorial way, while the special proceedings </w:t>
      </w:r>
      <w:r w:rsidRPr="006660CA">
        <w:rPr>
          <w:shd w:val="clear" w:color="auto" w:fill="FFFFFF"/>
          <w:lang w:val="en-GB"/>
        </w:rPr>
        <w:t xml:space="preserve">concern precautionary proceedings in all areas. For these reasons we cannot calculate </w:t>
      </w:r>
      <w:r w:rsidR="007654C4">
        <w:rPr>
          <w:shd w:val="clear" w:color="auto" w:fill="FFFFFF"/>
          <w:lang w:val="en-GB"/>
        </w:rPr>
        <w:t xml:space="preserve">for them </w:t>
      </w:r>
      <w:r w:rsidRPr="006660CA">
        <w:rPr>
          <w:shd w:val="clear" w:color="auto" w:fill="FFFFFF"/>
          <w:lang w:val="en-GB"/>
        </w:rPr>
        <w:t xml:space="preserve">an indicator of </w:t>
      </w:r>
      <w:r w:rsidR="007654C4">
        <w:rPr>
          <w:shd w:val="clear" w:color="auto" w:fill="FFFFFF"/>
          <w:lang w:val="en-GB"/>
        </w:rPr>
        <w:t>regulatory</w:t>
      </w:r>
      <w:r w:rsidRPr="006660CA">
        <w:rPr>
          <w:shd w:val="clear" w:color="auto" w:fill="FFFFFF"/>
          <w:lang w:val="en-GB"/>
        </w:rPr>
        <w:t xml:space="preserve"> complexity at sectorial level.</w:t>
      </w:r>
    </w:p>
    <w:p w14:paraId="5D448C1B" w14:textId="6747F6F6" w:rsidR="00907DAE" w:rsidRPr="00907DAE" w:rsidRDefault="00DB2F83" w:rsidP="00504606">
      <w:pPr>
        <w:pBdr>
          <w:top w:val="nil"/>
          <w:left w:val="nil"/>
          <w:bottom w:val="nil"/>
          <w:right w:val="nil"/>
          <w:between w:val="nil"/>
          <w:bar w:val="nil"/>
        </w:pBdr>
        <w:spacing w:line="480" w:lineRule="auto"/>
        <w:jc w:val="both"/>
        <w:rPr>
          <w:shd w:val="clear" w:color="auto" w:fill="FFFFFF"/>
          <w:lang w:val="en-GB"/>
        </w:rPr>
      </w:pPr>
      <w:r w:rsidRPr="00907DAE">
        <w:rPr>
          <w:shd w:val="clear" w:color="auto" w:fill="FFFFFF"/>
          <w:lang w:val="en-GB"/>
        </w:rPr>
        <w:t xml:space="preserve">The data </w:t>
      </w:r>
      <w:r w:rsidR="008B6987">
        <w:rPr>
          <w:shd w:val="clear" w:color="auto" w:fill="FFFFFF"/>
          <w:lang w:val="en-GB"/>
        </w:rPr>
        <w:t>on</w:t>
      </w:r>
      <w:r w:rsidR="008B6987" w:rsidRPr="00907DAE">
        <w:rPr>
          <w:shd w:val="clear" w:color="auto" w:fill="FFFFFF"/>
          <w:lang w:val="en-GB"/>
        </w:rPr>
        <w:t xml:space="preserve"> </w:t>
      </w:r>
      <w:r w:rsidRPr="00907DAE">
        <w:rPr>
          <w:shd w:val="clear" w:color="auto" w:fill="FFFFFF"/>
          <w:lang w:val="en-GB"/>
        </w:rPr>
        <w:t xml:space="preserve">laws </w:t>
      </w:r>
      <w:r w:rsidR="008B6987">
        <w:rPr>
          <w:shd w:val="clear" w:color="auto" w:fill="FFFFFF"/>
          <w:lang w:val="en-GB"/>
        </w:rPr>
        <w:t>were</w:t>
      </w:r>
      <w:r w:rsidR="00A27DEA" w:rsidRPr="00907DAE">
        <w:rPr>
          <w:shd w:val="clear" w:color="auto" w:fill="FFFFFF"/>
          <w:lang w:val="en-GB"/>
        </w:rPr>
        <w:t xml:space="preserve"> retrieved from </w:t>
      </w:r>
      <w:r w:rsidR="008B6987">
        <w:rPr>
          <w:shd w:val="clear" w:color="auto" w:fill="FFFFFF"/>
          <w:lang w:val="en-GB"/>
        </w:rPr>
        <w:t xml:space="preserve">the </w:t>
      </w:r>
      <w:proofErr w:type="spellStart"/>
      <w:r w:rsidR="008B6987" w:rsidRPr="00907DAE">
        <w:rPr>
          <w:shd w:val="clear" w:color="auto" w:fill="FFFFFF"/>
          <w:lang w:val="en-GB"/>
        </w:rPr>
        <w:t>DeJure</w:t>
      </w:r>
      <w:proofErr w:type="spellEnd"/>
      <w:r w:rsidRPr="00907DAE">
        <w:rPr>
          <w:shd w:val="clear" w:color="auto" w:fill="FFFFFF"/>
          <w:lang w:val="en-GB"/>
        </w:rPr>
        <w:t xml:space="preserve"> database and </w:t>
      </w:r>
      <w:r w:rsidR="008B6987">
        <w:rPr>
          <w:shd w:val="clear" w:color="auto" w:fill="FFFFFF"/>
          <w:lang w:val="en-GB"/>
        </w:rPr>
        <w:t xml:space="preserve">a keywords </w:t>
      </w:r>
      <w:r w:rsidRPr="00907DAE">
        <w:rPr>
          <w:shd w:val="clear" w:color="auto" w:fill="FFFFFF"/>
          <w:lang w:val="en-GB"/>
        </w:rPr>
        <w:t>se</w:t>
      </w:r>
      <w:r w:rsidR="00A27DEA" w:rsidRPr="00907DAE">
        <w:rPr>
          <w:shd w:val="clear" w:color="auto" w:fill="FFFFFF"/>
          <w:lang w:val="en-GB"/>
        </w:rPr>
        <w:t>a</w:t>
      </w:r>
      <w:r w:rsidRPr="00907DAE">
        <w:rPr>
          <w:shd w:val="clear" w:color="auto" w:fill="FFFFFF"/>
          <w:lang w:val="en-GB"/>
        </w:rPr>
        <w:t>rc</w:t>
      </w:r>
      <w:r w:rsidR="00A27DEA" w:rsidRPr="00907DAE">
        <w:rPr>
          <w:shd w:val="clear" w:color="auto" w:fill="FFFFFF"/>
          <w:lang w:val="en-GB"/>
        </w:rPr>
        <w:t>h</w:t>
      </w:r>
      <w:r w:rsidR="008B6987">
        <w:rPr>
          <w:shd w:val="clear" w:color="auto" w:fill="FFFFFF"/>
          <w:lang w:val="en-GB"/>
        </w:rPr>
        <w:t xml:space="preserve"> was conducted</w:t>
      </w:r>
      <w:r w:rsidRPr="00907DAE">
        <w:rPr>
          <w:shd w:val="clear" w:color="auto" w:fill="FFFFFF"/>
          <w:lang w:val="en-GB"/>
        </w:rPr>
        <w:t xml:space="preserve"> </w:t>
      </w:r>
      <w:r w:rsidR="008B6987" w:rsidRPr="00670FE7">
        <w:rPr>
          <w:lang w:val="en-GB"/>
        </w:rPr>
        <w:t xml:space="preserve">to avoid excluding </w:t>
      </w:r>
      <w:r w:rsidRPr="00907DAE">
        <w:rPr>
          <w:shd w:val="clear" w:color="auto" w:fill="FFFFFF"/>
          <w:lang w:val="en-GB"/>
        </w:rPr>
        <w:t>overlapping laws</w:t>
      </w:r>
      <w:r w:rsidR="00907DAE" w:rsidRPr="00907DAE">
        <w:rPr>
          <w:shd w:val="clear" w:color="auto" w:fill="FFFFFF"/>
          <w:lang w:val="en-GB"/>
        </w:rPr>
        <w:t xml:space="preserve">. All kinds of laws and regulations </w:t>
      </w:r>
      <w:r w:rsidR="00C27D7B">
        <w:rPr>
          <w:shd w:val="clear" w:color="auto" w:fill="FFFFFF"/>
          <w:lang w:val="en-GB"/>
        </w:rPr>
        <w:t>were</w:t>
      </w:r>
      <w:r w:rsidR="00C27D7B" w:rsidRPr="00907DAE">
        <w:rPr>
          <w:shd w:val="clear" w:color="auto" w:fill="FFFFFF"/>
          <w:lang w:val="en-GB"/>
        </w:rPr>
        <w:t xml:space="preserve"> </w:t>
      </w:r>
      <w:r w:rsidR="00907DAE" w:rsidRPr="00907DAE">
        <w:rPr>
          <w:shd w:val="clear" w:color="auto" w:fill="FFFFFF"/>
          <w:lang w:val="en-GB"/>
        </w:rPr>
        <w:t>considered.</w:t>
      </w:r>
    </w:p>
    <w:p w14:paraId="440A1C00" w14:textId="1CBDC11D" w:rsidR="007C2EF8" w:rsidRPr="005377DA" w:rsidRDefault="007C2EF8" w:rsidP="007C2EF8">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sz w:val="24"/>
          <w:szCs w:val="24"/>
          <w:lang w:val="en-US"/>
        </w:rPr>
      </w:pPr>
      <w:r w:rsidRPr="000031BA">
        <w:rPr>
          <w:rFonts w:ascii="Times New Roman" w:eastAsia="Calibri" w:hAnsi="Times New Roman" w:cs="Calibri"/>
          <w:b/>
          <w:bCs/>
          <w:sz w:val="24"/>
          <w:szCs w:val="24"/>
          <w:lang w:val="en-US"/>
        </w:rPr>
        <w:lastRenderedPageBreak/>
        <w:t>Table</w:t>
      </w:r>
      <w:r>
        <w:rPr>
          <w:rFonts w:ascii="Times New Roman" w:eastAsia="Calibri" w:hAnsi="Times New Roman" w:cs="Calibri"/>
          <w:b/>
          <w:bCs/>
          <w:sz w:val="24"/>
          <w:szCs w:val="24"/>
          <w:lang w:val="en-US"/>
        </w:rPr>
        <w:t xml:space="preserve"> </w:t>
      </w:r>
      <w:r w:rsidR="001B206F">
        <w:rPr>
          <w:rFonts w:ascii="Times New Roman" w:eastAsia="Calibri" w:hAnsi="Times New Roman" w:cs="Calibri"/>
          <w:b/>
          <w:bCs/>
          <w:sz w:val="24"/>
          <w:szCs w:val="24"/>
          <w:lang w:val="en-US"/>
        </w:rPr>
        <w:t>4</w:t>
      </w:r>
      <w:r>
        <w:rPr>
          <w:rFonts w:ascii="Times New Roman" w:eastAsia="Calibri" w:hAnsi="Times New Roman" w:cs="Calibri"/>
          <w:b/>
          <w:bCs/>
          <w:sz w:val="24"/>
          <w:szCs w:val="24"/>
          <w:lang w:val="en-US"/>
        </w:rPr>
        <w:t xml:space="preserve"> –</w:t>
      </w:r>
      <w:r w:rsidRPr="000031BA">
        <w:rPr>
          <w:rFonts w:ascii="Times New Roman" w:eastAsia="Calibri" w:hAnsi="Times New Roman" w:cs="Calibri"/>
          <w:b/>
          <w:bCs/>
          <w:sz w:val="24"/>
          <w:szCs w:val="24"/>
          <w:lang w:val="en-US"/>
        </w:rPr>
        <w:t xml:space="preserve"> </w:t>
      </w:r>
      <w:r>
        <w:rPr>
          <w:rFonts w:ascii="Times New Roman" w:eastAsia="Calibri" w:hAnsi="Times New Roman" w:cs="Calibri"/>
          <w:b/>
          <w:bCs/>
          <w:sz w:val="24"/>
          <w:szCs w:val="24"/>
          <w:lang w:val="en-US"/>
        </w:rPr>
        <w:t xml:space="preserve">Correlation matrix of </w:t>
      </w:r>
      <w:r w:rsidR="007E6A76">
        <w:rPr>
          <w:rFonts w:ascii="Times New Roman" w:eastAsia="Calibri" w:hAnsi="Times New Roman" w:cs="Calibri"/>
          <w:b/>
          <w:bCs/>
          <w:sz w:val="24"/>
          <w:szCs w:val="24"/>
          <w:lang w:val="en-US"/>
        </w:rPr>
        <w:t>Regulatory</w:t>
      </w:r>
      <w:r>
        <w:rPr>
          <w:rFonts w:ascii="Times New Roman" w:eastAsia="Calibri" w:hAnsi="Times New Roman" w:cs="Calibri"/>
          <w:b/>
          <w:bCs/>
          <w:sz w:val="24"/>
          <w:szCs w:val="24"/>
          <w:lang w:val="en-US"/>
        </w:rPr>
        <w:t xml:space="preserve"> Complexity Ind</w:t>
      </w:r>
      <w:r w:rsidR="00744709">
        <w:rPr>
          <w:rFonts w:ascii="Times New Roman" w:eastAsia="Calibri" w:hAnsi="Times New Roman" w:cs="Calibri"/>
          <w:b/>
          <w:bCs/>
          <w:sz w:val="24"/>
          <w:szCs w:val="24"/>
          <w:lang w:val="en-US"/>
        </w:rPr>
        <w:t>icators</w:t>
      </w:r>
    </w:p>
    <w:tbl>
      <w:tblPr>
        <w:tblpPr w:leftFromText="141" w:rightFromText="141" w:vertAnchor="text" w:tblpXSpec="center" w:tblpY="1"/>
        <w:tblOverlap w:val="never"/>
        <w:tblW w:w="8738" w:type="dxa"/>
        <w:tblLayout w:type="fixed"/>
        <w:tblLook w:val="0000" w:firstRow="0" w:lastRow="0" w:firstColumn="0" w:lastColumn="0" w:noHBand="0" w:noVBand="0"/>
      </w:tblPr>
      <w:tblGrid>
        <w:gridCol w:w="2638"/>
        <w:gridCol w:w="1220"/>
        <w:gridCol w:w="1220"/>
        <w:gridCol w:w="1220"/>
        <w:gridCol w:w="1220"/>
        <w:gridCol w:w="1220"/>
      </w:tblGrid>
      <w:tr w:rsidR="007046D9" w:rsidRPr="00C1757C" w14:paraId="3EF4FBA4" w14:textId="77777777" w:rsidTr="009F3862">
        <w:tc>
          <w:tcPr>
            <w:tcW w:w="2638" w:type="dxa"/>
            <w:tcBorders>
              <w:top w:val="single" w:sz="4" w:space="0" w:color="auto"/>
            </w:tcBorders>
          </w:tcPr>
          <w:p w14:paraId="3EAC4CA8"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Variables</w:t>
            </w:r>
          </w:p>
        </w:tc>
        <w:tc>
          <w:tcPr>
            <w:tcW w:w="1220" w:type="dxa"/>
            <w:tcBorders>
              <w:top w:val="single" w:sz="4" w:space="0" w:color="auto"/>
            </w:tcBorders>
          </w:tcPr>
          <w:p w14:paraId="7305A2B8" w14:textId="77777777" w:rsidR="007046D9" w:rsidRPr="00C1757C" w:rsidRDefault="007046D9" w:rsidP="007046D9">
            <w:pPr>
              <w:widowControl w:val="0"/>
              <w:autoSpaceDE w:val="0"/>
              <w:autoSpaceDN w:val="0"/>
              <w:adjustRightInd w:val="0"/>
              <w:jc w:val="right"/>
              <w:rPr>
                <w:b/>
                <w:bCs/>
                <w:sz w:val="20"/>
                <w:szCs w:val="20"/>
                <w:lang w:val="en-US"/>
                <w14:ligatures w14:val="standardContextual"/>
              </w:rPr>
            </w:pPr>
            <w:r w:rsidRPr="00C1757C">
              <w:rPr>
                <w:b/>
                <w:bCs/>
                <w:sz w:val="20"/>
                <w:szCs w:val="20"/>
                <w:lang w:val="en-US"/>
                <w14:ligatures w14:val="standardContextual"/>
              </w:rPr>
              <w:t xml:space="preserve">  (1)</w:t>
            </w:r>
          </w:p>
        </w:tc>
        <w:tc>
          <w:tcPr>
            <w:tcW w:w="1220" w:type="dxa"/>
            <w:tcBorders>
              <w:top w:val="single" w:sz="4" w:space="0" w:color="auto"/>
            </w:tcBorders>
          </w:tcPr>
          <w:p w14:paraId="3A4056F1" w14:textId="77777777" w:rsidR="007046D9" w:rsidRPr="00C1757C" w:rsidRDefault="007046D9" w:rsidP="007046D9">
            <w:pPr>
              <w:widowControl w:val="0"/>
              <w:autoSpaceDE w:val="0"/>
              <w:autoSpaceDN w:val="0"/>
              <w:adjustRightInd w:val="0"/>
              <w:jc w:val="right"/>
              <w:rPr>
                <w:b/>
                <w:bCs/>
                <w:sz w:val="20"/>
                <w:szCs w:val="20"/>
                <w:lang w:val="en-US"/>
                <w14:ligatures w14:val="standardContextual"/>
              </w:rPr>
            </w:pPr>
            <w:r w:rsidRPr="00C1757C">
              <w:rPr>
                <w:b/>
                <w:bCs/>
                <w:sz w:val="20"/>
                <w:szCs w:val="20"/>
                <w:lang w:val="en-US"/>
                <w14:ligatures w14:val="standardContextual"/>
              </w:rPr>
              <w:t xml:space="preserve">  (2)</w:t>
            </w:r>
          </w:p>
        </w:tc>
        <w:tc>
          <w:tcPr>
            <w:tcW w:w="1220" w:type="dxa"/>
            <w:tcBorders>
              <w:top w:val="single" w:sz="4" w:space="0" w:color="auto"/>
            </w:tcBorders>
          </w:tcPr>
          <w:p w14:paraId="51543D2E" w14:textId="77777777" w:rsidR="007046D9" w:rsidRPr="00C1757C" w:rsidRDefault="007046D9" w:rsidP="007046D9">
            <w:pPr>
              <w:widowControl w:val="0"/>
              <w:autoSpaceDE w:val="0"/>
              <w:autoSpaceDN w:val="0"/>
              <w:adjustRightInd w:val="0"/>
              <w:jc w:val="right"/>
              <w:rPr>
                <w:b/>
                <w:bCs/>
                <w:sz w:val="20"/>
                <w:szCs w:val="20"/>
                <w:lang w:val="en-US"/>
                <w14:ligatures w14:val="standardContextual"/>
              </w:rPr>
            </w:pPr>
            <w:r w:rsidRPr="00C1757C">
              <w:rPr>
                <w:b/>
                <w:bCs/>
                <w:sz w:val="20"/>
                <w:szCs w:val="20"/>
                <w:lang w:val="en-US"/>
                <w14:ligatures w14:val="standardContextual"/>
              </w:rPr>
              <w:t xml:space="preserve">  (3)</w:t>
            </w:r>
          </w:p>
        </w:tc>
        <w:tc>
          <w:tcPr>
            <w:tcW w:w="1220" w:type="dxa"/>
            <w:tcBorders>
              <w:top w:val="single" w:sz="4" w:space="0" w:color="auto"/>
            </w:tcBorders>
          </w:tcPr>
          <w:p w14:paraId="27BC018D" w14:textId="77777777" w:rsidR="007046D9" w:rsidRPr="00C1757C" w:rsidRDefault="007046D9" w:rsidP="007046D9">
            <w:pPr>
              <w:widowControl w:val="0"/>
              <w:autoSpaceDE w:val="0"/>
              <w:autoSpaceDN w:val="0"/>
              <w:adjustRightInd w:val="0"/>
              <w:jc w:val="right"/>
              <w:rPr>
                <w:b/>
                <w:bCs/>
                <w:sz w:val="20"/>
                <w:szCs w:val="20"/>
                <w:lang w:val="en-US"/>
                <w14:ligatures w14:val="standardContextual"/>
              </w:rPr>
            </w:pPr>
            <w:r w:rsidRPr="00C1757C">
              <w:rPr>
                <w:b/>
                <w:bCs/>
                <w:sz w:val="20"/>
                <w:szCs w:val="20"/>
                <w:lang w:val="en-US"/>
                <w14:ligatures w14:val="standardContextual"/>
              </w:rPr>
              <w:t xml:space="preserve">  (4)</w:t>
            </w:r>
          </w:p>
        </w:tc>
        <w:tc>
          <w:tcPr>
            <w:tcW w:w="1220" w:type="dxa"/>
            <w:tcBorders>
              <w:top w:val="single" w:sz="4" w:space="0" w:color="auto"/>
            </w:tcBorders>
          </w:tcPr>
          <w:p w14:paraId="72945104" w14:textId="77777777" w:rsidR="007046D9" w:rsidRPr="00C1757C" w:rsidRDefault="007046D9" w:rsidP="007046D9">
            <w:pPr>
              <w:widowControl w:val="0"/>
              <w:autoSpaceDE w:val="0"/>
              <w:autoSpaceDN w:val="0"/>
              <w:adjustRightInd w:val="0"/>
              <w:jc w:val="right"/>
              <w:rPr>
                <w:b/>
                <w:bCs/>
                <w:sz w:val="20"/>
                <w:szCs w:val="20"/>
                <w:lang w:val="en-US"/>
                <w14:ligatures w14:val="standardContextual"/>
              </w:rPr>
            </w:pPr>
            <w:r w:rsidRPr="00C1757C">
              <w:rPr>
                <w:b/>
                <w:bCs/>
                <w:sz w:val="20"/>
                <w:szCs w:val="20"/>
                <w:lang w:val="en-US"/>
                <w14:ligatures w14:val="standardContextual"/>
              </w:rPr>
              <w:t xml:space="preserve">  (5)</w:t>
            </w:r>
          </w:p>
        </w:tc>
      </w:tr>
      <w:tr w:rsidR="007046D9" w:rsidRPr="00C1757C" w14:paraId="75CF8F12" w14:textId="77777777" w:rsidTr="009F3862">
        <w:trPr>
          <w:gridAfter w:val="4"/>
          <w:wAfter w:w="4880" w:type="dxa"/>
        </w:trPr>
        <w:tc>
          <w:tcPr>
            <w:tcW w:w="2638" w:type="dxa"/>
          </w:tcPr>
          <w:p w14:paraId="57669FB6"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(1) </w:t>
            </w:r>
            <w:r w:rsidRPr="00580C5F">
              <w:rPr>
                <w:b/>
                <w:bCs/>
                <w:sz w:val="20"/>
                <w:szCs w:val="20"/>
                <w:lang w:val="en-US"/>
                <w14:ligatures w14:val="standardContextual"/>
              </w:rPr>
              <w:t>Time duration</w:t>
            </w:r>
          </w:p>
        </w:tc>
        <w:tc>
          <w:tcPr>
            <w:tcW w:w="1220" w:type="dxa"/>
          </w:tcPr>
          <w:p w14:paraId="170A00DB"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1.000</w:t>
            </w:r>
          </w:p>
        </w:tc>
      </w:tr>
      <w:tr w:rsidR="007046D9" w:rsidRPr="00C1757C" w14:paraId="4317457E" w14:textId="77777777" w:rsidTr="009F3862">
        <w:trPr>
          <w:gridAfter w:val="3"/>
          <w:wAfter w:w="3660" w:type="dxa"/>
        </w:trPr>
        <w:tc>
          <w:tcPr>
            <w:tcW w:w="2638" w:type="dxa"/>
          </w:tcPr>
          <w:p w14:paraId="36B0AA9D"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(2) </w:t>
            </w:r>
            <w:r w:rsidRPr="00580C5F">
              <w:rPr>
                <w:b/>
                <w:bCs/>
                <w:sz w:val="20"/>
                <w:szCs w:val="20"/>
                <w:lang w:val="en-US"/>
                <w14:ligatures w14:val="standardContextual"/>
              </w:rPr>
              <w:t>L</w:t>
            </w:r>
            <w:r w:rsidRPr="00C1757C">
              <w:rPr>
                <w:b/>
                <w:bCs/>
                <w:sz w:val="20"/>
                <w:szCs w:val="20"/>
                <w:lang w:val="en-US"/>
                <w14:ligatures w14:val="standardContextual"/>
              </w:rPr>
              <w:t>aw</w:t>
            </w:r>
            <w:r w:rsidRPr="00580C5F">
              <w:rPr>
                <w:b/>
                <w:bCs/>
                <w:sz w:val="20"/>
                <w:szCs w:val="20"/>
                <w:lang w:val="en-US"/>
                <w14:ligatures w14:val="standardContextual"/>
              </w:rPr>
              <w:t xml:space="preserve">s and </w:t>
            </w:r>
            <w:r w:rsidRPr="00C1757C">
              <w:rPr>
                <w:b/>
                <w:bCs/>
                <w:sz w:val="20"/>
                <w:szCs w:val="20"/>
                <w:lang w:val="en-US"/>
                <w14:ligatures w14:val="standardContextual"/>
              </w:rPr>
              <w:t>reg</w:t>
            </w:r>
            <w:r w:rsidRPr="00580C5F">
              <w:rPr>
                <w:b/>
                <w:bCs/>
                <w:sz w:val="20"/>
                <w:szCs w:val="20"/>
                <w:lang w:val="en-US"/>
                <w14:ligatures w14:val="standardContextual"/>
              </w:rPr>
              <w:t>ulations</w:t>
            </w:r>
          </w:p>
        </w:tc>
        <w:tc>
          <w:tcPr>
            <w:tcW w:w="1220" w:type="dxa"/>
          </w:tcPr>
          <w:p w14:paraId="328E134A"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0.138</w:t>
            </w:r>
          </w:p>
        </w:tc>
        <w:tc>
          <w:tcPr>
            <w:tcW w:w="1220" w:type="dxa"/>
          </w:tcPr>
          <w:p w14:paraId="0F86D7F3"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1.000</w:t>
            </w:r>
          </w:p>
        </w:tc>
      </w:tr>
      <w:tr w:rsidR="007046D9" w:rsidRPr="00C1757C" w14:paraId="1DE8F38A" w14:textId="77777777" w:rsidTr="009F3862">
        <w:trPr>
          <w:gridAfter w:val="2"/>
          <w:wAfter w:w="2440" w:type="dxa"/>
        </w:trPr>
        <w:tc>
          <w:tcPr>
            <w:tcW w:w="2638" w:type="dxa"/>
          </w:tcPr>
          <w:p w14:paraId="6ED1BFCC"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(3) </w:t>
            </w:r>
            <w:r w:rsidRPr="00580C5F">
              <w:rPr>
                <w:b/>
                <w:bCs/>
                <w:sz w:val="20"/>
                <w:szCs w:val="20"/>
                <w:lang w:val="en-US"/>
                <w14:ligatures w14:val="standardContextual"/>
              </w:rPr>
              <w:t>L</w:t>
            </w:r>
            <w:r w:rsidRPr="00C1757C">
              <w:rPr>
                <w:b/>
                <w:bCs/>
                <w:sz w:val="20"/>
                <w:szCs w:val="20"/>
                <w:lang w:val="en-US"/>
                <w14:ligatures w14:val="standardContextual"/>
              </w:rPr>
              <w:t>aw</w:t>
            </w:r>
            <w:r w:rsidRPr="00580C5F">
              <w:rPr>
                <w:b/>
                <w:bCs/>
                <w:sz w:val="20"/>
                <w:szCs w:val="20"/>
                <w:lang w:val="en-US"/>
                <w14:ligatures w14:val="standardContextual"/>
              </w:rPr>
              <w:t>s</w:t>
            </w:r>
          </w:p>
        </w:tc>
        <w:tc>
          <w:tcPr>
            <w:tcW w:w="1220" w:type="dxa"/>
          </w:tcPr>
          <w:p w14:paraId="7FB7EAD1"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0.212</w:t>
            </w:r>
          </w:p>
        </w:tc>
        <w:tc>
          <w:tcPr>
            <w:tcW w:w="1220" w:type="dxa"/>
          </w:tcPr>
          <w:p w14:paraId="4DB861EA"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0.807</w:t>
            </w:r>
          </w:p>
        </w:tc>
        <w:tc>
          <w:tcPr>
            <w:tcW w:w="1220" w:type="dxa"/>
          </w:tcPr>
          <w:p w14:paraId="35912FF1"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1.000</w:t>
            </w:r>
          </w:p>
        </w:tc>
      </w:tr>
      <w:tr w:rsidR="007046D9" w:rsidRPr="00C1757C" w14:paraId="62415CE6" w14:textId="77777777" w:rsidTr="009F3862">
        <w:trPr>
          <w:gridAfter w:val="1"/>
          <w:wAfter w:w="1220" w:type="dxa"/>
        </w:trPr>
        <w:tc>
          <w:tcPr>
            <w:tcW w:w="2638" w:type="dxa"/>
          </w:tcPr>
          <w:p w14:paraId="0CD3B773"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(4) </w:t>
            </w:r>
            <w:r w:rsidRPr="00580C5F">
              <w:rPr>
                <w:b/>
                <w:bCs/>
                <w:sz w:val="20"/>
                <w:szCs w:val="20"/>
                <w:lang w:val="en-US"/>
                <w14:ligatures w14:val="standardContextual"/>
              </w:rPr>
              <w:t>R</w:t>
            </w:r>
            <w:r w:rsidRPr="00C1757C">
              <w:rPr>
                <w:b/>
                <w:bCs/>
                <w:sz w:val="20"/>
                <w:szCs w:val="20"/>
                <w:lang w:val="en-US"/>
                <w14:ligatures w14:val="standardContextual"/>
              </w:rPr>
              <w:t>eg</w:t>
            </w:r>
            <w:r w:rsidRPr="00580C5F">
              <w:rPr>
                <w:b/>
                <w:bCs/>
                <w:sz w:val="20"/>
                <w:szCs w:val="20"/>
                <w:lang w:val="en-US"/>
                <w14:ligatures w14:val="standardContextual"/>
              </w:rPr>
              <w:t>ulations</w:t>
            </w:r>
          </w:p>
        </w:tc>
        <w:tc>
          <w:tcPr>
            <w:tcW w:w="1220" w:type="dxa"/>
          </w:tcPr>
          <w:p w14:paraId="313160BD"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0.067</w:t>
            </w:r>
          </w:p>
        </w:tc>
        <w:tc>
          <w:tcPr>
            <w:tcW w:w="1220" w:type="dxa"/>
          </w:tcPr>
          <w:p w14:paraId="4E5901B5"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0.936</w:t>
            </w:r>
          </w:p>
        </w:tc>
        <w:tc>
          <w:tcPr>
            <w:tcW w:w="1220" w:type="dxa"/>
          </w:tcPr>
          <w:p w14:paraId="47A36ECB"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0.726</w:t>
            </w:r>
          </w:p>
        </w:tc>
        <w:tc>
          <w:tcPr>
            <w:tcW w:w="1220" w:type="dxa"/>
          </w:tcPr>
          <w:p w14:paraId="63DE4D1E"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1.000</w:t>
            </w:r>
          </w:p>
        </w:tc>
      </w:tr>
      <w:tr w:rsidR="007046D9" w:rsidRPr="00C1757C" w14:paraId="568A26AC" w14:textId="77777777" w:rsidTr="009F3862">
        <w:tc>
          <w:tcPr>
            <w:tcW w:w="2638" w:type="dxa"/>
            <w:tcBorders>
              <w:bottom w:val="single" w:sz="4" w:space="0" w:color="auto"/>
            </w:tcBorders>
          </w:tcPr>
          <w:p w14:paraId="0095DE11" w14:textId="77777777" w:rsidR="007046D9" w:rsidRPr="00C1757C" w:rsidRDefault="007046D9" w:rsidP="007046D9">
            <w:pPr>
              <w:widowControl w:val="0"/>
              <w:autoSpaceDE w:val="0"/>
              <w:autoSpaceDN w:val="0"/>
              <w:adjustRightInd w:val="0"/>
              <w:rPr>
                <w:b/>
                <w:bCs/>
                <w:sz w:val="20"/>
                <w:szCs w:val="20"/>
                <w:lang w:val="en-US"/>
                <w14:ligatures w14:val="standardContextual"/>
              </w:rPr>
            </w:pPr>
            <w:r w:rsidRPr="00C1757C">
              <w:rPr>
                <w:b/>
                <w:bCs/>
                <w:sz w:val="20"/>
                <w:szCs w:val="20"/>
                <w:lang w:val="en-US"/>
                <w14:ligatures w14:val="standardContextual"/>
              </w:rPr>
              <w:t xml:space="preserve"> (5) </w:t>
            </w:r>
            <w:r>
              <w:rPr>
                <w:b/>
                <w:bCs/>
                <w:sz w:val="20"/>
                <w:szCs w:val="20"/>
                <w:lang w:val="en-US"/>
                <w14:ligatures w14:val="standardContextual"/>
              </w:rPr>
              <w:t>S</w:t>
            </w:r>
            <w:r w:rsidRPr="00580C5F">
              <w:rPr>
                <w:b/>
                <w:bCs/>
                <w:sz w:val="20"/>
                <w:szCs w:val="20"/>
                <w:lang w:val="en-US"/>
                <w14:ligatures w14:val="standardContextual"/>
              </w:rPr>
              <w:t>upreme Court</w:t>
            </w:r>
            <w:r>
              <w:rPr>
                <w:b/>
                <w:bCs/>
                <w:sz w:val="20"/>
                <w:szCs w:val="20"/>
                <w:lang w:val="en-US"/>
                <w14:ligatures w14:val="standardContextual"/>
              </w:rPr>
              <w:t xml:space="preserve"> sent.</w:t>
            </w:r>
          </w:p>
        </w:tc>
        <w:tc>
          <w:tcPr>
            <w:tcW w:w="1220" w:type="dxa"/>
            <w:tcBorders>
              <w:bottom w:val="single" w:sz="4" w:space="0" w:color="auto"/>
            </w:tcBorders>
          </w:tcPr>
          <w:p w14:paraId="1074E4FB"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0.171</w:t>
            </w:r>
          </w:p>
        </w:tc>
        <w:tc>
          <w:tcPr>
            <w:tcW w:w="1220" w:type="dxa"/>
            <w:tcBorders>
              <w:bottom w:val="single" w:sz="4" w:space="0" w:color="auto"/>
            </w:tcBorders>
          </w:tcPr>
          <w:p w14:paraId="6F812A81"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0.815</w:t>
            </w:r>
          </w:p>
        </w:tc>
        <w:tc>
          <w:tcPr>
            <w:tcW w:w="1220" w:type="dxa"/>
            <w:tcBorders>
              <w:bottom w:val="single" w:sz="4" w:space="0" w:color="auto"/>
            </w:tcBorders>
          </w:tcPr>
          <w:p w14:paraId="49487A7B"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0.847</w:t>
            </w:r>
          </w:p>
        </w:tc>
        <w:tc>
          <w:tcPr>
            <w:tcW w:w="1220" w:type="dxa"/>
            <w:tcBorders>
              <w:bottom w:val="single" w:sz="4" w:space="0" w:color="auto"/>
            </w:tcBorders>
          </w:tcPr>
          <w:p w14:paraId="7C8F9A38"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0.644</w:t>
            </w:r>
          </w:p>
        </w:tc>
        <w:tc>
          <w:tcPr>
            <w:tcW w:w="1220" w:type="dxa"/>
            <w:tcBorders>
              <w:bottom w:val="single" w:sz="4" w:space="0" w:color="auto"/>
            </w:tcBorders>
          </w:tcPr>
          <w:p w14:paraId="2C1C58DF" w14:textId="77777777" w:rsidR="007046D9" w:rsidRPr="00C1757C" w:rsidRDefault="007046D9" w:rsidP="007046D9">
            <w:pPr>
              <w:widowControl w:val="0"/>
              <w:autoSpaceDE w:val="0"/>
              <w:autoSpaceDN w:val="0"/>
              <w:adjustRightInd w:val="0"/>
              <w:jc w:val="right"/>
              <w:rPr>
                <w:sz w:val="20"/>
                <w:szCs w:val="20"/>
                <w:lang w:val="en-US"/>
                <w14:ligatures w14:val="standardContextual"/>
              </w:rPr>
            </w:pPr>
            <w:r w:rsidRPr="00C1757C">
              <w:rPr>
                <w:sz w:val="20"/>
                <w:szCs w:val="20"/>
                <w:lang w:val="en-US"/>
                <w14:ligatures w14:val="standardContextual"/>
              </w:rPr>
              <w:t>1.000</w:t>
            </w:r>
          </w:p>
        </w:tc>
      </w:tr>
    </w:tbl>
    <w:p w14:paraId="10D4E4B1" w14:textId="34C8A854" w:rsidR="00A27DEA" w:rsidRDefault="007046D9" w:rsidP="00A27DEA">
      <w:pPr>
        <w:pBdr>
          <w:top w:val="nil"/>
          <w:left w:val="nil"/>
          <w:bottom w:val="nil"/>
          <w:right w:val="nil"/>
          <w:between w:val="nil"/>
          <w:bar w:val="nil"/>
        </w:pBdr>
        <w:spacing w:after="120" w:line="480" w:lineRule="auto"/>
        <w:jc w:val="both"/>
        <w:rPr>
          <w:rFonts w:eastAsia="Calibri" w:cs="Calibri"/>
          <w:color w:val="000000"/>
          <w:u w:color="000000"/>
          <w:bdr w:val="nil"/>
          <w:lang w:val="en-US"/>
        </w:rPr>
      </w:pPr>
      <w:r>
        <w:rPr>
          <w:sz w:val="16"/>
          <w:szCs w:val="16"/>
          <w:lang w:val="en-GB"/>
        </w:rPr>
        <w:t xml:space="preserve">    </w:t>
      </w:r>
      <w:r w:rsidR="00A27DEA" w:rsidRPr="00F349B3">
        <w:rPr>
          <w:sz w:val="16"/>
          <w:szCs w:val="16"/>
          <w:lang w:val="en-GB"/>
        </w:rPr>
        <w:t>Source: our elaboration</w:t>
      </w:r>
      <w:r w:rsidR="00A27DEA">
        <w:rPr>
          <w:sz w:val="16"/>
          <w:szCs w:val="16"/>
          <w:lang w:val="en-GB"/>
        </w:rPr>
        <w:t>.</w:t>
      </w:r>
      <w:r w:rsidR="00A27DEA" w:rsidRPr="00C642E9">
        <w:rPr>
          <w:sz w:val="16"/>
          <w:szCs w:val="16"/>
          <w:lang w:val="en-GB"/>
        </w:rPr>
        <w:t xml:space="preserve"> </w:t>
      </w:r>
    </w:p>
    <w:p w14:paraId="08242560" w14:textId="22F74292" w:rsidR="007A55D2" w:rsidRPr="009E5EB4" w:rsidRDefault="00EC23C8" w:rsidP="0049213B">
      <w:pPr>
        <w:pBdr>
          <w:top w:val="nil"/>
          <w:left w:val="nil"/>
          <w:bottom w:val="nil"/>
          <w:right w:val="nil"/>
          <w:between w:val="nil"/>
          <w:bar w:val="nil"/>
        </w:pBdr>
        <w:spacing w:line="480" w:lineRule="auto"/>
        <w:ind w:right="-454"/>
        <w:jc w:val="both"/>
        <w:rPr>
          <w:rFonts w:eastAsia="Calibri"/>
          <w:color w:val="FF0000"/>
          <w:u w:color="000000"/>
          <w:bdr w:val="nil"/>
          <w:lang w:val="en-GB"/>
        </w:rPr>
      </w:pPr>
      <w:r>
        <w:rPr>
          <w:rFonts w:eastAsia="Calibri"/>
          <w:color w:val="FF0000"/>
          <w:u w:color="000000"/>
          <w:bdr w:val="nil"/>
          <w:lang w:val="en-GB"/>
        </w:rPr>
        <w:tab/>
      </w:r>
    </w:p>
    <w:p w14:paraId="623C2D5E" w14:textId="77466E1D" w:rsidR="003326EC" w:rsidRDefault="003326EC" w:rsidP="003326EC">
      <w:pPr>
        <w:pStyle w:val="Titolo2"/>
        <w:spacing w:before="0" w:after="120" w:line="480" w:lineRule="auto"/>
        <w:rPr>
          <w:rStyle w:val="txt"/>
          <w:rFonts w:ascii="Times New Roman" w:hAnsi="Times New Roman" w:cs="Times New Roman"/>
          <w:color w:val="auto"/>
          <w:sz w:val="24"/>
          <w:szCs w:val="24"/>
          <w:lang w:val="en-US"/>
        </w:rPr>
      </w:pPr>
      <w:r>
        <w:rPr>
          <w:rStyle w:val="txt"/>
          <w:rFonts w:ascii="Times New Roman" w:hAnsi="Times New Roman" w:cs="Times New Roman"/>
          <w:color w:val="auto"/>
          <w:sz w:val="24"/>
          <w:szCs w:val="24"/>
          <w:lang w:val="en-US"/>
        </w:rPr>
        <w:t>4.</w:t>
      </w:r>
      <w:r w:rsidRPr="00FB0710">
        <w:rPr>
          <w:rStyle w:val="txt"/>
          <w:rFonts w:ascii="Times New Roman" w:hAnsi="Times New Roman" w:cs="Times New Roman"/>
          <w:color w:val="auto"/>
          <w:sz w:val="24"/>
          <w:szCs w:val="24"/>
          <w:lang w:val="en-US"/>
        </w:rPr>
        <w:t xml:space="preserve"> </w:t>
      </w:r>
      <w:r w:rsidR="00C82BCB">
        <w:rPr>
          <w:rStyle w:val="txt"/>
          <w:rFonts w:ascii="Times New Roman" w:hAnsi="Times New Roman" w:cs="Times New Roman"/>
          <w:color w:val="auto"/>
          <w:sz w:val="24"/>
          <w:szCs w:val="24"/>
          <w:lang w:val="en-US"/>
        </w:rPr>
        <w:t>Estimation model and results</w:t>
      </w:r>
    </w:p>
    <w:p w14:paraId="67BC27F6" w14:textId="152BE684" w:rsidR="00FE30A8" w:rsidRPr="00FE30A8" w:rsidRDefault="00FE30A8" w:rsidP="00A3762E">
      <w:pPr>
        <w:spacing w:line="480" w:lineRule="auto"/>
        <w:jc w:val="both"/>
        <w:rPr>
          <w:b/>
          <w:bCs/>
          <w:lang w:val="en-GB"/>
        </w:rPr>
      </w:pPr>
      <w:r w:rsidRPr="00FE30A8">
        <w:rPr>
          <w:b/>
          <w:bCs/>
          <w:lang w:val="en-GB"/>
        </w:rPr>
        <w:t>4.1 Ranking civil topic</w:t>
      </w:r>
      <w:r w:rsidR="0074278F">
        <w:rPr>
          <w:b/>
          <w:bCs/>
          <w:lang w:val="en-GB"/>
        </w:rPr>
        <w:t>s</w:t>
      </w:r>
    </w:p>
    <w:p w14:paraId="60EB9562" w14:textId="425F35AB" w:rsidR="00E04EF6" w:rsidRPr="00E16C09" w:rsidRDefault="00E04EF6" w:rsidP="00A3762E">
      <w:pPr>
        <w:spacing w:line="480" w:lineRule="auto"/>
        <w:jc w:val="both"/>
        <w:rPr>
          <w:lang w:val="en-GB"/>
        </w:rPr>
      </w:pPr>
      <w:r>
        <w:rPr>
          <w:lang w:val="en-GB"/>
        </w:rPr>
        <w:t>In our analysis, w</w:t>
      </w:r>
      <w:r w:rsidRPr="00E04EF6">
        <w:rPr>
          <w:lang w:val="en-GB"/>
        </w:rPr>
        <w:t xml:space="preserve">e </w:t>
      </w:r>
      <w:r>
        <w:rPr>
          <w:lang w:val="en-GB"/>
        </w:rPr>
        <w:t>use</w:t>
      </w:r>
      <w:r w:rsidR="004964B3">
        <w:rPr>
          <w:lang w:val="en-GB"/>
        </w:rPr>
        <w:t xml:space="preserve"> the</w:t>
      </w:r>
      <w:r w:rsidRPr="00E04EF6">
        <w:rPr>
          <w:lang w:val="en-GB"/>
        </w:rPr>
        <w:t xml:space="preserve"> first instance special proceedings as reference group for statistical reason</w:t>
      </w:r>
      <w:r w:rsidR="004F269E">
        <w:rPr>
          <w:lang w:val="en-GB"/>
        </w:rPr>
        <w:t>s</w:t>
      </w:r>
      <w:r w:rsidR="004964B3">
        <w:rPr>
          <w:lang w:val="en-GB"/>
        </w:rPr>
        <w:t>,</w:t>
      </w:r>
      <w:r w:rsidRPr="00E04EF6">
        <w:rPr>
          <w:lang w:val="en-GB"/>
        </w:rPr>
        <w:t xml:space="preserve"> </w:t>
      </w:r>
      <w:r w:rsidR="004964B3">
        <w:rPr>
          <w:lang w:val="en-GB"/>
        </w:rPr>
        <w:t>due</w:t>
      </w:r>
      <w:r w:rsidR="004964B3" w:rsidRPr="00E04EF6">
        <w:rPr>
          <w:lang w:val="en-GB"/>
        </w:rPr>
        <w:t xml:space="preserve"> </w:t>
      </w:r>
      <w:r w:rsidRPr="00E04EF6">
        <w:rPr>
          <w:lang w:val="en-GB"/>
        </w:rPr>
        <w:t xml:space="preserve">to their shorter duration </w:t>
      </w:r>
      <w:r w:rsidR="004964B3">
        <w:rPr>
          <w:lang w:val="en-GB"/>
        </w:rPr>
        <w:t>resulting from</w:t>
      </w:r>
      <w:r w:rsidRPr="00E04EF6">
        <w:rPr>
          <w:lang w:val="en-GB"/>
        </w:rPr>
        <w:t xml:space="preserve"> their technical characteristics</w:t>
      </w:r>
      <w:r w:rsidR="00B6380F">
        <w:rPr>
          <w:rStyle w:val="Rimandonotaapidipagina"/>
          <w:lang w:val="en-GB"/>
        </w:rPr>
        <w:footnoteReference w:id="9"/>
      </w:r>
      <w:r w:rsidRPr="00E04EF6">
        <w:rPr>
          <w:lang w:val="en-GB"/>
        </w:rPr>
        <w:t>.</w:t>
      </w:r>
      <w:r>
        <w:rPr>
          <w:lang w:val="en-GB"/>
        </w:rPr>
        <w:t xml:space="preserve"> Indeed, </w:t>
      </w:r>
      <w:r w:rsidR="004964B3">
        <w:rPr>
          <w:lang w:val="en-GB"/>
        </w:rPr>
        <w:t xml:space="preserve">the </w:t>
      </w:r>
      <w:r w:rsidRPr="00E04EF6">
        <w:rPr>
          <w:lang w:val="en-GB"/>
        </w:rPr>
        <w:t xml:space="preserve">Two-sample </w:t>
      </w:r>
      <w:r w:rsidR="004964B3">
        <w:rPr>
          <w:lang w:val="en-GB"/>
        </w:rPr>
        <w:t>t-test</w:t>
      </w:r>
      <w:r w:rsidRPr="00E04EF6">
        <w:rPr>
          <w:lang w:val="en-GB"/>
        </w:rPr>
        <w:t xml:space="preserve"> </w:t>
      </w:r>
      <w:r w:rsidR="004C791C">
        <w:rPr>
          <w:lang w:val="en-GB"/>
        </w:rPr>
        <w:t>performed</w:t>
      </w:r>
      <w:r>
        <w:rPr>
          <w:lang w:val="en-GB"/>
        </w:rPr>
        <w:t xml:space="preserve"> in our sample of </w:t>
      </w:r>
      <w:r w:rsidR="00670FE7">
        <w:rPr>
          <w:lang w:val="en-GB"/>
        </w:rPr>
        <w:t>16,789</w:t>
      </w:r>
      <w:r>
        <w:rPr>
          <w:lang w:val="en-GB"/>
        </w:rPr>
        <w:t xml:space="preserve"> </w:t>
      </w:r>
      <w:r w:rsidR="004F269E">
        <w:rPr>
          <w:lang w:val="en-GB"/>
        </w:rPr>
        <w:t>sentences</w:t>
      </w:r>
      <w:r w:rsidR="004964B3">
        <w:rPr>
          <w:lang w:val="en-GB"/>
        </w:rPr>
        <w:t>,</w:t>
      </w:r>
      <w:r w:rsidR="004F269E">
        <w:rPr>
          <w:lang w:val="en-GB"/>
        </w:rPr>
        <w:t xml:space="preserve"> </w:t>
      </w:r>
      <w:r w:rsidR="004C791C">
        <w:rPr>
          <w:lang w:val="en-GB"/>
        </w:rPr>
        <w:t xml:space="preserve">shows that </w:t>
      </w:r>
      <w:r>
        <w:rPr>
          <w:lang w:val="en-GB"/>
        </w:rPr>
        <w:t xml:space="preserve">the </w:t>
      </w:r>
      <w:r w:rsidR="00A3762E">
        <w:rPr>
          <w:lang w:val="en-GB"/>
        </w:rPr>
        <w:t xml:space="preserve">difference in </w:t>
      </w:r>
      <w:r>
        <w:rPr>
          <w:lang w:val="en-GB"/>
        </w:rPr>
        <w:t xml:space="preserve">average duration between special proceedings and other topics with </w:t>
      </w:r>
      <w:r w:rsidR="007654C4">
        <w:rPr>
          <w:lang w:val="en-GB"/>
        </w:rPr>
        <w:t>ordinary</w:t>
      </w:r>
      <w:r>
        <w:rPr>
          <w:lang w:val="en-GB"/>
        </w:rPr>
        <w:t xml:space="preserve"> proceedings is highly </w:t>
      </w:r>
      <w:r w:rsidR="007B408C">
        <w:rPr>
          <w:lang w:val="en-GB"/>
        </w:rPr>
        <w:t>statistically</w:t>
      </w:r>
      <w:r w:rsidR="00B07760">
        <w:rPr>
          <w:lang w:val="en-GB"/>
        </w:rPr>
        <w:t xml:space="preserve"> </w:t>
      </w:r>
      <w:r>
        <w:rPr>
          <w:lang w:val="en-GB"/>
        </w:rPr>
        <w:t xml:space="preserve">significant. </w:t>
      </w:r>
      <w:r w:rsidR="0037197B">
        <w:rPr>
          <w:lang w:val="en-GB"/>
        </w:rPr>
        <w:t>Specifically</w:t>
      </w:r>
      <w:r w:rsidR="00E16C09" w:rsidRPr="00E16C09">
        <w:rPr>
          <w:lang w:val="en-GB"/>
        </w:rPr>
        <w:t xml:space="preserve">, </w:t>
      </w:r>
      <w:r w:rsidR="004C791C">
        <w:rPr>
          <w:lang w:val="en-GB"/>
        </w:rPr>
        <w:t xml:space="preserve">the </w:t>
      </w:r>
      <w:r w:rsidR="00E16C09" w:rsidRPr="00E16C09">
        <w:rPr>
          <w:lang w:val="en-GB"/>
        </w:rPr>
        <w:t xml:space="preserve">average duration of defined </w:t>
      </w:r>
      <w:r w:rsidR="004F269E">
        <w:rPr>
          <w:lang w:val="en-GB"/>
        </w:rPr>
        <w:t>c</w:t>
      </w:r>
      <w:r w:rsidR="00E16C09" w:rsidRPr="00E16C09">
        <w:rPr>
          <w:lang w:val="en-GB"/>
        </w:rPr>
        <w:t xml:space="preserve">ivil </w:t>
      </w:r>
      <w:r w:rsidR="004F269E">
        <w:rPr>
          <w:lang w:val="en-GB"/>
        </w:rPr>
        <w:t>s</w:t>
      </w:r>
      <w:r w:rsidR="00E16C09" w:rsidRPr="00E16C09">
        <w:rPr>
          <w:lang w:val="en-GB"/>
        </w:rPr>
        <w:t>entence</w:t>
      </w:r>
      <w:r w:rsidR="004F269E">
        <w:rPr>
          <w:lang w:val="en-GB"/>
        </w:rPr>
        <w:t>s</w:t>
      </w:r>
      <w:r w:rsidR="00E16C09" w:rsidRPr="00E16C09">
        <w:rPr>
          <w:lang w:val="en-GB"/>
        </w:rPr>
        <w:t xml:space="preserve"> in the </w:t>
      </w:r>
      <w:r w:rsidR="002A0A71">
        <w:rPr>
          <w:lang w:val="en-GB"/>
        </w:rPr>
        <w:t xml:space="preserve">Sicilian </w:t>
      </w:r>
      <w:r w:rsidR="00E16C09" w:rsidRPr="00E16C09">
        <w:rPr>
          <w:lang w:val="en-GB"/>
        </w:rPr>
        <w:t>Court</w:t>
      </w:r>
      <w:r w:rsidR="002A0A71">
        <w:rPr>
          <w:lang w:val="en-GB"/>
        </w:rPr>
        <w:t>s</w:t>
      </w:r>
      <w:r w:rsidR="00E16C09" w:rsidRPr="00E16C09">
        <w:rPr>
          <w:lang w:val="en-GB"/>
        </w:rPr>
        <w:t xml:space="preserve"> </w:t>
      </w:r>
      <w:r w:rsidR="004C791C">
        <w:rPr>
          <w:lang w:val="en-GB"/>
        </w:rPr>
        <w:t>in 2022</w:t>
      </w:r>
      <w:r w:rsidR="00E16C09" w:rsidRPr="00E16C09">
        <w:rPr>
          <w:lang w:val="en-GB"/>
        </w:rPr>
        <w:t xml:space="preserve"> is </w:t>
      </w:r>
      <w:r w:rsidR="002A0A71">
        <w:rPr>
          <w:lang w:val="en-GB"/>
        </w:rPr>
        <w:t xml:space="preserve">898 </w:t>
      </w:r>
      <w:r w:rsidR="00E16C09" w:rsidRPr="00E16C09">
        <w:rPr>
          <w:lang w:val="en-GB"/>
        </w:rPr>
        <w:t xml:space="preserve">days for </w:t>
      </w:r>
      <w:r w:rsidR="00464BFD">
        <w:rPr>
          <w:lang w:val="en-GB"/>
        </w:rPr>
        <w:t>ordinary</w:t>
      </w:r>
      <w:r w:rsidR="00E16C09" w:rsidRPr="00E16C09">
        <w:rPr>
          <w:lang w:val="en-GB"/>
        </w:rPr>
        <w:t xml:space="preserve"> proceeding</w:t>
      </w:r>
      <w:r w:rsidR="00E16C09">
        <w:rPr>
          <w:lang w:val="en-GB"/>
        </w:rPr>
        <w:t xml:space="preserve">s and </w:t>
      </w:r>
      <w:r w:rsidR="002A0A71">
        <w:rPr>
          <w:lang w:val="en-GB"/>
        </w:rPr>
        <w:t>87</w:t>
      </w:r>
      <w:r w:rsidR="00E16C09">
        <w:rPr>
          <w:lang w:val="en-GB"/>
        </w:rPr>
        <w:t xml:space="preserve"> days for special proceedings</w:t>
      </w:r>
      <w:r w:rsidR="00E16C09">
        <w:rPr>
          <w:rStyle w:val="Rimandonotaapidipagina"/>
          <w:lang w:val="en-GB"/>
        </w:rPr>
        <w:footnoteReference w:id="10"/>
      </w:r>
      <w:r w:rsidR="00E16C09">
        <w:rPr>
          <w:lang w:val="en-GB"/>
        </w:rPr>
        <w:t xml:space="preserve">. </w:t>
      </w:r>
    </w:p>
    <w:p w14:paraId="04F930B4" w14:textId="77777777" w:rsidR="0001447F" w:rsidRDefault="0001447F" w:rsidP="00E04EF6">
      <w:pPr>
        <w:jc w:val="both"/>
        <w:rPr>
          <w:lang w:val="en-GB"/>
        </w:rPr>
      </w:pPr>
    </w:p>
    <w:p w14:paraId="0A5BF7AA" w14:textId="77777777" w:rsidR="0001447F" w:rsidRDefault="0001447F" w:rsidP="00E04EF6">
      <w:pPr>
        <w:jc w:val="both"/>
        <w:rPr>
          <w:lang w:val="en-GB"/>
        </w:rPr>
      </w:pPr>
    </w:p>
    <w:p w14:paraId="21F76A8A" w14:textId="77777777" w:rsidR="002A0A71" w:rsidRDefault="002A0A71" w:rsidP="00E04EF6">
      <w:pPr>
        <w:jc w:val="both"/>
        <w:rPr>
          <w:lang w:val="en-GB"/>
        </w:rPr>
      </w:pPr>
    </w:p>
    <w:p w14:paraId="56E395AF" w14:textId="77777777" w:rsidR="002A0A71" w:rsidRDefault="002A0A71" w:rsidP="00E04EF6">
      <w:pPr>
        <w:jc w:val="both"/>
        <w:rPr>
          <w:lang w:val="en-GB"/>
        </w:rPr>
      </w:pPr>
    </w:p>
    <w:p w14:paraId="319D2C78" w14:textId="77777777" w:rsidR="002A0A71" w:rsidRDefault="002A0A71" w:rsidP="00E04EF6">
      <w:pPr>
        <w:jc w:val="both"/>
        <w:rPr>
          <w:lang w:val="en-GB"/>
        </w:rPr>
      </w:pPr>
    </w:p>
    <w:p w14:paraId="58FAF634" w14:textId="77777777" w:rsidR="002A0A71" w:rsidRDefault="002A0A71" w:rsidP="00E04EF6">
      <w:pPr>
        <w:jc w:val="both"/>
        <w:rPr>
          <w:lang w:val="en-GB"/>
        </w:rPr>
      </w:pPr>
    </w:p>
    <w:p w14:paraId="342A6942" w14:textId="77777777" w:rsidR="002A0A71" w:rsidRDefault="002A0A71" w:rsidP="00E04EF6">
      <w:pPr>
        <w:jc w:val="both"/>
        <w:rPr>
          <w:lang w:val="en-GB"/>
        </w:rPr>
      </w:pPr>
    </w:p>
    <w:p w14:paraId="4C11D08A" w14:textId="77777777" w:rsidR="000F3B15" w:rsidRDefault="000F3B15" w:rsidP="00E04EF6">
      <w:pPr>
        <w:jc w:val="both"/>
        <w:rPr>
          <w:lang w:val="en-GB"/>
        </w:rPr>
      </w:pPr>
    </w:p>
    <w:p w14:paraId="718B8A7A" w14:textId="77777777" w:rsidR="0001447F" w:rsidRPr="00E16C09" w:rsidRDefault="0001447F" w:rsidP="00E04EF6">
      <w:pPr>
        <w:jc w:val="both"/>
        <w:rPr>
          <w:lang w:val="en-GB"/>
        </w:rPr>
      </w:pPr>
    </w:p>
    <w:p w14:paraId="161A8B80" w14:textId="44BB53C5" w:rsidR="007B408C" w:rsidRPr="000031BA" w:rsidRDefault="007B408C" w:rsidP="007B408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sz w:val="24"/>
          <w:szCs w:val="24"/>
          <w:lang w:val="en-US"/>
        </w:rPr>
      </w:pPr>
      <w:r w:rsidRPr="0001447F">
        <w:rPr>
          <w:rFonts w:ascii="Times New Roman" w:eastAsia="Calibri" w:hAnsi="Times New Roman" w:cs="Calibri"/>
          <w:b/>
          <w:bCs/>
          <w:sz w:val="24"/>
          <w:szCs w:val="24"/>
          <w:lang w:val="en-US"/>
        </w:rPr>
        <w:lastRenderedPageBreak/>
        <w:t xml:space="preserve">Table </w:t>
      </w:r>
      <w:r w:rsidR="0074278F">
        <w:rPr>
          <w:rFonts w:ascii="Times New Roman" w:eastAsia="Calibri" w:hAnsi="Times New Roman" w:cs="Calibri"/>
          <w:b/>
          <w:bCs/>
          <w:sz w:val="24"/>
          <w:szCs w:val="24"/>
          <w:lang w:val="en-US"/>
        </w:rPr>
        <w:t>5</w:t>
      </w:r>
      <w:r w:rsidRPr="0001447F">
        <w:rPr>
          <w:rFonts w:ascii="Times New Roman" w:eastAsia="Calibri" w:hAnsi="Times New Roman" w:cs="Calibri"/>
          <w:b/>
          <w:bCs/>
          <w:sz w:val="24"/>
          <w:szCs w:val="24"/>
          <w:lang w:val="en-US"/>
        </w:rPr>
        <w:t xml:space="preserve"> – Special proceedings vs </w:t>
      </w:r>
      <w:r w:rsidR="00FC1987" w:rsidRPr="0001447F">
        <w:rPr>
          <w:rFonts w:ascii="Times New Roman" w:eastAsia="Calibri" w:hAnsi="Times New Roman" w:cs="Calibri"/>
          <w:b/>
          <w:bCs/>
          <w:sz w:val="24"/>
          <w:szCs w:val="24"/>
          <w:lang w:val="en-US"/>
        </w:rPr>
        <w:t xml:space="preserve">Ordinary </w:t>
      </w:r>
      <w:r w:rsidRPr="0001447F">
        <w:rPr>
          <w:rFonts w:ascii="Times New Roman" w:eastAsia="Calibri" w:hAnsi="Times New Roman" w:cs="Calibri"/>
          <w:b/>
          <w:bCs/>
          <w:sz w:val="24"/>
          <w:szCs w:val="24"/>
          <w:lang w:val="en-US"/>
        </w:rPr>
        <w:t>proceedings for disputes time duration</w:t>
      </w:r>
    </w:p>
    <w:tbl>
      <w:tblPr>
        <w:tblStyle w:val="Grigliatabella"/>
        <w:tblW w:w="7698" w:type="dxa"/>
        <w:jc w:val="center"/>
        <w:tblLook w:val="04A0" w:firstRow="1" w:lastRow="0" w:firstColumn="1" w:lastColumn="0" w:noHBand="0" w:noVBand="1"/>
      </w:tblPr>
      <w:tblGrid>
        <w:gridCol w:w="1613"/>
        <w:gridCol w:w="2028"/>
        <w:gridCol w:w="2028"/>
        <w:gridCol w:w="2029"/>
      </w:tblGrid>
      <w:tr w:rsidR="00F37A5F" w:rsidRPr="003D0F55" w14:paraId="457CBC6A" w14:textId="77777777" w:rsidTr="00F37A5F">
        <w:trPr>
          <w:jc w:val="center"/>
        </w:trPr>
        <w:tc>
          <w:tcPr>
            <w:tcW w:w="1613" w:type="dxa"/>
          </w:tcPr>
          <w:p w14:paraId="4B696EBD" w14:textId="6085473D" w:rsidR="00F37A5F" w:rsidRPr="00F349B3" w:rsidRDefault="003326EC" w:rsidP="00F37A5F">
            <w:pPr>
              <w:autoSpaceDE w:val="0"/>
              <w:autoSpaceDN w:val="0"/>
              <w:adjustRightInd w:val="0"/>
              <w:spacing w:line="360" w:lineRule="auto"/>
              <w:jc w:val="center"/>
              <w:rPr>
                <w:rFonts w:eastAsia="AdvCORRESAST"/>
                <w:i/>
                <w:iCs/>
                <w:sz w:val="20"/>
                <w:szCs w:val="20"/>
                <w:lang w:val="en-GB" w:eastAsia="en-US"/>
              </w:rPr>
            </w:pPr>
            <w:bookmarkStart w:id="10" w:name="_Hlk139048504"/>
            <w:r w:rsidRPr="00F349B3">
              <w:rPr>
                <w:sz w:val="20"/>
                <w:szCs w:val="20"/>
                <w:lang w:val="en-GB"/>
              </w:rPr>
              <w:tab/>
            </w:r>
            <w:r w:rsidR="00E04EF6" w:rsidRPr="00F349B3">
              <w:rPr>
                <w:sz w:val="20"/>
                <w:szCs w:val="20"/>
                <w:lang w:val="en-GB"/>
              </w:rPr>
              <w:tab/>
            </w:r>
            <w:r w:rsidR="00E04EF6" w:rsidRPr="00F349B3">
              <w:rPr>
                <w:sz w:val="20"/>
                <w:szCs w:val="20"/>
                <w:lang w:val="en-GB"/>
              </w:rPr>
              <w:tab/>
            </w:r>
          </w:p>
        </w:tc>
        <w:tc>
          <w:tcPr>
            <w:tcW w:w="2028" w:type="dxa"/>
          </w:tcPr>
          <w:p w14:paraId="129B4FA1" w14:textId="7F1CD059" w:rsidR="00F37A5F" w:rsidRPr="00F349B3" w:rsidRDefault="00F37A5F" w:rsidP="00F37A5F">
            <w:pPr>
              <w:autoSpaceDE w:val="0"/>
              <w:autoSpaceDN w:val="0"/>
              <w:adjustRightInd w:val="0"/>
              <w:spacing w:line="360" w:lineRule="auto"/>
              <w:jc w:val="center"/>
              <w:rPr>
                <w:rFonts w:eastAsia="AdvCORRESAST"/>
                <w:b/>
                <w:bCs/>
                <w:i/>
                <w:iCs/>
                <w:sz w:val="20"/>
                <w:szCs w:val="20"/>
                <w:lang w:val="en-GB" w:eastAsia="en-US"/>
              </w:rPr>
            </w:pPr>
            <w:r w:rsidRPr="00F349B3">
              <w:rPr>
                <w:rFonts w:eastAsia="AdvCORRESAST"/>
                <w:b/>
                <w:bCs/>
                <w:i/>
                <w:iCs/>
                <w:sz w:val="20"/>
                <w:szCs w:val="20"/>
                <w:lang w:val="en-GB" w:eastAsia="en-US"/>
              </w:rPr>
              <w:t>Special proceedings (SP)</w:t>
            </w:r>
          </w:p>
        </w:tc>
        <w:tc>
          <w:tcPr>
            <w:tcW w:w="2028" w:type="dxa"/>
          </w:tcPr>
          <w:p w14:paraId="26CA35D5" w14:textId="1D278112" w:rsidR="00F37A5F" w:rsidRPr="00F349B3" w:rsidRDefault="00FC1987" w:rsidP="00F37A5F">
            <w:pPr>
              <w:autoSpaceDE w:val="0"/>
              <w:autoSpaceDN w:val="0"/>
              <w:adjustRightInd w:val="0"/>
              <w:spacing w:line="360" w:lineRule="auto"/>
              <w:jc w:val="center"/>
              <w:rPr>
                <w:rFonts w:eastAsia="AdvCORRESAST"/>
                <w:b/>
                <w:bCs/>
                <w:i/>
                <w:iCs/>
                <w:sz w:val="20"/>
                <w:szCs w:val="20"/>
                <w:lang w:val="en-GB" w:eastAsia="en-US"/>
              </w:rPr>
            </w:pPr>
            <w:r>
              <w:rPr>
                <w:rFonts w:eastAsia="AdvCORRESAST"/>
                <w:b/>
                <w:bCs/>
                <w:i/>
                <w:iCs/>
                <w:sz w:val="20"/>
                <w:szCs w:val="20"/>
                <w:lang w:val="en-GB" w:eastAsia="en-US"/>
              </w:rPr>
              <w:t>Ordinary</w:t>
            </w:r>
            <w:r w:rsidR="00F37A5F" w:rsidRPr="00F349B3">
              <w:rPr>
                <w:rFonts w:eastAsia="AdvCORRESAST"/>
                <w:b/>
                <w:bCs/>
                <w:i/>
                <w:iCs/>
                <w:sz w:val="20"/>
                <w:szCs w:val="20"/>
                <w:lang w:val="en-GB" w:eastAsia="en-US"/>
              </w:rPr>
              <w:t xml:space="preserve"> proceedings (</w:t>
            </w:r>
            <w:r>
              <w:rPr>
                <w:rFonts w:eastAsia="AdvCORRESAST"/>
                <w:b/>
                <w:bCs/>
                <w:i/>
                <w:iCs/>
                <w:sz w:val="20"/>
                <w:szCs w:val="20"/>
                <w:lang w:val="en-GB" w:eastAsia="en-US"/>
              </w:rPr>
              <w:t>O</w:t>
            </w:r>
            <w:r w:rsidR="00F37A5F" w:rsidRPr="00F349B3">
              <w:rPr>
                <w:rFonts w:eastAsia="AdvCORRESAST"/>
                <w:b/>
                <w:bCs/>
                <w:i/>
                <w:iCs/>
                <w:sz w:val="20"/>
                <w:szCs w:val="20"/>
                <w:lang w:val="en-GB" w:eastAsia="en-US"/>
              </w:rPr>
              <w:t>P)</w:t>
            </w:r>
          </w:p>
          <w:p w14:paraId="367FF8CF" w14:textId="0E81FD0F" w:rsidR="00F37A5F" w:rsidRPr="00F349B3" w:rsidRDefault="00F37A5F" w:rsidP="00F37A5F">
            <w:pPr>
              <w:autoSpaceDE w:val="0"/>
              <w:autoSpaceDN w:val="0"/>
              <w:adjustRightInd w:val="0"/>
              <w:spacing w:line="360" w:lineRule="auto"/>
              <w:jc w:val="center"/>
              <w:rPr>
                <w:rFonts w:eastAsia="AdvCORRESAST"/>
                <w:b/>
                <w:bCs/>
                <w:i/>
                <w:iCs/>
                <w:sz w:val="20"/>
                <w:szCs w:val="20"/>
                <w:lang w:val="en-GB" w:eastAsia="en-US"/>
              </w:rPr>
            </w:pPr>
          </w:p>
        </w:tc>
        <w:tc>
          <w:tcPr>
            <w:tcW w:w="2029" w:type="dxa"/>
          </w:tcPr>
          <w:p w14:paraId="6678DB2A" w14:textId="771D416C" w:rsidR="00F37A5F" w:rsidRPr="00F349B3" w:rsidRDefault="00F37A5F" w:rsidP="00F37A5F">
            <w:pPr>
              <w:autoSpaceDE w:val="0"/>
              <w:autoSpaceDN w:val="0"/>
              <w:adjustRightInd w:val="0"/>
              <w:spacing w:line="360" w:lineRule="auto"/>
              <w:jc w:val="center"/>
              <w:rPr>
                <w:rFonts w:eastAsia="AdvCORRESAST"/>
                <w:b/>
                <w:bCs/>
                <w:i/>
                <w:iCs/>
                <w:sz w:val="20"/>
                <w:szCs w:val="20"/>
                <w:lang w:val="en-GB" w:eastAsia="en-US"/>
              </w:rPr>
            </w:pPr>
            <w:r w:rsidRPr="00F349B3">
              <w:rPr>
                <w:rFonts w:eastAsia="AdvCORRESAST"/>
                <w:b/>
                <w:bCs/>
                <w:i/>
                <w:iCs/>
                <w:sz w:val="20"/>
                <w:szCs w:val="20"/>
                <w:lang w:val="en-GB" w:eastAsia="en-US"/>
              </w:rPr>
              <w:t xml:space="preserve">SP vs </w:t>
            </w:r>
            <w:r w:rsidR="00FC1987">
              <w:rPr>
                <w:rFonts w:eastAsia="AdvCORRESAST"/>
                <w:b/>
                <w:bCs/>
                <w:i/>
                <w:iCs/>
                <w:sz w:val="20"/>
                <w:szCs w:val="20"/>
                <w:lang w:val="en-GB" w:eastAsia="en-US"/>
              </w:rPr>
              <w:t>O</w:t>
            </w:r>
            <w:r w:rsidRPr="00F349B3">
              <w:rPr>
                <w:rFonts w:eastAsia="AdvCORRESAST"/>
                <w:b/>
                <w:bCs/>
                <w:i/>
                <w:iCs/>
                <w:sz w:val="20"/>
                <w:szCs w:val="20"/>
                <w:lang w:val="en-GB" w:eastAsia="en-US"/>
              </w:rPr>
              <w:t>P p-value</w:t>
            </w:r>
          </w:p>
        </w:tc>
      </w:tr>
      <w:tr w:rsidR="00F37A5F" w:rsidRPr="00F37A5F" w14:paraId="220AA4EC" w14:textId="77777777" w:rsidTr="00F37A5F">
        <w:trPr>
          <w:jc w:val="center"/>
        </w:trPr>
        <w:tc>
          <w:tcPr>
            <w:tcW w:w="1613" w:type="dxa"/>
          </w:tcPr>
          <w:p w14:paraId="4EF6C811" w14:textId="0B77F4C9" w:rsidR="00F37A5F" w:rsidRPr="00F349B3" w:rsidRDefault="00F37A5F" w:rsidP="00F37A5F">
            <w:pPr>
              <w:autoSpaceDE w:val="0"/>
              <w:autoSpaceDN w:val="0"/>
              <w:adjustRightInd w:val="0"/>
              <w:spacing w:line="360" w:lineRule="auto"/>
              <w:jc w:val="center"/>
              <w:rPr>
                <w:rFonts w:eastAsia="AdvCORRESAST"/>
                <w:b/>
                <w:bCs/>
                <w:sz w:val="20"/>
                <w:szCs w:val="20"/>
                <w:lang w:val="en-GB" w:eastAsia="en-US"/>
              </w:rPr>
            </w:pPr>
            <w:r w:rsidRPr="00F349B3">
              <w:rPr>
                <w:rFonts w:eastAsia="AdvCORRESAST"/>
                <w:b/>
                <w:bCs/>
                <w:sz w:val="20"/>
                <w:szCs w:val="20"/>
                <w:lang w:val="en-GB" w:eastAsia="en-US"/>
              </w:rPr>
              <w:t>Average duration (in days)</w:t>
            </w:r>
          </w:p>
        </w:tc>
        <w:tc>
          <w:tcPr>
            <w:tcW w:w="2028" w:type="dxa"/>
          </w:tcPr>
          <w:p w14:paraId="334E40A5" w14:textId="03AE1B03" w:rsidR="00F37A5F" w:rsidRPr="00F349B3" w:rsidRDefault="001C2A28" w:rsidP="00F37A5F">
            <w:pPr>
              <w:autoSpaceDE w:val="0"/>
              <w:autoSpaceDN w:val="0"/>
              <w:adjustRightInd w:val="0"/>
              <w:spacing w:line="360" w:lineRule="auto"/>
              <w:jc w:val="center"/>
              <w:rPr>
                <w:rFonts w:eastAsia="AdvCORRESAST"/>
                <w:sz w:val="20"/>
                <w:szCs w:val="20"/>
                <w:lang w:val="en-GB" w:eastAsia="en-US"/>
              </w:rPr>
            </w:pPr>
            <w:r>
              <w:rPr>
                <w:rFonts w:eastAsia="AdvCORRESAST"/>
                <w:sz w:val="20"/>
                <w:szCs w:val="20"/>
                <w:lang w:val="en-GB" w:eastAsia="en-US"/>
              </w:rPr>
              <w:t>87</w:t>
            </w:r>
            <w:r w:rsidR="00F37A5F" w:rsidRPr="00F349B3">
              <w:rPr>
                <w:rFonts w:eastAsia="AdvCORRESAST"/>
                <w:sz w:val="20"/>
                <w:szCs w:val="20"/>
                <w:lang w:val="en-GB" w:eastAsia="en-US"/>
              </w:rPr>
              <w:t>.</w:t>
            </w:r>
            <w:r>
              <w:rPr>
                <w:rFonts w:eastAsia="AdvCORRESAST"/>
                <w:sz w:val="20"/>
                <w:szCs w:val="20"/>
                <w:lang w:val="en-GB" w:eastAsia="en-US"/>
              </w:rPr>
              <w:t>13</w:t>
            </w:r>
          </w:p>
          <w:p w14:paraId="28D1993E" w14:textId="19F16D7C" w:rsidR="00F37A5F" w:rsidRPr="00F349B3" w:rsidRDefault="00F37A5F" w:rsidP="00F37A5F">
            <w:pPr>
              <w:autoSpaceDE w:val="0"/>
              <w:autoSpaceDN w:val="0"/>
              <w:adjustRightInd w:val="0"/>
              <w:spacing w:line="360" w:lineRule="auto"/>
              <w:jc w:val="center"/>
              <w:rPr>
                <w:rFonts w:eastAsia="AdvCORRESAST"/>
                <w:sz w:val="20"/>
                <w:szCs w:val="20"/>
                <w:lang w:val="en-GB" w:eastAsia="en-US"/>
              </w:rPr>
            </w:pPr>
            <w:r w:rsidRPr="00F349B3">
              <w:rPr>
                <w:rFonts w:eastAsia="AdvCORRESAST"/>
                <w:sz w:val="20"/>
                <w:szCs w:val="20"/>
                <w:lang w:val="en-GB" w:eastAsia="en-US"/>
              </w:rPr>
              <w:t>(</w:t>
            </w:r>
            <w:r w:rsidR="001C2A28">
              <w:rPr>
                <w:rFonts w:eastAsia="AdvCORRESAST"/>
                <w:sz w:val="20"/>
                <w:szCs w:val="20"/>
                <w:lang w:val="en-GB" w:eastAsia="en-US"/>
              </w:rPr>
              <w:t>161</w:t>
            </w:r>
            <w:r w:rsidR="003125D8" w:rsidRPr="003125D8">
              <w:rPr>
                <w:rFonts w:eastAsia="AdvCORRESAST"/>
                <w:sz w:val="20"/>
                <w:szCs w:val="20"/>
                <w:lang w:val="en-GB" w:eastAsia="en-US"/>
              </w:rPr>
              <w:t>.</w:t>
            </w:r>
            <w:r w:rsidR="001C2A28">
              <w:rPr>
                <w:rFonts w:eastAsia="AdvCORRESAST"/>
                <w:sz w:val="20"/>
                <w:szCs w:val="20"/>
                <w:lang w:val="en-GB" w:eastAsia="en-US"/>
              </w:rPr>
              <w:t>39</w:t>
            </w:r>
            <w:r w:rsidRPr="00F349B3">
              <w:rPr>
                <w:rFonts w:eastAsia="AdvCORRESAST"/>
                <w:sz w:val="20"/>
                <w:szCs w:val="20"/>
                <w:lang w:val="en-GB" w:eastAsia="en-US"/>
              </w:rPr>
              <w:t>)</w:t>
            </w:r>
          </w:p>
        </w:tc>
        <w:tc>
          <w:tcPr>
            <w:tcW w:w="2028" w:type="dxa"/>
          </w:tcPr>
          <w:p w14:paraId="2E39D3B3" w14:textId="3183AB80" w:rsidR="00F37A5F" w:rsidRPr="00F349B3" w:rsidRDefault="001C2A28" w:rsidP="00F37A5F">
            <w:pPr>
              <w:autoSpaceDE w:val="0"/>
              <w:autoSpaceDN w:val="0"/>
              <w:adjustRightInd w:val="0"/>
              <w:spacing w:line="360" w:lineRule="auto"/>
              <w:jc w:val="center"/>
              <w:rPr>
                <w:rFonts w:eastAsia="AdvCORRESAST"/>
                <w:sz w:val="20"/>
                <w:szCs w:val="20"/>
                <w:lang w:val="en-GB" w:eastAsia="en-US"/>
              </w:rPr>
            </w:pPr>
            <w:r>
              <w:rPr>
                <w:rFonts w:eastAsia="AdvCORRESAST"/>
                <w:sz w:val="20"/>
                <w:szCs w:val="20"/>
                <w:lang w:val="en-GB" w:eastAsia="en-US"/>
              </w:rPr>
              <w:t>898</w:t>
            </w:r>
            <w:r w:rsidR="00F37A5F" w:rsidRPr="00F349B3">
              <w:rPr>
                <w:rFonts w:eastAsia="AdvCORRESAST"/>
                <w:sz w:val="20"/>
                <w:szCs w:val="20"/>
                <w:lang w:val="en-GB" w:eastAsia="en-US"/>
              </w:rPr>
              <w:t>.</w:t>
            </w:r>
            <w:r>
              <w:rPr>
                <w:rFonts w:eastAsia="AdvCORRESAST"/>
                <w:sz w:val="20"/>
                <w:szCs w:val="20"/>
                <w:lang w:val="en-GB" w:eastAsia="en-US"/>
              </w:rPr>
              <w:t>18</w:t>
            </w:r>
          </w:p>
          <w:p w14:paraId="6C660EC3" w14:textId="0E961353" w:rsidR="00F37A5F" w:rsidRPr="00F349B3" w:rsidRDefault="00F37A5F" w:rsidP="00F37A5F">
            <w:pPr>
              <w:autoSpaceDE w:val="0"/>
              <w:autoSpaceDN w:val="0"/>
              <w:adjustRightInd w:val="0"/>
              <w:spacing w:line="360" w:lineRule="auto"/>
              <w:jc w:val="center"/>
              <w:rPr>
                <w:rFonts w:eastAsia="AdvCORRESAST"/>
                <w:sz w:val="20"/>
                <w:szCs w:val="20"/>
                <w:lang w:val="en-GB" w:eastAsia="en-US"/>
              </w:rPr>
            </w:pPr>
            <w:r w:rsidRPr="00F349B3">
              <w:rPr>
                <w:rFonts w:eastAsia="AdvCORRESAST"/>
                <w:sz w:val="20"/>
                <w:szCs w:val="20"/>
                <w:lang w:val="en-GB" w:eastAsia="en-US"/>
              </w:rPr>
              <w:t>(</w:t>
            </w:r>
            <w:r w:rsidR="001C2A28">
              <w:rPr>
                <w:rFonts w:eastAsia="AdvCORRESAST"/>
                <w:sz w:val="20"/>
                <w:szCs w:val="20"/>
                <w:lang w:val="en-GB" w:eastAsia="en-US"/>
              </w:rPr>
              <w:t>679</w:t>
            </w:r>
            <w:r w:rsidR="003125D8" w:rsidRPr="003125D8">
              <w:rPr>
                <w:rFonts w:eastAsia="AdvCORRESAST"/>
                <w:sz w:val="20"/>
                <w:szCs w:val="20"/>
                <w:lang w:val="en-GB" w:eastAsia="en-US"/>
              </w:rPr>
              <w:t>.</w:t>
            </w:r>
            <w:r w:rsidR="001C2A28">
              <w:rPr>
                <w:rFonts w:eastAsia="AdvCORRESAST"/>
                <w:sz w:val="20"/>
                <w:szCs w:val="20"/>
                <w:lang w:val="en-GB" w:eastAsia="en-US"/>
              </w:rPr>
              <w:t>73</w:t>
            </w:r>
            <w:r w:rsidRPr="00F349B3">
              <w:rPr>
                <w:rFonts w:eastAsia="AdvCORRESAST"/>
                <w:sz w:val="20"/>
                <w:szCs w:val="20"/>
                <w:lang w:val="en-GB" w:eastAsia="en-US"/>
              </w:rPr>
              <w:t>)</w:t>
            </w:r>
          </w:p>
        </w:tc>
        <w:tc>
          <w:tcPr>
            <w:tcW w:w="2029" w:type="dxa"/>
            <w:vMerge w:val="restart"/>
            <w:vAlign w:val="center"/>
          </w:tcPr>
          <w:p w14:paraId="22513FD5" w14:textId="72E21BD5" w:rsidR="00F37A5F" w:rsidRPr="00F349B3" w:rsidRDefault="00F37A5F" w:rsidP="00F37A5F">
            <w:pPr>
              <w:autoSpaceDE w:val="0"/>
              <w:autoSpaceDN w:val="0"/>
              <w:adjustRightInd w:val="0"/>
              <w:spacing w:line="360" w:lineRule="auto"/>
              <w:jc w:val="center"/>
              <w:rPr>
                <w:rFonts w:eastAsia="AdvCORRESAST"/>
                <w:sz w:val="20"/>
                <w:szCs w:val="20"/>
                <w:lang w:val="en-GB" w:eastAsia="en-US"/>
              </w:rPr>
            </w:pPr>
            <w:r w:rsidRPr="00F349B3">
              <w:rPr>
                <w:rFonts w:eastAsia="AdvCORRESAST"/>
                <w:sz w:val="20"/>
                <w:szCs w:val="20"/>
                <w:lang w:val="en-GB" w:eastAsia="en-US"/>
              </w:rPr>
              <w:t>0.000</w:t>
            </w:r>
          </w:p>
        </w:tc>
      </w:tr>
      <w:tr w:rsidR="00F37A5F" w:rsidRPr="00F37A5F" w14:paraId="513F50F7" w14:textId="77777777" w:rsidTr="00F37A5F">
        <w:trPr>
          <w:jc w:val="center"/>
        </w:trPr>
        <w:tc>
          <w:tcPr>
            <w:tcW w:w="1613" w:type="dxa"/>
          </w:tcPr>
          <w:p w14:paraId="1411C5A8" w14:textId="14A39CB9" w:rsidR="00F37A5F" w:rsidRPr="007B408C" w:rsidRDefault="00F37A5F" w:rsidP="00F37A5F">
            <w:pPr>
              <w:autoSpaceDE w:val="0"/>
              <w:autoSpaceDN w:val="0"/>
              <w:adjustRightInd w:val="0"/>
              <w:spacing w:line="360" w:lineRule="auto"/>
              <w:jc w:val="center"/>
              <w:rPr>
                <w:rFonts w:eastAsia="AdvCORRESAST"/>
                <w:b/>
                <w:bCs/>
                <w:sz w:val="18"/>
                <w:szCs w:val="18"/>
                <w:lang w:val="en-GB" w:eastAsia="en-US"/>
              </w:rPr>
            </w:pPr>
            <w:r w:rsidRPr="007B408C">
              <w:rPr>
                <w:rFonts w:eastAsia="AdvCORRESAST"/>
                <w:b/>
                <w:bCs/>
                <w:sz w:val="18"/>
                <w:szCs w:val="18"/>
                <w:lang w:val="en-GB" w:eastAsia="en-US"/>
              </w:rPr>
              <w:t>Observations</w:t>
            </w:r>
          </w:p>
        </w:tc>
        <w:tc>
          <w:tcPr>
            <w:tcW w:w="2028" w:type="dxa"/>
          </w:tcPr>
          <w:p w14:paraId="2CD5F887" w14:textId="2F50B3FF" w:rsidR="00F37A5F" w:rsidRPr="00F37A5F" w:rsidRDefault="001C2A28" w:rsidP="00F37A5F">
            <w:pPr>
              <w:autoSpaceDE w:val="0"/>
              <w:autoSpaceDN w:val="0"/>
              <w:adjustRightInd w:val="0"/>
              <w:spacing w:line="360" w:lineRule="auto"/>
              <w:jc w:val="center"/>
              <w:rPr>
                <w:rFonts w:eastAsia="AdvCORRESAST"/>
                <w:sz w:val="18"/>
                <w:szCs w:val="18"/>
                <w:lang w:val="en-GB" w:eastAsia="en-US"/>
              </w:rPr>
            </w:pPr>
            <w:r>
              <w:rPr>
                <w:rFonts w:eastAsia="AdvCORRESAST"/>
                <w:sz w:val="18"/>
                <w:szCs w:val="18"/>
                <w:lang w:val="en-GB" w:eastAsia="en-US"/>
              </w:rPr>
              <w:t>9</w:t>
            </w:r>
            <w:r w:rsidR="00F37A5F" w:rsidRPr="00F37A5F">
              <w:rPr>
                <w:rFonts w:eastAsia="AdvCORRESAST"/>
                <w:sz w:val="18"/>
                <w:szCs w:val="18"/>
                <w:lang w:val="en-GB" w:eastAsia="en-US"/>
              </w:rPr>
              <w:t>,</w:t>
            </w:r>
            <w:r>
              <w:rPr>
                <w:rFonts w:eastAsia="AdvCORRESAST"/>
                <w:sz w:val="18"/>
                <w:szCs w:val="18"/>
                <w:lang w:val="en-GB" w:eastAsia="en-US"/>
              </w:rPr>
              <w:t>774</w:t>
            </w:r>
          </w:p>
        </w:tc>
        <w:tc>
          <w:tcPr>
            <w:tcW w:w="2028" w:type="dxa"/>
          </w:tcPr>
          <w:p w14:paraId="08D87BC7" w14:textId="3D700AC9" w:rsidR="00F37A5F" w:rsidRPr="00F37A5F" w:rsidRDefault="001C2A28" w:rsidP="00F37A5F">
            <w:pPr>
              <w:autoSpaceDE w:val="0"/>
              <w:autoSpaceDN w:val="0"/>
              <w:adjustRightInd w:val="0"/>
              <w:spacing w:line="360" w:lineRule="auto"/>
              <w:jc w:val="center"/>
              <w:rPr>
                <w:rFonts w:eastAsia="AdvCORRESAST"/>
                <w:sz w:val="18"/>
                <w:szCs w:val="18"/>
                <w:lang w:val="en-GB" w:eastAsia="en-US"/>
              </w:rPr>
            </w:pPr>
            <w:r>
              <w:rPr>
                <w:rFonts w:eastAsia="AdvCORRESAST"/>
                <w:sz w:val="18"/>
                <w:szCs w:val="18"/>
                <w:lang w:val="en-GB" w:eastAsia="en-US"/>
              </w:rPr>
              <w:t>7</w:t>
            </w:r>
            <w:r w:rsidR="00F37A5F" w:rsidRPr="00F37A5F">
              <w:rPr>
                <w:rFonts w:eastAsia="AdvCORRESAST"/>
                <w:sz w:val="18"/>
                <w:szCs w:val="18"/>
                <w:lang w:val="en-GB" w:eastAsia="en-US"/>
              </w:rPr>
              <w:t>,</w:t>
            </w:r>
            <w:r>
              <w:rPr>
                <w:rFonts w:eastAsia="AdvCORRESAST"/>
                <w:sz w:val="18"/>
                <w:szCs w:val="18"/>
                <w:lang w:val="en-GB" w:eastAsia="en-US"/>
              </w:rPr>
              <w:t>015</w:t>
            </w:r>
          </w:p>
        </w:tc>
        <w:tc>
          <w:tcPr>
            <w:tcW w:w="2029" w:type="dxa"/>
            <w:vMerge/>
          </w:tcPr>
          <w:p w14:paraId="7411282E" w14:textId="77777777" w:rsidR="00F37A5F" w:rsidRPr="00F37A5F" w:rsidRDefault="00F37A5F" w:rsidP="00F37A5F">
            <w:pPr>
              <w:autoSpaceDE w:val="0"/>
              <w:autoSpaceDN w:val="0"/>
              <w:adjustRightInd w:val="0"/>
              <w:spacing w:line="360" w:lineRule="auto"/>
              <w:jc w:val="center"/>
              <w:rPr>
                <w:rFonts w:eastAsia="AdvCORRESAST"/>
                <w:sz w:val="18"/>
                <w:szCs w:val="18"/>
                <w:lang w:val="en-GB" w:eastAsia="en-US"/>
              </w:rPr>
            </w:pPr>
          </w:p>
        </w:tc>
      </w:tr>
    </w:tbl>
    <w:p w14:paraId="317AF3C7" w14:textId="352F23E6" w:rsidR="00E04EF6" w:rsidRPr="00C642E9" w:rsidRDefault="00F37A5F" w:rsidP="00F37A5F">
      <w:pPr>
        <w:spacing w:line="480" w:lineRule="auto"/>
        <w:rPr>
          <w:sz w:val="16"/>
          <w:szCs w:val="16"/>
          <w:lang w:val="en-GB"/>
        </w:rPr>
      </w:pPr>
      <w:r w:rsidRPr="00C642E9">
        <w:rPr>
          <w:sz w:val="16"/>
          <w:szCs w:val="16"/>
          <w:lang w:val="en-GB"/>
        </w:rPr>
        <w:t xml:space="preserve">     </w:t>
      </w:r>
      <w:bookmarkStart w:id="11" w:name="_Hlk138255811"/>
      <w:bookmarkStart w:id="12" w:name="_Hlk136701890"/>
      <w:r w:rsidR="00C642E9" w:rsidRPr="00F349B3">
        <w:rPr>
          <w:sz w:val="16"/>
          <w:szCs w:val="16"/>
          <w:lang w:val="en-GB"/>
        </w:rPr>
        <w:t>Source: our elaboration</w:t>
      </w:r>
      <w:bookmarkEnd w:id="11"/>
      <w:r w:rsidR="002A0A71">
        <w:rPr>
          <w:sz w:val="16"/>
          <w:szCs w:val="16"/>
          <w:lang w:val="en-GB"/>
        </w:rPr>
        <w:t xml:space="preserve"> from Two sample t-test</w:t>
      </w:r>
      <w:r w:rsidR="00C642E9">
        <w:rPr>
          <w:sz w:val="16"/>
          <w:szCs w:val="16"/>
          <w:lang w:val="en-GB"/>
        </w:rPr>
        <w:t>.</w:t>
      </w:r>
      <w:r w:rsidRPr="00C642E9">
        <w:rPr>
          <w:sz w:val="16"/>
          <w:szCs w:val="16"/>
          <w:lang w:val="en-GB"/>
        </w:rPr>
        <w:t xml:space="preserve"> Note: Standard deviation in parenthesis</w:t>
      </w:r>
      <w:bookmarkEnd w:id="12"/>
    </w:p>
    <w:bookmarkEnd w:id="10"/>
    <w:p w14:paraId="39218702" w14:textId="77777777" w:rsidR="00E04EF6" w:rsidRDefault="00E04EF6" w:rsidP="003326EC">
      <w:pPr>
        <w:spacing w:line="480" w:lineRule="auto"/>
        <w:rPr>
          <w:lang w:val="en-GB"/>
        </w:rPr>
      </w:pPr>
    </w:p>
    <w:p w14:paraId="2915774C" w14:textId="77777777" w:rsidR="00BF11D7" w:rsidRDefault="00BF11D7" w:rsidP="003326EC">
      <w:pPr>
        <w:spacing w:line="480" w:lineRule="auto"/>
        <w:rPr>
          <w:lang w:val="en-GB"/>
        </w:rPr>
      </w:pPr>
    </w:p>
    <w:p w14:paraId="054DA0F1" w14:textId="5A14CE95" w:rsidR="00F904B1" w:rsidRDefault="00611066" w:rsidP="00F904B1">
      <w:pPr>
        <w:spacing w:line="480" w:lineRule="auto"/>
        <w:jc w:val="both"/>
        <w:rPr>
          <w:lang w:val="en-GB"/>
        </w:rPr>
      </w:pPr>
      <w:r>
        <w:rPr>
          <w:lang w:val="en-GB"/>
        </w:rPr>
        <w:t xml:space="preserve">Equation (1) shows the </w:t>
      </w:r>
      <w:r w:rsidR="00F904B1" w:rsidRPr="00F904B1">
        <w:rPr>
          <w:lang w:val="en-GB"/>
        </w:rPr>
        <w:t xml:space="preserve">linear regression model </w:t>
      </w:r>
      <w:r>
        <w:rPr>
          <w:lang w:val="en-GB"/>
        </w:rPr>
        <w:t xml:space="preserve">we perform </w:t>
      </w:r>
      <w:r w:rsidR="00F904B1" w:rsidRPr="00F904B1">
        <w:rPr>
          <w:lang w:val="en-GB"/>
        </w:rPr>
        <w:t xml:space="preserve">with </w:t>
      </w:r>
      <w:r w:rsidR="007654C4">
        <w:rPr>
          <w:lang w:val="en-GB"/>
        </w:rPr>
        <w:t>duration of dispute</w:t>
      </w:r>
      <w:r w:rsidR="002A0A71">
        <w:rPr>
          <w:lang w:val="en-GB"/>
        </w:rPr>
        <w:t>s</w:t>
      </w:r>
      <w:r w:rsidR="007654C4">
        <w:rPr>
          <w:lang w:val="en-GB"/>
        </w:rPr>
        <w:t xml:space="preserve"> </w:t>
      </w:r>
      <w:r w:rsidR="00F904B1" w:rsidRPr="00F904B1">
        <w:rPr>
          <w:lang w:val="en-GB"/>
        </w:rPr>
        <w:t xml:space="preserve">as our dependent variable: </w:t>
      </w:r>
    </w:p>
    <w:p w14:paraId="47BE23E0" w14:textId="77777777" w:rsidR="00F904B1" w:rsidRPr="00F904B1" w:rsidRDefault="00F904B1" w:rsidP="0001447F">
      <w:pPr>
        <w:spacing w:line="480" w:lineRule="auto"/>
        <w:jc w:val="center"/>
        <w:rPr>
          <w:lang w:val="en-GB"/>
        </w:rPr>
      </w:pPr>
    </w:p>
    <w:p w14:paraId="0E23DF59" w14:textId="5CBCD2F6" w:rsidR="00F904B1" w:rsidRPr="0001447F" w:rsidRDefault="00000000" w:rsidP="0001447F">
      <w:pPr>
        <w:spacing w:line="480" w:lineRule="auto"/>
        <w:jc w:val="center"/>
        <w:rPr>
          <w:lang w:val="en-GB"/>
        </w:rPr>
      </w:pPr>
      <m:oMath>
        <m:sSub>
          <m:sSubPr>
            <m:ctrlPr>
              <w:rPr>
                <w:rFonts w:ascii="Cambria Math" w:hAnsi="Cambria Math"/>
                <w:i/>
              </w:rPr>
            </m:ctrlPr>
          </m:sSubPr>
          <m:e>
            <m:r>
              <w:rPr>
                <w:rFonts w:ascii="Cambria Math" w:hAnsi="Cambria Math"/>
              </w:rPr>
              <m:t>Timeduration</m:t>
            </m:r>
          </m:e>
          <m:sub>
            <m:r>
              <w:rPr>
                <w:rFonts w:ascii="Cambria Math" w:hAnsi="Cambria Math"/>
              </w:rPr>
              <m:t>it</m:t>
            </m:r>
          </m:sub>
        </m:sSub>
        <m:r>
          <w:rPr>
            <w:rFonts w:ascii="Cambria Math" w:hAnsi="Cambria Math"/>
            <w:lang w:val="en-GB"/>
          </w:rPr>
          <m:t>=</m:t>
        </m:r>
        <m:sSub>
          <m:sSubPr>
            <m:ctrlPr>
              <w:rPr>
                <w:rFonts w:ascii="Cambria Math" w:hAnsi="Cambria Math"/>
                <w:i/>
              </w:rPr>
            </m:ctrlPr>
          </m:sSubPr>
          <m:e>
            <m:r>
              <w:rPr>
                <w:rFonts w:ascii="Cambria Math" w:hAnsi="Cambria Math"/>
              </w:rPr>
              <m:t>α</m:t>
            </m:r>
          </m:e>
          <m:sub>
            <m:r>
              <w:rPr>
                <w:rFonts w:ascii="Cambria Math" w:hAnsi="Cambria Math"/>
                <w:lang w:val="en-GB"/>
              </w:rPr>
              <m:t>0</m:t>
            </m:r>
          </m:sub>
        </m:sSub>
        <m:r>
          <w:rPr>
            <w:rFonts w:ascii="Cambria Math" w:hAnsi="Cambria Math"/>
            <w:lang w:val="en-GB"/>
          </w:rPr>
          <m: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lang w:val="en-GB"/>
          </w:rPr>
          <m:t xml:space="preserve"> </m:t>
        </m:r>
        <m:r>
          <w:rPr>
            <w:rFonts w:ascii="Cambria Math" w:hAnsi="Cambria Math"/>
          </w:rPr>
          <m:t>topic</m:t>
        </m:r>
        <m:r>
          <w:rPr>
            <w:rFonts w:ascii="Cambria Math" w:hAnsi="Cambria Math"/>
            <w:lang w:val="en-GB"/>
          </w:rPr>
          <m:t>+</m:t>
        </m:r>
        <m:sSub>
          <m:sSubPr>
            <m:ctrlPr>
              <w:rPr>
                <w:rFonts w:ascii="Cambria Math" w:hAnsi="Cambria Math"/>
                <w:i/>
              </w:rPr>
            </m:ctrlPr>
          </m:sSubPr>
          <m:e>
            <m:r>
              <w:rPr>
                <w:rFonts w:ascii="Cambria Math" w:hAnsi="Cambria Math"/>
              </w:rPr>
              <m:t>u</m:t>
            </m:r>
          </m:e>
          <m:sub>
            <m:r>
              <w:rPr>
                <w:rFonts w:ascii="Cambria Math" w:hAnsi="Cambria Math"/>
              </w:rPr>
              <m:t>it</m:t>
            </m:r>
          </m:sub>
        </m:sSub>
      </m:oMath>
      <w:r w:rsidR="0001447F" w:rsidRPr="0001447F">
        <w:rPr>
          <w:lang w:val="en-GB"/>
        </w:rPr>
        <w:t xml:space="preserve"> </w:t>
      </w:r>
      <w:r w:rsidR="0001447F">
        <w:rPr>
          <w:lang w:val="en-GB"/>
        </w:rPr>
        <w:t xml:space="preserve">    (1)</w:t>
      </w:r>
    </w:p>
    <w:p w14:paraId="239978E3" w14:textId="77777777" w:rsidR="00F904B1" w:rsidRPr="00F904B1" w:rsidRDefault="00F904B1" w:rsidP="00F904B1">
      <w:pPr>
        <w:spacing w:line="480" w:lineRule="auto"/>
        <w:jc w:val="both"/>
        <w:rPr>
          <w:lang w:val="en-GB"/>
        </w:rPr>
      </w:pPr>
    </w:p>
    <w:p w14:paraId="00D9BE26" w14:textId="46B061C9" w:rsidR="0001447F" w:rsidRPr="00F904B1" w:rsidRDefault="007654C4" w:rsidP="00F904B1">
      <w:pPr>
        <w:spacing w:line="480" w:lineRule="auto"/>
        <w:jc w:val="both"/>
        <w:rPr>
          <w:lang w:val="en-GB"/>
        </w:rPr>
      </w:pPr>
      <w:r>
        <w:rPr>
          <w:lang w:val="en-GB"/>
        </w:rPr>
        <w:t xml:space="preserve">In detail, </w:t>
      </w:r>
      <w:proofErr w:type="spellStart"/>
      <w:r w:rsidR="00F904B1" w:rsidRPr="00F904B1">
        <w:rPr>
          <w:lang w:val="en-GB"/>
        </w:rPr>
        <w:t>Timeduration</w:t>
      </w:r>
      <w:proofErr w:type="spellEnd"/>
      <w:r w:rsidR="00F904B1" w:rsidRPr="00F904B1">
        <w:rPr>
          <w:lang w:val="en-GB"/>
        </w:rPr>
        <w:t xml:space="preserve"> is</w:t>
      </w:r>
      <w:r w:rsidR="00611066">
        <w:rPr>
          <w:lang w:val="en-GB"/>
        </w:rPr>
        <w:t xml:space="preserve"> our dependent variable and represent the </w:t>
      </w:r>
      <w:r w:rsidR="00611066" w:rsidRPr="00F904B1">
        <w:rPr>
          <w:lang w:val="en-GB"/>
        </w:rPr>
        <w:t>time duration of first instance civil sentences</w:t>
      </w:r>
      <w:r w:rsidR="00611066">
        <w:rPr>
          <w:lang w:val="en-GB"/>
        </w:rPr>
        <w:t>. It is</w:t>
      </w:r>
      <w:r w:rsidR="00F904B1" w:rsidRPr="00F904B1">
        <w:rPr>
          <w:lang w:val="en-GB"/>
        </w:rPr>
        <w:t xml:space="preserve"> a continuous variable and </w:t>
      </w:r>
      <w:r w:rsidR="00C450E0">
        <w:rPr>
          <w:lang w:val="en-GB"/>
        </w:rPr>
        <w:t xml:space="preserve">it </w:t>
      </w:r>
      <w:r w:rsidR="00F904B1" w:rsidRPr="00F904B1">
        <w:rPr>
          <w:lang w:val="en-GB"/>
        </w:rPr>
        <w:t>is measured in days</w:t>
      </w:r>
      <w:r w:rsidR="00C450E0">
        <w:rPr>
          <w:lang w:val="en-GB"/>
        </w:rPr>
        <w:t>,</w:t>
      </w:r>
      <w:r w:rsidR="00F904B1" w:rsidRPr="00F904B1">
        <w:rPr>
          <w:lang w:val="en-GB"/>
        </w:rPr>
        <w:t xml:space="preserve"> </w:t>
      </w:r>
      <w:r w:rsidR="00B53783" w:rsidRPr="00B53783">
        <w:rPr>
          <w:lang w:val="en-GB"/>
        </w:rPr>
        <w:t>from the date of deposit in the registry of the court to the day of publication of the first rank sentence</w:t>
      </w:r>
      <w:r w:rsidR="00802C6C">
        <w:rPr>
          <w:lang w:val="en-GB"/>
        </w:rPr>
        <w:t xml:space="preserve">. Instead, </w:t>
      </w:r>
      <w:r w:rsidR="00F904B1" w:rsidRPr="00F904B1">
        <w:rPr>
          <w:lang w:val="en-GB"/>
        </w:rPr>
        <w:t>β</w:t>
      </w:r>
      <w:proofErr w:type="spellStart"/>
      <w:r w:rsidR="00F904B1" w:rsidRPr="00F904B1">
        <w:rPr>
          <w:vertAlign w:val="subscript"/>
          <w:lang w:val="en-GB"/>
        </w:rPr>
        <w:t>i</w:t>
      </w:r>
      <w:proofErr w:type="spellEnd"/>
      <w:r w:rsidR="00F904B1" w:rsidRPr="00F904B1">
        <w:rPr>
          <w:vertAlign w:val="subscript"/>
          <w:lang w:val="en-GB"/>
        </w:rPr>
        <w:t xml:space="preserve"> </w:t>
      </w:r>
      <w:r w:rsidR="00F904B1" w:rsidRPr="00F904B1">
        <w:rPr>
          <w:lang w:val="en-GB"/>
        </w:rPr>
        <w:t>is a vector of twelve dummy variable</w:t>
      </w:r>
      <w:r w:rsidR="00802C6C">
        <w:rPr>
          <w:lang w:val="en-GB"/>
        </w:rPr>
        <w:t>s</w:t>
      </w:r>
      <w:r w:rsidR="00F904B1" w:rsidRPr="00F904B1">
        <w:rPr>
          <w:lang w:val="en-GB"/>
        </w:rPr>
        <w:t xml:space="preserve"> representing the </w:t>
      </w:r>
      <w:r w:rsidR="00802C6C">
        <w:rPr>
          <w:lang w:val="en-GB"/>
        </w:rPr>
        <w:t xml:space="preserve">different </w:t>
      </w:r>
      <w:r w:rsidR="00F904B1" w:rsidRPr="00F904B1">
        <w:rPr>
          <w:lang w:val="en-GB"/>
        </w:rPr>
        <w:t xml:space="preserve">topics </w:t>
      </w:r>
      <w:r w:rsidR="002A79BB">
        <w:rPr>
          <w:lang w:val="en-GB"/>
        </w:rPr>
        <w:t>under consideration</w:t>
      </w:r>
      <w:r w:rsidR="0001447F">
        <w:rPr>
          <w:lang w:val="en-GB"/>
        </w:rPr>
        <w:t>.</w:t>
      </w:r>
    </w:p>
    <w:p w14:paraId="2C234039" w14:textId="7C5A417D" w:rsidR="004F269E" w:rsidRDefault="00F904B1" w:rsidP="007A673B">
      <w:pPr>
        <w:spacing w:line="480" w:lineRule="auto"/>
        <w:jc w:val="both"/>
        <w:rPr>
          <w:rFonts w:eastAsia="Calibri"/>
          <w:lang w:val="en-US"/>
        </w:rPr>
      </w:pPr>
      <w:r w:rsidRPr="00287772">
        <w:rPr>
          <w:lang w:val="en-GB"/>
        </w:rPr>
        <w:t xml:space="preserve">In Table </w:t>
      </w:r>
      <w:r w:rsidR="002A0A71">
        <w:rPr>
          <w:lang w:val="en-GB"/>
        </w:rPr>
        <w:t>6</w:t>
      </w:r>
      <w:r w:rsidR="00984631">
        <w:rPr>
          <w:lang w:val="en-GB"/>
        </w:rPr>
        <w:t>,</w:t>
      </w:r>
      <w:r w:rsidRPr="00287772">
        <w:rPr>
          <w:lang w:val="en-GB"/>
        </w:rPr>
        <w:t xml:space="preserve"> OLS </w:t>
      </w:r>
      <w:r w:rsidR="00C82BCB">
        <w:rPr>
          <w:lang w:val="en-GB"/>
        </w:rPr>
        <w:t>estimation results</w:t>
      </w:r>
      <w:r w:rsidR="00C450E0">
        <w:rPr>
          <w:lang w:val="en-GB"/>
        </w:rPr>
        <w:t xml:space="preserve"> have been reported</w:t>
      </w:r>
      <w:r w:rsidRPr="00287772">
        <w:rPr>
          <w:lang w:val="en-GB"/>
        </w:rPr>
        <w:t xml:space="preserve">. Coefficients are all </w:t>
      </w:r>
      <w:r w:rsidR="0050698D" w:rsidRPr="00287772">
        <w:rPr>
          <w:lang w:val="en-GB"/>
        </w:rPr>
        <w:t xml:space="preserve">statistically significant </w:t>
      </w:r>
      <w:r w:rsidR="0050698D">
        <w:rPr>
          <w:lang w:val="en-GB"/>
        </w:rPr>
        <w:t xml:space="preserve">and with a </w:t>
      </w:r>
      <w:r w:rsidRPr="00287772">
        <w:rPr>
          <w:lang w:val="en-GB"/>
        </w:rPr>
        <w:t xml:space="preserve">positive </w:t>
      </w:r>
      <w:r w:rsidR="0050698D">
        <w:rPr>
          <w:lang w:val="en-GB"/>
        </w:rPr>
        <w:t>sign</w:t>
      </w:r>
      <w:r w:rsidR="0050698D" w:rsidRPr="00287772">
        <w:rPr>
          <w:lang w:val="en-GB"/>
        </w:rPr>
        <w:t xml:space="preserve"> </w:t>
      </w:r>
      <w:r w:rsidR="00E82DC6" w:rsidRPr="00287772">
        <w:rPr>
          <w:lang w:val="en-GB"/>
        </w:rPr>
        <w:t>(</w:t>
      </w:r>
      <w:r w:rsidR="0050698D">
        <w:rPr>
          <w:lang w:val="en-GB"/>
        </w:rPr>
        <w:t>except</w:t>
      </w:r>
      <w:r w:rsidR="00AD3260" w:rsidRPr="00287772">
        <w:rPr>
          <w:lang w:val="en-GB"/>
        </w:rPr>
        <w:t xml:space="preserve"> </w:t>
      </w:r>
      <w:r w:rsidR="00E82DC6" w:rsidRPr="00287772">
        <w:rPr>
          <w:lang w:val="en-GB"/>
        </w:rPr>
        <w:t xml:space="preserve">Company law). </w:t>
      </w:r>
      <w:r w:rsidR="001F7894">
        <w:rPr>
          <w:lang w:val="en-GB"/>
        </w:rPr>
        <w:t>However</w:t>
      </w:r>
      <w:r w:rsidRPr="00287772">
        <w:rPr>
          <w:lang w:val="en-GB"/>
        </w:rPr>
        <w:t xml:space="preserve">, in relation to </w:t>
      </w:r>
      <w:r w:rsidR="00AB1D9A">
        <w:rPr>
          <w:lang w:val="en-GB"/>
        </w:rPr>
        <w:t>the</w:t>
      </w:r>
      <w:r w:rsidR="00AB1D9A" w:rsidRPr="00287772">
        <w:rPr>
          <w:lang w:val="en-GB"/>
        </w:rPr>
        <w:t xml:space="preserve"> </w:t>
      </w:r>
      <w:r w:rsidR="00984631" w:rsidRPr="00287772">
        <w:rPr>
          <w:lang w:val="en-GB"/>
        </w:rPr>
        <w:t xml:space="preserve">special proceedings </w:t>
      </w:r>
      <w:r w:rsidRPr="00287772">
        <w:rPr>
          <w:lang w:val="en-GB"/>
        </w:rPr>
        <w:t xml:space="preserve">reference group, </w:t>
      </w:r>
      <w:r w:rsidR="00466DAE">
        <w:rPr>
          <w:lang w:val="en-GB"/>
        </w:rPr>
        <w:t>results are mixed. P</w:t>
      </w:r>
      <w:r w:rsidRPr="00287772">
        <w:rPr>
          <w:lang w:val="en-GB"/>
        </w:rPr>
        <w:t xml:space="preserve">ersonality rights </w:t>
      </w:r>
      <w:r w:rsidR="00A23DBE">
        <w:rPr>
          <w:lang w:val="en-GB"/>
        </w:rPr>
        <w:t>present</w:t>
      </w:r>
      <w:r w:rsidR="00A23DBE" w:rsidRPr="00287772">
        <w:rPr>
          <w:lang w:val="en-GB"/>
        </w:rPr>
        <w:t xml:space="preserve"> </w:t>
      </w:r>
      <w:r w:rsidRPr="00287772">
        <w:rPr>
          <w:lang w:val="en-GB"/>
        </w:rPr>
        <w:t xml:space="preserve">the highest time duration </w:t>
      </w:r>
      <w:r w:rsidR="00AB1D9A">
        <w:rPr>
          <w:lang w:val="en-GB"/>
        </w:rPr>
        <w:t>(</w:t>
      </w:r>
      <w:r w:rsidR="00466DAE">
        <w:rPr>
          <w:lang w:val="en-GB"/>
        </w:rPr>
        <w:t>on average</w:t>
      </w:r>
      <w:r w:rsidR="00466DAE" w:rsidRPr="00287772">
        <w:rPr>
          <w:lang w:val="en-GB"/>
        </w:rPr>
        <w:t xml:space="preserve"> </w:t>
      </w:r>
      <w:r w:rsidRPr="00287772">
        <w:rPr>
          <w:lang w:val="en-GB"/>
        </w:rPr>
        <w:t>1,</w:t>
      </w:r>
      <w:r w:rsidR="00287772" w:rsidRPr="00287772">
        <w:rPr>
          <w:lang w:val="en-GB"/>
        </w:rPr>
        <w:t>285</w:t>
      </w:r>
      <w:r w:rsidRPr="00287772">
        <w:rPr>
          <w:lang w:val="en-GB"/>
        </w:rPr>
        <w:t xml:space="preserve"> days</w:t>
      </w:r>
      <w:r w:rsidR="00AB1D9A">
        <w:rPr>
          <w:lang w:val="en-GB"/>
        </w:rPr>
        <w:t xml:space="preserve"> </w:t>
      </w:r>
      <w:r w:rsidRPr="00287772">
        <w:rPr>
          <w:lang w:val="en-GB"/>
        </w:rPr>
        <w:t>more than SP</w:t>
      </w:r>
      <w:r w:rsidR="00AB1D9A">
        <w:rPr>
          <w:lang w:val="en-GB"/>
        </w:rPr>
        <w:t>)</w:t>
      </w:r>
      <w:r w:rsidR="00466DAE">
        <w:rPr>
          <w:lang w:val="en-GB"/>
        </w:rPr>
        <w:t xml:space="preserve">, </w:t>
      </w:r>
      <w:r w:rsidRPr="00287772">
        <w:rPr>
          <w:lang w:val="en-GB"/>
        </w:rPr>
        <w:t xml:space="preserve">while </w:t>
      </w:r>
      <w:r w:rsidR="007D42AD" w:rsidRPr="00287772">
        <w:rPr>
          <w:lang w:val="en-GB"/>
        </w:rPr>
        <w:t>family rights</w:t>
      </w:r>
      <w:r w:rsidR="00587EFE" w:rsidRPr="00287772">
        <w:rPr>
          <w:lang w:val="en-GB"/>
        </w:rPr>
        <w:t xml:space="preserve"> </w:t>
      </w:r>
      <w:r w:rsidRPr="00287772">
        <w:rPr>
          <w:lang w:val="en-GB"/>
        </w:rPr>
        <w:t xml:space="preserve">the lowest </w:t>
      </w:r>
      <w:r w:rsidR="00466DAE">
        <w:rPr>
          <w:lang w:val="en-GB"/>
        </w:rPr>
        <w:t>(</w:t>
      </w:r>
      <w:r w:rsidRPr="00287772">
        <w:rPr>
          <w:lang w:val="en-GB"/>
        </w:rPr>
        <w:t xml:space="preserve">on average only </w:t>
      </w:r>
      <w:r w:rsidR="007D42AD" w:rsidRPr="00287772">
        <w:rPr>
          <w:lang w:val="en-GB"/>
        </w:rPr>
        <w:t>3</w:t>
      </w:r>
      <w:r w:rsidR="00287772" w:rsidRPr="00287772">
        <w:rPr>
          <w:lang w:val="en-GB"/>
        </w:rPr>
        <w:t>8</w:t>
      </w:r>
      <w:r w:rsidR="007D42AD" w:rsidRPr="00287772">
        <w:rPr>
          <w:lang w:val="en-GB"/>
        </w:rPr>
        <w:t>3</w:t>
      </w:r>
      <w:r w:rsidRPr="00287772">
        <w:rPr>
          <w:lang w:val="en-GB"/>
        </w:rPr>
        <w:t xml:space="preserve"> days more than SP</w:t>
      </w:r>
      <w:r w:rsidR="00466DAE">
        <w:rPr>
          <w:lang w:val="en-GB"/>
        </w:rPr>
        <w:t>)</w:t>
      </w:r>
      <w:r w:rsidRPr="00287772">
        <w:rPr>
          <w:lang w:val="en-GB"/>
        </w:rPr>
        <w:t xml:space="preserve">. </w:t>
      </w:r>
      <w:r w:rsidR="00A23DBE">
        <w:rPr>
          <w:lang w:val="en-GB"/>
        </w:rPr>
        <w:t>With respect to the remaining ones</w:t>
      </w:r>
      <w:r w:rsidR="0076612E">
        <w:rPr>
          <w:lang w:val="en-GB"/>
        </w:rPr>
        <w:t>,</w:t>
      </w:r>
      <w:r w:rsidR="006052AC" w:rsidRPr="00287772">
        <w:rPr>
          <w:lang w:val="en-GB"/>
        </w:rPr>
        <w:t xml:space="preserve"> </w:t>
      </w:r>
      <w:r w:rsidRPr="00287772">
        <w:rPr>
          <w:lang w:val="en-GB"/>
        </w:rPr>
        <w:t xml:space="preserve">property and inheritance </w:t>
      </w:r>
      <w:r w:rsidR="00F17633" w:rsidRPr="00287772">
        <w:rPr>
          <w:lang w:val="en-GB"/>
        </w:rPr>
        <w:t>law</w:t>
      </w:r>
      <w:r w:rsidRPr="00287772">
        <w:rPr>
          <w:lang w:val="en-GB"/>
        </w:rPr>
        <w:t xml:space="preserve"> 1,</w:t>
      </w:r>
      <w:r w:rsidR="00287772" w:rsidRPr="00287772">
        <w:rPr>
          <w:lang w:val="en-GB"/>
        </w:rPr>
        <w:t>017</w:t>
      </w:r>
      <w:r w:rsidRPr="00287772">
        <w:rPr>
          <w:lang w:val="en-GB"/>
        </w:rPr>
        <w:t xml:space="preserve"> days</w:t>
      </w:r>
      <w:r w:rsidR="0076612E">
        <w:rPr>
          <w:lang w:val="en-GB"/>
        </w:rPr>
        <w:t>,</w:t>
      </w:r>
      <w:r w:rsidR="008F0FB7" w:rsidRPr="00287772">
        <w:rPr>
          <w:lang w:val="en-GB"/>
        </w:rPr>
        <w:t xml:space="preserve"> </w:t>
      </w:r>
      <w:proofErr w:type="gramStart"/>
      <w:r w:rsidR="006052AC" w:rsidRPr="00287772">
        <w:rPr>
          <w:lang w:val="en-GB"/>
        </w:rPr>
        <w:t>contracts</w:t>
      </w:r>
      <w:proofErr w:type="gramEnd"/>
      <w:r w:rsidR="006052AC" w:rsidRPr="00287772">
        <w:rPr>
          <w:lang w:val="en-GB"/>
        </w:rPr>
        <w:t xml:space="preserve"> and obligations 80</w:t>
      </w:r>
      <w:r w:rsidR="00287772" w:rsidRPr="00287772">
        <w:rPr>
          <w:lang w:val="en-GB"/>
        </w:rPr>
        <w:t>2</w:t>
      </w:r>
      <w:r w:rsidR="0076612E">
        <w:rPr>
          <w:lang w:val="en-GB"/>
        </w:rPr>
        <w:t>,</w:t>
      </w:r>
      <w:r w:rsidR="006052AC" w:rsidRPr="00287772">
        <w:rPr>
          <w:lang w:val="en-GB"/>
        </w:rPr>
        <w:t xml:space="preserve"> liability </w:t>
      </w:r>
      <w:r w:rsidR="00287772" w:rsidRPr="00287772">
        <w:rPr>
          <w:lang w:val="en-GB"/>
        </w:rPr>
        <w:t xml:space="preserve">for </w:t>
      </w:r>
      <w:r w:rsidR="00287772" w:rsidRPr="00287772">
        <w:rPr>
          <w:lang w:val="en-GB"/>
        </w:rPr>
        <w:lastRenderedPageBreak/>
        <w:t xml:space="preserve">tort </w:t>
      </w:r>
      <w:r w:rsidR="006052AC" w:rsidRPr="00287772">
        <w:rPr>
          <w:lang w:val="en-GB"/>
        </w:rPr>
        <w:t>1,</w:t>
      </w:r>
      <w:r w:rsidR="00287772" w:rsidRPr="00287772">
        <w:rPr>
          <w:lang w:val="en-GB"/>
        </w:rPr>
        <w:t>114</w:t>
      </w:r>
      <w:r w:rsidR="006052AC" w:rsidRPr="00287772">
        <w:rPr>
          <w:lang w:val="en-GB"/>
        </w:rPr>
        <w:t xml:space="preserve"> days</w:t>
      </w:r>
      <w:r w:rsidR="0076612E">
        <w:rPr>
          <w:lang w:val="en-GB"/>
        </w:rPr>
        <w:t>,</w:t>
      </w:r>
      <w:r w:rsidR="006052AC" w:rsidRPr="00287772">
        <w:rPr>
          <w:lang w:val="en-GB"/>
        </w:rPr>
        <w:t xml:space="preserve"> </w:t>
      </w:r>
      <w:r w:rsidRPr="00287772">
        <w:rPr>
          <w:lang w:val="en-GB"/>
        </w:rPr>
        <w:t xml:space="preserve">legal entities </w:t>
      </w:r>
      <w:r w:rsidR="007D42AD" w:rsidRPr="00287772">
        <w:rPr>
          <w:lang w:val="en-GB"/>
        </w:rPr>
        <w:t>40</w:t>
      </w:r>
      <w:r w:rsidR="00287772" w:rsidRPr="00287772">
        <w:rPr>
          <w:lang w:val="en-GB"/>
        </w:rPr>
        <w:t>1</w:t>
      </w:r>
      <w:r w:rsidRPr="00287772">
        <w:rPr>
          <w:lang w:val="en-GB"/>
        </w:rPr>
        <w:t xml:space="preserve"> days</w:t>
      </w:r>
      <w:r w:rsidR="0076612E">
        <w:rPr>
          <w:lang w:val="en-GB"/>
        </w:rPr>
        <w:t>,</w:t>
      </w:r>
      <w:r w:rsidRPr="00287772">
        <w:rPr>
          <w:lang w:val="en-GB"/>
        </w:rPr>
        <w:t xml:space="preserve"> </w:t>
      </w:r>
      <w:r w:rsidR="006052AC" w:rsidRPr="00287772">
        <w:rPr>
          <w:lang w:val="en-GB"/>
        </w:rPr>
        <w:t xml:space="preserve">company law </w:t>
      </w:r>
      <w:r w:rsidR="00287772" w:rsidRPr="00287772">
        <w:rPr>
          <w:lang w:val="en-GB"/>
        </w:rPr>
        <w:t>135</w:t>
      </w:r>
      <w:r w:rsidR="006052AC" w:rsidRPr="00287772">
        <w:rPr>
          <w:lang w:val="en-GB"/>
        </w:rPr>
        <w:t xml:space="preserve"> days (but non-significant)</w:t>
      </w:r>
      <w:r w:rsidR="0076612E">
        <w:rPr>
          <w:lang w:val="en-GB"/>
        </w:rPr>
        <w:t>,</w:t>
      </w:r>
      <w:r w:rsidR="006052AC" w:rsidRPr="00287772">
        <w:rPr>
          <w:lang w:val="en-GB"/>
        </w:rPr>
        <w:t xml:space="preserve"> lease and </w:t>
      </w:r>
      <w:proofErr w:type="spellStart"/>
      <w:r w:rsidR="00287772" w:rsidRPr="00287772">
        <w:rPr>
          <w:lang w:val="en-GB"/>
        </w:rPr>
        <w:t>commodat</w:t>
      </w:r>
      <w:r w:rsidR="00BE0482">
        <w:rPr>
          <w:lang w:val="en-GB"/>
        </w:rPr>
        <w:t>um</w:t>
      </w:r>
      <w:proofErr w:type="spellEnd"/>
      <w:r w:rsidR="006052AC" w:rsidRPr="00287772">
        <w:rPr>
          <w:lang w:val="en-GB"/>
        </w:rPr>
        <w:t xml:space="preserve"> 67</w:t>
      </w:r>
      <w:r w:rsidR="00287772" w:rsidRPr="00287772">
        <w:rPr>
          <w:lang w:val="en-GB"/>
        </w:rPr>
        <w:t>6</w:t>
      </w:r>
      <w:r w:rsidR="006052AC" w:rsidRPr="00287772">
        <w:rPr>
          <w:lang w:val="en-GB"/>
        </w:rPr>
        <w:t xml:space="preserve"> days</w:t>
      </w:r>
      <w:r w:rsidR="0076612E">
        <w:rPr>
          <w:lang w:val="en-GB"/>
        </w:rPr>
        <w:t>,</w:t>
      </w:r>
      <w:r w:rsidR="006052AC" w:rsidRPr="00287772">
        <w:rPr>
          <w:lang w:val="en-GB"/>
        </w:rPr>
        <w:t xml:space="preserve"> bankruptcy </w:t>
      </w:r>
      <w:r w:rsidR="00287772" w:rsidRPr="00287772">
        <w:rPr>
          <w:lang w:val="en-GB"/>
        </w:rPr>
        <w:t>585</w:t>
      </w:r>
      <w:r w:rsidR="006052AC" w:rsidRPr="00287772">
        <w:rPr>
          <w:lang w:val="en-GB"/>
        </w:rPr>
        <w:t xml:space="preserve"> days</w:t>
      </w:r>
      <w:r w:rsidR="0076612E">
        <w:rPr>
          <w:lang w:val="en-GB"/>
        </w:rPr>
        <w:t>,</w:t>
      </w:r>
      <w:r w:rsidRPr="00287772">
        <w:rPr>
          <w:lang w:val="en-GB"/>
        </w:rPr>
        <w:t xml:space="preserve"> administrative law </w:t>
      </w:r>
      <w:r w:rsidR="00287772" w:rsidRPr="00287772">
        <w:rPr>
          <w:lang w:val="en-GB"/>
        </w:rPr>
        <w:t>716</w:t>
      </w:r>
      <w:r w:rsidRPr="00287772">
        <w:rPr>
          <w:lang w:val="en-GB"/>
        </w:rPr>
        <w:t xml:space="preserve"> days</w:t>
      </w:r>
      <w:r w:rsidR="0076612E">
        <w:rPr>
          <w:lang w:val="en-GB"/>
        </w:rPr>
        <w:t>,</w:t>
      </w:r>
      <w:r w:rsidRPr="00287772">
        <w:rPr>
          <w:lang w:val="en-GB"/>
        </w:rPr>
        <w:t xml:space="preserve"> </w:t>
      </w:r>
      <w:r w:rsidR="006052AC" w:rsidRPr="00287772">
        <w:rPr>
          <w:lang w:val="en-GB"/>
        </w:rPr>
        <w:t xml:space="preserve">banking law </w:t>
      </w:r>
      <w:r w:rsidR="00287772" w:rsidRPr="00287772">
        <w:rPr>
          <w:lang w:val="en-GB"/>
        </w:rPr>
        <w:t>838</w:t>
      </w:r>
      <w:r w:rsidR="006052AC" w:rsidRPr="00287772">
        <w:rPr>
          <w:lang w:val="en-GB"/>
        </w:rPr>
        <w:t xml:space="preserve"> days</w:t>
      </w:r>
      <w:r w:rsidR="0076612E">
        <w:rPr>
          <w:lang w:val="en-GB"/>
        </w:rPr>
        <w:t>, and</w:t>
      </w:r>
      <w:r w:rsidR="008F0FB7" w:rsidRPr="00287772">
        <w:rPr>
          <w:lang w:val="en-GB"/>
        </w:rPr>
        <w:t xml:space="preserve"> </w:t>
      </w:r>
      <w:r w:rsidRPr="00287772">
        <w:rPr>
          <w:lang w:val="en-GB"/>
        </w:rPr>
        <w:t xml:space="preserve">other institutes </w:t>
      </w:r>
      <w:r w:rsidR="007D42AD" w:rsidRPr="00287772">
        <w:rPr>
          <w:lang w:val="en-GB"/>
        </w:rPr>
        <w:t>5</w:t>
      </w:r>
      <w:r w:rsidR="00287772" w:rsidRPr="00287772">
        <w:rPr>
          <w:lang w:val="en-GB"/>
        </w:rPr>
        <w:t>90</w:t>
      </w:r>
      <w:r w:rsidRPr="00287772">
        <w:rPr>
          <w:lang w:val="en-GB"/>
        </w:rPr>
        <w:t xml:space="preserve"> days</w:t>
      </w:r>
      <w:r w:rsidR="008F0FB7" w:rsidRPr="00287772">
        <w:rPr>
          <w:lang w:val="en-GB"/>
        </w:rPr>
        <w:t>.</w:t>
      </w:r>
      <w:r w:rsidR="006052AC">
        <w:rPr>
          <w:lang w:val="en-GB"/>
        </w:rPr>
        <w:t xml:space="preserve"> </w:t>
      </w:r>
      <w:bookmarkStart w:id="13" w:name="_Hlk138255673"/>
    </w:p>
    <w:p w14:paraId="4CD71BC8" w14:textId="77777777" w:rsidR="004F269E" w:rsidRDefault="004F269E" w:rsidP="007B408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eastAsia="Calibri" w:hAnsi="Times New Roman" w:cs="Calibri"/>
          <w:b/>
          <w:bCs/>
          <w:color w:val="auto"/>
          <w:sz w:val="24"/>
          <w:szCs w:val="24"/>
          <w:lang w:val="en-US"/>
        </w:rPr>
      </w:pPr>
    </w:p>
    <w:p w14:paraId="70C3F91D" w14:textId="7440D216" w:rsidR="007B408C" w:rsidRPr="008C50F6" w:rsidRDefault="004F269E" w:rsidP="007B408C">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color w:val="auto"/>
          <w:sz w:val="24"/>
          <w:szCs w:val="24"/>
          <w:lang w:val="en-US"/>
        </w:rPr>
      </w:pPr>
      <w:r w:rsidRPr="0001447F">
        <w:rPr>
          <w:rFonts w:ascii="Times New Roman" w:eastAsia="Calibri" w:hAnsi="Times New Roman" w:cs="Calibri"/>
          <w:b/>
          <w:bCs/>
          <w:color w:val="auto"/>
          <w:sz w:val="24"/>
          <w:szCs w:val="24"/>
          <w:lang w:val="en-US"/>
        </w:rPr>
        <w:t>T</w:t>
      </w:r>
      <w:r w:rsidR="007B408C" w:rsidRPr="0001447F">
        <w:rPr>
          <w:rFonts w:ascii="Times New Roman" w:eastAsia="Calibri" w:hAnsi="Times New Roman" w:cs="Calibri"/>
          <w:b/>
          <w:bCs/>
          <w:color w:val="auto"/>
          <w:sz w:val="24"/>
          <w:szCs w:val="24"/>
          <w:lang w:val="en-US"/>
        </w:rPr>
        <w:t xml:space="preserve">able </w:t>
      </w:r>
      <w:r w:rsidR="0074278F">
        <w:rPr>
          <w:rFonts w:ascii="Times New Roman" w:eastAsia="Calibri" w:hAnsi="Times New Roman" w:cs="Calibri"/>
          <w:b/>
          <w:bCs/>
          <w:color w:val="auto"/>
          <w:sz w:val="24"/>
          <w:szCs w:val="24"/>
          <w:lang w:val="en-US"/>
        </w:rPr>
        <w:t>6</w:t>
      </w:r>
      <w:r w:rsidR="007B408C" w:rsidRPr="0001447F">
        <w:rPr>
          <w:rFonts w:ascii="Times New Roman" w:eastAsia="Calibri" w:hAnsi="Times New Roman" w:cs="Calibri"/>
          <w:b/>
          <w:bCs/>
          <w:color w:val="auto"/>
          <w:sz w:val="24"/>
          <w:szCs w:val="24"/>
          <w:lang w:val="en-US"/>
        </w:rPr>
        <w:t xml:space="preserve"> – </w:t>
      </w:r>
      <w:r w:rsidR="008C50F6" w:rsidRPr="0001447F">
        <w:rPr>
          <w:rFonts w:ascii="Times New Roman" w:eastAsia="Calibri" w:hAnsi="Times New Roman" w:cs="Calibri"/>
          <w:b/>
          <w:bCs/>
          <w:color w:val="auto"/>
          <w:sz w:val="24"/>
          <w:szCs w:val="24"/>
          <w:lang w:val="en-US"/>
        </w:rPr>
        <w:t xml:space="preserve">Time duration of </w:t>
      </w:r>
      <w:r w:rsidR="00D7712F" w:rsidRPr="0001447F">
        <w:rPr>
          <w:rFonts w:ascii="Times New Roman" w:eastAsia="Calibri" w:hAnsi="Times New Roman" w:cs="Calibri"/>
          <w:b/>
          <w:bCs/>
          <w:color w:val="auto"/>
          <w:sz w:val="24"/>
          <w:szCs w:val="24"/>
          <w:lang w:val="en-US"/>
        </w:rPr>
        <w:t>ordinary</w:t>
      </w:r>
      <w:r w:rsidR="008C50F6" w:rsidRPr="0001447F">
        <w:rPr>
          <w:rFonts w:ascii="Times New Roman" w:eastAsia="Calibri" w:hAnsi="Times New Roman" w:cs="Calibri"/>
          <w:b/>
          <w:bCs/>
          <w:color w:val="auto"/>
          <w:sz w:val="24"/>
          <w:szCs w:val="24"/>
          <w:lang w:val="en-US"/>
        </w:rPr>
        <w:t xml:space="preserve"> proceedings by topic</w:t>
      </w:r>
    </w:p>
    <w:tbl>
      <w:tblPr>
        <w:tblW w:w="5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2477"/>
      </w:tblGrid>
      <w:tr w:rsidR="00A13D12" w:rsidRPr="008C50F6" w14:paraId="3DE5370A" w14:textId="77777777" w:rsidTr="00D7712F">
        <w:trPr>
          <w:jc w:val="center"/>
        </w:trPr>
        <w:tc>
          <w:tcPr>
            <w:tcW w:w="3330" w:type="dxa"/>
          </w:tcPr>
          <w:bookmarkEnd w:id="13"/>
          <w:p w14:paraId="132F9E36" w14:textId="5BC9035D"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F349B3">
              <w:rPr>
                <w:b/>
                <w:bCs/>
                <w:sz w:val="20"/>
                <w:szCs w:val="20"/>
                <w:lang w:val="en-US"/>
                <w14:ligatures w14:val="standardContextual"/>
              </w:rPr>
              <w:t>Time duration</w:t>
            </w:r>
          </w:p>
        </w:tc>
        <w:tc>
          <w:tcPr>
            <w:tcW w:w="2477" w:type="dxa"/>
          </w:tcPr>
          <w:p w14:paraId="24D53391" w14:textId="48918449" w:rsidR="00A13D12" w:rsidRPr="008C50F6" w:rsidRDefault="00F349B3" w:rsidP="00287772">
            <w:pPr>
              <w:widowControl w:val="0"/>
              <w:autoSpaceDE w:val="0"/>
              <w:autoSpaceDN w:val="0"/>
              <w:adjustRightInd w:val="0"/>
              <w:spacing w:line="276" w:lineRule="auto"/>
              <w:jc w:val="center"/>
              <w:rPr>
                <w:b/>
                <w:bCs/>
                <w:sz w:val="20"/>
                <w:szCs w:val="20"/>
                <w:lang w:val="en-US"/>
                <w14:ligatures w14:val="standardContextual"/>
              </w:rPr>
            </w:pPr>
            <w:r>
              <w:rPr>
                <w:b/>
                <w:bCs/>
                <w:sz w:val="20"/>
                <w:szCs w:val="20"/>
                <w:lang w:val="en-US"/>
                <w14:ligatures w14:val="standardContextual"/>
              </w:rPr>
              <w:t>OLS</w:t>
            </w:r>
          </w:p>
        </w:tc>
      </w:tr>
      <w:tr w:rsidR="00A13D12" w:rsidRPr="008C50F6" w14:paraId="17430950" w14:textId="77777777" w:rsidTr="00D7712F">
        <w:trPr>
          <w:jc w:val="center"/>
        </w:trPr>
        <w:tc>
          <w:tcPr>
            <w:tcW w:w="3330" w:type="dxa"/>
          </w:tcPr>
          <w:p w14:paraId="1D7D5B38" w14:textId="45109FA1"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rPr>
              <w:t>Personality rights</w:t>
            </w:r>
          </w:p>
        </w:tc>
        <w:tc>
          <w:tcPr>
            <w:tcW w:w="2477" w:type="dxa"/>
          </w:tcPr>
          <w:p w14:paraId="12315FF8" w14:textId="45E36A74" w:rsidR="00A13D12" w:rsidRPr="00F349B3" w:rsidRDefault="00A13D12" w:rsidP="00287772">
            <w:pPr>
              <w:widowControl w:val="0"/>
              <w:autoSpaceDE w:val="0"/>
              <w:autoSpaceDN w:val="0"/>
              <w:adjustRightInd w:val="0"/>
              <w:spacing w:line="276" w:lineRule="auto"/>
              <w:jc w:val="center"/>
              <w:rPr>
                <w:sz w:val="20"/>
                <w:szCs w:val="20"/>
                <w:lang w:val="en-US"/>
                <w14:ligatures w14:val="standardContextual"/>
              </w:rPr>
            </w:pPr>
            <w:r w:rsidRPr="008C50F6">
              <w:rPr>
                <w:sz w:val="20"/>
                <w:szCs w:val="20"/>
                <w:lang w:val="en-US"/>
                <w14:ligatures w14:val="standardContextual"/>
              </w:rPr>
              <w:t>1</w:t>
            </w:r>
            <w:r w:rsidR="00617653">
              <w:rPr>
                <w:sz w:val="20"/>
                <w:szCs w:val="20"/>
                <w:lang w:val="en-US"/>
                <w14:ligatures w14:val="standardContextual"/>
              </w:rPr>
              <w:t>285</w:t>
            </w:r>
            <w:r w:rsidRPr="008C50F6">
              <w:rPr>
                <w:sz w:val="20"/>
                <w:szCs w:val="20"/>
                <w:lang w:val="en-US"/>
                <w14:ligatures w14:val="standardContextual"/>
              </w:rPr>
              <w:t>.</w:t>
            </w:r>
            <w:r w:rsidR="00617653">
              <w:rPr>
                <w:sz w:val="20"/>
                <w:szCs w:val="20"/>
                <w:lang w:val="en-US"/>
                <w14:ligatures w14:val="standardContextual"/>
              </w:rPr>
              <w:t>032</w:t>
            </w:r>
            <w:r w:rsidRPr="00F349B3">
              <w:rPr>
                <w:sz w:val="20"/>
                <w:szCs w:val="20"/>
                <w:lang w:val="en-US"/>
                <w14:ligatures w14:val="standardContextual"/>
              </w:rPr>
              <w:t>***</w:t>
            </w:r>
          </w:p>
          <w:p w14:paraId="6D212BFD" w14:textId="14973364"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617653">
              <w:rPr>
                <w:sz w:val="20"/>
                <w:szCs w:val="20"/>
                <w:lang w:val="en-US"/>
                <w14:ligatures w14:val="standardContextual"/>
              </w:rPr>
              <w:t>1</w:t>
            </w:r>
            <w:r w:rsidR="0077563F">
              <w:rPr>
                <w:sz w:val="20"/>
                <w:szCs w:val="20"/>
                <w:lang w:val="en-US"/>
                <w14:ligatures w14:val="standardContextual"/>
              </w:rPr>
              <w:t>6</w:t>
            </w:r>
            <w:r w:rsidRPr="00F349B3">
              <w:rPr>
                <w:sz w:val="20"/>
                <w:szCs w:val="20"/>
                <w:lang w:val="en-US"/>
                <w14:ligatures w14:val="standardContextual"/>
              </w:rPr>
              <w:t>.</w:t>
            </w:r>
            <w:r w:rsidR="0077563F">
              <w:rPr>
                <w:sz w:val="20"/>
                <w:szCs w:val="20"/>
                <w:lang w:val="en-US"/>
                <w14:ligatures w14:val="standardContextual"/>
              </w:rPr>
              <w:t>4</w:t>
            </w:r>
            <w:r w:rsidR="00617653">
              <w:rPr>
                <w:sz w:val="20"/>
                <w:szCs w:val="20"/>
                <w:lang w:val="en-US"/>
                <w14:ligatures w14:val="standardContextual"/>
              </w:rPr>
              <w:t>00</w:t>
            </w:r>
            <w:r w:rsidRPr="00F349B3">
              <w:rPr>
                <w:sz w:val="20"/>
                <w:szCs w:val="20"/>
                <w:lang w:val="en-US"/>
                <w14:ligatures w14:val="standardContextual"/>
              </w:rPr>
              <w:t>)</w:t>
            </w:r>
          </w:p>
        </w:tc>
      </w:tr>
      <w:tr w:rsidR="00A13D12" w:rsidRPr="008C50F6" w14:paraId="2F19B0FC" w14:textId="77777777" w:rsidTr="00D7712F">
        <w:trPr>
          <w:jc w:val="center"/>
        </w:trPr>
        <w:tc>
          <w:tcPr>
            <w:tcW w:w="3330" w:type="dxa"/>
          </w:tcPr>
          <w:p w14:paraId="01C8EEA6" w14:textId="458D5874"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Family rights</w:t>
            </w:r>
          </w:p>
        </w:tc>
        <w:tc>
          <w:tcPr>
            <w:tcW w:w="2477" w:type="dxa"/>
          </w:tcPr>
          <w:p w14:paraId="14D8F70C" w14:textId="587ACEC7" w:rsidR="00A13D12" w:rsidRPr="00F349B3" w:rsidRDefault="0077563F"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3</w:t>
            </w:r>
            <w:r w:rsidR="00617653">
              <w:rPr>
                <w:sz w:val="20"/>
                <w:szCs w:val="20"/>
                <w:lang w:val="en-US"/>
                <w14:ligatures w14:val="standardContextual"/>
              </w:rPr>
              <w:t>83.252</w:t>
            </w:r>
            <w:r w:rsidR="00A13D12" w:rsidRPr="00F349B3">
              <w:rPr>
                <w:sz w:val="20"/>
                <w:szCs w:val="20"/>
                <w:lang w:val="en-US"/>
                <w14:ligatures w14:val="standardContextual"/>
              </w:rPr>
              <w:t>***</w:t>
            </w:r>
          </w:p>
          <w:p w14:paraId="14780CB5" w14:textId="6A2177DF"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617653">
              <w:rPr>
                <w:sz w:val="20"/>
                <w:szCs w:val="20"/>
                <w:lang w:val="en-US"/>
                <w14:ligatures w14:val="standardContextual"/>
              </w:rPr>
              <w:t>18</w:t>
            </w:r>
            <w:r w:rsidRPr="00F349B3">
              <w:rPr>
                <w:sz w:val="20"/>
                <w:szCs w:val="20"/>
                <w:lang w:val="en-US"/>
                <w14:ligatures w14:val="standardContextual"/>
              </w:rPr>
              <w:t>.</w:t>
            </w:r>
            <w:r w:rsidR="00617653">
              <w:rPr>
                <w:sz w:val="20"/>
                <w:szCs w:val="20"/>
                <w:lang w:val="en-US"/>
                <w14:ligatures w14:val="standardContextual"/>
              </w:rPr>
              <w:t>060</w:t>
            </w:r>
            <w:r w:rsidRPr="00F349B3">
              <w:rPr>
                <w:sz w:val="20"/>
                <w:szCs w:val="20"/>
                <w:lang w:val="en-US"/>
                <w14:ligatures w14:val="standardContextual"/>
              </w:rPr>
              <w:t>)</w:t>
            </w:r>
          </w:p>
        </w:tc>
      </w:tr>
      <w:tr w:rsidR="00A13D12" w:rsidRPr="008C50F6" w14:paraId="16EDB0CD" w14:textId="77777777" w:rsidTr="00D7712F">
        <w:trPr>
          <w:jc w:val="center"/>
        </w:trPr>
        <w:tc>
          <w:tcPr>
            <w:tcW w:w="3330" w:type="dxa"/>
          </w:tcPr>
          <w:p w14:paraId="07A76CF2" w14:textId="00C80266"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bookmarkStart w:id="14" w:name="_Hlk146402082"/>
            <w:r w:rsidRPr="00C642E9">
              <w:rPr>
                <w:b/>
                <w:bCs/>
                <w:sz w:val="20"/>
                <w:szCs w:val="20"/>
                <w:lang w:val="en-US"/>
                <w14:ligatures w14:val="standardContextual"/>
              </w:rPr>
              <w:t xml:space="preserve">Property rights and </w:t>
            </w:r>
            <w:r w:rsidR="0077563F">
              <w:rPr>
                <w:b/>
                <w:bCs/>
                <w:sz w:val="20"/>
                <w:szCs w:val="20"/>
                <w:lang w:val="en-US"/>
                <w14:ligatures w14:val="standardContextual"/>
              </w:rPr>
              <w:t>inh</w:t>
            </w:r>
            <w:r w:rsidR="00D7712F">
              <w:rPr>
                <w:b/>
                <w:bCs/>
                <w:sz w:val="20"/>
                <w:szCs w:val="20"/>
                <w:lang w:val="en-US"/>
                <w14:ligatures w14:val="standardContextual"/>
              </w:rPr>
              <w:t>eritance law</w:t>
            </w:r>
            <w:bookmarkEnd w:id="14"/>
          </w:p>
        </w:tc>
        <w:tc>
          <w:tcPr>
            <w:tcW w:w="2477" w:type="dxa"/>
          </w:tcPr>
          <w:p w14:paraId="473E70F6" w14:textId="7741378D" w:rsidR="00A13D12" w:rsidRPr="00F349B3" w:rsidRDefault="00A13D12" w:rsidP="00287772">
            <w:pPr>
              <w:widowControl w:val="0"/>
              <w:autoSpaceDE w:val="0"/>
              <w:autoSpaceDN w:val="0"/>
              <w:adjustRightInd w:val="0"/>
              <w:spacing w:line="276" w:lineRule="auto"/>
              <w:jc w:val="center"/>
              <w:rPr>
                <w:sz w:val="20"/>
                <w:szCs w:val="20"/>
                <w:lang w:val="en-US"/>
                <w14:ligatures w14:val="standardContextual"/>
              </w:rPr>
            </w:pPr>
            <w:r w:rsidRPr="008C50F6">
              <w:rPr>
                <w:sz w:val="20"/>
                <w:szCs w:val="20"/>
                <w:lang w:val="en-US"/>
                <w14:ligatures w14:val="standardContextual"/>
              </w:rPr>
              <w:t>1</w:t>
            </w:r>
            <w:r w:rsidR="00617653">
              <w:rPr>
                <w:sz w:val="20"/>
                <w:szCs w:val="20"/>
                <w:lang w:val="en-US"/>
                <w14:ligatures w14:val="standardContextual"/>
              </w:rPr>
              <w:t>017</w:t>
            </w:r>
            <w:r w:rsidRPr="008C50F6">
              <w:rPr>
                <w:sz w:val="20"/>
                <w:szCs w:val="20"/>
                <w:lang w:val="en-US"/>
                <w14:ligatures w14:val="standardContextual"/>
              </w:rPr>
              <w:t>.</w:t>
            </w:r>
            <w:r w:rsidR="00617653">
              <w:rPr>
                <w:sz w:val="20"/>
                <w:szCs w:val="20"/>
                <w:lang w:val="en-US"/>
                <w14:ligatures w14:val="standardContextual"/>
              </w:rPr>
              <w:t>184</w:t>
            </w:r>
            <w:r w:rsidRPr="00F349B3">
              <w:rPr>
                <w:sz w:val="20"/>
                <w:szCs w:val="20"/>
                <w:lang w:val="en-US"/>
                <w14:ligatures w14:val="standardContextual"/>
              </w:rPr>
              <w:t>***</w:t>
            </w:r>
          </w:p>
          <w:p w14:paraId="3D0B38A3" w14:textId="64A3A074"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617653">
              <w:rPr>
                <w:sz w:val="20"/>
                <w:szCs w:val="20"/>
                <w:lang w:val="en-US"/>
                <w14:ligatures w14:val="standardContextual"/>
              </w:rPr>
              <w:t>17</w:t>
            </w:r>
            <w:r w:rsidRPr="00F349B3">
              <w:rPr>
                <w:sz w:val="20"/>
                <w:szCs w:val="20"/>
                <w:lang w:val="en-US"/>
                <w14:ligatures w14:val="standardContextual"/>
              </w:rPr>
              <w:t>.</w:t>
            </w:r>
            <w:r w:rsidR="00617653">
              <w:rPr>
                <w:sz w:val="20"/>
                <w:szCs w:val="20"/>
                <w:lang w:val="en-US"/>
                <w14:ligatures w14:val="standardContextual"/>
              </w:rPr>
              <w:t>987</w:t>
            </w:r>
            <w:r w:rsidRPr="00F349B3">
              <w:rPr>
                <w:sz w:val="20"/>
                <w:szCs w:val="20"/>
                <w:lang w:val="en-US"/>
                <w14:ligatures w14:val="standardContextual"/>
              </w:rPr>
              <w:t>)</w:t>
            </w:r>
          </w:p>
        </w:tc>
      </w:tr>
      <w:tr w:rsidR="00A13D12" w:rsidRPr="008C50F6" w14:paraId="51464BF2" w14:textId="77777777" w:rsidTr="00D7712F">
        <w:trPr>
          <w:jc w:val="center"/>
        </w:trPr>
        <w:tc>
          <w:tcPr>
            <w:tcW w:w="3330" w:type="dxa"/>
          </w:tcPr>
          <w:p w14:paraId="37A46670" w14:textId="0FE17608"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rPr>
              <w:t>Contracts and obligations</w:t>
            </w:r>
          </w:p>
        </w:tc>
        <w:tc>
          <w:tcPr>
            <w:tcW w:w="2477" w:type="dxa"/>
          </w:tcPr>
          <w:p w14:paraId="4BDD918C" w14:textId="75AED428" w:rsidR="00A13D12" w:rsidRPr="00F349B3" w:rsidRDefault="0077563F"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80</w:t>
            </w:r>
            <w:r w:rsidR="00617653">
              <w:rPr>
                <w:sz w:val="20"/>
                <w:szCs w:val="20"/>
                <w:lang w:val="en-US"/>
                <w14:ligatures w14:val="standardContextual"/>
              </w:rPr>
              <w:t>2</w:t>
            </w:r>
            <w:r>
              <w:rPr>
                <w:sz w:val="20"/>
                <w:szCs w:val="20"/>
                <w:lang w:val="en-US"/>
                <w14:ligatures w14:val="standardContextual"/>
              </w:rPr>
              <w:t>.</w:t>
            </w:r>
            <w:r w:rsidR="00617653">
              <w:rPr>
                <w:sz w:val="20"/>
                <w:szCs w:val="20"/>
                <w:lang w:val="en-US"/>
                <w14:ligatures w14:val="standardContextual"/>
              </w:rPr>
              <w:t>901</w:t>
            </w:r>
            <w:r w:rsidR="00A13D12" w:rsidRPr="00F349B3">
              <w:rPr>
                <w:sz w:val="20"/>
                <w:szCs w:val="20"/>
                <w:lang w:val="en-US"/>
                <w14:ligatures w14:val="standardContextual"/>
              </w:rPr>
              <w:t>***</w:t>
            </w:r>
          </w:p>
          <w:p w14:paraId="38FAB8D8" w14:textId="665C2483"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11.052</w:t>
            </w:r>
            <w:r w:rsidRPr="00F349B3">
              <w:rPr>
                <w:sz w:val="20"/>
                <w:szCs w:val="20"/>
                <w:lang w:val="en-US"/>
                <w14:ligatures w14:val="standardContextual"/>
              </w:rPr>
              <w:t>)</w:t>
            </w:r>
          </w:p>
        </w:tc>
      </w:tr>
      <w:tr w:rsidR="00A13D12" w:rsidRPr="008C50F6" w14:paraId="12CAF043" w14:textId="77777777" w:rsidTr="00D7712F">
        <w:trPr>
          <w:jc w:val="center"/>
        </w:trPr>
        <w:tc>
          <w:tcPr>
            <w:tcW w:w="3330" w:type="dxa"/>
          </w:tcPr>
          <w:p w14:paraId="10DC54E4" w14:textId="0A979B2E" w:rsidR="00A13D12" w:rsidRPr="008C50F6" w:rsidRDefault="008A34EC" w:rsidP="00287772">
            <w:pPr>
              <w:widowControl w:val="0"/>
              <w:autoSpaceDE w:val="0"/>
              <w:autoSpaceDN w:val="0"/>
              <w:adjustRightInd w:val="0"/>
              <w:spacing w:line="276" w:lineRule="auto"/>
              <w:jc w:val="center"/>
              <w:rPr>
                <w:b/>
                <w:bCs/>
                <w:sz w:val="20"/>
                <w:szCs w:val="20"/>
                <w:lang w:val="en-US"/>
                <w14:ligatures w14:val="standardContextual"/>
              </w:rPr>
            </w:pPr>
            <w:r>
              <w:rPr>
                <w:b/>
                <w:bCs/>
                <w:sz w:val="20"/>
                <w:szCs w:val="20"/>
                <w:lang w:val="en-US"/>
              </w:rPr>
              <w:t>L</w:t>
            </w:r>
            <w:r w:rsidR="00A13D12" w:rsidRPr="00C642E9">
              <w:rPr>
                <w:b/>
                <w:bCs/>
                <w:sz w:val="20"/>
                <w:szCs w:val="20"/>
                <w:lang w:val="en-US"/>
              </w:rPr>
              <w:t>iability</w:t>
            </w:r>
            <w:r>
              <w:rPr>
                <w:b/>
                <w:bCs/>
                <w:sz w:val="20"/>
                <w:szCs w:val="20"/>
                <w:lang w:val="en-US"/>
              </w:rPr>
              <w:t xml:space="preserve"> for tort</w:t>
            </w:r>
          </w:p>
        </w:tc>
        <w:tc>
          <w:tcPr>
            <w:tcW w:w="2477" w:type="dxa"/>
          </w:tcPr>
          <w:p w14:paraId="504041D1" w14:textId="1847E90B" w:rsidR="00A13D12" w:rsidRPr="00F349B3" w:rsidRDefault="00A13D12" w:rsidP="00287772">
            <w:pPr>
              <w:widowControl w:val="0"/>
              <w:autoSpaceDE w:val="0"/>
              <w:autoSpaceDN w:val="0"/>
              <w:adjustRightInd w:val="0"/>
              <w:spacing w:line="276" w:lineRule="auto"/>
              <w:jc w:val="center"/>
              <w:rPr>
                <w:sz w:val="20"/>
                <w:szCs w:val="20"/>
                <w:lang w:val="en-US"/>
                <w14:ligatures w14:val="standardContextual"/>
              </w:rPr>
            </w:pPr>
            <w:r w:rsidRPr="008C50F6">
              <w:rPr>
                <w:sz w:val="20"/>
                <w:szCs w:val="20"/>
                <w:lang w:val="en-US"/>
                <w14:ligatures w14:val="standardContextual"/>
              </w:rPr>
              <w:t>1</w:t>
            </w:r>
            <w:r w:rsidR="0077563F">
              <w:rPr>
                <w:sz w:val="20"/>
                <w:szCs w:val="20"/>
                <w:lang w:val="en-US"/>
                <w14:ligatures w14:val="standardContextual"/>
              </w:rPr>
              <w:t>1</w:t>
            </w:r>
            <w:r w:rsidR="008A34EC">
              <w:rPr>
                <w:sz w:val="20"/>
                <w:szCs w:val="20"/>
                <w:lang w:val="en-US"/>
                <w14:ligatures w14:val="standardContextual"/>
              </w:rPr>
              <w:t>14.66</w:t>
            </w:r>
            <w:r w:rsidR="00872949">
              <w:rPr>
                <w:sz w:val="20"/>
                <w:szCs w:val="20"/>
                <w:lang w:val="en-US"/>
                <w14:ligatures w14:val="standardContextual"/>
              </w:rPr>
              <w:t>5</w:t>
            </w:r>
            <w:r w:rsidRPr="00F349B3">
              <w:rPr>
                <w:sz w:val="20"/>
                <w:szCs w:val="20"/>
                <w:lang w:val="en-US"/>
                <w14:ligatures w14:val="standardContextual"/>
              </w:rPr>
              <w:t>***</w:t>
            </w:r>
          </w:p>
          <w:p w14:paraId="6FB1575D" w14:textId="52726BDE"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15</w:t>
            </w:r>
            <w:r w:rsidR="0077563F">
              <w:rPr>
                <w:sz w:val="20"/>
                <w:szCs w:val="20"/>
                <w:lang w:val="en-US"/>
                <w14:ligatures w14:val="standardContextual"/>
              </w:rPr>
              <w:t>.</w:t>
            </w:r>
            <w:r w:rsidR="008A34EC">
              <w:rPr>
                <w:sz w:val="20"/>
                <w:szCs w:val="20"/>
                <w:lang w:val="en-US"/>
                <w14:ligatures w14:val="standardContextual"/>
              </w:rPr>
              <w:t>459</w:t>
            </w:r>
            <w:r w:rsidRPr="00F349B3">
              <w:rPr>
                <w:sz w:val="20"/>
                <w:szCs w:val="20"/>
                <w:lang w:val="en-US"/>
                <w14:ligatures w14:val="standardContextual"/>
              </w:rPr>
              <w:t>)</w:t>
            </w:r>
          </w:p>
        </w:tc>
      </w:tr>
      <w:tr w:rsidR="00A13D12" w:rsidRPr="008C50F6" w14:paraId="1B24DFB1" w14:textId="77777777" w:rsidTr="00D7712F">
        <w:trPr>
          <w:jc w:val="center"/>
        </w:trPr>
        <w:tc>
          <w:tcPr>
            <w:tcW w:w="3330" w:type="dxa"/>
          </w:tcPr>
          <w:p w14:paraId="0E6FE7D3" w14:textId="6867FDAF"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rPr>
              <w:t>Legal entities</w:t>
            </w:r>
          </w:p>
        </w:tc>
        <w:tc>
          <w:tcPr>
            <w:tcW w:w="2477" w:type="dxa"/>
          </w:tcPr>
          <w:p w14:paraId="2C9A09DF" w14:textId="5AA5E63C" w:rsidR="00A13D12" w:rsidRPr="00F349B3" w:rsidRDefault="0077563F"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40</w:t>
            </w:r>
            <w:r w:rsidR="008A34EC">
              <w:rPr>
                <w:sz w:val="20"/>
                <w:szCs w:val="20"/>
                <w:lang w:val="en-US"/>
                <w14:ligatures w14:val="standardContextual"/>
              </w:rPr>
              <w:t>1</w:t>
            </w:r>
            <w:r>
              <w:rPr>
                <w:sz w:val="20"/>
                <w:szCs w:val="20"/>
                <w:lang w:val="en-US"/>
                <w14:ligatures w14:val="standardContextual"/>
              </w:rPr>
              <w:t>.</w:t>
            </w:r>
            <w:r w:rsidR="008A34EC">
              <w:rPr>
                <w:sz w:val="20"/>
                <w:szCs w:val="20"/>
                <w:lang w:val="en-US"/>
                <w14:ligatures w14:val="standardContextual"/>
              </w:rPr>
              <w:t>360*</w:t>
            </w:r>
          </w:p>
          <w:p w14:paraId="761D46F1" w14:textId="0D34A3EE"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212</w:t>
            </w:r>
            <w:r w:rsidR="0077563F">
              <w:rPr>
                <w:sz w:val="20"/>
                <w:szCs w:val="20"/>
                <w:lang w:val="en-US"/>
                <w14:ligatures w14:val="standardContextual"/>
              </w:rPr>
              <w:t>.</w:t>
            </w:r>
            <w:r w:rsidR="008A34EC">
              <w:rPr>
                <w:sz w:val="20"/>
                <w:szCs w:val="20"/>
                <w:lang w:val="en-US"/>
                <w14:ligatures w14:val="standardContextual"/>
              </w:rPr>
              <w:t>530</w:t>
            </w:r>
            <w:r w:rsidRPr="00F349B3">
              <w:rPr>
                <w:sz w:val="20"/>
                <w:szCs w:val="20"/>
                <w:lang w:val="en-US"/>
                <w14:ligatures w14:val="standardContextual"/>
              </w:rPr>
              <w:t>)</w:t>
            </w:r>
          </w:p>
        </w:tc>
      </w:tr>
      <w:tr w:rsidR="00A13D12" w:rsidRPr="008C50F6" w14:paraId="44D03211" w14:textId="77777777" w:rsidTr="00D7712F">
        <w:trPr>
          <w:jc w:val="center"/>
        </w:trPr>
        <w:tc>
          <w:tcPr>
            <w:tcW w:w="3330" w:type="dxa"/>
          </w:tcPr>
          <w:p w14:paraId="70A639A0" w14:textId="0BD8FC55"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Company law</w:t>
            </w:r>
          </w:p>
        </w:tc>
        <w:tc>
          <w:tcPr>
            <w:tcW w:w="2477" w:type="dxa"/>
          </w:tcPr>
          <w:p w14:paraId="3042D22A" w14:textId="33D053E7" w:rsidR="00A13D12" w:rsidRPr="00F349B3" w:rsidRDefault="008A34EC"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135</w:t>
            </w:r>
            <w:r w:rsidR="0077563F">
              <w:rPr>
                <w:sz w:val="20"/>
                <w:szCs w:val="20"/>
                <w:lang w:val="en-US"/>
                <w14:ligatures w14:val="standardContextual"/>
              </w:rPr>
              <w:t>.</w:t>
            </w:r>
            <w:r>
              <w:rPr>
                <w:sz w:val="20"/>
                <w:szCs w:val="20"/>
                <w:lang w:val="en-US"/>
                <w14:ligatures w14:val="standardContextual"/>
              </w:rPr>
              <w:t>496</w:t>
            </w:r>
          </w:p>
          <w:p w14:paraId="33FDB566" w14:textId="545B8B22"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128</w:t>
            </w:r>
            <w:r w:rsidRPr="00F349B3">
              <w:rPr>
                <w:sz w:val="20"/>
                <w:szCs w:val="20"/>
                <w:lang w:val="en-US"/>
                <w14:ligatures w14:val="standardContextual"/>
              </w:rPr>
              <w:t>.</w:t>
            </w:r>
            <w:r w:rsidR="008A34EC">
              <w:rPr>
                <w:sz w:val="20"/>
                <w:szCs w:val="20"/>
                <w:lang w:val="en-US"/>
                <w14:ligatures w14:val="standardContextual"/>
              </w:rPr>
              <w:t>207</w:t>
            </w:r>
            <w:r w:rsidRPr="00F349B3">
              <w:rPr>
                <w:sz w:val="20"/>
                <w:szCs w:val="20"/>
                <w:lang w:val="en-US"/>
                <w14:ligatures w14:val="standardContextual"/>
              </w:rPr>
              <w:t>)</w:t>
            </w:r>
          </w:p>
        </w:tc>
      </w:tr>
      <w:tr w:rsidR="00A13D12" w:rsidRPr="008C50F6" w14:paraId="0BDDB779" w14:textId="77777777" w:rsidTr="00D7712F">
        <w:trPr>
          <w:jc w:val="center"/>
        </w:trPr>
        <w:tc>
          <w:tcPr>
            <w:tcW w:w="3330" w:type="dxa"/>
          </w:tcPr>
          <w:p w14:paraId="021D9DE1" w14:textId="72BA3FBD" w:rsidR="00A13D12" w:rsidRPr="008C50F6" w:rsidRDefault="00A13D12" w:rsidP="00BE048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 xml:space="preserve">Lease and </w:t>
            </w:r>
            <w:proofErr w:type="spellStart"/>
            <w:r w:rsidR="00872949">
              <w:rPr>
                <w:b/>
                <w:bCs/>
                <w:sz w:val="20"/>
                <w:szCs w:val="20"/>
                <w:lang w:val="en-US"/>
                <w14:ligatures w14:val="standardContextual"/>
              </w:rPr>
              <w:t>commodat</w:t>
            </w:r>
            <w:r w:rsidR="00BE0482">
              <w:rPr>
                <w:b/>
                <w:bCs/>
                <w:sz w:val="20"/>
                <w:szCs w:val="20"/>
                <w:lang w:val="en-US"/>
                <w14:ligatures w14:val="standardContextual"/>
              </w:rPr>
              <w:t>um</w:t>
            </w:r>
            <w:proofErr w:type="spellEnd"/>
          </w:p>
        </w:tc>
        <w:tc>
          <w:tcPr>
            <w:tcW w:w="2477" w:type="dxa"/>
          </w:tcPr>
          <w:p w14:paraId="441463D1" w14:textId="279DD486" w:rsidR="00A13D12" w:rsidRPr="00F349B3" w:rsidRDefault="0077563F"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67</w:t>
            </w:r>
            <w:r w:rsidR="008A34EC">
              <w:rPr>
                <w:sz w:val="20"/>
                <w:szCs w:val="20"/>
                <w:lang w:val="en-US"/>
                <w14:ligatures w14:val="standardContextual"/>
              </w:rPr>
              <w:t>6</w:t>
            </w:r>
            <w:r>
              <w:rPr>
                <w:sz w:val="20"/>
                <w:szCs w:val="20"/>
                <w:lang w:val="en-US"/>
                <w14:ligatures w14:val="standardContextual"/>
              </w:rPr>
              <w:t>.</w:t>
            </w:r>
            <w:r w:rsidR="008A34EC">
              <w:rPr>
                <w:sz w:val="20"/>
                <w:szCs w:val="20"/>
                <w:lang w:val="en-US"/>
                <w14:ligatures w14:val="standardContextual"/>
              </w:rPr>
              <w:t>142</w:t>
            </w:r>
            <w:r w:rsidR="00A13D12" w:rsidRPr="00F349B3">
              <w:rPr>
                <w:sz w:val="20"/>
                <w:szCs w:val="20"/>
                <w:lang w:val="en-US"/>
                <w14:ligatures w14:val="standardContextual"/>
              </w:rPr>
              <w:t>***</w:t>
            </w:r>
          </w:p>
          <w:p w14:paraId="453E8333" w14:textId="4E49D9BE"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20</w:t>
            </w:r>
            <w:r w:rsidR="0077563F">
              <w:rPr>
                <w:sz w:val="20"/>
                <w:szCs w:val="20"/>
                <w:lang w:val="en-US"/>
                <w14:ligatures w14:val="standardContextual"/>
              </w:rPr>
              <w:t>.</w:t>
            </w:r>
            <w:r w:rsidR="008A34EC">
              <w:rPr>
                <w:sz w:val="20"/>
                <w:szCs w:val="20"/>
                <w:lang w:val="en-US"/>
                <w14:ligatures w14:val="standardContextual"/>
              </w:rPr>
              <w:t>048</w:t>
            </w:r>
            <w:r w:rsidRPr="00F349B3">
              <w:rPr>
                <w:sz w:val="20"/>
                <w:szCs w:val="20"/>
                <w:lang w:val="en-US"/>
                <w14:ligatures w14:val="standardContextual"/>
              </w:rPr>
              <w:t>)</w:t>
            </w:r>
          </w:p>
        </w:tc>
      </w:tr>
      <w:tr w:rsidR="00A13D12" w:rsidRPr="008C50F6" w14:paraId="77F94273" w14:textId="77777777" w:rsidTr="00D7712F">
        <w:trPr>
          <w:jc w:val="center"/>
        </w:trPr>
        <w:tc>
          <w:tcPr>
            <w:tcW w:w="3330" w:type="dxa"/>
          </w:tcPr>
          <w:p w14:paraId="53D44472" w14:textId="79BE8FB6" w:rsidR="00A13D12" w:rsidRPr="008C50F6" w:rsidRDefault="0077563F" w:rsidP="00287772">
            <w:pPr>
              <w:widowControl w:val="0"/>
              <w:autoSpaceDE w:val="0"/>
              <w:autoSpaceDN w:val="0"/>
              <w:adjustRightInd w:val="0"/>
              <w:spacing w:line="276" w:lineRule="auto"/>
              <w:jc w:val="center"/>
              <w:rPr>
                <w:b/>
                <w:bCs/>
                <w:sz w:val="20"/>
                <w:szCs w:val="20"/>
                <w:lang w:val="en-US"/>
                <w14:ligatures w14:val="standardContextual"/>
              </w:rPr>
            </w:pPr>
            <w:r>
              <w:rPr>
                <w:b/>
                <w:bCs/>
                <w:sz w:val="20"/>
                <w:szCs w:val="20"/>
                <w:lang w:val="en-US"/>
                <w14:ligatures w14:val="standardContextual"/>
              </w:rPr>
              <w:t>Bankruptcy</w:t>
            </w:r>
          </w:p>
        </w:tc>
        <w:tc>
          <w:tcPr>
            <w:tcW w:w="2477" w:type="dxa"/>
          </w:tcPr>
          <w:p w14:paraId="61D0F9D9" w14:textId="11258131" w:rsidR="00A13D12" w:rsidRPr="00F349B3" w:rsidRDefault="008A34EC"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585</w:t>
            </w:r>
            <w:r w:rsidR="0077563F">
              <w:rPr>
                <w:sz w:val="20"/>
                <w:szCs w:val="20"/>
                <w:lang w:val="en-US"/>
                <w14:ligatures w14:val="standardContextual"/>
              </w:rPr>
              <w:t>.</w:t>
            </w:r>
            <w:r>
              <w:rPr>
                <w:sz w:val="20"/>
                <w:szCs w:val="20"/>
                <w:lang w:val="en-US"/>
                <w14:ligatures w14:val="standardContextual"/>
              </w:rPr>
              <w:t>47</w:t>
            </w:r>
            <w:r w:rsidR="00872949">
              <w:rPr>
                <w:sz w:val="20"/>
                <w:szCs w:val="20"/>
                <w:lang w:val="en-US"/>
                <w14:ligatures w14:val="standardContextual"/>
              </w:rPr>
              <w:t>4</w:t>
            </w:r>
            <w:r w:rsidR="00A13D12" w:rsidRPr="00F349B3">
              <w:rPr>
                <w:sz w:val="20"/>
                <w:szCs w:val="20"/>
                <w:lang w:val="en-US"/>
                <w14:ligatures w14:val="standardContextual"/>
              </w:rPr>
              <w:t>***</w:t>
            </w:r>
          </w:p>
          <w:p w14:paraId="115298B1" w14:textId="1192AEA1"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18</w:t>
            </w:r>
            <w:r w:rsidR="0077563F">
              <w:rPr>
                <w:sz w:val="20"/>
                <w:szCs w:val="20"/>
                <w:lang w:val="en-US"/>
                <w14:ligatures w14:val="standardContextual"/>
              </w:rPr>
              <w:t>.5</w:t>
            </w:r>
            <w:r w:rsidR="008A34EC">
              <w:rPr>
                <w:sz w:val="20"/>
                <w:szCs w:val="20"/>
                <w:lang w:val="en-US"/>
                <w14:ligatures w14:val="standardContextual"/>
              </w:rPr>
              <w:t>60</w:t>
            </w:r>
            <w:r w:rsidRPr="00F349B3">
              <w:rPr>
                <w:sz w:val="20"/>
                <w:szCs w:val="20"/>
                <w:lang w:val="en-US"/>
                <w14:ligatures w14:val="standardContextual"/>
              </w:rPr>
              <w:t>)</w:t>
            </w:r>
          </w:p>
        </w:tc>
      </w:tr>
      <w:tr w:rsidR="00A13D12" w:rsidRPr="008C50F6" w14:paraId="6BD33D9E" w14:textId="77777777" w:rsidTr="00D7712F">
        <w:trPr>
          <w:jc w:val="center"/>
        </w:trPr>
        <w:tc>
          <w:tcPr>
            <w:tcW w:w="3330" w:type="dxa"/>
          </w:tcPr>
          <w:p w14:paraId="307720B4" w14:textId="4FFB954D"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Administrative law</w:t>
            </w:r>
          </w:p>
        </w:tc>
        <w:tc>
          <w:tcPr>
            <w:tcW w:w="2477" w:type="dxa"/>
          </w:tcPr>
          <w:p w14:paraId="52F97738" w14:textId="6FF54328" w:rsidR="00A13D12" w:rsidRPr="00F349B3" w:rsidRDefault="008A34EC"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71</w:t>
            </w:r>
            <w:r w:rsidR="0077563F">
              <w:rPr>
                <w:sz w:val="20"/>
                <w:szCs w:val="20"/>
                <w:lang w:val="en-US"/>
                <w14:ligatures w14:val="standardContextual"/>
              </w:rPr>
              <w:t>6.</w:t>
            </w:r>
            <w:r>
              <w:rPr>
                <w:sz w:val="20"/>
                <w:szCs w:val="20"/>
                <w:lang w:val="en-US"/>
                <w14:ligatures w14:val="standardContextual"/>
              </w:rPr>
              <w:t>81</w:t>
            </w:r>
            <w:r w:rsidR="0077563F">
              <w:rPr>
                <w:sz w:val="20"/>
                <w:szCs w:val="20"/>
                <w:lang w:val="en-US"/>
                <w14:ligatures w14:val="standardContextual"/>
              </w:rPr>
              <w:t>2</w:t>
            </w:r>
            <w:r w:rsidR="00A13D12" w:rsidRPr="00F349B3">
              <w:rPr>
                <w:sz w:val="20"/>
                <w:szCs w:val="20"/>
                <w:lang w:val="en-US"/>
                <w14:ligatures w14:val="standardContextual"/>
              </w:rPr>
              <w:t>***</w:t>
            </w:r>
          </w:p>
          <w:p w14:paraId="652E54A8" w14:textId="543EDE38"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25</w:t>
            </w:r>
            <w:r w:rsidR="0077563F">
              <w:rPr>
                <w:sz w:val="20"/>
                <w:szCs w:val="20"/>
                <w:lang w:val="en-US"/>
                <w14:ligatures w14:val="standardContextual"/>
              </w:rPr>
              <w:t>.</w:t>
            </w:r>
            <w:r w:rsidR="008A34EC">
              <w:rPr>
                <w:sz w:val="20"/>
                <w:szCs w:val="20"/>
                <w:lang w:val="en-US"/>
                <w14:ligatures w14:val="standardContextual"/>
              </w:rPr>
              <w:t>196</w:t>
            </w:r>
            <w:r w:rsidRPr="00F349B3">
              <w:rPr>
                <w:sz w:val="20"/>
                <w:szCs w:val="20"/>
                <w:lang w:val="en-US"/>
                <w14:ligatures w14:val="standardContextual"/>
              </w:rPr>
              <w:t>)</w:t>
            </w:r>
          </w:p>
        </w:tc>
      </w:tr>
      <w:tr w:rsidR="00A13D12" w:rsidRPr="008C50F6" w14:paraId="6411A240" w14:textId="77777777" w:rsidTr="00D7712F">
        <w:trPr>
          <w:jc w:val="center"/>
        </w:trPr>
        <w:tc>
          <w:tcPr>
            <w:tcW w:w="3330" w:type="dxa"/>
          </w:tcPr>
          <w:p w14:paraId="21EFC705" w14:textId="1892CA8B"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Banking law</w:t>
            </w:r>
          </w:p>
        </w:tc>
        <w:tc>
          <w:tcPr>
            <w:tcW w:w="2477" w:type="dxa"/>
          </w:tcPr>
          <w:p w14:paraId="0793F108" w14:textId="295F7A33" w:rsidR="00A13D12" w:rsidRPr="00F349B3" w:rsidRDefault="008A34EC"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838</w:t>
            </w:r>
            <w:r w:rsidR="0077563F">
              <w:rPr>
                <w:sz w:val="20"/>
                <w:szCs w:val="20"/>
                <w:lang w:val="en-US"/>
                <w14:ligatures w14:val="standardContextual"/>
              </w:rPr>
              <w:t>.</w:t>
            </w:r>
            <w:r>
              <w:rPr>
                <w:sz w:val="20"/>
                <w:szCs w:val="20"/>
                <w:lang w:val="en-US"/>
                <w14:ligatures w14:val="standardContextual"/>
              </w:rPr>
              <w:t>410</w:t>
            </w:r>
            <w:r w:rsidR="00A13D12" w:rsidRPr="00F349B3">
              <w:rPr>
                <w:sz w:val="20"/>
                <w:szCs w:val="20"/>
                <w:lang w:val="en-US"/>
                <w14:ligatures w14:val="standardContextual"/>
              </w:rPr>
              <w:t>***</w:t>
            </w:r>
          </w:p>
          <w:p w14:paraId="06B2BE98" w14:textId="6F14BA9D"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31</w:t>
            </w:r>
            <w:r w:rsidR="0077563F">
              <w:rPr>
                <w:sz w:val="20"/>
                <w:szCs w:val="20"/>
                <w:lang w:val="en-US"/>
                <w14:ligatures w14:val="standardContextual"/>
              </w:rPr>
              <w:t>.</w:t>
            </w:r>
            <w:r w:rsidR="008A34EC">
              <w:rPr>
                <w:sz w:val="20"/>
                <w:szCs w:val="20"/>
                <w:lang w:val="en-US"/>
                <w14:ligatures w14:val="standardContextual"/>
              </w:rPr>
              <w:t>049</w:t>
            </w:r>
            <w:r w:rsidRPr="00F349B3">
              <w:rPr>
                <w:sz w:val="20"/>
                <w:szCs w:val="20"/>
                <w:lang w:val="en-US"/>
                <w14:ligatures w14:val="standardContextual"/>
              </w:rPr>
              <w:t>)</w:t>
            </w:r>
          </w:p>
        </w:tc>
      </w:tr>
      <w:tr w:rsidR="00A13D12" w:rsidRPr="008C50F6" w14:paraId="06F29E87" w14:textId="77777777" w:rsidTr="00D7712F">
        <w:trPr>
          <w:jc w:val="center"/>
        </w:trPr>
        <w:tc>
          <w:tcPr>
            <w:tcW w:w="3330" w:type="dxa"/>
          </w:tcPr>
          <w:p w14:paraId="138A50C9" w14:textId="2333A765"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sz w:val="20"/>
                <w:szCs w:val="20"/>
                <w:lang w:val="en-US"/>
                <w14:ligatures w14:val="standardContextual"/>
              </w:rPr>
              <w:t>Other institutes</w:t>
            </w:r>
          </w:p>
        </w:tc>
        <w:tc>
          <w:tcPr>
            <w:tcW w:w="2477" w:type="dxa"/>
          </w:tcPr>
          <w:p w14:paraId="2E63145B" w14:textId="35CB7F85" w:rsidR="00A13D12" w:rsidRPr="00F349B3" w:rsidRDefault="0077563F"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5</w:t>
            </w:r>
            <w:r w:rsidR="008A34EC">
              <w:rPr>
                <w:sz w:val="20"/>
                <w:szCs w:val="20"/>
                <w:lang w:val="en-US"/>
                <w14:ligatures w14:val="standardContextual"/>
              </w:rPr>
              <w:t>90</w:t>
            </w:r>
            <w:r>
              <w:rPr>
                <w:sz w:val="20"/>
                <w:szCs w:val="20"/>
                <w:lang w:val="en-US"/>
                <w14:ligatures w14:val="standardContextual"/>
              </w:rPr>
              <w:t>.</w:t>
            </w:r>
            <w:r w:rsidR="008A34EC">
              <w:rPr>
                <w:sz w:val="20"/>
                <w:szCs w:val="20"/>
                <w:lang w:val="en-US"/>
                <w14:ligatures w14:val="standardContextual"/>
              </w:rPr>
              <w:t>490</w:t>
            </w:r>
            <w:r w:rsidR="00A13D12" w:rsidRPr="00F349B3">
              <w:rPr>
                <w:sz w:val="20"/>
                <w:szCs w:val="20"/>
                <w:lang w:val="en-US"/>
                <w14:ligatures w14:val="standardContextual"/>
              </w:rPr>
              <w:t>***</w:t>
            </w:r>
          </w:p>
          <w:p w14:paraId="3C49F933" w14:textId="33AFD9D4"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13</w:t>
            </w:r>
            <w:r w:rsidR="0077563F">
              <w:rPr>
                <w:sz w:val="20"/>
                <w:szCs w:val="20"/>
                <w:lang w:val="en-US"/>
                <w14:ligatures w14:val="standardContextual"/>
              </w:rPr>
              <w:t>.</w:t>
            </w:r>
            <w:r w:rsidR="008A34EC">
              <w:rPr>
                <w:sz w:val="20"/>
                <w:szCs w:val="20"/>
                <w:lang w:val="en-US"/>
                <w14:ligatures w14:val="standardContextual"/>
              </w:rPr>
              <w:t>922</w:t>
            </w:r>
            <w:r w:rsidRPr="00F349B3">
              <w:rPr>
                <w:sz w:val="20"/>
                <w:szCs w:val="20"/>
                <w:lang w:val="en-US"/>
                <w14:ligatures w14:val="standardContextual"/>
              </w:rPr>
              <w:t>)</w:t>
            </w:r>
          </w:p>
        </w:tc>
      </w:tr>
      <w:tr w:rsidR="00A13D12" w:rsidRPr="008C50F6" w14:paraId="52173C7B" w14:textId="77777777" w:rsidTr="00D7712F">
        <w:trPr>
          <w:jc w:val="center"/>
        </w:trPr>
        <w:tc>
          <w:tcPr>
            <w:tcW w:w="3330" w:type="dxa"/>
          </w:tcPr>
          <w:p w14:paraId="24B85B0A" w14:textId="77777777" w:rsidR="00A13D12" w:rsidRPr="008C50F6" w:rsidRDefault="00A13D12" w:rsidP="00287772">
            <w:pPr>
              <w:widowControl w:val="0"/>
              <w:autoSpaceDE w:val="0"/>
              <w:autoSpaceDN w:val="0"/>
              <w:adjustRightInd w:val="0"/>
              <w:spacing w:line="276" w:lineRule="auto"/>
              <w:jc w:val="center"/>
              <w:rPr>
                <w:b/>
                <w:bCs/>
                <w:sz w:val="20"/>
                <w:szCs w:val="20"/>
                <w:lang w:val="en-US"/>
                <w14:ligatures w14:val="standardContextual"/>
              </w:rPr>
            </w:pPr>
            <w:r w:rsidRPr="008C50F6">
              <w:rPr>
                <w:b/>
                <w:bCs/>
                <w:sz w:val="20"/>
                <w:szCs w:val="20"/>
                <w:lang w:val="en-US"/>
                <w14:ligatures w14:val="standardContextual"/>
              </w:rPr>
              <w:t>Constant</w:t>
            </w:r>
          </w:p>
        </w:tc>
        <w:tc>
          <w:tcPr>
            <w:tcW w:w="2477" w:type="dxa"/>
          </w:tcPr>
          <w:p w14:paraId="3F9F225B" w14:textId="496CCC57" w:rsidR="00A13D12" w:rsidRPr="00F349B3" w:rsidRDefault="008A34EC"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87</w:t>
            </w:r>
            <w:r w:rsidR="00A13D12" w:rsidRPr="008C50F6">
              <w:rPr>
                <w:sz w:val="20"/>
                <w:szCs w:val="20"/>
                <w:lang w:val="en-US"/>
                <w14:ligatures w14:val="standardContextual"/>
              </w:rPr>
              <w:t>.</w:t>
            </w:r>
            <w:r>
              <w:rPr>
                <w:sz w:val="20"/>
                <w:szCs w:val="20"/>
                <w:lang w:val="en-US"/>
                <w14:ligatures w14:val="standardContextual"/>
              </w:rPr>
              <w:t>1</w:t>
            </w:r>
            <w:r w:rsidR="00872949">
              <w:rPr>
                <w:sz w:val="20"/>
                <w:szCs w:val="20"/>
                <w:lang w:val="en-US"/>
                <w14:ligatures w14:val="standardContextual"/>
              </w:rPr>
              <w:t>39</w:t>
            </w:r>
            <w:r w:rsidR="00A13D12" w:rsidRPr="00F349B3">
              <w:rPr>
                <w:sz w:val="20"/>
                <w:szCs w:val="20"/>
                <w:lang w:val="en-US"/>
                <w14:ligatures w14:val="standardContextual"/>
              </w:rPr>
              <w:t>***</w:t>
            </w:r>
          </w:p>
          <w:p w14:paraId="4F8958BC" w14:textId="7149229D" w:rsidR="00A13D12" w:rsidRPr="008C50F6" w:rsidRDefault="00A13D12" w:rsidP="00287772">
            <w:pPr>
              <w:widowControl w:val="0"/>
              <w:autoSpaceDE w:val="0"/>
              <w:autoSpaceDN w:val="0"/>
              <w:adjustRightInd w:val="0"/>
              <w:spacing w:line="276" w:lineRule="auto"/>
              <w:jc w:val="center"/>
              <w:rPr>
                <w:sz w:val="20"/>
                <w:szCs w:val="20"/>
                <w:lang w:val="en-US"/>
                <w14:ligatures w14:val="standardContextual"/>
              </w:rPr>
            </w:pPr>
            <w:r w:rsidRPr="00F349B3">
              <w:rPr>
                <w:sz w:val="20"/>
                <w:szCs w:val="20"/>
                <w:lang w:val="en-US"/>
                <w14:ligatures w14:val="standardContextual"/>
              </w:rPr>
              <w:t>(</w:t>
            </w:r>
            <w:r w:rsidR="008A34EC">
              <w:rPr>
                <w:sz w:val="20"/>
                <w:szCs w:val="20"/>
                <w:lang w:val="en-US"/>
                <w14:ligatures w14:val="standardContextual"/>
              </w:rPr>
              <w:t>4</w:t>
            </w:r>
            <w:r w:rsidRPr="00F349B3">
              <w:rPr>
                <w:sz w:val="20"/>
                <w:szCs w:val="20"/>
                <w:lang w:val="en-US"/>
                <w14:ligatures w14:val="standardContextual"/>
              </w:rPr>
              <w:t>.</w:t>
            </w:r>
            <w:r w:rsidR="00872949">
              <w:rPr>
                <w:sz w:val="20"/>
                <w:szCs w:val="20"/>
                <w:lang w:val="en-US"/>
                <w14:ligatures w14:val="standardContextual"/>
              </w:rPr>
              <w:t>298</w:t>
            </w:r>
            <w:r w:rsidRPr="00F349B3">
              <w:rPr>
                <w:sz w:val="20"/>
                <w:szCs w:val="20"/>
                <w:lang w:val="en-US"/>
                <w14:ligatures w14:val="standardContextual"/>
              </w:rPr>
              <w:t>)</w:t>
            </w:r>
          </w:p>
        </w:tc>
      </w:tr>
      <w:tr w:rsidR="00F349B3" w:rsidRPr="008C50F6" w14:paraId="0924AE1C" w14:textId="77777777" w:rsidTr="00D7712F">
        <w:trPr>
          <w:jc w:val="center"/>
        </w:trPr>
        <w:tc>
          <w:tcPr>
            <w:tcW w:w="3330" w:type="dxa"/>
            <w:vAlign w:val="center"/>
          </w:tcPr>
          <w:p w14:paraId="48E2FC2D" w14:textId="34ED20F9" w:rsidR="00F349B3" w:rsidRPr="008C50F6" w:rsidRDefault="00F349B3" w:rsidP="00287772">
            <w:pPr>
              <w:widowControl w:val="0"/>
              <w:autoSpaceDE w:val="0"/>
              <w:autoSpaceDN w:val="0"/>
              <w:adjustRightInd w:val="0"/>
              <w:spacing w:line="276" w:lineRule="auto"/>
              <w:jc w:val="center"/>
              <w:rPr>
                <w:b/>
                <w:bCs/>
                <w:sz w:val="20"/>
                <w:szCs w:val="20"/>
                <w:lang w:val="en-US"/>
                <w14:ligatures w14:val="standardContextual"/>
              </w:rPr>
            </w:pPr>
            <w:bookmarkStart w:id="15" w:name="_Hlk146401394"/>
            <w:r w:rsidRPr="00C642E9">
              <w:rPr>
                <w:rFonts w:eastAsia="Calibri"/>
                <w:b/>
                <w:bCs/>
                <w:sz w:val="20"/>
                <w:szCs w:val="20"/>
                <w:u w:color="000000"/>
                <w:bdr w:val="nil"/>
                <w:lang w:val="en-US"/>
              </w:rPr>
              <w:t>Observation</w:t>
            </w:r>
          </w:p>
        </w:tc>
        <w:tc>
          <w:tcPr>
            <w:tcW w:w="2477" w:type="dxa"/>
          </w:tcPr>
          <w:p w14:paraId="46F1234A" w14:textId="3565DAE6" w:rsidR="00F349B3" w:rsidRPr="008C50F6" w:rsidRDefault="00617653" w:rsidP="00287772">
            <w:pPr>
              <w:widowControl w:val="0"/>
              <w:autoSpaceDE w:val="0"/>
              <w:autoSpaceDN w:val="0"/>
              <w:adjustRightInd w:val="0"/>
              <w:spacing w:line="276" w:lineRule="auto"/>
              <w:jc w:val="center"/>
              <w:rPr>
                <w:sz w:val="20"/>
                <w:szCs w:val="20"/>
                <w:lang w:val="en-US"/>
                <w14:ligatures w14:val="standardContextual"/>
              </w:rPr>
            </w:pPr>
            <w:r>
              <w:rPr>
                <w:sz w:val="20"/>
                <w:szCs w:val="20"/>
                <w:lang w:val="en-US"/>
                <w14:ligatures w14:val="standardContextual"/>
              </w:rPr>
              <w:t>16</w:t>
            </w:r>
            <w:r w:rsidR="002478C1">
              <w:rPr>
                <w:sz w:val="20"/>
                <w:szCs w:val="20"/>
                <w:lang w:val="en-US"/>
                <w14:ligatures w14:val="standardContextual"/>
              </w:rPr>
              <w:t>,</w:t>
            </w:r>
            <w:r>
              <w:rPr>
                <w:sz w:val="20"/>
                <w:szCs w:val="20"/>
                <w:lang w:val="en-US"/>
                <w14:ligatures w14:val="standardContextual"/>
              </w:rPr>
              <w:t>789</w:t>
            </w:r>
          </w:p>
        </w:tc>
      </w:tr>
      <w:tr w:rsidR="00F349B3" w:rsidRPr="008C50F6" w14:paraId="52CBC414" w14:textId="77777777" w:rsidTr="00D7712F">
        <w:trPr>
          <w:jc w:val="center"/>
        </w:trPr>
        <w:tc>
          <w:tcPr>
            <w:tcW w:w="3330" w:type="dxa"/>
          </w:tcPr>
          <w:p w14:paraId="331BEA69" w14:textId="0DC6209F" w:rsidR="00F349B3" w:rsidRPr="008C50F6" w:rsidRDefault="00F349B3" w:rsidP="00287772">
            <w:pPr>
              <w:widowControl w:val="0"/>
              <w:autoSpaceDE w:val="0"/>
              <w:autoSpaceDN w:val="0"/>
              <w:adjustRightInd w:val="0"/>
              <w:spacing w:line="276" w:lineRule="auto"/>
              <w:jc w:val="center"/>
              <w:rPr>
                <w:b/>
                <w:bCs/>
                <w:sz w:val="20"/>
                <w:szCs w:val="20"/>
                <w:lang w:val="en-US"/>
                <w14:ligatures w14:val="standardContextual"/>
              </w:rPr>
            </w:pPr>
            <w:r w:rsidRPr="00C642E9">
              <w:rPr>
                <w:b/>
                <w:bCs/>
                <w:i/>
                <w:sz w:val="20"/>
                <w:szCs w:val="20"/>
                <w:lang w:val="en-US"/>
                <w14:ligatures w14:val="standardContextual"/>
              </w:rPr>
              <w:t>R</w:t>
            </w:r>
            <w:r w:rsidRPr="00C642E9">
              <w:rPr>
                <w:b/>
                <w:bCs/>
                <w:i/>
                <w:sz w:val="20"/>
                <w:szCs w:val="20"/>
                <w:vertAlign w:val="superscript"/>
                <w:lang w:val="en-US"/>
                <w14:ligatures w14:val="standardContextual"/>
              </w:rPr>
              <w:t>2</w:t>
            </w:r>
          </w:p>
        </w:tc>
        <w:tc>
          <w:tcPr>
            <w:tcW w:w="2477" w:type="dxa"/>
          </w:tcPr>
          <w:p w14:paraId="50FC8673" w14:textId="46310BE1" w:rsidR="00F349B3" w:rsidRPr="008C50F6" w:rsidRDefault="00F349B3" w:rsidP="00287772">
            <w:pPr>
              <w:widowControl w:val="0"/>
              <w:autoSpaceDE w:val="0"/>
              <w:autoSpaceDN w:val="0"/>
              <w:adjustRightInd w:val="0"/>
              <w:spacing w:line="276" w:lineRule="auto"/>
              <w:jc w:val="center"/>
              <w:rPr>
                <w:sz w:val="20"/>
                <w:szCs w:val="20"/>
                <w:lang w:val="en-US"/>
                <w14:ligatures w14:val="standardContextual"/>
              </w:rPr>
            </w:pPr>
            <w:r w:rsidRPr="008C50F6">
              <w:rPr>
                <w:sz w:val="20"/>
                <w:szCs w:val="20"/>
                <w:lang w:val="en-US"/>
                <w14:ligatures w14:val="standardContextual"/>
              </w:rPr>
              <w:t>0</w:t>
            </w:r>
            <w:r w:rsidR="002478C1">
              <w:rPr>
                <w:sz w:val="20"/>
                <w:szCs w:val="20"/>
                <w:lang w:val="en-US"/>
                <w14:ligatures w14:val="standardContextual"/>
              </w:rPr>
              <w:t>.5</w:t>
            </w:r>
            <w:r w:rsidR="00617653">
              <w:rPr>
                <w:sz w:val="20"/>
                <w:szCs w:val="20"/>
                <w:lang w:val="en-US"/>
                <w14:ligatures w14:val="standardContextual"/>
              </w:rPr>
              <w:t>1</w:t>
            </w:r>
          </w:p>
        </w:tc>
      </w:tr>
    </w:tbl>
    <w:bookmarkEnd w:id="15"/>
    <w:p w14:paraId="0D43C31B" w14:textId="4E82AC05" w:rsidR="00F349B3" w:rsidRPr="00F349B3" w:rsidRDefault="00F349B3" w:rsidP="00F349B3">
      <w:pPr>
        <w:autoSpaceDE w:val="0"/>
        <w:autoSpaceDN w:val="0"/>
        <w:adjustRightInd w:val="0"/>
        <w:spacing w:line="360" w:lineRule="auto"/>
        <w:jc w:val="center"/>
        <w:rPr>
          <w:rFonts w:eastAsia="AdvCORRESAST"/>
          <w:lang w:val="en-GB" w:eastAsia="en-US"/>
        </w:rPr>
      </w:pPr>
      <w:r w:rsidRPr="00F349B3">
        <w:rPr>
          <w:rFonts w:eastAsia="AdvCORRESAST"/>
          <w:sz w:val="16"/>
          <w:szCs w:val="16"/>
          <w:lang w:val="en-GB" w:eastAsia="en-US"/>
        </w:rPr>
        <w:t xml:space="preserve">Source: our elaboration. </w:t>
      </w:r>
      <w:r w:rsidRPr="00F349B3">
        <w:rPr>
          <w:rFonts w:eastAsia="Calibri"/>
          <w:sz w:val="16"/>
          <w:szCs w:val="16"/>
          <w:lang w:val="en-US" w:eastAsia="en-US"/>
        </w:rPr>
        <w:t>Note:</w:t>
      </w:r>
      <w:r w:rsidR="00C642E9" w:rsidRPr="00C642E9">
        <w:rPr>
          <w:rFonts w:eastAsia="Calibri"/>
          <w:sz w:val="16"/>
          <w:szCs w:val="16"/>
          <w:lang w:val="en-US" w:eastAsia="en-US"/>
        </w:rPr>
        <w:t xml:space="preserve"> S</w:t>
      </w:r>
      <w:r w:rsidRPr="00F349B3">
        <w:rPr>
          <w:rFonts w:eastAsia="Calibri"/>
          <w:sz w:val="16"/>
          <w:szCs w:val="16"/>
          <w:lang w:val="en-US" w:eastAsia="en-US"/>
        </w:rPr>
        <w:t>tandard errors in parentheses. ***, **, and * denote significance at the 1%, 5%, and 10% level.</w:t>
      </w:r>
    </w:p>
    <w:p w14:paraId="46A92A84" w14:textId="1D25DBAA" w:rsidR="003326EC" w:rsidRDefault="00707581" w:rsidP="003326EC">
      <w:pPr>
        <w:spacing w:line="480" w:lineRule="auto"/>
        <w:rPr>
          <w:lang w:val="en-GB"/>
        </w:rPr>
      </w:pPr>
      <w:r>
        <w:rPr>
          <w:lang w:val="en-GB"/>
        </w:rPr>
        <w:tab/>
      </w:r>
    </w:p>
    <w:p w14:paraId="00CCF0FC" w14:textId="05076755" w:rsidR="00AA53BE" w:rsidRDefault="00C779D5" w:rsidP="00DB2F43">
      <w:pPr>
        <w:spacing w:line="480" w:lineRule="auto"/>
        <w:jc w:val="both"/>
        <w:rPr>
          <w:lang w:val="en-GB"/>
        </w:rPr>
      </w:pPr>
      <w:r>
        <w:rPr>
          <w:lang w:val="en-GB"/>
        </w:rPr>
        <w:t xml:space="preserve">In addition, </w:t>
      </w:r>
      <w:r w:rsidR="00A32B36">
        <w:rPr>
          <w:lang w:val="en-GB"/>
        </w:rPr>
        <w:t>since in our model</w:t>
      </w:r>
      <w:r w:rsidR="0041509B">
        <w:rPr>
          <w:lang w:val="en-GB"/>
        </w:rPr>
        <w:t xml:space="preserve"> </w:t>
      </w:r>
      <w:r w:rsidR="00A32B36">
        <w:rPr>
          <w:lang w:val="en-GB"/>
        </w:rPr>
        <w:t xml:space="preserve">the </w:t>
      </w:r>
      <w:r w:rsidR="00AA53BE">
        <w:rPr>
          <w:lang w:val="en-GB"/>
        </w:rPr>
        <w:t xml:space="preserve">statistical significance of coefficients of topics are considered in relation to our reference groups of special proceedings, </w:t>
      </w:r>
      <w:r w:rsidR="00A32B36">
        <w:rPr>
          <w:lang w:val="en-GB"/>
        </w:rPr>
        <w:t xml:space="preserve">the Wald test has been </w:t>
      </w:r>
      <w:r w:rsidR="00AA53BE">
        <w:rPr>
          <w:lang w:val="en-GB"/>
        </w:rPr>
        <w:t>perform</w:t>
      </w:r>
      <w:r w:rsidR="00A32B36">
        <w:rPr>
          <w:lang w:val="en-GB"/>
        </w:rPr>
        <w:t>ed</w:t>
      </w:r>
      <w:r w:rsidR="00AA53BE">
        <w:rPr>
          <w:lang w:val="en-GB"/>
        </w:rPr>
        <w:t xml:space="preserve"> </w:t>
      </w:r>
      <w:r w:rsidR="00E82DC6">
        <w:rPr>
          <w:lang w:val="en-GB"/>
        </w:rPr>
        <w:t xml:space="preserve">between each </w:t>
      </w:r>
      <w:r w:rsidR="00AA53BE">
        <w:rPr>
          <w:lang w:val="en-GB"/>
        </w:rPr>
        <w:t>topic</w:t>
      </w:r>
      <w:r w:rsidR="00A32B36">
        <w:rPr>
          <w:lang w:val="en-GB"/>
        </w:rPr>
        <w:t>,</w:t>
      </w:r>
      <w:r w:rsidR="0041509B">
        <w:rPr>
          <w:lang w:val="en-GB"/>
        </w:rPr>
        <w:t xml:space="preserve"> to study the relation among</w:t>
      </w:r>
      <w:r w:rsidR="00694BC0">
        <w:rPr>
          <w:lang w:val="en-GB"/>
        </w:rPr>
        <w:t xml:space="preserve"> them</w:t>
      </w:r>
      <w:r w:rsidR="0041509B">
        <w:rPr>
          <w:lang w:val="en-GB"/>
        </w:rPr>
        <w:t>.</w:t>
      </w:r>
      <w:r w:rsidR="00AA53BE">
        <w:rPr>
          <w:lang w:val="en-GB"/>
        </w:rPr>
        <w:t xml:space="preserve"> </w:t>
      </w:r>
      <w:r w:rsidR="007E6A76">
        <w:rPr>
          <w:lang w:val="en-GB"/>
        </w:rPr>
        <w:t xml:space="preserve">Indeed, topics with a not </w:t>
      </w:r>
      <w:r w:rsidR="00143C42">
        <w:rPr>
          <w:lang w:val="en-GB"/>
        </w:rPr>
        <w:t>statistically</w:t>
      </w:r>
      <w:r w:rsidR="00694BC0">
        <w:rPr>
          <w:lang w:val="en-GB"/>
        </w:rPr>
        <w:t xml:space="preserve"> </w:t>
      </w:r>
      <w:r w:rsidR="007E6A76">
        <w:rPr>
          <w:lang w:val="en-GB"/>
        </w:rPr>
        <w:t xml:space="preserve">significant difference in time duration have been placed at the </w:t>
      </w:r>
      <w:r w:rsidR="007E6A76">
        <w:rPr>
          <w:lang w:val="en-GB"/>
        </w:rPr>
        <w:lastRenderedPageBreak/>
        <w:t>same level</w:t>
      </w:r>
      <w:r w:rsidR="00694BC0">
        <w:rPr>
          <w:lang w:val="en-GB"/>
        </w:rPr>
        <w:t xml:space="preserve"> of ranking</w:t>
      </w:r>
      <w:r w:rsidR="007E6A76">
        <w:rPr>
          <w:lang w:val="en-GB"/>
        </w:rPr>
        <w:t xml:space="preserve">. </w:t>
      </w:r>
      <w:r w:rsidR="00AA53BE">
        <w:rPr>
          <w:lang w:val="en-GB"/>
        </w:rPr>
        <w:t xml:space="preserve">At first, we report highly significance between the </w:t>
      </w:r>
      <w:r w:rsidR="00DB2F43">
        <w:rPr>
          <w:lang w:val="en-GB"/>
        </w:rPr>
        <w:t>slower</w:t>
      </w:r>
      <w:r w:rsidR="00AA53BE">
        <w:rPr>
          <w:lang w:val="en-GB"/>
        </w:rPr>
        <w:t xml:space="preserve"> and the </w:t>
      </w:r>
      <w:r w:rsidR="00DB2F43">
        <w:rPr>
          <w:lang w:val="en-GB"/>
        </w:rPr>
        <w:t>faster</w:t>
      </w:r>
      <w:r w:rsidR="00AA53BE">
        <w:rPr>
          <w:lang w:val="en-GB"/>
        </w:rPr>
        <w:t xml:space="preserve"> topic</w:t>
      </w:r>
      <w:r w:rsidR="00DB2F43">
        <w:rPr>
          <w:lang w:val="en-GB"/>
        </w:rPr>
        <w:t>s</w:t>
      </w:r>
      <w:r w:rsidR="002A0A71">
        <w:rPr>
          <w:lang w:val="en-GB"/>
        </w:rPr>
        <w:t xml:space="preserve"> in </w:t>
      </w:r>
      <w:r w:rsidR="00DB2F43">
        <w:rPr>
          <w:lang w:val="en-GB"/>
        </w:rPr>
        <w:t>time duration</w:t>
      </w:r>
      <w:r w:rsidR="00AA53BE">
        <w:rPr>
          <w:lang w:val="en-GB"/>
        </w:rPr>
        <w:t xml:space="preserve"> (Personality rights </w:t>
      </w:r>
      <w:r w:rsidR="00E82DC6">
        <w:rPr>
          <w:lang w:val="en-GB"/>
        </w:rPr>
        <w:t>vs</w:t>
      </w:r>
      <w:r w:rsidR="00AA53BE">
        <w:rPr>
          <w:lang w:val="en-GB"/>
        </w:rPr>
        <w:t xml:space="preserve"> Family rights, p&lt;0.001). Secondly, </w:t>
      </w:r>
      <w:r w:rsidR="0041509B">
        <w:rPr>
          <w:lang w:val="en-GB"/>
        </w:rPr>
        <w:t xml:space="preserve">in </w:t>
      </w:r>
      <w:r w:rsidR="00143C42">
        <w:rPr>
          <w:lang w:val="en-GB"/>
        </w:rPr>
        <w:t>T</w:t>
      </w:r>
      <w:r w:rsidR="0041509B">
        <w:rPr>
          <w:lang w:val="en-GB"/>
        </w:rPr>
        <w:t xml:space="preserve">able </w:t>
      </w:r>
      <w:r w:rsidR="002A0A71">
        <w:rPr>
          <w:lang w:val="en-GB"/>
        </w:rPr>
        <w:t>7</w:t>
      </w:r>
      <w:r w:rsidR="0041509B">
        <w:rPr>
          <w:lang w:val="en-GB"/>
        </w:rPr>
        <w:t xml:space="preserve">, </w:t>
      </w:r>
      <w:r w:rsidR="00AA53BE">
        <w:rPr>
          <w:lang w:val="en-GB"/>
        </w:rPr>
        <w:t xml:space="preserve">Wald test </w:t>
      </w:r>
      <w:r w:rsidR="00694BC0">
        <w:rPr>
          <w:lang w:val="en-GB"/>
        </w:rPr>
        <w:t>enable</w:t>
      </w:r>
      <w:r w:rsidR="00AA53BE">
        <w:rPr>
          <w:lang w:val="en-GB"/>
        </w:rPr>
        <w:t xml:space="preserve"> us to create a ranking among </w:t>
      </w:r>
      <w:r w:rsidR="002A0A71">
        <w:rPr>
          <w:lang w:val="en-GB"/>
        </w:rPr>
        <w:t xml:space="preserve">all </w:t>
      </w:r>
      <w:r w:rsidR="00DB2F43">
        <w:rPr>
          <w:lang w:val="en-GB"/>
        </w:rPr>
        <w:t xml:space="preserve">the </w:t>
      </w:r>
      <w:r w:rsidR="00AA53BE">
        <w:rPr>
          <w:lang w:val="en-GB"/>
        </w:rPr>
        <w:t>topic</w:t>
      </w:r>
      <w:r w:rsidR="00DB2F43">
        <w:rPr>
          <w:lang w:val="en-GB"/>
        </w:rPr>
        <w:t>s, where the</w:t>
      </w:r>
      <w:r w:rsidR="00AA53BE">
        <w:rPr>
          <w:lang w:val="en-GB"/>
        </w:rPr>
        <w:t xml:space="preserve"> </w:t>
      </w:r>
      <w:r w:rsidR="00DB2F43">
        <w:rPr>
          <w:lang w:val="en-GB"/>
        </w:rPr>
        <w:t>first one is the slower topic with the highest time duration and the last one the faster</w:t>
      </w:r>
      <w:r w:rsidR="004D48D8">
        <w:rPr>
          <w:lang w:val="en-GB"/>
        </w:rPr>
        <w:t xml:space="preserve"> (we conside</w:t>
      </w:r>
      <w:r w:rsidR="00694BC0">
        <w:rPr>
          <w:lang w:val="en-GB"/>
        </w:rPr>
        <w:t xml:space="preserve">r </w:t>
      </w:r>
      <w:r w:rsidR="009411D4">
        <w:rPr>
          <w:lang w:val="en-GB"/>
        </w:rPr>
        <w:t xml:space="preserve">as </w:t>
      </w:r>
      <w:r w:rsidR="004D48D8">
        <w:rPr>
          <w:lang w:val="en-GB"/>
        </w:rPr>
        <w:t>significant confidence level</w:t>
      </w:r>
      <w:r w:rsidR="009411D4">
        <w:rPr>
          <w:lang w:val="en-GB"/>
        </w:rPr>
        <w:t>s</w:t>
      </w:r>
      <w:r w:rsidR="004D48D8">
        <w:rPr>
          <w:lang w:val="en-GB"/>
        </w:rPr>
        <w:t xml:space="preserve"> at 1</w:t>
      </w:r>
      <w:r w:rsidR="009411D4">
        <w:rPr>
          <w:lang w:val="en-GB"/>
        </w:rPr>
        <w:t>0%, 5% and 1%)</w:t>
      </w:r>
      <w:r w:rsidR="0041509B">
        <w:rPr>
          <w:lang w:val="en-GB"/>
        </w:rPr>
        <w:t xml:space="preserve">. </w:t>
      </w:r>
      <w:r w:rsidR="0041509B" w:rsidRPr="0041509B">
        <w:rPr>
          <w:lang w:val="en-GB"/>
        </w:rPr>
        <w:t>Topics</w:t>
      </w:r>
      <w:r w:rsidR="007F25FF">
        <w:rPr>
          <w:lang w:val="en-GB"/>
        </w:rPr>
        <w:t xml:space="preserve"> </w:t>
      </w:r>
      <w:r w:rsidR="0041509B">
        <w:rPr>
          <w:lang w:val="en-GB"/>
        </w:rPr>
        <w:t xml:space="preserve">that </w:t>
      </w:r>
      <w:r w:rsidR="0041509B" w:rsidRPr="0041509B">
        <w:rPr>
          <w:lang w:val="en-GB"/>
        </w:rPr>
        <w:t xml:space="preserve">have not statistically significant </w:t>
      </w:r>
      <w:r w:rsidR="002A0A71">
        <w:rPr>
          <w:lang w:val="en-GB"/>
        </w:rPr>
        <w:t>difference</w:t>
      </w:r>
      <w:r w:rsidR="0041509B">
        <w:rPr>
          <w:lang w:val="en-GB"/>
        </w:rPr>
        <w:t xml:space="preserve"> are placed in the same position</w:t>
      </w:r>
      <w:r w:rsidR="00F22812">
        <w:rPr>
          <w:lang w:val="en-GB"/>
        </w:rPr>
        <w:t xml:space="preserve">. </w:t>
      </w:r>
      <w:r w:rsidR="007F25FF">
        <w:rPr>
          <w:lang w:val="en-GB"/>
        </w:rPr>
        <w:t>Company</w:t>
      </w:r>
      <w:r w:rsidR="0041509B">
        <w:rPr>
          <w:lang w:val="en-GB"/>
        </w:rPr>
        <w:t xml:space="preserve"> law </w:t>
      </w:r>
      <w:r w:rsidR="0057709E" w:rsidRPr="0057709E">
        <w:rPr>
          <w:lang w:val="en-GB"/>
        </w:rPr>
        <w:t xml:space="preserve">is removed </w:t>
      </w:r>
      <w:r w:rsidR="0057709E">
        <w:rPr>
          <w:lang w:val="en-GB"/>
        </w:rPr>
        <w:t>from the rank because it is</w:t>
      </w:r>
      <w:r w:rsidR="0041509B">
        <w:rPr>
          <w:lang w:val="en-GB"/>
        </w:rPr>
        <w:t xml:space="preserve"> not statistically significant </w:t>
      </w:r>
      <w:r w:rsidR="00694BC0">
        <w:rPr>
          <w:lang w:val="en-GB"/>
        </w:rPr>
        <w:t xml:space="preserve">neither </w:t>
      </w:r>
      <w:r w:rsidR="005C63BF">
        <w:rPr>
          <w:lang w:val="en-GB"/>
        </w:rPr>
        <w:t xml:space="preserve">from </w:t>
      </w:r>
      <w:r w:rsidR="0041509B">
        <w:rPr>
          <w:lang w:val="en-GB"/>
        </w:rPr>
        <w:t>the regression analysis</w:t>
      </w:r>
      <w:r w:rsidR="00694BC0">
        <w:rPr>
          <w:lang w:val="en-GB"/>
        </w:rPr>
        <w:t xml:space="preserve"> in Table </w:t>
      </w:r>
      <w:r w:rsidR="002A0A71">
        <w:rPr>
          <w:lang w:val="en-GB"/>
        </w:rPr>
        <w:t>6.</w:t>
      </w:r>
      <w:r w:rsidR="00694BC0">
        <w:rPr>
          <w:lang w:val="en-GB"/>
        </w:rPr>
        <w:t xml:space="preserve"> </w:t>
      </w:r>
    </w:p>
    <w:p w14:paraId="55CC2E9F" w14:textId="77777777" w:rsidR="007813C3" w:rsidRDefault="007813C3" w:rsidP="00DB2F43">
      <w:pPr>
        <w:spacing w:line="480" w:lineRule="auto"/>
        <w:jc w:val="both"/>
        <w:rPr>
          <w:lang w:val="en-GB"/>
        </w:rPr>
      </w:pPr>
    </w:p>
    <w:p w14:paraId="781585FF" w14:textId="2C5640FB" w:rsidR="0041509B" w:rsidRPr="007813C3" w:rsidRDefault="0041509B" w:rsidP="007813C3">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color w:val="auto"/>
          <w:sz w:val="24"/>
          <w:szCs w:val="24"/>
          <w:lang w:val="en-US"/>
        </w:rPr>
      </w:pPr>
      <w:r w:rsidRPr="0001447F">
        <w:rPr>
          <w:rFonts w:ascii="Times New Roman" w:eastAsia="Calibri" w:hAnsi="Times New Roman" w:cs="Calibri"/>
          <w:b/>
          <w:bCs/>
          <w:color w:val="auto"/>
          <w:sz w:val="24"/>
          <w:szCs w:val="24"/>
          <w:lang w:val="en-US"/>
        </w:rPr>
        <w:t xml:space="preserve">Table </w:t>
      </w:r>
      <w:r w:rsidR="0074278F">
        <w:rPr>
          <w:rFonts w:ascii="Times New Roman" w:eastAsia="Calibri" w:hAnsi="Times New Roman" w:cs="Calibri"/>
          <w:b/>
          <w:bCs/>
          <w:color w:val="auto"/>
          <w:sz w:val="24"/>
          <w:szCs w:val="24"/>
          <w:lang w:val="en-US"/>
        </w:rPr>
        <w:t>7</w:t>
      </w:r>
      <w:r w:rsidRPr="0001447F">
        <w:rPr>
          <w:rFonts w:ascii="Times New Roman" w:eastAsia="Calibri" w:hAnsi="Times New Roman" w:cs="Calibri"/>
          <w:b/>
          <w:bCs/>
          <w:color w:val="auto"/>
          <w:sz w:val="24"/>
          <w:szCs w:val="24"/>
          <w:lang w:val="en-US"/>
        </w:rPr>
        <w:t xml:space="preserve"> – Topics’ rankings</w:t>
      </w:r>
      <w:r w:rsidR="00E82DC6">
        <w:rPr>
          <w:rFonts w:ascii="Times New Roman" w:eastAsia="Calibri" w:hAnsi="Times New Roman" w:cs="Calibri"/>
          <w:b/>
          <w:bCs/>
          <w:color w:val="auto"/>
          <w:sz w:val="24"/>
          <w:szCs w:val="24"/>
          <w:lang w:val="en-US"/>
        </w:rPr>
        <w:t xml:space="preserve"> </w:t>
      </w:r>
    </w:p>
    <w:tbl>
      <w:tblPr>
        <w:tblStyle w:val="Grigliatabella"/>
        <w:tblW w:w="0" w:type="auto"/>
        <w:jc w:val="center"/>
        <w:tblLook w:val="04A0" w:firstRow="1" w:lastRow="0" w:firstColumn="1" w:lastColumn="0" w:noHBand="0" w:noVBand="1"/>
      </w:tblPr>
      <w:tblGrid>
        <w:gridCol w:w="1376"/>
        <w:gridCol w:w="6834"/>
      </w:tblGrid>
      <w:tr w:rsidR="0041509B" w:rsidRPr="00EC7831" w14:paraId="385323CA" w14:textId="77777777" w:rsidTr="009F3862">
        <w:trPr>
          <w:jc w:val="center"/>
        </w:trPr>
        <w:tc>
          <w:tcPr>
            <w:tcW w:w="1376" w:type="dxa"/>
          </w:tcPr>
          <w:p w14:paraId="5BC77259" w14:textId="071E98A0" w:rsidR="0041509B" w:rsidRPr="00EC7831" w:rsidRDefault="0041509B" w:rsidP="00287772">
            <w:pPr>
              <w:spacing w:line="276" w:lineRule="auto"/>
              <w:jc w:val="both"/>
              <w:rPr>
                <w:b/>
                <w:bCs/>
                <w:lang w:val="en-GB"/>
              </w:rPr>
            </w:pPr>
            <w:bookmarkStart w:id="16" w:name="_Hlk138935208"/>
            <w:r w:rsidRPr="00EC7831">
              <w:rPr>
                <w:b/>
                <w:bCs/>
                <w:lang w:val="en-GB"/>
              </w:rPr>
              <w:t>Ranking</w:t>
            </w:r>
          </w:p>
        </w:tc>
        <w:tc>
          <w:tcPr>
            <w:tcW w:w="6834" w:type="dxa"/>
          </w:tcPr>
          <w:p w14:paraId="0D7ABA8B" w14:textId="66D5CFE1" w:rsidR="0041509B" w:rsidRPr="00EC7831" w:rsidRDefault="0041509B" w:rsidP="00287772">
            <w:pPr>
              <w:spacing w:line="276" w:lineRule="auto"/>
              <w:jc w:val="both"/>
              <w:rPr>
                <w:b/>
                <w:bCs/>
                <w:lang w:val="en-GB"/>
              </w:rPr>
            </w:pPr>
            <w:r w:rsidRPr="00EC7831">
              <w:rPr>
                <w:b/>
                <w:bCs/>
                <w:lang w:val="en-GB"/>
              </w:rPr>
              <w:t>Topic</w:t>
            </w:r>
          </w:p>
        </w:tc>
      </w:tr>
      <w:tr w:rsidR="0041509B" w:rsidRPr="00EC7831" w14:paraId="205F5007" w14:textId="77777777" w:rsidTr="009F3862">
        <w:trPr>
          <w:jc w:val="center"/>
        </w:trPr>
        <w:tc>
          <w:tcPr>
            <w:tcW w:w="1376" w:type="dxa"/>
          </w:tcPr>
          <w:p w14:paraId="6890C62F" w14:textId="3394CF85" w:rsidR="0041509B" w:rsidRPr="00EC7831" w:rsidRDefault="0041509B" w:rsidP="00287772">
            <w:pPr>
              <w:spacing w:line="276" w:lineRule="auto"/>
              <w:jc w:val="both"/>
              <w:rPr>
                <w:lang w:val="en-GB"/>
              </w:rPr>
            </w:pPr>
            <w:r w:rsidRPr="00EC7831">
              <w:rPr>
                <w:lang w:val="en-GB"/>
              </w:rPr>
              <w:t>1</w:t>
            </w:r>
          </w:p>
        </w:tc>
        <w:tc>
          <w:tcPr>
            <w:tcW w:w="6834" w:type="dxa"/>
          </w:tcPr>
          <w:p w14:paraId="150FF60F" w14:textId="506D5359" w:rsidR="0041509B" w:rsidRPr="00EC7831" w:rsidRDefault="0041509B" w:rsidP="00287772">
            <w:pPr>
              <w:spacing w:line="276" w:lineRule="auto"/>
            </w:pPr>
            <w:r w:rsidRPr="00EC7831">
              <w:rPr>
                <w:lang w:val="en-US"/>
              </w:rPr>
              <w:t xml:space="preserve">Personality rights </w:t>
            </w:r>
          </w:p>
        </w:tc>
      </w:tr>
      <w:tr w:rsidR="0041509B" w:rsidRPr="00EC7831" w14:paraId="170635CC" w14:textId="77777777" w:rsidTr="009F3862">
        <w:trPr>
          <w:jc w:val="center"/>
        </w:trPr>
        <w:tc>
          <w:tcPr>
            <w:tcW w:w="1376" w:type="dxa"/>
          </w:tcPr>
          <w:p w14:paraId="038DE753" w14:textId="6EE9E08E" w:rsidR="0041509B" w:rsidRPr="00EC7831" w:rsidRDefault="0041509B" w:rsidP="00287772">
            <w:pPr>
              <w:spacing w:line="276" w:lineRule="auto"/>
              <w:jc w:val="both"/>
              <w:rPr>
                <w:lang w:val="en-GB"/>
              </w:rPr>
            </w:pPr>
            <w:r w:rsidRPr="00EC7831">
              <w:rPr>
                <w:lang w:val="en-GB"/>
              </w:rPr>
              <w:t>2</w:t>
            </w:r>
          </w:p>
        </w:tc>
        <w:tc>
          <w:tcPr>
            <w:tcW w:w="6834" w:type="dxa"/>
          </w:tcPr>
          <w:p w14:paraId="75F01944" w14:textId="2BD7F252" w:rsidR="0041509B" w:rsidRPr="00EC7831" w:rsidRDefault="00ED0194" w:rsidP="00287772">
            <w:pPr>
              <w:spacing w:line="276" w:lineRule="auto"/>
              <w:jc w:val="both"/>
              <w:rPr>
                <w:lang w:val="en-GB"/>
              </w:rPr>
            </w:pPr>
            <w:r w:rsidRPr="00EC7831">
              <w:rPr>
                <w:lang w:val="en-GB"/>
              </w:rPr>
              <w:t>Liability for tort</w:t>
            </w:r>
          </w:p>
        </w:tc>
      </w:tr>
      <w:tr w:rsidR="0041509B" w:rsidRPr="003D0F55" w14:paraId="690A7D89" w14:textId="77777777" w:rsidTr="009F3862">
        <w:trPr>
          <w:jc w:val="center"/>
        </w:trPr>
        <w:tc>
          <w:tcPr>
            <w:tcW w:w="1376" w:type="dxa"/>
          </w:tcPr>
          <w:p w14:paraId="644AA2C2" w14:textId="1D588D1E" w:rsidR="0041509B" w:rsidRPr="00EC7831" w:rsidRDefault="0041509B" w:rsidP="00287772">
            <w:pPr>
              <w:spacing w:line="276" w:lineRule="auto"/>
              <w:jc w:val="both"/>
              <w:rPr>
                <w:lang w:val="en-GB"/>
              </w:rPr>
            </w:pPr>
            <w:r w:rsidRPr="00EC7831">
              <w:rPr>
                <w:lang w:val="en-GB"/>
              </w:rPr>
              <w:t>3</w:t>
            </w:r>
          </w:p>
        </w:tc>
        <w:tc>
          <w:tcPr>
            <w:tcW w:w="6834" w:type="dxa"/>
          </w:tcPr>
          <w:p w14:paraId="1E52C98A" w14:textId="143D075B" w:rsidR="0041509B" w:rsidRPr="00EC7831" w:rsidRDefault="00ED0194" w:rsidP="00287772">
            <w:pPr>
              <w:spacing w:line="276" w:lineRule="auto"/>
              <w:jc w:val="both"/>
              <w:rPr>
                <w:lang w:val="en-GB"/>
              </w:rPr>
            </w:pPr>
            <w:r w:rsidRPr="00EC7831">
              <w:rPr>
                <w:lang w:val="en-GB"/>
              </w:rPr>
              <w:t>Property rights and inheritance law</w:t>
            </w:r>
          </w:p>
        </w:tc>
      </w:tr>
      <w:tr w:rsidR="0041509B" w:rsidRPr="003D0F55" w14:paraId="5756FAB1" w14:textId="77777777" w:rsidTr="009F3862">
        <w:trPr>
          <w:jc w:val="center"/>
        </w:trPr>
        <w:tc>
          <w:tcPr>
            <w:tcW w:w="1376" w:type="dxa"/>
          </w:tcPr>
          <w:p w14:paraId="527ED8C5" w14:textId="692A702B" w:rsidR="0041509B" w:rsidRPr="00EC7831" w:rsidRDefault="0041509B" w:rsidP="00287772">
            <w:pPr>
              <w:spacing w:line="276" w:lineRule="auto"/>
              <w:jc w:val="both"/>
              <w:rPr>
                <w:lang w:val="en-GB"/>
              </w:rPr>
            </w:pPr>
            <w:r w:rsidRPr="00EC7831">
              <w:rPr>
                <w:lang w:val="en-GB"/>
              </w:rPr>
              <w:t>4</w:t>
            </w:r>
          </w:p>
        </w:tc>
        <w:tc>
          <w:tcPr>
            <w:tcW w:w="6834" w:type="dxa"/>
          </w:tcPr>
          <w:p w14:paraId="674EDBE6" w14:textId="4E93F93B" w:rsidR="0041509B" w:rsidRPr="00EC7831" w:rsidRDefault="005D4B7F" w:rsidP="00287772">
            <w:pPr>
              <w:spacing w:line="276" w:lineRule="auto"/>
              <w:jc w:val="both"/>
              <w:rPr>
                <w:lang w:val="en-GB"/>
              </w:rPr>
            </w:pPr>
            <w:r w:rsidRPr="00EC7831">
              <w:rPr>
                <w:lang w:val="en-GB"/>
              </w:rPr>
              <w:t xml:space="preserve">Banking law; </w:t>
            </w:r>
            <w:r w:rsidR="0041509B" w:rsidRPr="00EC7831">
              <w:rPr>
                <w:lang w:val="en-GB"/>
              </w:rPr>
              <w:t>Contracts and obligation</w:t>
            </w:r>
            <w:r w:rsidR="00F262D6" w:rsidRPr="00EC7831">
              <w:rPr>
                <w:lang w:val="en-GB"/>
              </w:rPr>
              <w:t>s</w:t>
            </w:r>
          </w:p>
        </w:tc>
      </w:tr>
      <w:tr w:rsidR="0041509B" w:rsidRPr="003D0F55" w14:paraId="1F0F7CBF" w14:textId="77777777" w:rsidTr="009F3862">
        <w:trPr>
          <w:jc w:val="center"/>
        </w:trPr>
        <w:tc>
          <w:tcPr>
            <w:tcW w:w="1376" w:type="dxa"/>
          </w:tcPr>
          <w:p w14:paraId="3EDC46F8" w14:textId="1C1E0B46" w:rsidR="0041509B" w:rsidRPr="00EC7831" w:rsidRDefault="0041509B" w:rsidP="00287772">
            <w:pPr>
              <w:spacing w:line="276" w:lineRule="auto"/>
              <w:jc w:val="both"/>
              <w:rPr>
                <w:lang w:val="en-GB"/>
              </w:rPr>
            </w:pPr>
            <w:r w:rsidRPr="00EC7831">
              <w:rPr>
                <w:lang w:val="en-GB"/>
              </w:rPr>
              <w:t>5</w:t>
            </w:r>
          </w:p>
        </w:tc>
        <w:tc>
          <w:tcPr>
            <w:tcW w:w="6834" w:type="dxa"/>
          </w:tcPr>
          <w:p w14:paraId="239B7CCD" w14:textId="7F1EA220" w:rsidR="0041509B" w:rsidRPr="00EC7831" w:rsidRDefault="00ED0194" w:rsidP="00680AFD">
            <w:pPr>
              <w:spacing w:line="276" w:lineRule="auto"/>
              <w:jc w:val="both"/>
              <w:rPr>
                <w:lang w:val="en-GB"/>
              </w:rPr>
            </w:pPr>
            <w:r w:rsidRPr="00EC7831">
              <w:rPr>
                <w:lang w:val="en-GB"/>
              </w:rPr>
              <w:t xml:space="preserve">Administrative law; </w:t>
            </w:r>
            <w:r w:rsidR="0041509B" w:rsidRPr="00EC7831">
              <w:rPr>
                <w:lang w:val="en-GB"/>
              </w:rPr>
              <w:t xml:space="preserve">Lease and </w:t>
            </w:r>
            <w:proofErr w:type="spellStart"/>
            <w:r w:rsidRPr="00EC7831">
              <w:rPr>
                <w:lang w:val="en-GB"/>
              </w:rPr>
              <w:t>commodat</w:t>
            </w:r>
            <w:r w:rsidR="00680AFD">
              <w:rPr>
                <w:lang w:val="en-GB"/>
              </w:rPr>
              <w:t>um</w:t>
            </w:r>
            <w:proofErr w:type="spellEnd"/>
          </w:p>
        </w:tc>
      </w:tr>
      <w:tr w:rsidR="0041509B" w:rsidRPr="003D0F55" w14:paraId="1B8D7853" w14:textId="77777777" w:rsidTr="009F3862">
        <w:trPr>
          <w:jc w:val="center"/>
        </w:trPr>
        <w:tc>
          <w:tcPr>
            <w:tcW w:w="1376" w:type="dxa"/>
          </w:tcPr>
          <w:p w14:paraId="30316EAC" w14:textId="47A33440" w:rsidR="0041509B" w:rsidRPr="00EC7831" w:rsidRDefault="0041509B" w:rsidP="00287772">
            <w:pPr>
              <w:spacing w:line="276" w:lineRule="auto"/>
              <w:jc w:val="both"/>
              <w:rPr>
                <w:lang w:val="en-GB"/>
              </w:rPr>
            </w:pPr>
            <w:r w:rsidRPr="00EC7831">
              <w:rPr>
                <w:lang w:val="en-GB"/>
              </w:rPr>
              <w:t>6</w:t>
            </w:r>
          </w:p>
        </w:tc>
        <w:tc>
          <w:tcPr>
            <w:tcW w:w="6834" w:type="dxa"/>
          </w:tcPr>
          <w:p w14:paraId="736F9AAB" w14:textId="2DB51005" w:rsidR="0041509B" w:rsidRPr="00EC7831" w:rsidRDefault="00AC7C3F" w:rsidP="00287772">
            <w:pPr>
              <w:spacing w:line="276" w:lineRule="auto"/>
              <w:jc w:val="both"/>
              <w:rPr>
                <w:lang w:val="en-GB"/>
              </w:rPr>
            </w:pPr>
            <w:r w:rsidRPr="00EC7831">
              <w:rPr>
                <w:lang w:val="en-GB"/>
              </w:rPr>
              <w:t xml:space="preserve">Other institutes; </w:t>
            </w:r>
            <w:r w:rsidR="0041509B" w:rsidRPr="00EC7831">
              <w:rPr>
                <w:lang w:val="en-GB"/>
              </w:rPr>
              <w:t>Bankruptcy</w:t>
            </w:r>
            <w:r w:rsidRPr="00EC7831">
              <w:rPr>
                <w:lang w:val="en-GB"/>
              </w:rPr>
              <w:t xml:space="preserve">; Legal entities </w:t>
            </w:r>
          </w:p>
        </w:tc>
      </w:tr>
      <w:tr w:rsidR="0041509B" w:rsidRPr="00650075" w14:paraId="67EABEDC" w14:textId="77777777" w:rsidTr="009F3862">
        <w:trPr>
          <w:jc w:val="center"/>
        </w:trPr>
        <w:tc>
          <w:tcPr>
            <w:tcW w:w="1376" w:type="dxa"/>
          </w:tcPr>
          <w:p w14:paraId="76458E81" w14:textId="4D7D2F5B" w:rsidR="0041509B" w:rsidRPr="00EC7831" w:rsidRDefault="004D48D8" w:rsidP="00287772">
            <w:pPr>
              <w:spacing w:line="276" w:lineRule="auto"/>
              <w:jc w:val="both"/>
              <w:rPr>
                <w:lang w:val="en-GB"/>
              </w:rPr>
            </w:pPr>
            <w:r w:rsidRPr="00EC7831">
              <w:rPr>
                <w:lang w:val="en-GB"/>
              </w:rPr>
              <w:t>7</w:t>
            </w:r>
          </w:p>
        </w:tc>
        <w:tc>
          <w:tcPr>
            <w:tcW w:w="6834" w:type="dxa"/>
          </w:tcPr>
          <w:p w14:paraId="6578D75C" w14:textId="2697F6E8" w:rsidR="0041509B" w:rsidRPr="00EC7831" w:rsidRDefault="0041509B" w:rsidP="00287772">
            <w:pPr>
              <w:spacing w:line="276" w:lineRule="auto"/>
              <w:jc w:val="both"/>
              <w:rPr>
                <w:lang w:val="en-GB"/>
              </w:rPr>
            </w:pPr>
            <w:r w:rsidRPr="00EC7831">
              <w:rPr>
                <w:lang w:val="en-US"/>
              </w:rPr>
              <w:t xml:space="preserve">Family rights </w:t>
            </w:r>
          </w:p>
        </w:tc>
      </w:tr>
    </w:tbl>
    <w:bookmarkEnd w:id="16"/>
    <w:p w14:paraId="36D00727" w14:textId="2589EEDD" w:rsidR="00AA53BE" w:rsidRDefault="002A0A71" w:rsidP="003326EC">
      <w:pPr>
        <w:spacing w:line="480" w:lineRule="auto"/>
        <w:rPr>
          <w:lang w:val="en-GB"/>
        </w:rPr>
      </w:pPr>
      <w:r w:rsidRPr="00F349B3">
        <w:rPr>
          <w:rFonts w:eastAsia="AdvCORRESAST"/>
          <w:sz w:val="16"/>
          <w:szCs w:val="16"/>
          <w:lang w:val="en-GB" w:eastAsia="en-US"/>
        </w:rPr>
        <w:t>Source: our elaboration</w:t>
      </w:r>
      <w:r>
        <w:rPr>
          <w:rFonts w:eastAsia="AdvCORRESAST"/>
          <w:sz w:val="16"/>
          <w:szCs w:val="16"/>
          <w:lang w:val="en-GB" w:eastAsia="en-US"/>
        </w:rPr>
        <w:t xml:space="preserve"> </w:t>
      </w:r>
      <w:r w:rsidRPr="002A0A71">
        <w:rPr>
          <w:rFonts w:eastAsia="AdvCORRESAST"/>
          <w:sz w:val="16"/>
          <w:szCs w:val="16"/>
          <w:lang w:val="en-GB" w:eastAsia="en-US"/>
        </w:rPr>
        <w:t xml:space="preserve">from </w:t>
      </w:r>
      <w:r>
        <w:rPr>
          <w:rFonts w:eastAsia="AdvCORRESAST"/>
          <w:sz w:val="16"/>
          <w:szCs w:val="16"/>
          <w:lang w:val="en-GB" w:eastAsia="en-US"/>
        </w:rPr>
        <w:t xml:space="preserve">Wald </w:t>
      </w:r>
      <w:r w:rsidRPr="002A0A71">
        <w:rPr>
          <w:rFonts w:eastAsia="AdvCORRESAST"/>
          <w:sz w:val="16"/>
          <w:szCs w:val="16"/>
          <w:lang w:val="en-GB" w:eastAsia="en-US"/>
        </w:rPr>
        <w:t>test</w:t>
      </w:r>
    </w:p>
    <w:p w14:paraId="6742E447" w14:textId="77CE9442" w:rsidR="00FE30A8" w:rsidRDefault="00777186" w:rsidP="00143C42">
      <w:pPr>
        <w:spacing w:line="480" w:lineRule="auto"/>
        <w:jc w:val="both"/>
        <w:rPr>
          <w:lang w:val="en-GB"/>
        </w:rPr>
      </w:pPr>
      <w:r>
        <w:rPr>
          <w:lang w:val="en-GB"/>
        </w:rPr>
        <w:tab/>
      </w:r>
    </w:p>
    <w:p w14:paraId="483DE57D" w14:textId="6DED4C15" w:rsidR="00FE30A8" w:rsidRPr="00FE30A8" w:rsidRDefault="00FE30A8" w:rsidP="00143C42">
      <w:pPr>
        <w:spacing w:line="480" w:lineRule="auto"/>
        <w:jc w:val="both"/>
        <w:rPr>
          <w:b/>
          <w:bCs/>
          <w:lang w:val="en-GB"/>
        </w:rPr>
      </w:pPr>
      <w:r w:rsidRPr="00FE30A8">
        <w:rPr>
          <w:b/>
          <w:bCs/>
          <w:lang w:val="en-GB"/>
        </w:rPr>
        <w:t xml:space="preserve">4.2 </w:t>
      </w:r>
      <w:r w:rsidR="009F3862">
        <w:rPr>
          <w:b/>
          <w:bCs/>
          <w:lang w:val="en-GB"/>
        </w:rPr>
        <w:t xml:space="preserve">Regulatory </w:t>
      </w:r>
      <w:r w:rsidRPr="00FE30A8">
        <w:rPr>
          <w:b/>
          <w:bCs/>
          <w:lang w:val="en-GB"/>
        </w:rPr>
        <w:t>complexity ind</w:t>
      </w:r>
      <w:r w:rsidR="00F43DEB">
        <w:rPr>
          <w:b/>
          <w:bCs/>
          <w:lang w:val="en-GB"/>
        </w:rPr>
        <w:t>icators</w:t>
      </w:r>
    </w:p>
    <w:p w14:paraId="0C191706" w14:textId="73314E53" w:rsidR="00B53783" w:rsidRDefault="00FE30A8" w:rsidP="00143C42">
      <w:pPr>
        <w:spacing w:line="480" w:lineRule="auto"/>
        <w:jc w:val="both"/>
        <w:rPr>
          <w:lang w:val="en-GB"/>
        </w:rPr>
      </w:pPr>
      <w:r w:rsidRPr="00FE30A8">
        <w:rPr>
          <w:lang w:val="en-GB"/>
        </w:rPr>
        <w:t xml:space="preserve">As a final step of our analysis, we consider </w:t>
      </w:r>
      <w:r w:rsidR="00907DAE">
        <w:rPr>
          <w:lang w:val="en-GB"/>
        </w:rPr>
        <w:t xml:space="preserve">the </w:t>
      </w:r>
      <w:r w:rsidR="00777186">
        <w:rPr>
          <w:lang w:val="en-GB"/>
        </w:rPr>
        <w:t>four</w:t>
      </w:r>
      <w:r w:rsidRPr="00FE30A8">
        <w:rPr>
          <w:lang w:val="en-GB"/>
        </w:rPr>
        <w:t xml:space="preserve"> civil</w:t>
      </w:r>
      <w:r w:rsidR="00874995" w:rsidRPr="00FE30A8">
        <w:rPr>
          <w:lang w:val="en-GB"/>
        </w:rPr>
        <w:t xml:space="preserve"> </w:t>
      </w:r>
      <w:r w:rsidR="00CF7A7F">
        <w:rPr>
          <w:lang w:val="en-GB"/>
        </w:rPr>
        <w:t>regulatory</w:t>
      </w:r>
      <w:r w:rsidR="00874995" w:rsidRPr="00FE30A8">
        <w:rPr>
          <w:lang w:val="en-GB"/>
        </w:rPr>
        <w:t xml:space="preserve"> complexity </w:t>
      </w:r>
      <w:r w:rsidRPr="00FE30A8">
        <w:rPr>
          <w:lang w:val="en-GB"/>
        </w:rPr>
        <w:t>ind</w:t>
      </w:r>
      <w:r w:rsidR="00907DAE">
        <w:rPr>
          <w:lang w:val="en-GB"/>
        </w:rPr>
        <w:t xml:space="preserve">icators </w:t>
      </w:r>
      <w:r w:rsidR="0049213B">
        <w:rPr>
          <w:lang w:val="en-GB"/>
        </w:rPr>
        <w:t>presented in Section 3.1</w:t>
      </w:r>
      <w:r w:rsidR="00777186">
        <w:rPr>
          <w:lang w:val="en-GB"/>
        </w:rPr>
        <w:t xml:space="preserve">, </w:t>
      </w:r>
      <w:proofErr w:type="gramStart"/>
      <w:r w:rsidR="00982520">
        <w:rPr>
          <w:lang w:val="en-GB"/>
        </w:rPr>
        <w:t xml:space="preserve">in </w:t>
      </w:r>
      <w:r w:rsidR="00777186">
        <w:rPr>
          <w:lang w:val="en-GB"/>
        </w:rPr>
        <w:t>order to</w:t>
      </w:r>
      <w:proofErr w:type="gramEnd"/>
      <w:r w:rsidR="00777186">
        <w:rPr>
          <w:lang w:val="en-GB"/>
        </w:rPr>
        <w:t xml:space="preserve"> </w:t>
      </w:r>
      <w:r w:rsidR="00907DAE">
        <w:rPr>
          <w:lang w:val="en-GB"/>
        </w:rPr>
        <w:t xml:space="preserve">investigate </w:t>
      </w:r>
      <w:r w:rsidR="00777186">
        <w:rPr>
          <w:lang w:val="en-GB"/>
        </w:rPr>
        <w:t>differences in time durations among topic</w:t>
      </w:r>
      <w:r w:rsidR="00694BC0">
        <w:rPr>
          <w:lang w:val="en-GB"/>
        </w:rPr>
        <w:t>s</w:t>
      </w:r>
      <w:r w:rsidR="00777186">
        <w:rPr>
          <w:lang w:val="en-GB"/>
        </w:rPr>
        <w:t xml:space="preserve">. </w:t>
      </w:r>
      <w:r w:rsidR="00694BC0">
        <w:rPr>
          <w:lang w:val="en-GB"/>
        </w:rPr>
        <w:t>W</w:t>
      </w:r>
      <w:r w:rsidR="00982520">
        <w:rPr>
          <w:lang w:val="en-GB"/>
        </w:rPr>
        <w:t>ith this aim</w:t>
      </w:r>
      <w:r w:rsidR="0001447F">
        <w:rPr>
          <w:lang w:val="en-GB"/>
        </w:rPr>
        <w:t>, we perform an OLS regression following the model in equation (2):</w:t>
      </w:r>
    </w:p>
    <w:p w14:paraId="4255A5CA" w14:textId="3B0648A2" w:rsidR="0001447F" w:rsidRPr="006E3760" w:rsidRDefault="00000000" w:rsidP="0001447F">
      <w:pPr>
        <w:spacing w:line="480" w:lineRule="auto"/>
        <w:jc w:val="center"/>
        <w:rPr>
          <w:lang w:val="en-GB"/>
        </w:rPr>
      </w:pPr>
      <m:oMath>
        <m:sSub>
          <m:sSubPr>
            <m:ctrlPr>
              <w:rPr>
                <w:rFonts w:ascii="Cambria Math" w:hAnsi="Cambria Math"/>
                <w:i/>
              </w:rPr>
            </m:ctrlPr>
          </m:sSubPr>
          <m:e>
            <m:r>
              <w:rPr>
                <w:rFonts w:ascii="Cambria Math" w:hAnsi="Cambria Math"/>
              </w:rPr>
              <m:t>Timeduration</m:t>
            </m:r>
          </m:e>
          <m:sub>
            <m:r>
              <w:rPr>
                <w:rFonts w:ascii="Cambria Math" w:hAnsi="Cambria Math"/>
              </w:rPr>
              <m:t>it</m:t>
            </m:r>
          </m:sub>
        </m:sSub>
        <m:r>
          <w:rPr>
            <w:rFonts w:ascii="Cambria Math" w:hAnsi="Cambria Math"/>
            <w:lang w:val="en-GB"/>
          </w:rPr>
          <m:t>=</m:t>
        </m:r>
        <m:sSub>
          <m:sSubPr>
            <m:ctrlPr>
              <w:rPr>
                <w:rFonts w:ascii="Cambria Math" w:hAnsi="Cambria Math"/>
                <w:i/>
              </w:rPr>
            </m:ctrlPr>
          </m:sSubPr>
          <m:e>
            <m:r>
              <w:rPr>
                <w:rFonts w:ascii="Cambria Math" w:hAnsi="Cambria Math"/>
              </w:rPr>
              <m:t>α</m:t>
            </m:r>
          </m:e>
          <m:sub>
            <m:r>
              <w:rPr>
                <w:rFonts w:ascii="Cambria Math" w:hAnsi="Cambria Math"/>
                <w:lang w:val="en-GB"/>
              </w:rPr>
              <m:t>0</m:t>
            </m:r>
          </m:sub>
        </m:sSub>
        <m:r>
          <w:rPr>
            <w:rFonts w:ascii="Cambria Math" w:hAnsi="Cambria Math"/>
            <w:lang w:val="en-GB"/>
          </w:rPr>
          <m:t>+</m:t>
        </m:r>
        <m:sSub>
          <m:sSubPr>
            <m:ctrlPr>
              <w:rPr>
                <w:rFonts w:ascii="Cambria Math" w:hAnsi="Cambria Math"/>
                <w:i/>
              </w:rPr>
            </m:ctrlPr>
          </m:sSubPr>
          <m:e>
            <m:r>
              <w:rPr>
                <w:rFonts w:ascii="Cambria Math" w:hAnsi="Cambria Math"/>
              </w:rPr>
              <m:t>β</m:t>
            </m:r>
          </m:e>
          <m:sub>
            <m:r>
              <w:rPr>
                <w:rFonts w:ascii="Cambria Math" w:hAnsi="Cambria Math"/>
              </w:rPr>
              <m:t>i</m:t>
            </m:r>
          </m:sub>
        </m:sSub>
        <m:r>
          <w:rPr>
            <w:rFonts w:ascii="Cambria Math" w:hAnsi="Cambria Math"/>
            <w:lang w:val="en-GB"/>
          </w:rPr>
          <m:t xml:space="preserve"> </m:t>
        </m:r>
        <m:r>
          <w:rPr>
            <w:rFonts w:ascii="Cambria Math" w:hAnsi="Cambria Math"/>
          </w:rPr>
          <m:t>I</m:t>
        </m:r>
        <m:r>
          <w:rPr>
            <w:rFonts w:ascii="Cambria Math" w:hAnsi="Cambria Math"/>
            <w:lang w:val="en-GB"/>
          </w:rPr>
          <m:t>RC+</m:t>
        </m:r>
        <m:sSub>
          <m:sSubPr>
            <m:ctrlPr>
              <w:rPr>
                <w:rFonts w:ascii="Cambria Math" w:hAnsi="Cambria Math"/>
                <w:i/>
              </w:rPr>
            </m:ctrlPr>
          </m:sSubPr>
          <m:e>
            <m:r>
              <w:rPr>
                <w:rFonts w:ascii="Cambria Math" w:hAnsi="Cambria Math"/>
              </w:rPr>
              <m:t>u</m:t>
            </m:r>
          </m:e>
          <m:sub>
            <m:r>
              <w:rPr>
                <w:rFonts w:ascii="Cambria Math" w:hAnsi="Cambria Math"/>
              </w:rPr>
              <m:t>it</m:t>
            </m:r>
          </m:sub>
        </m:sSub>
      </m:oMath>
      <w:r w:rsidR="0001447F" w:rsidRPr="0001447F">
        <w:rPr>
          <w:lang w:val="en-GB"/>
        </w:rPr>
        <w:t xml:space="preserve"> </w:t>
      </w:r>
      <w:r w:rsidR="0001447F">
        <w:rPr>
          <w:lang w:val="en-GB"/>
        </w:rPr>
        <w:t xml:space="preserve">  </w:t>
      </w:r>
      <w:r w:rsidR="0001447F" w:rsidRPr="0001447F">
        <w:rPr>
          <w:lang w:val="en-GB"/>
        </w:rPr>
        <w:t>(2)</w:t>
      </w:r>
    </w:p>
    <w:p w14:paraId="70E37EE6" w14:textId="602C7DDF" w:rsidR="0001447F" w:rsidRPr="00F904B1" w:rsidRDefault="0001447F" w:rsidP="0001447F">
      <w:pPr>
        <w:spacing w:line="480" w:lineRule="auto"/>
        <w:jc w:val="both"/>
        <w:rPr>
          <w:lang w:val="en-GB"/>
        </w:rPr>
      </w:pPr>
      <w:r w:rsidRPr="00F904B1">
        <w:rPr>
          <w:lang w:val="en-GB"/>
        </w:rPr>
        <w:t>where β</w:t>
      </w:r>
      <w:proofErr w:type="spellStart"/>
      <w:r w:rsidRPr="00F904B1">
        <w:rPr>
          <w:vertAlign w:val="subscript"/>
          <w:lang w:val="en-GB"/>
        </w:rPr>
        <w:t>i</w:t>
      </w:r>
      <w:proofErr w:type="spellEnd"/>
      <w:r w:rsidRPr="00F904B1">
        <w:rPr>
          <w:vertAlign w:val="subscript"/>
          <w:lang w:val="en-GB"/>
        </w:rPr>
        <w:t xml:space="preserve"> </w:t>
      </w:r>
      <w:r w:rsidRPr="00F904B1">
        <w:rPr>
          <w:lang w:val="en-GB"/>
        </w:rPr>
        <w:t xml:space="preserve">is a vector of </w:t>
      </w:r>
      <w:r>
        <w:rPr>
          <w:lang w:val="en-GB"/>
        </w:rPr>
        <w:t>four</w:t>
      </w:r>
      <w:r w:rsidRPr="00F904B1">
        <w:rPr>
          <w:lang w:val="en-GB"/>
        </w:rPr>
        <w:t xml:space="preserve"> </w:t>
      </w:r>
      <w:r w:rsidR="00670FE7">
        <w:rPr>
          <w:lang w:val="en-GB"/>
        </w:rPr>
        <w:t xml:space="preserve">continuous </w:t>
      </w:r>
      <w:r>
        <w:rPr>
          <w:lang w:val="en-GB"/>
        </w:rPr>
        <w:t xml:space="preserve">variables </w:t>
      </w:r>
      <w:r w:rsidR="00670FE7">
        <w:rPr>
          <w:lang w:val="en-GB"/>
        </w:rPr>
        <w:t>going</w:t>
      </w:r>
      <w:r w:rsidR="00937623">
        <w:rPr>
          <w:lang w:val="en-GB"/>
        </w:rPr>
        <w:t xml:space="preserve"> from</w:t>
      </w:r>
      <w:r>
        <w:rPr>
          <w:lang w:val="en-GB"/>
        </w:rPr>
        <w:t xml:space="preserve"> 0 to 1</w:t>
      </w:r>
      <w:r w:rsidRPr="00F904B1">
        <w:rPr>
          <w:lang w:val="en-GB"/>
        </w:rPr>
        <w:t xml:space="preserve"> representing </w:t>
      </w:r>
      <w:r>
        <w:rPr>
          <w:lang w:val="en-GB"/>
        </w:rPr>
        <w:t xml:space="preserve">the set of </w:t>
      </w:r>
      <w:r w:rsidR="00694BC0">
        <w:rPr>
          <w:lang w:val="en-GB"/>
        </w:rPr>
        <w:t>i</w:t>
      </w:r>
      <w:r>
        <w:rPr>
          <w:lang w:val="en-GB"/>
        </w:rPr>
        <w:t xml:space="preserve">ndicators of </w:t>
      </w:r>
      <w:r w:rsidR="00694BC0">
        <w:rPr>
          <w:lang w:val="en-GB"/>
        </w:rPr>
        <w:t>regulatory</w:t>
      </w:r>
      <w:r>
        <w:rPr>
          <w:lang w:val="en-GB"/>
        </w:rPr>
        <w:t xml:space="preserve"> </w:t>
      </w:r>
      <w:r w:rsidR="00694BC0">
        <w:rPr>
          <w:lang w:val="en-GB"/>
        </w:rPr>
        <w:t>c</w:t>
      </w:r>
      <w:r>
        <w:rPr>
          <w:lang w:val="en-GB"/>
        </w:rPr>
        <w:t>omplexity</w:t>
      </w:r>
      <w:r w:rsidR="00937623">
        <w:rPr>
          <w:lang w:val="en-GB"/>
        </w:rPr>
        <w:t xml:space="preserve"> described above</w:t>
      </w:r>
      <w:r>
        <w:rPr>
          <w:lang w:val="en-GB"/>
        </w:rPr>
        <w:t xml:space="preserve">. </w:t>
      </w:r>
    </w:p>
    <w:p w14:paraId="4E691225" w14:textId="029EC8F5" w:rsidR="00907DAE" w:rsidRDefault="00907DAE" w:rsidP="00331005">
      <w:pPr>
        <w:spacing w:line="480" w:lineRule="auto"/>
        <w:jc w:val="both"/>
        <w:rPr>
          <w:lang w:val="en-GB"/>
        </w:rPr>
      </w:pPr>
      <w:r>
        <w:rPr>
          <w:lang w:val="en-GB"/>
        </w:rPr>
        <w:lastRenderedPageBreak/>
        <w:t xml:space="preserve">As </w:t>
      </w:r>
      <w:r w:rsidR="00B113B4">
        <w:rPr>
          <w:lang w:val="en-GB"/>
        </w:rPr>
        <w:t>highlighted in</w:t>
      </w:r>
      <w:r>
        <w:rPr>
          <w:lang w:val="en-GB"/>
        </w:rPr>
        <w:t xml:space="preserve"> Table </w:t>
      </w:r>
      <w:r w:rsidR="002A0A71">
        <w:rPr>
          <w:lang w:val="en-GB"/>
        </w:rPr>
        <w:t>8</w:t>
      </w:r>
      <w:r>
        <w:rPr>
          <w:lang w:val="en-GB"/>
        </w:rPr>
        <w:t xml:space="preserve">, </w:t>
      </w:r>
      <w:r w:rsidR="00331005">
        <w:rPr>
          <w:lang w:val="en-GB"/>
        </w:rPr>
        <w:t>regulatory complexity matters and increase time duration of disputes</w:t>
      </w:r>
      <w:r w:rsidR="000A6EB9">
        <w:rPr>
          <w:rStyle w:val="Rimandonotaapidipagina"/>
          <w:lang w:val="en-GB"/>
        </w:rPr>
        <w:footnoteReference w:id="11"/>
      </w:r>
    </w:p>
    <w:p w14:paraId="71B9BDE2" w14:textId="77777777" w:rsidR="00143C42" w:rsidRDefault="00143C42" w:rsidP="003326EC">
      <w:pPr>
        <w:spacing w:line="480" w:lineRule="auto"/>
        <w:rPr>
          <w:lang w:val="en-GB"/>
        </w:rPr>
      </w:pPr>
    </w:p>
    <w:p w14:paraId="0A213A00" w14:textId="79AF1741" w:rsidR="008F0FB7" w:rsidRPr="007813C3" w:rsidRDefault="008F0FB7" w:rsidP="008F0FB7">
      <w:pPr>
        <w:pStyle w:val="DidefaultA"/>
        <w:tabs>
          <w:tab w:val="left" w:pos="720"/>
          <w:tab w:val="left" w:pos="1440"/>
          <w:tab w:val="left" w:pos="2160"/>
          <w:tab w:val="left" w:pos="2880"/>
          <w:tab w:val="left" w:pos="3600"/>
          <w:tab w:val="left" w:pos="4320"/>
          <w:tab w:val="left" w:pos="5040"/>
          <w:tab w:val="left" w:pos="5760"/>
          <w:tab w:val="left" w:pos="6480"/>
          <w:tab w:val="left" w:pos="7200"/>
          <w:tab w:val="left" w:pos="7714"/>
        </w:tabs>
        <w:spacing w:after="120" w:line="480" w:lineRule="auto"/>
        <w:jc w:val="center"/>
        <w:rPr>
          <w:rFonts w:ascii="Times New Roman" w:hAnsi="Times New Roman" w:cs="Times New Roman"/>
          <w:b/>
          <w:bCs/>
          <w:color w:val="auto"/>
          <w:sz w:val="24"/>
          <w:szCs w:val="24"/>
          <w:lang w:val="en-US"/>
        </w:rPr>
      </w:pPr>
      <w:r w:rsidRPr="008C50F6">
        <w:rPr>
          <w:rFonts w:ascii="Times New Roman" w:eastAsia="Calibri" w:hAnsi="Times New Roman" w:cs="Calibri"/>
          <w:b/>
          <w:bCs/>
          <w:color w:val="auto"/>
          <w:sz w:val="24"/>
          <w:szCs w:val="24"/>
          <w:lang w:val="en-US"/>
        </w:rPr>
        <w:t xml:space="preserve">Table </w:t>
      </w:r>
      <w:r w:rsidR="0074278F">
        <w:rPr>
          <w:rFonts w:ascii="Times New Roman" w:eastAsia="Calibri" w:hAnsi="Times New Roman" w:cs="Calibri"/>
          <w:b/>
          <w:bCs/>
          <w:color w:val="auto"/>
          <w:sz w:val="24"/>
          <w:szCs w:val="24"/>
          <w:lang w:val="en-US"/>
        </w:rPr>
        <w:t>8</w:t>
      </w:r>
      <w:r w:rsidRPr="008C50F6">
        <w:rPr>
          <w:rFonts w:ascii="Times New Roman" w:eastAsia="Calibri" w:hAnsi="Times New Roman" w:cs="Calibri"/>
          <w:b/>
          <w:bCs/>
          <w:color w:val="auto"/>
          <w:sz w:val="24"/>
          <w:szCs w:val="24"/>
          <w:lang w:val="en-US"/>
        </w:rPr>
        <w:t xml:space="preserve"> –</w:t>
      </w:r>
      <w:r>
        <w:rPr>
          <w:rFonts w:ascii="Times New Roman" w:eastAsia="Calibri" w:hAnsi="Times New Roman" w:cs="Calibri"/>
          <w:b/>
          <w:bCs/>
          <w:color w:val="auto"/>
          <w:sz w:val="24"/>
          <w:szCs w:val="24"/>
          <w:lang w:val="en-US"/>
        </w:rPr>
        <w:t xml:space="preserve"> Ind</w:t>
      </w:r>
      <w:r w:rsidR="00F43DEB">
        <w:rPr>
          <w:rFonts w:ascii="Times New Roman" w:eastAsia="Calibri" w:hAnsi="Times New Roman" w:cs="Calibri"/>
          <w:b/>
          <w:bCs/>
          <w:color w:val="auto"/>
          <w:sz w:val="24"/>
          <w:szCs w:val="24"/>
          <w:lang w:val="en-US"/>
        </w:rPr>
        <w:t>icators</w:t>
      </w:r>
      <w:r>
        <w:rPr>
          <w:rFonts w:ascii="Times New Roman" w:eastAsia="Calibri" w:hAnsi="Times New Roman" w:cs="Calibri"/>
          <w:b/>
          <w:bCs/>
          <w:color w:val="auto"/>
          <w:sz w:val="24"/>
          <w:szCs w:val="24"/>
          <w:lang w:val="en-US"/>
        </w:rPr>
        <w:t xml:space="preserve"> of </w:t>
      </w:r>
      <w:r w:rsidR="002A0A71">
        <w:rPr>
          <w:rFonts w:ascii="Times New Roman" w:eastAsia="Calibri" w:hAnsi="Times New Roman" w:cs="Calibri"/>
          <w:b/>
          <w:bCs/>
          <w:color w:val="auto"/>
          <w:sz w:val="24"/>
          <w:szCs w:val="24"/>
          <w:lang w:val="en-US"/>
        </w:rPr>
        <w:t>Regulatory</w:t>
      </w:r>
      <w:r>
        <w:rPr>
          <w:rFonts w:ascii="Times New Roman" w:eastAsia="Calibri" w:hAnsi="Times New Roman" w:cs="Calibri"/>
          <w:b/>
          <w:bCs/>
          <w:color w:val="auto"/>
          <w:sz w:val="24"/>
          <w:szCs w:val="24"/>
          <w:lang w:val="en-US"/>
        </w:rPr>
        <w:t xml:space="preserve"> Complexity </w:t>
      </w:r>
    </w:p>
    <w:tbl>
      <w:tblPr>
        <w:tblStyle w:val="Grigliatabella"/>
        <w:tblW w:w="0" w:type="auto"/>
        <w:jc w:val="center"/>
        <w:tblLook w:val="04A0" w:firstRow="1" w:lastRow="0" w:firstColumn="1" w:lastColumn="0" w:noHBand="0" w:noVBand="1"/>
      </w:tblPr>
      <w:tblGrid>
        <w:gridCol w:w="1441"/>
        <w:gridCol w:w="1366"/>
        <w:gridCol w:w="1357"/>
        <w:gridCol w:w="1341"/>
        <w:gridCol w:w="1266"/>
      </w:tblGrid>
      <w:tr w:rsidR="00670FE7" w14:paraId="36E9140E" w14:textId="77777777" w:rsidTr="009F3862">
        <w:trPr>
          <w:jc w:val="center"/>
        </w:trPr>
        <w:tc>
          <w:tcPr>
            <w:tcW w:w="1441" w:type="dxa"/>
          </w:tcPr>
          <w:p w14:paraId="6E0A36AA" w14:textId="2D073679" w:rsidR="00670FE7" w:rsidRDefault="00670FE7" w:rsidP="000F3B15">
            <w:pPr>
              <w:spacing w:line="276" w:lineRule="auto"/>
              <w:jc w:val="center"/>
              <w:rPr>
                <w:lang w:val="en-GB"/>
              </w:rPr>
            </w:pPr>
            <w:r>
              <w:rPr>
                <w:b/>
                <w:bCs/>
                <w:sz w:val="20"/>
                <w:szCs w:val="20"/>
                <w:lang w:val="en-US"/>
              </w:rPr>
              <w:t>Time Duration</w:t>
            </w:r>
          </w:p>
        </w:tc>
        <w:tc>
          <w:tcPr>
            <w:tcW w:w="1366" w:type="dxa"/>
          </w:tcPr>
          <w:p w14:paraId="18E010EB" w14:textId="2BDDE098" w:rsidR="00670FE7" w:rsidRPr="007A5DEC" w:rsidRDefault="00670FE7" w:rsidP="000F3B15">
            <w:pPr>
              <w:spacing w:line="276" w:lineRule="auto"/>
              <w:jc w:val="center"/>
              <w:rPr>
                <w:b/>
                <w:bCs/>
                <w:lang w:val="en-GB"/>
              </w:rPr>
            </w:pPr>
            <w:r w:rsidRPr="007A5DEC">
              <w:rPr>
                <w:b/>
                <w:bCs/>
                <w:lang w:val="en-GB"/>
              </w:rPr>
              <w:t>(1)</w:t>
            </w:r>
          </w:p>
        </w:tc>
        <w:tc>
          <w:tcPr>
            <w:tcW w:w="1357" w:type="dxa"/>
          </w:tcPr>
          <w:p w14:paraId="66F5D645" w14:textId="04158EE2" w:rsidR="00670FE7" w:rsidRPr="007A5DEC" w:rsidRDefault="00670FE7" w:rsidP="000F3B15">
            <w:pPr>
              <w:spacing w:line="276" w:lineRule="auto"/>
              <w:jc w:val="center"/>
              <w:rPr>
                <w:b/>
                <w:bCs/>
                <w:lang w:val="en-GB"/>
              </w:rPr>
            </w:pPr>
            <w:r w:rsidRPr="007A5DEC">
              <w:rPr>
                <w:b/>
                <w:bCs/>
                <w:lang w:val="en-GB"/>
              </w:rPr>
              <w:t>(2)</w:t>
            </w:r>
          </w:p>
        </w:tc>
        <w:tc>
          <w:tcPr>
            <w:tcW w:w="1341" w:type="dxa"/>
          </w:tcPr>
          <w:p w14:paraId="0029F92D" w14:textId="720669E7" w:rsidR="00670FE7" w:rsidRPr="007A5DEC" w:rsidRDefault="00670FE7" w:rsidP="000F3B15">
            <w:pPr>
              <w:spacing w:line="276" w:lineRule="auto"/>
              <w:jc w:val="center"/>
              <w:rPr>
                <w:b/>
                <w:bCs/>
                <w:lang w:val="en-GB"/>
              </w:rPr>
            </w:pPr>
            <w:r w:rsidRPr="007A5DEC">
              <w:rPr>
                <w:b/>
                <w:bCs/>
                <w:lang w:val="en-GB"/>
              </w:rPr>
              <w:t>(3)</w:t>
            </w:r>
          </w:p>
        </w:tc>
        <w:tc>
          <w:tcPr>
            <w:tcW w:w="1266" w:type="dxa"/>
          </w:tcPr>
          <w:p w14:paraId="6FD2C997" w14:textId="0C3297FE" w:rsidR="00670FE7" w:rsidRPr="007A5DEC" w:rsidRDefault="00670FE7" w:rsidP="000F3B15">
            <w:pPr>
              <w:spacing w:line="276" w:lineRule="auto"/>
              <w:jc w:val="center"/>
              <w:rPr>
                <w:b/>
                <w:bCs/>
                <w:lang w:val="en-GB"/>
              </w:rPr>
            </w:pPr>
            <w:r>
              <w:rPr>
                <w:b/>
                <w:bCs/>
                <w:lang w:val="en-GB"/>
              </w:rPr>
              <w:t>(4)</w:t>
            </w:r>
          </w:p>
        </w:tc>
      </w:tr>
      <w:tr w:rsidR="00670FE7" w14:paraId="670EECAB" w14:textId="77777777" w:rsidTr="009F3862">
        <w:trPr>
          <w:jc w:val="center"/>
        </w:trPr>
        <w:tc>
          <w:tcPr>
            <w:tcW w:w="1441" w:type="dxa"/>
          </w:tcPr>
          <w:p w14:paraId="26B3204C" w14:textId="31759F9F" w:rsidR="00670FE7" w:rsidRPr="00287772" w:rsidRDefault="008810E6" w:rsidP="00331005">
            <w:pPr>
              <w:spacing w:line="276" w:lineRule="auto"/>
              <w:jc w:val="center"/>
              <w:rPr>
                <w:sz w:val="20"/>
                <w:szCs w:val="20"/>
                <w:lang w:val="en-GB"/>
              </w:rPr>
            </w:pPr>
            <w:r>
              <w:rPr>
                <w:b/>
                <w:bCs/>
                <w:sz w:val="20"/>
                <w:szCs w:val="20"/>
                <w:lang w:val="en-US"/>
              </w:rPr>
              <w:t>L</w:t>
            </w:r>
            <w:r w:rsidR="00670FE7" w:rsidRPr="00287772">
              <w:rPr>
                <w:b/>
                <w:bCs/>
                <w:sz w:val="20"/>
                <w:szCs w:val="20"/>
                <w:lang w:val="en-US"/>
              </w:rPr>
              <w:t>aw</w:t>
            </w:r>
            <w:r w:rsidR="00670FE7">
              <w:rPr>
                <w:b/>
                <w:bCs/>
                <w:sz w:val="20"/>
                <w:szCs w:val="20"/>
                <w:lang w:val="en-US"/>
              </w:rPr>
              <w:t>s and regulations</w:t>
            </w:r>
          </w:p>
        </w:tc>
        <w:tc>
          <w:tcPr>
            <w:tcW w:w="1366" w:type="dxa"/>
          </w:tcPr>
          <w:p w14:paraId="40EADAD4" w14:textId="42DA9C20" w:rsidR="00670FE7" w:rsidRPr="00287772" w:rsidRDefault="00670FE7" w:rsidP="00331005">
            <w:pPr>
              <w:spacing w:line="276" w:lineRule="auto"/>
              <w:jc w:val="center"/>
              <w:rPr>
                <w:sz w:val="20"/>
                <w:szCs w:val="20"/>
                <w:lang w:val="en-GB"/>
              </w:rPr>
            </w:pPr>
            <w:r w:rsidRPr="005A7262">
              <w:rPr>
                <w:sz w:val="20"/>
                <w:szCs w:val="20"/>
                <w:lang w:val="en-GB"/>
              </w:rPr>
              <w:t>1498.131</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139.36</w:t>
            </w:r>
            <w:r>
              <w:rPr>
                <w:sz w:val="20"/>
                <w:szCs w:val="20"/>
                <w:lang w:val="en-GB"/>
              </w:rPr>
              <w:t>8)</w:t>
            </w:r>
          </w:p>
        </w:tc>
        <w:tc>
          <w:tcPr>
            <w:tcW w:w="1357" w:type="dxa"/>
          </w:tcPr>
          <w:p w14:paraId="0CD9BAFB" w14:textId="77777777" w:rsidR="00670FE7" w:rsidRPr="00287772" w:rsidRDefault="00670FE7" w:rsidP="00331005">
            <w:pPr>
              <w:spacing w:line="276" w:lineRule="auto"/>
              <w:jc w:val="center"/>
              <w:rPr>
                <w:sz w:val="20"/>
                <w:szCs w:val="20"/>
                <w:lang w:val="en-GB"/>
              </w:rPr>
            </w:pPr>
          </w:p>
        </w:tc>
        <w:tc>
          <w:tcPr>
            <w:tcW w:w="1341" w:type="dxa"/>
          </w:tcPr>
          <w:p w14:paraId="17E6D8FF" w14:textId="77777777" w:rsidR="00670FE7" w:rsidRPr="00287772" w:rsidRDefault="00670FE7" w:rsidP="00331005">
            <w:pPr>
              <w:spacing w:line="276" w:lineRule="auto"/>
              <w:jc w:val="center"/>
              <w:rPr>
                <w:sz w:val="20"/>
                <w:szCs w:val="20"/>
                <w:lang w:val="en-GB"/>
              </w:rPr>
            </w:pPr>
          </w:p>
        </w:tc>
        <w:tc>
          <w:tcPr>
            <w:tcW w:w="1266" w:type="dxa"/>
          </w:tcPr>
          <w:p w14:paraId="22B18070" w14:textId="77777777" w:rsidR="00670FE7" w:rsidRPr="00287772" w:rsidRDefault="00670FE7" w:rsidP="00331005">
            <w:pPr>
              <w:spacing w:line="276" w:lineRule="auto"/>
              <w:jc w:val="center"/>
              <w:rPr>
                <w:sz w:val="20"/>
                <w:szCs w:val="20"/>
                <w:lang w:val="en-GB"/>
              </w:rPr>
            </w:pPr>
          </w:p>
        </w:tc>
      </w:tr>
      <w:tr w:rsidR="00670FE7" w14:paraId="426F1CCB" w14:textId="77777777" w:rsidTr="009F3862">
        <w:trPr>
          <w:jc w:val="center"/>
        </w:trPr>
        <w:tc>
          <w:tcPr>
            <w:tcW w:w="1441" w:type="dxa"/>
          </w:tcPr>
          <w:p w14:paraId="429A46BF" w14:textId="3FE00B01" w:rsidR="00670FE7" w:rsidRPr="00287772" w:rsidRDefault="008810E6" w:rsidP="00331005">
            <w:pPr>
              <w:spacing w:line="276" w:lineRule="auto"/>
              <w:jc w:val="center"/>
              <w:rPr>
                <w:sz w:val="20"/>
                <w:szCs w:val="20"/>
                <w:lang w:val="en-GB"/>
              </w:rPr>
            </w:pPr>
            <w:r>
              <w:rPr>
                <w:b/>
                <w:bCs/>
                <w:sz w:val="20"/>
                <w:szCs w:val="20"/>
                <w:lang w:val="en-US"/>
              </w:rPr>
              <w:t>L</w:t>
            </w:r>
            <w:r w:rsidR="00670FE7" w:rsidRPr="00287772">
              <w:rPr>
                <w:b/>
                <w:bCs/>
                <w:sz w:val="20"/>
                <w:szCs w:val="20"/>
                <w:lang w:val="en-US"/>
              </w:rPr>
              <w:t>aw</w:t>
            </w:r>
            <w:r w:rsidR="00670FE7">
              <w:rPr>
                <w:b/>
                <w:bCs/>
                <w:sz w:val="20"/>
                <w:szCs w:val="20"/>
                <w:lang w:val="en-US"/>
              </w:rPr>
              <w:t>s</w:t>
            </w:r>
          </w:p>
        </w:tc>
        <w:tc>
          <w:tcPr>
            <w:tcW w:w="1366" w:type="dxa"/>
          </w:tcPr>
          <w:p w14:paraId="3398D312" w14:textId="77777777" w:rsidR="00670FE7" w:rsidRPr="00287772" w:rsidRDefault="00670FE7" w:rsidP="00331005">
            <w:pPr>
              <w:spacing w:line="276" w:lineRule="auto"/>
              <w:jc w:val="center"/>
              <w:rPr>
                <w:sz w:val="20"/>
                <w:szCs w:val="20"/>
                <w:lang w:val="en-GB"/>
              </w:rPr>
            </w:pPr>
          </w:p>
        </w:tc>
        <w:tc>
          <w:tcPr>
            <w:tcW w:w="1357" w:type="dxa"/>
          </w:tcPr>
          <w:p w14:paraId="08E63089" w14:textId="57A4574F" w:rsidR="00670FE7" w:rsidRPr="00287772" w:rsidRDefault="00670FE7" w:rsidP="00331005">
            <w:pPr>
              <w:spacing w:line="276" w:lineRule="auto"/>
              <w:jc w:val="center"/>
              <w:rPr>
                <w:sz w:val="20"/>
                <w:szCs w:val="20"/>
                <w:lang w:val="en-GB"/>
              </w:rPr>
            </w:pPr>
            <w:r w:rsidRPr="005A7262">
              <w:rPr>
                <w:sz w:val="20"/>
                <w:szCs w:val="20"/>
                <w:lang w:val="en-GB"/>
              </w:rPr>
              <w:t>1670.112</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99.341</w:t>
            </w:r>
            <w:r>
              <w:rPr>
                <w:sz w:val="20"/>
                <w:szCs w:val="20"/>
                <w:lang w:val="en-GB"/>
              </w:rPr>
              <w:t>)</w:t>
            </w:r>
          </w:p>
        </w:tc>
        <w:tc>
          <w:tcPr>
            <w:tcW w:w="1341" w:type="dxa"/>
          </w:tcPr>
          <w:p w14:paraId="01E0A6D4" w14:textId="77777777" w:rsidR="00670FE7" w:rsidRPr="00287772" w:rsidRDefault="00670FE7" w:rsidP="00331005">
            <w:pPr>
              <w:spacing w:line="276" w:lineRule="auto"/>
              <w:jc w:val="center"/>
              <w:rPr>
                <w:sz w:val="20"/>
                <w:szCs w:val="20"/>
                <w:lang w:val="en-GB"/>
              </w:rPr>
            </w:pPr>
          </w:p>
        </w:tc>
        <w:tc>
          <w:tcPr>
            <w:tcW w:w="1266" w:type="dxa"/>
          </w:tcPr>
          <w:p w14:paraId="1FE333DA" w14:textId="77777777" w:rsidR="00670FE7" w:rsidRPr="00287772" w:rsidRDefault="00670FE7" w:rsidP="00331005">
            <w:pPr>
              <w:spacing w:line="276" w:lineRule="auto"/>
              <w:jc w:val="center"/>
              <w:rPr>
                <w:sz w:val="20"/>
                <w:szCs w:val="20"/>
                <w:lang w:val="en-GB"/>
              </w:rPr>
            </w:pPr>
          </w:p>
        </w:tc>
      </w:tr>
      <w:tr w:rsidR="00670FE7" w14:paraId="6880B908" w14:textId="77777777" w:rsidTr="009F3862">
        <w:trPr>
          <w:jc w:val="center"/>
        </w:trPr>
        <w:tc>
          <w:tcPr>
            <w:tcW w:w="1441" w:type="dxa"/>
          </w:tcPr>
          <w:p w14:paraId="3BB066DF" w14:textId="26B72AB3" w:rsidR="00670FE7" w:rsidRPr="00287772" w:rsidRDefault="008810E6" w:rsidP="00331005">
            <w:pPr>
              <w:spacing w:line="276" w:lineRule="auto"/>
              <w:jc w:val="center"/>
              <w:rPr>
                <w:sz w:val="20"/>
                <w:szCs w:val="20"/>
                <w:lang w:val="en-GB"/>
              </w:rPr>
            </w:pPr>
            <w:r>
              <w:rPr>
                <w:b/>
                <w:bCs/>
                <w:sz w:val="20"/>
                <w:szCs w:val="20"/>
                <w:lang w:val="en-US"/>
              </w:rPr>
              <w:t>R</w:t>
            </w:r>
            <w:r w:rsidR="00670FE7" w:rsidRPr="00287772">
              <w:rPr>
                <w:b/>
                <w:bCs/>
                <w:sz w:val="20"/>
                <w:szCs w:val="20"/>
                <w:lang w:val="en-US"/>
              </w:rPr>
              <w:t>eg</w:t>
            </w:r>
            <w:r w:rsidR="00670FE7">
              <w:rPr>
                <w:b/>
                <w:bCs/>
                <w:sz w:val="20"/>
                <w:szCs w:val="20"/>
                <w:lang w:val="en-US"/>
              </w:rPr>
              <w:t>ulations</w:t>
            </w:r>
          </w:p>
        </w:tc>
        <w:tc>
          <w:tcPr>
            <w:tcW w:w="1366" w:type="dxa"/>
          </w:tcPr>
          <w:p w14:paraId="79674BA8" w14:textId="77777777" w:rsidR="00670FE7" w:rsidRPr="00287772" w:rsidRDefault="00670FE7" w:rsidP="00331005">
            <w:pPr>
              <w:spacing w:line="276" w:lineRule="auto"/>
              <w:jc w:val="center"/>
              <w:rPr>
                <w:sz w:val="20"/>
                <w:szCs w:val="20"/>
                <w:lang w:val="en-GB"/>
              </w:rPr>
            </w:pPr>
          </w:p>
        </w:tc>
        <w:tc>
          <w:tcPr>
            <w:tcW w:w="1357" w:type="dxa"/>
          </w:tcPr>
          <w:p w14:paraId="0ACE5349" w14:textId="77777777" w:rsidR="00670FE7" w:rsidRPr="00287772" w:rsidRDefault="00670FE7" w:rsidP="00331005">
            <w:pPr>
              <w:spacing w:line="276" w:lineRule="auto"/>
              <w:jc w:val="center"/>
              <w:rPr>
                <w:sz w:val="20"/>
                <w:szCs w:val="20"/>
                <w:lang w:val="en-GB"/>
              </w:rPr>
            </w:pPr>
          </w:p>
        </w:tc>
        <w:tc>
          <w:tcPr>
            <w:tcW w:w="1341" w:type="dxa"/>
          </w:tcPr>
          <w:p w14:paraId="285DD6B0" w14:textId="515926E0" w:rsidR="00670FE7" w:rsidRPr="00287772" w:rsidRDefault="00670FE7" w:rsidP="00331005">
            <w:pPr>
              <w:spacing w:line="276" w:lineRule="auto"/>
              <w:jc w:val="center"/>
              <w:rPr>
                <w:sz w:val="20"/>
                <w:szCs w:val="20"/>
                <w:lang w:val="en-GB"/>
              </w:rPr>
            </w:pPr>
            <w:r w:rsidRPr="005A7262">
              <w:rPr>
                <w:sz w:val="20"/>
                <w:szCs w:val="20"/>
                <w:lang w:val="en-GB"/>
              </w:rPr>
              <w:t>1066.407</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205.971</w:t>
            </w:r>
            <w:r>
              <w:rPr>
                <w:sz w:val="20"/>
                <w:szCs w:val="20"/>
                <w:lang w:val="en-GB"/>
              </w:rPr>
              <w:t>)</w:t>
            </w:r>
          </w:p>
        </w:tc>
        <w:tc>
          <w:tcPr>
            <w:tcW w:w="1266" w:type="dxa"/>
          </w:tcPr>
          <w:p w14:paraId="0C60097A" w14:textId="77777777" w:rsidR="00670FE7" w:rsidRPr="00287772" w:rsidRDefault="00670FE7" w:rsidP="00331005">
            <w:pPr>
              <w:spacing w:line="276" w:lineRule="auto"/>
              <w:jc w:val="center"/>
              <w:rPr>
                <w:sz w:val="20"/>
                <w:szCs w:val="20"/>
                <w:lang w:val="en-GB"/>
              </w:rPr>
            </w:pPr>
          </w:p>
        </w:tc>
      </w:tr>
      <w:tr w:rsidR="00670FE7" w14:paraId="3BB72CA9" w14:textId="77777777" w:rsidTr="009F3862">
        <w:trPr>
          <w:jc w:val="center"/>
        </w:trPr>
        <w:tc>
          <w:tcPr>
            <w:tcW w:w="1441" w:type="dxa"/>
          </w:tcPr>
          <w:p w14:paraId="47E5E00A" w14:textId="5EFD4CCD" w:rsidR="00670FE7" w:rsidRPr="00287772" w:rsidRDefault="00670FE7" w:rsidP="00331005">
            <w:pPr>
              <w:spacing w:line="276" w:lineRule="auto"/>
              <w:jc w:val="center"/>
              <w:rPr>
                <w:b/>
                <w:bCs/>
                <w:sz w:val="20"/>
                <w:szCs w:val="20"/>
                <w:lang w:val="en-US"/>
              </w:rPr>
            </w:pPr>
            <w:r>
              <w:rPr>
                <w:b/>
                <w:bCs/>
                <w:sz w:val="20"/>
                <w:szCs w:val="20"/>
                <w:lang w:val="en-US"/>
              </w:rPr>
              <w:t xml:space="preserve">Sup. Court </w:t>
            </w:r>
            <w:r w:rsidRPr="00287772">
              <w:rPr>
                <w:b/>
                <w:bCs/>
                <w:sz w:val="20"/>
                <w:szCs w:val="20"/>
                <w:lang w:val="en-US"/>
              </w:rPr>
              <w:t>sent</w:t>
            </w:r>
            <w:r>
              <w:rPr>
                <w:b/>
                <w:bCs/>
                <w:sz w:val="20"/>
                <w:szCs w:val="20"/>
                <w:lang w:val="en-US"/>
              </w:rPr>
              <w:t>.</w:t>
            </w:r>
          </w:p>
        </w:tc>
        <w:tc>
          <w:tcPr>
            <w:tcW w:w="1366" w:type="dxa"/>
          </w:tcPr>
          <w:p w14:paraId="58D0BBF1" w14:textId="77777777" w:rsidR="00670FE7" w:rsidRPr="00287772" w:rsidRDefault="00670FE7" w:rsidP="00331005">
            <w:pPr>
              <w:spacing w:line="276" w:lineRule="auto"/>
              <w:jc w:val="center"/>
              <w:rPr>
                <w:sz w:val="20"/>
                <w:szCs w:val="20"/>
                <w:lang w:val="en-GB"/>
              </w:rPr>
            </w:pPr>
          </w:p>
        </w:tc>
        <w:tc>
          <w:tcPr>
            <w:tcW w:w="1357" w:type="dxa"/>
          </w:tcPr>
          <w:p w14:paraId="5AC7045C" w14:textId="77777777" w:rsidR="00670FE7" w:rsidRPr="00287772" w:rsidRDefault="00670FE7" w:rsidP="00331005">
            <w:pPr>
              <w:spacing w:line="276" w:lineRule="auto"/>
              <w:jc w:val="center"/>
              <w:rPr>
                <w:sz w:val="20"/>
                <w:szCs w:val="20"/>
                <w:lang w:val="en-GB"/>
              </w:rPr>
            </w:pPr>
          </w:p>
        </w:tc>
        <w:tc>
          <w:tcPr>
            <w:tcW w:w="1341" w:type="dxa"/>
          </w:tcPr>
          <w:p w14:paraId="1FFF2846" w14:textId="77777777" w:rsidR="00670FE7" w:rsidRPr="00287772" w:rsidRDefault="00670FE7" w:rsidP="00331005">
            <w:pPr>
              <w:spacing w:line="276" w:lineRule="auto"/>
              <w:jc w:val="center"/>
              <w:rPr>
                <w:sz w:val="20"/>
                <w:szCs w:val="20"/>
                <w:lang w:val="en-GB"/>
              </w:rPr>
            </w:pPr>
          </w:p>
        </w:tc>
        <w:tc>
          <w:tcPr>
            <w:tcW w:w="1266" w:type="dxa"/>
          </w:tcPr>
          <w:p w14:paraId="61D4D9A3" w14:textId="67808311" w:rsidR="00670FE7" w:rsidRPr="00287772" w:rsidRDefault="00670FE7" w:rsidP="00331005">
            <w:pPr>
              <w:spacing w:line="276" w:lineRule="auto"/>
              <w:jc w:val="center"/>
              <w:rPr>
                <w:sz w:val="20"/>
                <w:szCs w:val="20"/>
                <w:lang w:val="en-GB"/>
              </w:rPr>
            </w:pPr>
            <w:r w:rsidRPr="005A7262">
              <w:rPr>
                <w:sz w:val="20"/>
                <w:szCs w:val="20"/>
                <w:lang w:val="en-GB"/>
              </w:rPr>
              <w:t>1324.923</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98.456</w:t>
            </w:r>
            <w:r>
              <w:rPr>
                <w:sz w:val="20"/>
                <w:szCs w:val="20"/>
                <w:lang w:val="en-GB"/>
              </w:rPr>
              <w:t>)</w:t>
            </w:r>
          </w:p>
        </w:tc>
      </w:tr>
      <w:tr w:rsidR="00670FE7" w14:paraId="6C9278F6" w14:textId="77777777" w:rsidTr="009F3862">
        <w:trPr>
          <w:jc w:val="center"/>
        </w:trPr>
        <w:tc>
          <w:tcPr>
            <w:tcW w:w="1441" w:type="dxa"/>
          </w:tcPr>
          <w:p w14:paraId="1936F71B" w14:textId="1C218BDA" w:rsidR="00670FE7" w:rsidRPr="00287772" w:rsidRDefault="00670FE7" w:rsidP="00331005">
            <w:pPr>
              <w:spacing w:line="276" w:lineRule="auto"/>
              <w:jc w:val="center"/>
              <w:rPr>
                <w:b/>
                <w:bCs/>
                <w:sz w:val="20"/>
                <w:szCs w:val="20"/>
                <w:lang w:val="en-US"/>
              </w:rPr>
            </w:pPr>
            <w:r w:rsidRPr="00287772">
              <w:rPr>
                <w:b/>
                <w:bCs/>
                <w:sz w:val="20"/>
                <w:szCs w:val="20"/>
                <w:lang w:val="en-US"/>
              </w:rPr>
              <w:t>Constant</w:t>
            </w:r>
          </w:p>
        </w:tc>
        <w:tc>
          <w:tcPr>
            <w:tcW w:w="1366" w:type="dxa"/>
          </w:tcPr>
          <w:p w14:paraId="64B43794" w14:textId="48310E8C" w:rsidR="00670FE7" w:rsidRDefault="00670FE7" w:rsidP="00331005">
            <w:pPr>
              <w:spacing w:line="276" w:lineRule="auto"/>
              <w:jc w:val="center"/>
              <w:rPr>
                <w:sz w:val="20"/>
                <w:szCs w:val="20"/>
                <w:lang w:val="en-GB"/>
              </w:rPr>
            </w:pPr>
            <w:r w:rsidRPr="005A7262">
              <w:rPr>
                <w:sz w:val="20"/>
                <w:szCs w:val="20"/>
                <w:lang w:val="en-GB"/>
              </w:rPr>
              <w:t>844.709</w:t>
            </w:r>
            <w:r w:rsidRPr="005A7262">
              <w:rPr>
                <w:sz w:val="20"/>
                <w:szCs w:val="20"/>
                <w:lang w:val="en-US"/>
              </w:rPr>
              <w:t>***</w:t>
            </w:r>
          </w:p>
          <w:p w14:paraId="6CB294A8" w14:textId="4794FA7B" w:rsidR="00670FE7" w:rsidRPr="00287772" w:rsidRDefault="00670FE7" w:rsidP="00331005">
            <w:pPr>
              <w:spacing w:line="276" w:lineRule="auto"/>
              <w:jc w:val="center"/>
              <w:rPr>
                <w:sz w:val="20"/>
                <w:szCs w:val="20"/>
                <w:lang w:val="en-GB"/>
              </w:rPr>
            </w:pPr>
            <w:r>
              <w:rPr>
                <w:sz w:val="20"/>
                <w:szCs w:val="20"/>
                <w:lang w:val="en-GB"/>
              </w:rPr>
              <w:t>(</w:t>
            </w:r>
            <w:r w:rsidRPr="005A7262">
              <w:rPr>
                <w:sz w:val="20"/>
                <w:szCs w:val="20"/>
                <w:lang w:val="en-GB"/>
              </w:rPr>
              <w:t>12.311</w:t>
            </w:r>
            <w:r>
              <w:rPr>
                <w:sz w:val="20"/>
                <w:szCs w:val="20"/>
                <w:lang w:val="en-GB"/>
              </w:rPr>
              <w:t>)</w:t>
            </w:r>
          </w:p>
        </w:tc>
        <w:tc>
          <w:tcPr>
            <w:tcW w:w="1357" w:type="dxa"/>
          </w:tcPr>
          <w:p w14:paraId="4F42A92A" w14:textId="27AC790C" w:rsidR="00670FE7" w:rsidRDefault="00670FE7" w:rsidP="00331005">
            <w:pPr>
              <w:spacing w:line="276" w:lineRule="auto"/>
              <w:jc w:val="center"/>
              <w:rPr>
                <w:sz w:val="20"/>
                <w:szCs w:val="20"/>
                <w:lang w:val="en-GB"/>
              </w:rPr>
            </w:pPr>
            <w:r w:rsidRPr="005A7262">
              <w:rPr>
                <w:sz w:val="20"/>
                <w:szCs w:val="20"/>
                <w:lang w:val="en-GB"/>
              </w:rPr>
              <w:t>835.637</w:t>
            </w:r>
            <w:r w:rsidRPr="005A7262">
              <w:rPr>
                <w:sz w:val="20"/>
                <w:szCs w:val="20"/>
                <w:lang w:val="en-US"/>
              </w:rPr>
              <w:t>***</w:t>
            </w:r>
          </w:p>
          <w:p w14:paraId="19FDE6AC" w14:textId="72BED95C" w:rsidR="00670FE7" w:rsidRPr="00287772" w:rsidRDefault="00670FE7" w:rsidP="00331005">
            <w:pPr>
              <w:spacing w:line="276" w:lineRule="auto"/>
              <w:jc w:val="center"/>
              <w:rPr>
                <w:sz w:val="20"/>
                <w:szCs w:val="20"/>
                <w:lang w:val="en-GB"/>
              </w:rPr>
            </w:pPr>
            <w:r>
              <w:rPr>
                <w:sz w:val="20"/>
                <w:szCs w:val="20"/>
                <w:lang w:val="en-GB"/>
              </w:rPr>
              <w:t>(</w:t>
            </w:r>
            <w:r w:rsidRPr="005A7262">
              <w:rPr>
                <w:sz w:val="20"/>
                <w:szCs w:val="20"/>
                <w:lang w:val="en-GB"/>
              </w:rPr>
              <w:t>10.623</w:t>
            </w:r>
            <w:r>
              <w:rPr>
                <w:sz w:val="20"/>
                <w:szCs w:val="20"/>
                <w:lang w:val="en-GB"/>
              </w:rPr>
              <w:t>)</w:t>
            </w:r>
          </w:p>
        </w:tc>
        <w:tc>
          <w:tcPr>
            <w:tcW w:w="1341" w:type="dxa"/>
          </w:tcPr>
          <w:p w14:paraId="3C870EDB" w14:textId="60E2A91F" w:rsidR="00670FE7" w:rsidRPr="00287772" w:rsidRDefault="00670FE7" w:rsidP="00331005">
            <w:pPr>
              <w:spacing w:line="276" w:lineRule="auto"/>
              <w:jc w:val="center"/>
              <w:rPr>
                <w:sz w:val="20"/>
                <w:szCs w:val="20"/>
                <w:lang w:val="en-GB"/>
              </w:rPr>
            </w:pPr>
            <w:r w:rsidRPr="005A7262">
              <w:rPr>
                <w:sz w:val="20"/>
                <w:szCs w:val="20"/>
                <w:lang w:val="en-GB"/>
              </w:rPr>
              <w:t>875.584</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14.73</w:t>
            </w:r>
            <w:r>
              <w:rPr>
                <w:sz w:val="20"/>
                <w:szCs w:val="20"/>
                <w:lang w:val="en-GB"/>
              </w:rPr>
              <w:t>8)</w:t>
            </w:r>
          </w:p>
        </w:tc>
        <w:tc>
          <w:tcPr>
            <w:tcW w:w="1266" w:type="dxa"/>
          </w:tcPr>
          <w:p w14:paraId="5C48ED51" w14:textId="0B2AFB32" w:rsidR="00670FE7" w:rsidRPr="00287772" w:rsidRDefault="00670FE7" w:rsidP="00331005">
            <w:pPr>
              <w:spacing w:line="276" w:lineRule="auto"/>
              <w:jc w:val="center"/>
              <w:rPr>
                <w:sz w:val="20"/>
                <w:szCs w:val="20"/>
                <w:lang w:val="en-GB"/>
              </w:rPr>
            </w:pPr>
            <w:r w:rsidRPr="005A7262">
              <w:rPr>
                <w:sz w:val="20"/>
                <w:szCs w:val="20"/>
                <w:lang w:val="en-GB"/>
              </w:rPr>
              <w:t>809.104</w:t>
            </w:r>
            <w:r w:rsidRPr="005A7262">
              <w:rPr>
                <w:sz w:val="20"/>
                <w:szCs w:val="20"/>
                <w:lang w:val="en-US"/>
              </w:rPr>
              <w:t>***</w:t>
            </w:r>
            <w:r w:rsidRPr="005A7262">
              <w:rPr>
                <w:sz w:val="20"/>
                <w:szCs w:val="20"/>
                <w:lang w:val="en-GB"/>
              </w:rPr>
              <w:t xml:space="preserve"> </w:t>
            </w:r>
            <w:r>
              <w:rPr>
                <w:sz w:val="20"/>
                <w:szCs w:val="20"/>
                <w:lang w:val="en-GB"/>
              </w:rPr>
              <w:t>(</w:t>
            </w:r>
            <w:r w:rsidRPr="005A7262">
              <w:rPr>
                <w:sz w:val="20"/>
                <w:szCs w:val="20"/>
                <w:lang w:val="en-GB"/>
              </w:rPr>
              <w:t>12.942</w:t>
            </w:r>
            <w:r>
              <w:rPr>
                <w:sz w:val="20"/>
                <w:szCs w:val="20"/>
                <w:lang w:val="en-GB"/>
              </w:rPr>
              <w:t>)</w:t>
            </w:r>
          </w:p>
        </w:tc>
      </w:tr>
      <w:tr w:rsidR="00670FE7" w14:paraId="673BE19A" w14:textId="77777777" w:rsidTr="009F3862">
        <w:trPr>
          <w:jc w:val="center"/>
        </w:trPr>
        <w:tc>
          <w:tcPr>
            <w:tcW w:w="1441" w:type="dxa"/>
          </w:tcPr>
          <w:p w14:paraId="3D99CB68" w14:textId="78BC79A1" w:rsidR="00670FE7" w:rsidRPr="00287772" w:rsidRDefault="00670FE7" w:rsidP="00331005">
            <w:pPr>
              <w:spacing w:line="276" w:lineRule="auto"/>
              <w:jc w:val="center"/>
              <w:rPr>
                <w:b/>
                <w:bCs/>
                <w:sz w:val="20"/>
                <w:szCs w:val="20"/>
                <w:lang w:val="en-US"/>
              </w:rPr>
            </w:pPr>
            <w:r w:rsidRPr="00287772">
              <w:rPr>
                <w:b/>
                <w:bCs/>
                <w:sz w:val="20"/>
                <w:szCs w:val="20"/>
                <w:lang w:val="en-US"/>
              </w:rPr>
              <w:t>Observation</w:t>
            </w:r>
          </w:p>
        </w:tc>
        <w:tc>
          <w:tcPr>
            <w:tcW w:w="1366" w:type="dxa"/>
          </w:tcPr>
          <w:p w14:paraId="501D2D6C" w14:textId="5DB2DC4A" w:rsidR="00670FE7" w:rsidRPr="00287772" w:rsidRDefault="00670FE7" w:rsidP="00331005">
            <w:pPr>
              <w:spacing w:line="276" w:lineRule="auto"/>
              <w:jc w:val="center"/>
              <w:rPr>
                <w:sz w:val="20"/>
                <w:szCs w:val="20"/>
                <w:lang w:val="en-GB"/>
              </w:rPr>
            </w:pPr>
            <w:r w:rsidRPr="00287772">
              <w:rPr>
                <w:sz w:val="20"/>
                <w:szCs w:val="20"/>
                <w:lang w:val="en-GB"/>
              </w:rPr>
              <w:t>5,985</w:t>
            </w:r>
          </w:p>
        </w:tc>
        <w:tc>
          <w:tcPr>
            <w:tcW w:w="1357" w:type="dxa"/>
          </w:tcPr>
          <w:p w14:paraId="0A645D82" w14:textId="5DD9BACE" w:rsidR="00670FE7" w:rsidRPr="00287772" w:rsidRDefault="00670FE7" w:rsidP="00331005">
            <w:pPr>
              <w:spacing w:line="276" w:lineRule="auto"/>
              <w:jc w:val="center"/>
              <w:rPr>
                <w:sz w:val="20"/>
                <w:szCs w:val="20"/>
                <w:lang w:val="en-GB"/>
              </w:rPr>
            </w:pPr>
            <w:r w:rsidRPr="00287772">
              <w:rPr>
                <w:sz w:val="20"/>
                <w:szCs w:val="20"/>
                <w:lang w:val="en-GB"/>
              </w:rPr>
              <w:t>5,985</w:t>
            </w:r>
          </w:p>
        </w:tc>
        <w:tc>
          <w:tcPr>
            <w:tcW w:w="1341" w:type="dxa"/>
          </w:tcPr>
          <w:p w14:paraId="4763EC77" w14:textId="4F3D09E5" w:rsidR="00670FE7" w:rsidRPr="00287772" w:rsidRDefault="00670FE7" w:rsidP="00331005">
            <w:pPr>
              <w:spacing w:line="276" w:lineRule="auto"/>
              <w:jc w:val="center"/>
              <w:rPr>
                <w:sz w:val="20"/>
                <w:szCs w:val="20"/>
                <w:lang w:val="en-GB"/>
              </w:rPr>
            </w:pPr>
            <w:r w:rsidRPr="00287772">
              <w:rPr>
                <w:sz w:val="20"/>
                <w:szCs w:val="20"/>
                <w:lang w:val="en-GB"/>
              </w:rPr>
              <w:t>5,985</w:t>
            </w:r>
          </w:p>
        </w:tc>
        <w:tc>
          <w:tcPr>
            <w:tcW w:w="1266" w:type="dxa"/>
          </w:tcPr>
          <w:p w14:paraId="48CB96AD" w14:textId="7CF7040D" w:rsidR="00670FE7" w:rsidRPr="00287772" w:rsidRDefault="00670FE7" w:rsidP="00331005">
            <w:pPr>
              <w:spacing w:line="276" w:lineRule="auto"/>
              <w:jc w:val="center"/>
              <w:rPr>
                <w:sz w:val="20"/>
                <w:szCs w:val="20"/>
                <w:lang w:val="en-GB"/>
              </w:rPr>
            </w:pPr>
            <w:r w:rsidRPr="005A7262">
              <w:rPr>
                <w:sz w:val="20"/>
                <w:szCs w:val="20"/>
                <w:lang w:val="en-GB"/>
              </w:rPr>
              <w:t>5,985</w:t>
            </w:r>
          </w:p>
        </w:tc>
      </w:tr>
      <w:tr w:rsidR="00670FE7" w14:paraId="671C714B" w14:textId="77777777" w:rsidTr="009F3862">
        <w:trPr>
          <w:jc w:val="center"/>
        </w:trPr>
        <w:tc>
          <w:tcPr>
            <w:tcW w:w="1441" w:type="dxa"/>
          </w:tcPr>
          <w:p w14:paraId="77BE0ACB" w14:textId="25BD7123" w:rsidR="00670FE7" w:rsidRPr="00287772" w:rsidRDefault="00670FE7" w:rsidP="00331005">
            <w:pPr>
              <w:spacing w:line="276" w:lineRule="auto"/>
              <w:jc w:val="center"/>
              <w:rPr>
                <w:b/>
                <w:bCs/>
                <w:sz w:val="20"/>
                <w:szCs w:val="20"/>
                <w:lang w:val="en-US"/>
              </w:rPr>
            </w:pPr>
            <w:r w:rsidRPr="00287772">
              <w:rPr>
                <w:b/>
                <w:bCs/>
                <w:i/>
                <w:sz w:val="20"/>
                <w:szCs w:val="20"/>
                <w:lang w:val="en-US"/>
                <w14:ligatures w14:val="standardContextual"/>
              </w:rPr>
              <w:t>R</w:t>
            </w:r>
            <w:r w:rsidRPr="00287772">
              <w:rPr>
                <w:b/>
                <w:bCs/>
                <w:i/>
                <w:sz w:val="20"/>
                <w:szCs w:val="20"/>
                <w:vertAlign w:val="superscript"/>
                <w:lang w:val="en-US"/>
                <w14:ligatures w14:val="standardContextual"/>
              </w:rPr>
              <w:t>2</w:t>
            </w:r>
          </w:p>
        </w:tc>
        <w:tc>
          <w:tcPr>
            <w:tcW w:w="1366" w:type="dxa"/>
          </w:tcPr>
          <w:p w14:paraId="50B1015C" w14:textId="242F0553" w:rsidR="00670FE7" w:rsidRPr="00287772" w:rsidRDefault="00670FE7" w:rsidP="00331005">
            <w:pPr>
              <w:spacing w:line="276" w:lineRule="auto"/>
              <w:jc w:val="center"/>
              <w:rPr>
                <w:sz w:val="20"/>
                <w:szCs w:val="20"/>
                <w:lang w:val="en-GB"/>
              </w:rPr>
            </w:pPr>
            <w:r w:rsidRPr="005A7262">
              <w:rPr>
                <w:sz w:val="20"/>
                <w:szCs w:val="20"/>
                <w:lang w:val="en-GB"/>
              </w:rPr>
              <w:t>0.0189</w:t>
            </w:r>
          </w:p>
        </w:tc>
        <w:tc>
          <w:tcPr>
            <w:tcW w:w="1357" w:type="dxa"/>
          </w:tcPr>
          <w:p w14:paraId="318E0AC1" w14:textId="2783D03A" w:rsidR="00670FE7" w:rsidRPr="00287772" w:rsidRDefault="00670FE7" w:rsidP="00331005">
            <w:pPr>
              <w:spacing w:line="276" w:lineRule="auto"/>
              <w:jc w:val="center"/>
              <w:rPr>
                <w:sz w:val="20"/>
                <w:szCs w:val="20"/>
                <w:lang w:val="en-GB"/>
              </w:rPr>
            </w:pPr>
            <w:r w:rsidRPr="005A7262">
              <w:rPr>
                <w:sz w:val="20"/>
                <w:szCs w:val="20"/>
                <w:lang w:val="en-GB"/>
              </w:rPr>
              <w:t>0.0451</w:t>
            </w:r>
          </w:p>
        </w:tc>
        <w:tc>
          <w:tcPr>
            <w:tcW w:w="1341" w:type="dxa"/>
          </w:tcPr>
          <w:p w14:paraId="313F49E8" w14:textId="4B6B31C5" w:rsidR="00670FE7" w:rsidRPr="00287772" w:rsidRDefault="00670FE7" w:rsidP="00331005">
            <w:pPr>
              <w:spacing w:line="276" w:lineRule="auto"/>
              <w:jc w:val="center"/>
              <w:rPr>
                <w:sz w:val="20"/>
                <w:szCs w:val="20"/>
                <w:lang w:val="en-GB"/>
              </w:rPr>
            </w:pPr>
            <w:r w:rsidRPr="005A7262">
              <w:rPr>
                <w:sz w:val="20"/>
                <w:szCs w:val="20"/>
                <w:lang w:val="en-GB"/>
              </w:rPr>
              <w:t>0.0045</w:t>
            </w:r>
          </w:p>
        </w:tc>
        <w:tc>
          <w:tcPr>
            <w:tcW w:w="1266" w:type="dxa"/>
          </w:tcPr>
          <w:p w14:paraId="18D62A02" w14:textId="51F86345" w:rsidR="00670FE7" w:rsidRPr="00287772" w:rsidRDefault="00670FE7" w:rsidP="00331005">
            <w:pPr>
              <w:spacing w:line="276" w:lineRule="auto"/>
              <w:jc w:val="center"/>
              <w:rPr>
                <w:sz w:val="20"/>
                <w:szCs w:val="20"/>
                <w:lang w:val="en-GB"/>
              </w:rPr>
            </w:pPr>
            <w:r w:rsidRPr="005A7262">
              <w:rPr>
                <w:sz w:val="20"/>
                <w:szCs w:val="20"/>
                <w:lang w:val="en-GB"/>
              </w:rPr>
              <w:t>0.0294</w:t>
            </w:r>
          </w:p>
        </w:tc>
      </w:tr>
    </w:tbl>
    <w:p w14:paraId="30B47382" w14:textId="23133761" w:rsidR="00FE30A8" w:rsidRPr="00287772" w:rsidRDefault="00287772" w:rsidP="00287772">
      <w:pPr>
        <w:autoSpaceDE w:val="0"/>
        <w:autoSpaceDN w:val="0"/>
        <w:adjustRightInd w:val="0"/>
        <w:spacing w:line="360" w:lineRule="auto"/>
        <w:jc w:val="center"/>
        <w:rPr>
          <w:rFonts w:eastAsia="AdvCORRESAST"/>
          <w:lang w:val="en-GB" w:eastAsia="en-US"/>
        </w:rPr>
      </w:pPr>
      <w:r w:rsidRPr="00F349B3">
        <w:rPr>
          <w:rFonts w:eastAsia="AdvCORRESAST"/>
          <w:sz w:val="16"/>
          <w:szCs w:val="16"/>
          <w:lang w:val="en-GB" w:eastAsia="en-US"/>
        </w:rPr>
        <w:t xml:space="preserve">Source: our elaboration. </w:t>
      </w:r>
      <w:r w:rsidRPr="00F349B3">
        <w:rPr>
          <w:rFonts w:eastAsia="Calibri"/>
          <w:sz w:val="16"/>
          <w:szCs w:val="16"/>
          <w:lang w:val="en-US" w:eastAsia="en-US"/>
        </w:rPr>
        <w:t>Note:</w:t>
      </w:r>
      <w:r w:rsidRPr="00C642E9">
        <w:rPr>
          <w:rFonts w:eastAsia="Calibri"/>
          <w:sz w:val="16"/>
          <w:szCs w:val="16"/>
          <w:lang w:val="en-US" w:eastAsia="en-US"/>
        </w:rPr>
        <w:t xml:space="preserve"> S</w:t>
      </w:r>
      <w:r w:rsidRPr="00F349B3">
        <w:rPr>
          <w:rFonts w:eastAsia="Calibri"/>
          <w:sz w:val="16"/>
          <w:szCs w:val="16"/>
          <w:lang w:val="en-US" w:eastAsia="en-US"/>
        </w:rPr>
        <w:t>tandard errors in parentheses. ***, **, and * denote significance at the 1%, 5%, and 10% level.</w:t>
      </w:r>
    </w:p>
    <w:p w14:paraId="6832AAEB" w14:textId="48382FBB" w:rsidR="00FE30A8" w:rsidRPr="00C64026" w:rsidRDefault="00777186" w:rsidP="003326EC">
      <w:pPr>
        <w:spacing w:line="480" w:lineRule="auto"/>
        <w:rPr>
          <w:lang w:val="en-GB"/>
        </w:rPr>
      </w:pPr>
      <w:r>
        <w:rPr>
          <w:lang w:val="en-GB"/>
        </w:rPr>
        <w:tab/>
      </w:r>
      <w:r w:rsidR="00FE30A8">
        <w:rPr>
          <w:lang w:val="en-GB"/>
        </w:rPr>
        <w:tab/>
      </w:r>
    </w:p>
    <w:p w14:paraId="62D0D5A1" w14:textId="77777777" w:rsidR="003326EC" w:rsidRPr="00FB0710" w:rsidRDefault="003326EC" w:rsidP="00143C42">
      <w:pPr>
        <w:pStyle w:val="Titolo2"/>
        <w:spacing w:before="0" w:after="120" w:line="480" w:lineRule="auto"/>
        <w:jc w:val="both"/>
        <w:rPr>
          <w:rStyle w:val="txt"/>
          <w:rFonts w:ascii="Times New Roman" w:hAnsi="Times New Roman" w:cs="Times New Roman"/>
          <w:color w:val="auto"/>
          <w:sz w:val="24"/>
          <w:szCs w:val="24"/>
          <w:lang w:val="en-US"/>
        </w:rPr>
      </w:pPr>
      <w:r>
        <w:rPr>
          <w:rStyle w:val="txt"/>
          <w:rFonts w:ascii="Times New Roman" w:hAnsi="Times New Roman" w:cs="Times New Roman"/>
          <w:color w:val="auto"/>
          <w:sz w:val="24"/>
          <w:szCs w:val="24"/>
          <w:lang w:val="en-US"/>
        </w:rPr>
        <w:t>5.</w:t>
      </w:r>
      <w:r w:rsidRPr="00FB0710">
        <w:rPr>
          <w:rStyle w:val="txt"/>
          <w:rFonts w:ascii="Times New Roman" w:hAnsi="Times New Roman" w:cs="Times New Roman"/>
          <w:color w:val="auto"/>
          <w:sz w:val="24"/>
          <w:szCs w:val="24"/>
          <w:lang w:val="en-US"/>
        </w:rPr>
        <w:t xml:space="preserve"> </w:t>
      </w:r>
      <w:r>
        <w:rPr>
          <w:rStyle w:val="txt"/>
          <w:rFonts w:ascii="Times New Roman" w:hAnsi="Times New Roman" w:cs="Times New Roman"/>
          <w:color w:val="auto"/>
          <w:sz w:val="24"/>
          <w:szCs w:val="24"/>
          <w:lang w:val="en-US"/>
        </w:rPr>
        <w:t xml:space="preserve">Conclusion </w:t>
      </w:r>
    </w:p>
    <w:p w14:paraId="03939135" w14:textId="77777777" w:rsidR="00CF7A7F" w:rsidRDefault="003326EC" w:rsidP="00143C42">
      <w:pPr>
        <w:pBdr>
          <w:top w:val="nil"/>
          <w:left w:val="nil"/>
          <w:bottom w:val="nil"/>
          <w:right w:val="nil"/>
          <w:between w:val="nil"/>
          <w:bar w:val="nil"/>
        </w:pBdr>
        <w:spacing w:after="120" w:line="480" w:lineRule="auto"/>
        <w:jc w:val="both"/>
        <w:rPr>
          <w:lang w:val="en-US"/>
        </w:rPr>
      </w:pPr>
      <w:r w:rsidRPr="001F216B">
        <w:rPr>
          <w:lang w:val="en-US"/>
        </w:rPr>
        <w:t xml:space="preserve">In this paper, we studied the </w:t>
      </w:r>
      <w:r w:rsidR="00C241B1">
        <w:rPr>
          <w:lang w:val="en-US"/>
        </w:rPr>
        <w:t>relation</w:t>
      </w:r>
      <w:r w:rsidR="00C241B1" w:rsidRPr="001F216B">
        <w:rPr>
          <w:lang w:val="en-US"/>
        </w:rPr>
        <w:t xml:space="preserve"> </w:t>
      </w:r>
      <w:r w:rsidRPr="001F216B">
        <w:rPr>
          <w:lang w:val="en-US"/>
        </w:rPr>
        <w:t xml:space="preserve">between </w:t>
      </w:r>
      <w:r w:rsidR="00745FF0" w:rsidRPr="001F216B">
        <w:rPr>
          <w:lang w:val="en-US"/>
        </w:rPr>
        <w:t xml:space="preserve">topics and </w:t>
      </w:r>
      <w:r w:rsidR="00C16981">
        <w:rPr>
          <w:lang w:val="en-US"/>
        </w:rPr>
        <w:t>t</w:t>
      </w:r>
      <w:r w:rsidR="00745FF0" w:rsidRPr="001F216B">
        <w:rPr>
          <w:lang w:val="en-US"/>
        </w:rPr>
        <w:t>ime duration of first instance civil disputes</w:t>
      </w:r>
      <w:r w:rsidR="00A646FF">
        <w:rPr>
          <w:lang w:val="en-US"/>
        </w:rPr>
        <w:t xml:space="preserve"> in</w:t>
      </w:r>
      <w:r w:rsidR="00C16981">
        <w:rPr>
          <w:lang w:val="en-US"/>
        </w:rPr>
        <w:t xml:space="preserve"> ten Sicilian first instance courts</w:t>
      </w:r>
      <w:r w:rsidR="00CF7A7F">
        <w:rPr>
          <w:lang w:val="en-US"/>
        </w:rPr>
        <w:t xml:space="preserve"> and the interplay between time duration of disputes with a set of regulatory complexity indicators at topic level. </w:t>
      </w:r>
    </w:p>
    <w:p w14:paraId="1F640075" w14:textId="423EF040" w:rsidR="005420E6" w:rsidRPr="001F216B" w:rsidRDefault="005E009E" w:rsidP="00143C42">
      <w:pPr>
        <w:pBdr>
          <w:top w:val="nil"/>
          <w:left w:val="nil"/>
          <w:bottom w:val="nil"/>
          <w:right w:val="nil"/>
          <w:between w:val="nil"/>
          <w:bar w:val="nil"/>
        </w:pBdr>
        <w:spacing w:after="120" w:line="480" w:lineRule="auto"/>
        <w:jc w:val="both"/>
        <w:rPr>
          <w:lang w:val="en-GB"/>
        </w:rPr>
      </w:pPr>
      <w:r w:rsidRPr="001F216B">
        <w:rPr>
          <w:lang w:val="en-GB"/>
        </w:rPr>
        <w:t>An overall civil justice reform that aims to reduce time duration of disputes</w:t>
      </w:r>
      <w:r w:rsidR="00D36CF1" w:rsidRPr="001F216B">
        <w:rPr>
          <w:lang w:val="en-GB"/>
        </w:rPr>
        <w:t xml:space="preserve"> </w:t>
      </w:r>
      <w:r w:rsidRPr="001F216B">
        <w:rPr>
          <w:lang w:val="en-GB"/>
        </w:rPr>
        <w:t xml:space="preserve">should be a key component in the </w:t>
      </w:r>
      <w:r w:rsidR="00D36CF1" w:rsidRPr="001F216B">
        <w:rPr>
          <w:lang w:val="en-GB"/>
        </w:rPr>
        <w:t>planning</w:t>
      </w:r>
      <w:r w:rsidRPr="001F216B">
        <w:rPr>
          <w:lang w:val="en-GB"/>
        </w:rPr>
        <w:t xml:space="preserve"> of public policies </w:t>
      </w:r>
      <w:r w:rsidR="00D36CF1" w:rsidRPr="001F216B">
        <w:rPr>
          <w:lang w:val="en-GB"/>
        </w:rPr>
        <w:t xml:space="preserve">with the scope </w:t>
      </w:r>
      <w:r w:rsidRPr="001F216B">
        <w:rPr>
          <w:lang w:val="en-GB"/>
        </w:rPr>
        <w:t>to foster the economy.</w:t>
      </w:r>
    </w:p>
    <w:p w14:paraId="7AC3B4FD" w14:textId="705388E2" w:rsidR="00D543C5" w:rsidRPr="00907DAE" w:rsidRDefault="003326EC" w:rsidP="00143C42">
      <w:pPr>
        <w:pBdr>
          <w:top w:val="nil"/>
          <w:left w:val="nil"/>
          <w:bottom w:val="nil"/>
          <w:right w:val="nil"/>
          <w:between w:val="nil"/>
          <w:bar w:val="nil"/>
        </w:pBdr>
        <w:spacing w:after="120" w:line="480" w:lineRule="auto"/>
        <w:jc w:val="both"/>
        <w:rPr>
          <w:rFonts w:eastAsia="Arial Unicode MS"/>
          <w:bCs/>
          <w:u w:color="FF0000"/>
          <w:bdr w:val="nil"/>
          <w:lang w:val="en-GB"/>
        </w:rPr>
      </w:pPr>
      <w:r w:rsidRPr="001F216B">
        <w:rPr>
          <w:rFonts w:eastAsia="Arial Unicode MS"/>
          <w:bCs/>
          <w:u w:color="FF0000"/>
          <w:bdr w:val="nil"/>
          <w:lang w:val="en-US"/>
        </w:rPr>
        <w:t xml:space="preserve">From a policy perspective, our results suggest that </w:t>
      </w:r>
      <w:r w:rsidR="007813C3" w:rsidRPr="001F216B">
        <w:rPr>
          <w:rFonts w:eastAsia="Arial Unicode MS"/>
          <w:bCs/>
          <w:u w:color="FF0000"/>
          <w:bdr w:val="nil"/>
          <w:lang w:val="en-US"/>
        </w:rPr>
        <w:t xml:space="preserve">policy-maker should take in consideration time duration across different topics </w:t>
      </w:r>
      <w:r w:rsidR="007813C3" w:rsidRPr="001F216B">
        <w:rPr>
          <w:rFonts w:eastAsia="Arial Unicode MS"/>
          <w:bCs/>
          <w:u w:color="FF0000"/>
          <w:bdr w:val="nil"/>
          <w:lang w:val="en-GB"/>
        </w:rPr>
        <w:t xml:space="preserve">for the assignment of resources and </w:t>
      </w:r>
      <w:r w:rsidR="007813C3" w:rsidRPr="001F216B">
        <w:rPr>
          <w:rFonts w:eastAsia="Arial Unicode MS"/>
          <w:bCs/>
          <w:u w:color="FF0000"/>
          <w:bdr w:val="nil"/>
          <w:lang w:val="en-GB"/>
        </w:rPr>
        <w:lastRenderedPageBreak/>
        <w:t>caseload in different sectors of the justice administration.</w:t>
      </w:r>
      <w:r w:rsidR="00907DAE">
        <w:rPr>
          <w:rFonts w:eastAsia="Arial Unicode MS"/>
          <w:bCs/>
          <w:u w:color="FF0000"/>
          <w:bdr w:val="nil"/>
          <w:lang w:val="en-GB"/>
        </w:rPr>
        <w:t xml:space="preserve"> Moreover, policy aimed at the simplification of the regulation system should be fostered.  </w:t>
      </w:r>
    </w:p>
    <w:p w14:paraId="58669980" w14:textId="7A3AD04E" w:rsidR="003D166A" w:rsidRDefault="001F216B" w:rsidP="00143C42">
      <w:pPr>
        <w:pBdr>
          <w:top w:val="nil"/>
          <w:left w:val="nil"/>
          <w:bottom w:val="nil"/>
          <w:right w:val="nil"/>
          <w:between w:val="nil"/>
          <w:bar w:val="nil"/>
        </w:pBdr>
        <w:spacing w:after="120" w:line="480" w:lineRule="auto"/>
        <w:jc w:val="both"/>
        <w:rPr>
          <w:rFonts w:eastAsia="Arial Unicode MS"/>
          <w:bCs/>
          <w:u w:color="FF0000"/>
          <w:bdr w:val="nil"/>
          <w:lang w:val="en-US"/>
        </w:rPr>
      </w:pPr>
      <w:r>
        <w:rPr>
          <w:rFonts w:eastAsia="Arial Unicode MS"/>
          <w:bCs/>
          <w:u w:color="FF0000"/>
          <w:bdr w:val="nil"/>
          <w:lang w:val="en-US"/>
        </w:rPr>
        <w:t>Further analysis could take in consideration</w:t>
      </w:r>
      <w:r w:rsidR="00D7712F">
        <w:rPr>
          <w:rFonts w:eastAsia="Arial Unicode MS"/>
          <w:bCs/>
          <w:u w:color="FF0000"/>
          <w:bdr w:val="nil"/>
          <w:lang w:val="en-US"/>
        </w:rPr>
        <w:t xml:space="preserve"> </w:t>
      </w:r>
      <w:r>
        <w:rPr>
          <w:rFonts w:eastAsia="Arial Unicode MS"/>
          <w:bCs/>
          <w:u w:color="FF0000"/>
          <w:bdr w:val="nil"/>
          <w:lang w:val="en-US"/>
        </w:rPr>
        <w:t>productivity of judges across sections</w:t>
      </w:r>
      <w:r w:rsidR="00907DAE">
        <w:rPr>
          <w:rFonts w:eastAsia="Arial Unicode MS"/>
          <w:bCs/>
          <w:u w:color="FF0000"/>
          <w:bdr w:val="nil"/>
          <w:lang w:val="en-US"/>
        </w:rPr>
        <w:t xml:space="preserve"> and other Court</w:t>
      </w:r>
      <w:r w:rsidR="002A0A71">
        <w:rPr>
          <w:rFonts w:eastAsia="Arial Unicode MS"/>
          <w:bCs/>
          <w:u w:color="FF0000"/>
          <w:bdr w:val="nil"/>
          <w:lang w:val="en-US"/>
        </w:rPr>
        <w:t>s’</w:t>
      </w:r>
      <w:r w:rsidR="00907DAE">
        <w:rPr>
          <w:rFonts w:eastAsia="Arial Unicode MS"/>
          <w:bCs/>
          <w:u w:color="FF0000"/>
          <w:bdr w:val="nil"/>
          <w:lang w:val="en-US"/>
        </w:rPr>
        <w:t xml:space="preserve"> organizational features</w:t>
      </w:r>
      <w:r>
        <w:rPr>
          <w:rFonts w:eastAsia="Arial Unicode MS"/>
          <w:bCs/>
          <w:u w:color="FF0000"/>
          <w:bdr w:val="nil"/>
          <w:lang w:val="en-US"/>
        </w:rPr>
        <w:t>.</w:t>
      </w:r>
      <w:r w:rsidR="00D543C5">
        <w:rPr>
          <w:rFonts w:eastAsia="Arial Unicode MS"/>
          <w:bCs/>
          <w:u w:color="FF0000"/>
          <w:bdr w:val="nil"/>
          <w:lang w:val="en-US"/>
        </w:rPr>
        <w:tab/>
      </w:r>
    </w:p>
    <w:p w14:paraId="4BB7BD69" w14:textId="62EA5277" w:rsidR="000F3B15" w:rsidRDefault="000F3B15" w:rsidP="00143C42">
      <w:pPr>
        <w:pBdr>
          <w:top w:val="nil"/>
          <w:left w:val="nil"/>
          <w:bottom w:val="nil"/>
          <w:right w:val="nil"/>
          <w:between w:val="nil"/>
          <w:bar w:val="nil"/>
        </w:pBdr>
        <w:spacing w:after="120" w:line="480" w:lineRule="auto"/>
        <w:jc w:val="both"/>
        <w:rPr>
          <w:rFonts w:eastAsia="Arial Unicode MS"/>
          <w:bCs/>
          <w:u w:color="FF0000"/>
          <w:bdr w:val="nil"/>
          <w:lang w:val="en-US"/>
        </w:rPr>
      </w:pPr>
      <w:r>
        <w:rPr>
          <w:rFonts w:eastAsia="Arial Unicode MS"/>
          <w:bCs/>
          <w:u w:color="FF0000"/>
          <w:bdr w:val="nil"/>
          <w:lang w:val="en-US"/>
        </w:rPr>
        <w:tab/>
      </w:r>
    </w:p>
    <w:p w14:paraId="7C0027CB" w14:textId="77777777" w:rsidR="00D41638" w:rsidRPr="00FB0710" w:rsidRDefault="00D41638" w:rsidP="00D41638">
      <w:pPr>
        <w:pStyle w:val="Titolo2"/>
        <w:spacing w:before="0" w:after="120" w:line="360" w:lineRule="auto"/>
        <w:rPr>
          <w:rFonts w:ascii="Times New Roman" w:hAnsi="Times New Roman" w:cs="Times New Roman"/>
          <w:color w:val="auto"/>
          <w:sz w:val="24"/>
          <w:szCs w:val="24"/>
          <w:lang w:val="en-US"/>
        </w:rPr>
      </w:pPr>
      <w:bookmarkStart w:id="17" w:name="_Toc536657397"/>
      <w:r>
        <w:rPr>
          <w:rFonts w:ascii="Times New Roman" w:eastAsia="Arial Unicode MS" w:hAnsi="Times New Roman" w:cs="Arial Unicode MS"/>
          <w:b w:val="0"/>
          <w:color w:val="auto"/>
          <w:sz w:val="24"/>
          <w:szCs w:val="24"/>
          <w:u w:color="FF0000"/>
          <w:bdr w:val="nil"/>
          <w:lang w:val="en-US"/>
        </w:rPr>
        <w:t>R</w:t>
      </w:r>
      <w:r w:rsidRPr="00FB0710">
        <w:rPr>
          <w:rStyle w:val="txt"/>
          <w:rFonts w:ascii="Times New Roman" w:hAnsi="Times New Roman" w:cs="Times New Roman"/>
          <w:color w:val="auto"/>
          <w:sz w:val="24"/>
          <w:szCs w:val="24"/>
          <w:lang w:val="en-US"/>
        </w:rPr>
        <w:t>eferences</w:t>
      </w:r>
      <w:bookmarkEnd w:id="17"/>
    </w:p>
    <w:p w14:paraId="2D039E11" w14:textId="4AE199C8" w:rsidR="00D41638" w:rsidRDefault="00D41638" w:rsidP="00D41638">
      <w:pPr>
        <w:pBdr>
          <w:top w:val="nil"/>
          <w:left w:val="nil"/>
          <w:bottom w:val="nil"/>
          <w:right w:val="nil"/>
          <w:between w:val="nil"/>
          <w:bar w:val="nil"/>
        </w:pBdr>
        <w:spacing w:after="120" w:line="360" w:lineRule="auto"/>
        <w:ind w:left="284" w:hanging="284"/>
        <w:jc w:val="both"/>
        <w:rPr>
          <w:color w:val="000000" w:themeColor="text1"/>
          <w:lang w:val="en-GB"/>
        </w:rPr>
      </w:pPr>
      <w:r w:rsidRPr="00D41638">
        <w:rPr>
          <w:color w:val="000000" w:themeColor="text1"/>
          <w:lang w:val="en-GB"/>
        </w:rPr>
        <w:t>Aghion, P., Algan, Y., Cahuc, P., &amp; Shleifer, A. (2010). Regulation and distrust. </w:t>
      </w:r>
      <w:r w:rsidRPr="00D41638">
        <w:rPr>
          <w:i/>
          <w:iCs/>
          <w:color w:val="000000" w:themeColor="text1"/>
          <w:lang w:val="en-GB"/>
        </w:rPr>
        <w:t>The Quarterly journal of economics</w:t>
      </w:r>
      <w:r w:rsidRPr="00D41638">
        <w:rPr>
          <w:color w:val="000000" w:themeColor="text1"/>
          <w:lang w:val="en-GB"/>
        </w:rPr>
        <w:t>, </w:t>
      </w:r>
      <w:r w:rsidRPr="00D41638">
        <w:rPr>
          <w:i/>
          <w:iCs/>
          <w:color w:val="000000" w:themeColor="text1"/>
          <w:lang w:val="en-GB"/>
        </w:rPr>
        <w:t>125</w:t>
      </w:r>
      <w:r w:rsidRPr="00D41638">
        <w:rPr>
          <w:color w:val="000000" w:themeColor="text1"/>
          <w:lang w:val="en-GB"/>
        </w:rPr>
        <w:t>(3), 1015-1049.</w:t>
      </w:r>
    </w:p>
    <w:p w14:paraId="0B2ADC5A" w14:textId="56D8C60C" w:rsidR="00D817A1" w:rsidRDefault="00D817A1" w:rsidP="00D41638">
      <w:pPr>
        <w:pBdr>
          <w:top w:val="nil"/>
          <w:left w:val="nil"/>
          <w:bottom w:val="nil"/>
          <w:right w:val="nil"/>
          <w:between w:val="nil"/>
          <w:bar w:val="nil"/>
        </w:pBdr>
        <w:spacing w:after="120" w:line="360" w:lineRule="auto"/>
        <w:ind w:left="284" w:hanging="284"/>
        <w:jc w:val="both"/>
        <w:rPr>
          <w:color w:val="000000" w:themeColor="text1"/>
          <w:lang w:val="en-GB"/>
        </w:rPr>
      </w:pPr>
      <w:proofErr w:type="spellStart"/>
      <w:r w:rsidRPr="00D817A1">
        <w:rPr>
          <w:color w:val="000000" w:themeColor="text1"/>
          <w:lang w:val="en-GB"/>
        </w:rPr>
        <w:t>Berlemann</w:t>
      </w:r>
      <w:proofErr w:type="spellEnd"/>
      <w:r w:rsidRPr="00D817A1">
        <w:rPr>
          <w:color w:val="000000" w:themeColor="text1"/>
          <w:lang w:val="en-GB"/>
        </w:rPr>
        <w:t>, M., &amp; Christmann, R. (2020). Disposition time and the utilization of prior judicial decisions: Evidence from a civil law country. </w:t>
      </w:r>
      <w:r w:rsidRPr="00D817A1">
        <w:rPr>
          <w:i/>
          <w:iCs/>
          <w:color w:val="000000" w:themeColor="text1"/>
          <w:lang w:val="en-GB"/>
        </w:rPr>
        <w:t>International Review of Law and Economics</w:t>
      </w:r>
      <w:r w:rsidRPr="00D817A1">
        <w:rPr>
          <w:color w:val="000000" w:themeColor="text1"/>
          <w:lang w:val="en-GB"/>
        </w:rPr>
        <w:t>, </w:t>
      </w:r>
      <w:r w:rsidRPr="00D817A1">
        <w:rPr>
          <w:i/>
          <w:iCs/>
          <w:color w:val="000000" w:themeColor="text1"/>
          <w:lang w:val="en-GB"/>
        </w:rPr>
        <w:t>62</w:t>
      </w:r>
      <w:r w:rsidRPr="00D817A1">
        <w:rPr>
          <w:color w:val="000000" w:themeColor="text1"/>
          <w:lang w:val="en-GB"/>
        </w:rPr>
        <w:t>, 105887.</w:t>
      </w:r>
    </w:p>
    <w:p w14:paraId="672614EA" w14:textId="55C52658" w:rsidR="00993C4A" w:rsidRDefault="00993C4A" w:rsidP="00D41638">
      <w:pPr>
        <w:pBdr>
          <w:top w:val="nil"/>
          <w:left w:val="nil"/>
          <w:bottom w:val="nil"/>
          <w:right w:val="nil"/>
          <w:between w:val="nil"/>
          <w:bar w:val="nil"/>
        </w:pBdr>
        <w:spacing w:after="120" w:line="360" w:lineRule="auto"/>
        <w:ind w:left="284" w:hanging="284"/>
        <w:jc w:val="both"/>
        <w:rPr>
          <w:color w:val="000000" w:themeColor="text1"/>
          <w:lang w:val="en-GB"/>
        </w:rPr>
      </w:pPr>
      <w:r w:rsidRPr="00857D99">
        <w:rPr>
          <w:color w:val="000000" w:themeColor="text1"/>
          <w:lang w:val="en-GB"/>
        </w:rPr>
        <w:t xml:space="preserve">Buonanno, P., &amp; </w:t>
      </w:r>
      <w:proofErr w:type="spellStart"/>
      <w:r w:rsidRPr="00857D99">
        <w:rPr>
          <w:color w:val="000000" w:themeColor="text1"/>
          <w:lang w:val="en-GB"/>
        </w:rPr>
        <w:t>Galizzi</w:t>
      </w:r>
      <w:proofErr w:type="spellEnd"/>
      <w:r w:rsidRPr="00857D99">
        <w:rPr>
          <w:color w:val="000000" w:themeColor="text1"/>
          <w:lang w:val="en-GB"/>
        </w:rPr>
        <w:t xml:space="preserve">, M. M. (2014). </w:t>
      </w:r>
      <w:r w:rsidRPr="00993C4A">
        <w:rPr>
          <w:color w:val="000000" w:themeColor="text1"/>
          <w:lang w:val="en-GB"/>
        </w:rPr>
        <w:t xml:space="preserve">Advocatus, et non </w:t>
      </w:r>
      <w:proofErr w:type="spellStart"/>
      <w:r w:rsidRPr="00993C4A">
        <w:rPr>
          <w:color w:val="000000" w:themeColor="text1"/>
          <w:lang w:val="en-GB"/>
        </w:rPr>
        <w:t>Latro</w:t>
      </w:r>
      <w:proofErr w:type="spellEnd"/>
      <w:r w:rsidRPr="00993C4A">
        <w:rPr>
          <w:color w:val="000000" w:themeColor="text1"/>
          <w:lang w:val="en-GB"/>
        </w:rPr>
        <w:t>? Testing the excess of litigation in the Italian Courts of Justice. </w:t>
      </w:r>
      <w:r w:rsidRPr="00311270">
        <w:rPr>
          <w:i/>
          <w:iCs/>
          <w:color w:val="000000" w:themeColor="text1"/>
          <w:lang w:val="en-GB"/>
        </w:rPr>
        <w:t>Review of Law &amp; Economics</w:t>
      </w:r>
      <w:r w:rsidRPr="00311270">
        <w:rPr>
          <w:color w:val="000000" w:themeColor="text1"/>
          <w:lang w:val="en-GB"/>
        </w:rPr>
        <w:t>, </w:t>
      </w:r>
      <w:r w:rsidRPr="00311270">
        <w:rPr>
          <w:i/>
          <w:iCs/>
          <w:color w:val="000000" w:themeColor="text1"/>
          <w:lang w:val="en-GB"/>
        </w:rPr>
        <w:t>10</w:t>
      </w:r>
      <w:r w:rsidRPr="00311270">
        <w:rPr>
          <w:color w:val="000000" w:themeColor="text1"/>
          <w:lang w:val="en-GB"/>
        </w:rPr>
        <w:t>(3), 285-322.</w:t>
      </w:r>
    </w:p>
    <w:p w14:paraId="14FBE4F3" w14:textId="66411808" w:rsidR="00B50FB0" w:rsidRDefault="00B50FB0" w:rsidP="00D41638">
      <w:pPr>
        <w:pBdr>
          <w:top w:val="nil"/>
          <w:left w:val="nil"/>
          <w:bottom w:val="nil"/>
          <w:right w:val="nil"/>
          <w:between w:val="nil"/>
          <w:bar w:val="nil"/>
        </w:pBdr>
        <w:spacing w:after="120" w:line="360" w:lineRule="auto"/>
        <w:ind w:left="284" w:hanging="284"/>
        <w:jc w:val="both"/>
        <w:rPr>
          <w:color w:val="000000" w:themeColor="text1"/>
          <w:lang w:val="en-GB"/>
        </w:rPr>
      </w:pPr>
      <w:bookmarkStart w:id="18" w:name="_Hlk137596387"/>
      <w:r w:rsidRPr="001472AA">
        <w:rPr>
          <w:color w:val="000000" w:themeColor="text1"/>
          <w:lang w:val="en-GB"/>
        </w:rPr>
        <w:t>Carmignani, A., &amp; Giacomelli, S. (2009). Italian civil justice: regional disparities. </w:t>
      </w:r>
      <w:r w:rsidRPr="00624B17">
        <w:rPr>
          <w:i/>
          <w:iCs/>
          <w:color w:val="000000" w:themeColor="text1"/>
          <w:lang w:val="en-GB"/>
        </w:rPr>
        <w:t>Bank of Italy Occasional Paper</w:t>
      </w:r>
      <w:r w:rsidRPr="00624B17">
        <w:rPr>
          <w:color w:val="000000" w:themeColor="text1"/>
          <w:lang w:val="en-GB"/>
        </w:rPr>
        <w:t>, (40).</w:t>
      </w:r>
    </w:p>
    <w:p w14:paraId="23E2F1AD" w14:textId="0CC78C38" w:rsidR="004A4E12" w:rsidRDefault="004A4E12"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4A4E12">
        <w:rPr>
          <w:rFonts w:eastAsia="Arial Unicode MS" w:cs="Arial Unicode MS"/>
          <w:u w:color="000000"/>
          <w:bdr w:val="nil"/>
          <w:lang w:val="en-GB"/>
        </w:rPr>
        <w:t>Castro, M. F., &amp; Guccio, C. (2015). Bottlenecks or inefficiency? An assessment of first instance Italian courts’ performance. </w:t>
      </w:r>
      <w:r w:rsidRPr="004A4E12">
        <w:rPr>
          <w:rFonts w:eastAsia="Arial Unicode MS" w:cs="Arial Unicode MS"/>
          <w:i/>
          <w:iCs/>
          <w:u w:color="000000"/>
          <w:bdr w:val="nil"/>
          <w:lang w:val="en-GB"/>
        </w:rPr>
        <w:t>Review of Law &amp; Economics</w:t>
      </w:r>
      <w:r w:rsidRPr="004A4E12">
        <w:rPr>
          <w:rFonts w:eastAsia="Arial Unicode MS" w:cs="Arial Unicode MS"/>
          <w:u w:color="000000"/>
          <w:bdr w:val="nil"/>
          <w:lang w:val="en-GB"/>
        </w:rPr>
        <w:t>, </w:t>
      </w:r>
      <w:r w:rsidRPr="004A4E12">
        <w:rPr>
          <w:rFonts w:eastAsia="Arial Unicode MS" w:cs="Arial Unicode MS"/>
          <w:i/>
          <w:iCs/>
          <w:u w:color="000000"/>
          <w:bdr w:val="nil"/>
          <w:lang w:val="en-GB"/>
        </w:rPr>
        <w:t>11</w:t>
      </w:r>
      <w:r w:rsidRPr="004A4E12">
        <w:rPr>
          <w:rFonts w:eastAsia="Arial Unicode MS" w:cs="Arial Unicode MS"/>
          <w:u w:color="000000"/>
          <w:bdr w:val="nil"/>
          <w:lang w:val="en-GB"/>
        </w:rPr>
        <w:t>(2), 317-354.</w:t>
      </w:r>
    </w:p>
    <w:p w14:paraId="7B0EF37B" w14:textId="6BE9C4CA" w:rsidR="00B50FB0" w:rsidRDefault="00B50FB0"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7E6A76">
        <w:rPr>
          <w:rFonts w:eastAsia="Arial Unicode MS" w:cs="Arial Unicode MS"/>
          <w:u w:color="000000"/>
          <w:bdr w:val="nil"/>
          <w:lang w:val="en-GB"/>
        </w:rPr>
        <w:t xml:space="preserve">Castro, M. F., &amp; Guccio, C. (2018). </w:t>
      </w:r>
      <w:r w:rsidRPr="00B50FB0">
        <w:rPr>
          <w:rFonts w:eastAsia="Arial Unicode MS" w:cs="Arial Unicode MS"/>
          <w:u w:color="000000"/>
          <w:bdr w:val="nil"/>
          <w:lang w:val="en-GB"/>
        </w:rPr>
        <w:t>Measuring potential efficiency gains from mergers of Italian first instance courts through nonparametric model. </w:t>
      </w:r>
      <w:r w:rsidRPr="00624B17">
        <w:rPr>
          <w:rFonts w:eastAsia="Arial Unicode MS" w:cs="Arial Unicode MS"/>
          <w:i/>
          <w:iCs/>
          <w:u w:color="000000"/>
          <w:bdr w:val="nil"/>
          <w:lang w:val="en-GB"/>
        </w:rPr>
        <w:t>Public Finance Review</w:t>
      </w:r>
      <w:r w:rsidRPr="00624B17">
        <w:rPr>
          <w:rFonts w:eastAsia="Arial Unicode MS" w:cs="Arial Unicode MS"/>
          <w:u w:color="000000"/>
          <w:bdr w:val="nil"/>
          <w:lang w:val="en-GB"/>
        </w:rPr>
        <w:t>, </w:t>
      </w:r>
      <w:r w:rsidRPr="00624B17">
        <w:rPr>
          <w:rFonts w:eastAsia="Arial Unicode MS" w:cs="Arial Unicode MS"/>
          <w:i/>
          <w:iCs/>
          <w:u w:color="000000"/>
          <w:bdr w:val="nil"/>
          <w:lang w:val="en-GB"/>
        </w:rPr>
        <w:t>46</w:t>
      </w:r>
      <w:r w:rsidRPr="00624B17">
        <w:rPr>
          <w:rFonts w:eastAsia="Arial Unicode MS" w:cs="Arial Unicode MS"/>
          <w:u w:color="000000"/>
          <w:bdr w:val="nil"/>
          <w:lang w:val="en-GB"/>
        </w:rPr>
        <w:t>(1), 83-116.</w:t>
      </w:r>
    </w:p>
    <w:p w14:paraId="62C0A39F" w14:textId="744640C7" w:rsidR="006D6E7C" w:rsidRDefault="006D6E7C"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5E505C">
        <w:rPr>
          <w:rFonts w:eastAsia="Arial Unicode MS" w:cs="Arial Unicode MS"/>
          <w:u w:color="000000"/>
          <w:bdr w:val="nil"/>
          <w:lang w:val="en-GB"/>
        </w:rPr>
        <w:t xml:space="preserve">Coviello, D., Ichino, A., &amp; Persico, N. (2014). </w:t>
      </w:r>
      <w:r w:rsidRPr="006D6E7C">
        <w:rPr>
          <w:rFonts w:eastAsia="Arial Unicode MS" w:cs="Arial Unicode MS"/>
          <w:u w:color="000000"/>
          <w:bdr w:val="nil"/>
          <w:lang w:val="en-GB"/>
        </w:rPr>
        <w:t>Time allocation and task juggling. </w:t>
      </w:r>
      <w:r w:rsidRPr="005E505C">
        <w:rPr>
          <w:rFonts w:eastAsia="Arial Unicode MS" w:cs="Arial Unicode MS"/>
          <w:i/>
          <w:iCs/>
          <w:u w:color="000000"/>
          <w:bdr w:val="nil"/>
          <w:lang w:val="en-GB"/>
        </w:rPr>
        <w:t>American Economic Review</w:t>
      </w:r>
      <w:r w:rsidRPr="005E505C">
        <w:rPr>
          <w:rFonts w:eastAsia="Arial Unicode MS" w:cs="Arial Unicode MS"/>
          <w:u w:color="000000"/>
          <w:bdr w:val="nil"/>
          <w:lang w:val="en-GB"/>
        </w:rPr>
        <w:t>, </w:t>
      </w:r>
      <w:r w:rsidRPr="005E505C">
        <w:rPr>
          <w:rFonts w:eastAsia="Arial Unicode MS" w:cs="Arial Unicode MS"/>
          <w:i/>
          <w:iCs/>
          <w:u w:color="000000"/>
          <w:bdr w:val="nil"/>
          <w:lang w:val="en-GB"/>
        </w:rPr>
        <w:t>104</w:t>
      </w:r>
      <w:r w:rsidRPr="005E505C">
        <w:rPr>
          <w:rFonts w:eastAsia="Arial Unicode MS" w:cs="Arial Unicode MS"/>
          <w:u w:color="000000"/>
          <w:bdr w:val="nil"/>
          <w:lang w:val="en-GB"/>
        </w:rPr>
        <w:t>(2), 609-623.</w:t>
      </w:r>
    </w:p>
    <w:p w14:paraId="5E133373" w14:textId="7CF5D69D" w:rsidR="00D36CF1" w:rsidRDefault="00D36CF1" w:rsidP="00D36CF1">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1C2708">
        <w:rPr>
          <w:rFonts w:eastAsia="Arial Unicode MS" w:cs="Arial Unicode MS"/>
          <w:u w:color="000000"/>
          <w:bdr w:val="nil"/>
          <w:lang w:val="en-GB"/>
        </w:rPr>
        <w:t xml:space="preserve">Coviello, D., Ichino, A., &amp; Persico, N. (2015). </w:t>
      </w:r>
      <w:r w:rsidRPr="00D36CF1">
        <w:rPr>
          <w:rFonts w:eastAsia="Arial Unicode MS" w:cs="Arial Unicode MS"/>
          <w:u w:color="000000"/>
          <w:bdr w:val="nil"/>
          <w:lang w:val="en-GB"/>
        </w:rPr>
        <w:t>The inefficiency of worker time use. </w:t>
      </w:r>
      <w:r w:rsidRPr="00D36CF1">
        <w:rPr>
          <w:rFonts w:eastAsia="Arial Unicode MS" w:cs="Arial Unicode MS"/>
          <w:i/>
          <w:iCs/>
          <w:u w:color="000000"/>
          <w:bdr w:val="nil"/>
          <w:lang w:val="en-GB"/>
        </w:rPr>
        <w:t>Journal of the European Economic Association</w:t>
      </w:r>
      <w:r w:rsidRPr="00D36CF1">
        <w:rPr>
          <w:rFonts w:eastAsia="Arial Unicode MS" w:cs="Arial Unicode MS"/>
          <w:u w:color="000000"/>
          <w:bdr w:val="nil"/>
          <w:lang w:val="en-GB"/>
        </w:rPr>
        <w:t>, </w:t>
      </w:r>
      <w:r w:rsidRPr="00D36CF1">
        <w:rPr>
          <w:rFonts w:eastAsia="Arial Unicode MS" w:cs="Arial Unicode MS"/>
          <w:i/>
          <w:iCs/>
          <w:u w:color="000000"/>
          <w:bdr w:val="nil"/>
          <w:lang w:val="en-GB"/>
        </w:rPr>
        <w:t>13</w:t>
      </w:r>
      <w:r w:rsidRPr="00D36CF1">
        <w:rPr>
          <w:rFonts w:eastAsia="Arial Unicode MS" w:cs="Arial Unicode MS"/>
          <w:u w:color="000000"/>
          <w:bdr w:val="nil"/>
          <w:lang w:val="en-GB"/>
        </w:rPr>
        <w:t>(5), 906-947.</w:t>
      </w:r>
    </w:p>
    <w:p w14:paraId="0FE18D28" w14:textId="6173C079" w:rsidR="00626B0E" w:rsidRDefault="00626B0E"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US"/>
        </w:rPr>
      </w:pPr>
      <w:r w:rsidRPr="00311270">
        <w:rPr>
          <w:rFonts w:eastAsia="Arial Unicode MS" w:cs="Arial Unicode MS"/>
          <w:u w:color="000000"/>
          <w:bdr w:val="nil"/>
          <w:lang w:val="en-GB"/>
        </w:rPr>
        <w:t xml:space="preserve">Coviello, D., Ichino, A., &amp; Persico, N. (2019). </w:t>
      </w:r>
      <w:r w:rsidRPr="00626B0E">
        <w:rPr>
          <w:rFonts w:eastAsia="Arial Unicode MS" w:cs="Arial Unicode MS"/>
          <w:u w:color="000000"/>
          <w:bdr w:val="nil"/>
          <w:lang w:val="en-GB"/>
        </w:rPr>
        <w:t xml:space="preserve">Measuring the gains from </w:t>
      </w:r>
      <w:proofErr w:type="spellStart"/>
      <w:r w:rsidRPr="00626B0E">
        <w:rPr>
          <w:rFonts w:eastAsia="Arial Unicode MS" w:cs="Arial Unicode MS"/>
          <w:u w:color="000000"/>
          <w:bdr w:val="nil"/>
          <w:lang w:val="en-GB"/>
        </w:rPr>
        <w:t>labor</w:t>
      </w:r>
      <w:proofErr w:type="spellEnd"/>
      <w:r w:rsidRPr="00626B0E">
        <w:rPr>
          <w:rFonts w:eastAsia="Arial Unicode MS" w:cs="Arial Unicode MS"/>
          <w:u w:color="000000"/>
          <w:bdr w:val="nil"/>
          <w:lang w:val="en-GB"/>
        </w:rPr>
        <w:t xml:space="preserve"> specialization. </w:t>
      </w:r>
      <w:r w:rsidRPr="00FD4C67">
        <w:rPr>
          <w:rFonts w:eastAsia="Arial Unicode MS" w:cs="Arial Unicode MS"/>
          <w:i/>
          <w:iCs/>
          <w:u w:color="000000"/>
          <w:bdr w:val="nil"/>
          <w:lang w:val="en-US"/>
        </w:rPr>
        <w:t>The Journal of Law and Economics</w:t>
      </w:r>
      <w:r w:rsidRPr="00FD4C67">
        <w:rPr>
          <w:rFonts w:eastAsia="Arial Unicode MS" w:cs="Arial Unicode MS"/>
          <w:u w:color="000000"/>
          <w:bdr w:val="nil"/>
          <w:lang w:val="en-US"/>
        </w:rPr>
        <w:t>, </w:t>
      </w:r>
      <w:r w:rsidRPr="00FD4C67">
        <w:rPr>
          <w:rFonts w:eastAsia="Arial Unicode MS" w:cs="Arial Unicode MS"/>
          <w:i/>
          <w:iCs/>
          <w:u w:color="000000"/>
          <w:bdr w:val="nil"/>
          <w:lang w:val="en-US"/>
        </w:rPr>
        <w:t>62</w:t>
      </w:r>
      <w:r w:rsidRPr="00FD4C67">
        <w:rPr>
          <w:rFonts w:eastAsia="Arial Unicode MS" w:cs="Arial Unicode MS"/>
          <w:u w:color="000000"/>
          <w:bdr w:val="nil"/>
          <w:lang w:val="en-US"/>
        </w:rPr>
        <w:t>(3), 403-426.</w:t>
      </w:r>
    </w:p>
    <w:p w14:paraId="09042293" w14:textId="35D7A913" w:rsidR="009560A5" w:rsidRPr="009E5EB4" w:rsidRDefault="009560A5"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9E5EB4">
        <w:rPr>
          <w:rFonts w:eastAsia="Arial Unicode MS" w:cs="Arial Unicode MS"/>
          <w:u w:color="000000"/>
          <w:bdr w:val="nil"/>
          <w:lang w:val="en-GB"/>
        </w:rPr>
        <w:lastRenderedPageBreak/>
        <w:t xml:space="preserve">Christensen, R. K., &amp; </w:t>
      </w:r>
      <w:proofErr w:type="spellStart"/>
      <w:r w:rsidRPr="009E5EB4">
        <w:rPr>
          <w:rFonts w:eastAsia="Arial Unicode MS" w:cs="Arial Unicode MS"/>
          <w:u w:color="000000"/>
          <w:bdr w:val="nil"/>
          <w:lang w:val="en-GB"/>
        </w:rPr>
        <w:t>Szmer</w:t>
      </w:r>
      <w:proofErr w:type="spellEnd"/>
      <w:r w:rsidRPr="009E5EB4">
        <w:rPr>
          <w:rFonts w:eastAsia="Arial Unicode MS" w:cs="Arial Unicode MS"/>
          <w:u w:color="000000"/>
          <w:bdr w:val="nil"/>
          <w:lang w:val="en-GB"/>
        </w:rPr>
        <w:t>, J. (2012). Examining the efficiency of the US courts of appeals: Pathologies and prescriptions. </w:t>
      </w:r>
      <w:r w:rsidRPr="009E5EB4">
        <w:rPr>
          <w:rFonts w:eastAsia="Arial Unicode MS" w:cs="Arial Unicode MS"/>
          <w:i/>
          <w:iCs/>
          <w:u w:color="000000"/>
          <w:bdr w:val="nil"/>
          <w:lang w:val="en-GB"/>
        </w:rPr>
        <w:t>International Review of Law and Economics</w:t>
      </w:r>
      <w:r w:rsidRPr="009E5EB4">
        <w:rPr>
          <w:rFonts w:eastAsia="Arial Unicode MS" w:cs="Arial Unicode MS"/>
          <w:u w:color="000000"/>
          <w:bdr w:val="nil"/>
          <w:lang w:val="en-GB"/>
        </w:rPr>
        <w:t>, </w:t>
      </w:r>
      <w:r w:rsidRPr="009E5EB4">
        <w:rPr>
          <w:rFonts w:eastAsia="Arial Unicode MS" w:cs="Arial Unicode MS"/>
          <w:i/>
          <w:iCs/>
          <w:u w:color="000000"/>
          <w:bdr w:val="nil"/>
          <w:lang w:val="en-GB"/>
        </w:rPr>
        <w:t>32</w:t>
      </w:r>
      <w:r w:rsidRPr="009E5EB4">
        <w:rPr>
          <w:rFonts w:eastAsia="Arial Unicode MS" w:cs="Arial Unicode MS"/>
          <w:u w:color="000000"/>
          <w:bdr w:val="nil"/>
          <w:lang w:val="en-GB"/>
        </w:rPr>
        <w:t>(1), 30-37.</w:t>
      </w:r>
    </w:p>
    <w:p w14:paraId="1AD08C27" w14:textId="2126F71A" w:rsidR="004D74C1" w:rsidRPr="009E5EB4" w:rsidRDefault="004D74C1"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proofErr w:type="spellStart"/>
      <w:r w:rsidRPr="009E5EB4">
        <w:rPr>
          <w:rFonts w:eastAsia="Arial Unicode MS" w:cs="Arial Unicode MS"/>
          <w:u w:color="000000"/>
          <w:bdr w:val="nil"/>
          <w:lang w:val="en-GB"/>
        </w:rPr>
        <w:t>Dakolias</w:t>
      </w:r>
      <w:proofErr w:type="spellEnd"/>
      <w:r w:rsidRPr="009E5EB4">
        <w:rPr>
          <w:rFonts w:eastAsia="Arial Unicode MS" w:cs="Arial Unicode MS"/>
          <w:u w:color="000000"/>
          <w:bdr w:val="nil"/>
          <w:lang w:val="en-GB"/>
        </w:rPr>
        <w:t>, M. (1999). </w:t>
      </w:r>
      <w:r w:rsidRPr="009E5EB4">
        <w:rPr>
          <w:rFonts w:eastAsia="Arial Unicode MS" w:cs="Arial Unicode MS"/>
          <w:i/>
          <w:iCs/>
          <w:u w:color="000000"/>
          <w:bdr w:val="nil"/>
          <w:lang w:val="en-GB"/>
        </w:rPr>
        <w:t>Court performance around the world: a comparative perspective</w:t>
      </w:r>
      <w:r w:rsidRPr="009E5EB4">
        <w:rPr>
          <w:rFonts w:eastAsia="Arial Unicode MS" w:cs="Arial Unicode MS"/>
          <w:u w:color="000000"/>
          <w:bdr w:val="nil"/>
          <w:lang w:val="en-GB"/>
        </w:rPr>
        <w:t> (Vol. 23). World Bank Publications.</w:t>
      </w:r>
    </w:p>
    <w:p w14:paraId="4BCE8D3C" w14:textId="5D0BBA10" w:rsidR="00AC6BF3" w:rsidRPr="009E5EB4" w:rsidRDefault="009E5EB4" w:rsidP="009E5EB4">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9E5EB4">
        <w:rPr>
          <w:rFonts w:eastAsia="Arial Unicode MS" w:cs="Arial Unicode MS"/>
          <w:u w:color="000000"/>
          <w:bdr w:val="nil"/>
          <w:lang w:val="en-GB"/>
        </w:rPr>
        <w:t xml:space="preserve">De Lucio, J., &amp; Mora-Sanguinetti, J. S. (2021). New dimensions of regulatory complexity and their economic cost. An analysis using text mining. </w:t>
      </w:r>
      <w:r w:rsidR="00AC6BF3" w:rsidRPr="009E5EB4">
        <w:rPr>
          <w:rFonts w:ascii="NexusSansWebPro" w:hAnsi="NexusSansWebPro"/>
          <w:shd w:val="clear" w:color="auto" w:fill="FFFFFF"/>
          <w:lang w:val="en-GB"/>
        </w:rPr>
        <w:t>Banco de Espana Working Paper No. 2107</w:t>
      </w:r>
      <w:r w:rsidRPr="009E5EB4">
        <w:rPr>
          <w:rFonts w:ascii="NexusSansWebPro" w:hAnsi="NexusSansWebPro"/>
          <w:shd w:val="clear" w:color="auto" w:fill="FFFFFF"/>
          <w:lang w:val="en-GB"/>
        </w:rPr>
        <w:t xml:space="preserve">. </w:t>
      </w:r>
    </w:p>
    <w:p w14:paraId="6BECAF0D" w14:textId="2E0C280E" w:rsidR="00281233" w:rsidRPr="009E5EB4" w:rsidRDefault="00281233"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9E5EB4">
        <w:rPr>
          <w:rFonts w:eastAsia="Arial Unicode MS" w:cs="Arial Unicode MS"/>
          <w:u w:color="000000"/>
          <w:bdr w:val="nil"/>
          <w:lang w:val="en-GB"/>
        </w:rPr>
        <w:t>Di Vita, G. (2010). Production of laws and delays in court decisions. </w:t>
      </w:r>
      <w:r w:rsidRPr="009E5EB4">
        <w:rPr>
          <w:rFonts w:eastAsia="Arial Unicode MS" w:cs="Arial Unicode MS"/>
          <w:i/>
          <w:iCs/>
          <w:u w:color="000000"/>
          <w:bdr w:val="nil"/>
          <w:lang w:val="en-GB"/>
        </w:rPr>
        <w:t>International Review of Law and Economics</w:t>
      </w:r>
      <w:r w:rsidRPr="009E5EB4">
        <w:rPr>
          <w:rFonts w:eastAsia="Arial Unicode MS" w:cs="Arial Unicode MS"/>
          <w:u w:color="000000"/>
          <w:bdr w:val="nil"/>
          <w:lang w:val="en-GB"/>
        </w:rPr>
        <w:t>, </w:t>
      </w:r>
      <w:r w:rsidRPr="009E5EB4">
        <w:rPr>
          <w:rFonts w:eastAsia="Arial Unicode MS" w:cs="Arial Unicode MS"/>
          <w:i/>
          <w:iCs/>
          <w:u w:color="000000"/>
          <w:bdr w:val="nil"/>
          <w:lang w:val="en-GB"/>
        </w:rPr>
        <w:t>30</w:t>
      </w:r>
      <w:r w:rsidRPr="009E5EB4">
        <w:rPr>
          <w:rFonts w:eastAsia="Arial Unicode MS" w:cs="Arial Unicode MS"/>
          <w:u w:color="000000"/>
          <w:bdr w:val="nil"/>
          <w:lang w:val="en-GB"/>
        </w:rPr>
        <w:t>(3), 276-281.</w:t>
      </w:r>
    </w:p>
    <w:p w14:paraId="7FCC90F3" w14:textId="2866AEF9" w:rsidR="00D709AF" w:rsidRPr="00D709AF" w:rsidRDefault="00D709AF"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D709AF">
        <w:rPr>
          <w:rFonts w:eastAsia="Arial Unicode MS" w:cs="Arial Unicode MS"/>
          <w:u w:color="000000"/>
          <w:bdr w:val="nil"/>
          <w:lang w:val="en-GB"/>
        </w:rPr>
        <w:t>Di Vita, G. (2012</w:t>
      </w:r>
      <w:r w:rsidR="00281233">
        <w:rPr>
          <w:rFonts w:eastAsia="Arial Unicode MS" w:cs="Arial Unicode MS"/>
          <w:u w:color="000000"/>
          <w:bdr w:val="nil"/>
          <w:lang w:val="en-GB"/>
        </w:rPr>
        <w:t>a</w:t>
      </w:r>
      <w:r w:rsidRPr="00D709AF">
        <w:rPr>
          <w:rFonts w:eastAsia="Arial Unicode MS" w:cs="Arial Unicode MS"/>
          <w:u w:color="000000"/>
          <w:bdr w:val="nil"/>
          <w:lang w:val="en-GB"/>
        </w:rPr>
        <w:t>). Factors determining the duration of legal disputes: An empirical analysis with micro data. </w:t>
      </w:r>
      <w:r w:rsidRPr="00D709AF">
        <w:rPr>
          <w:rFonts w:eastAsia="Arial Unicode MS" w:cs="Arial Unicode MS"/>
          <w:i/>
          <w:iCs/>
          <w:u w:color="000000"/>
          <w:bdr w:val="nil"/>
          <w:lang w:val="en-GB"/>
        </w:rPr>
        <w:t>Journal of Institutional and Theoretical Economics (JITE)/</w:t>
      </w:r>
      <w:proofErr w:type="spellStart"/>
      <w:r w:rsidRPr="00D709AF">
        <w:rPr>
          <w:rFonts w:eastAsia="Arial Unicode MS" w:cs="Arial Unicode MS"/>
          <w:i/>
          <w:iCs/>
          <w:u w:color="000000"/>
          <w:bdr w:val="nil"/>
          <w:lang w:val="en-GB"/>
        </w:rPr>
        <w:t>Zeitschrift</w:t>
      </w:r>
      <w:proofErr w:type="spellEnd"/>
      <w:r w:rsidRPr="00D709AF">
        <w:rPr>
          <w:rFonts w:eastAsia="Arial Unicode MS" w:cs="Arial Unicode MS"/>
          <w:i/>
          <w:iCs/>
          <w:u w:color="000000"/>
          <w:bdr w:val="nil"/>
          <w:lang w:val="en-GB"/>
        </w:rPr>
        <w:t xml:space="preserve"> für die </w:t>
      </w:r>
      <w:proofErr w:type="spellStart"/>
      <w:r w:rsidRPr="00D709AF">
        <w:rPr>
          <w:rFonts w:eastAsia="Arial Unicode MS" w:cs="Arial Unicode MS"/>
          <w:i/>
          <w:iCs/>
          <w:u w:color="000000"/>
          <w:bdr w:val="nil"/>
          <w:lang w:val="en-GB"/>
        </w:rPr>
        <w:t>gesamte</w:t>
      </w:r>
      <w:proofErr w:type="spellEnd"/>
      <w:r w:rsidRPr="00D709AF">
        <w:rPr>
          <w:rFonts w:eastAsia="Arial Unicode MS" w:cs="Arial Unicode MS"/>
          <w:i/>
          <w:iCs/>
          <w:u w:color="000000"/>
          <w:bdr w:val="nil"/>
          <w:lang w:val="en-GB"/>
        </w:rPr>
        <w:t xml:space="preserve"> </w:t>
      </w:r>
      <w:proofErr w:type="spellStart"/>
      <w:r w:rsidRPr="00D709AF">
        <w:rPr>
          <w:rFonts w:eastAsia="Arial Unicode MS" w:cs="Arial Unicode MS"/>
          <w:i/>
          <w:iCs/>
          <w:u w:color="000000"/>
          <w:bdr w:val="nil"/>
          <w:lang w:val="en-GB"/>
        </w:rPr>
        <w:t>Staatswissenschaft</w:t>
      </w:r>
      <w:proofErr w:type="spellEnd"/>
      <w:r w:rsidRPr="00D709AF">
        <w:rPr>
          <w:rFonts w:eastAsia="Arial Unicode MS" w:cs="Arial Unicode MS"/>
          <w:u w:color="000000"/>
          <w:bdr w:val="nil"/>
          <w:lang w:val="en-GB"/>
        </w:rPr>
        <w:t>, 563-587.</w:t>
      </w:r>
    </w:p>
    <w:p w14:paraId="6F2AEB36" w14:textId="3F225266" w:rsidR="00D709AF" w:rsidRDefault="00D709AF"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Pr>
          <w:rFonts w:eastAsia="Arial Unicode MS" w:cs="Arial Unicode MS"/>
          <w:u w:color="000000"/>
          <w:bdr w:val="nil"/>
          <w:lang w:val="en-GB"/>
        </w:rPr>
        <w:t xml:space="preserve">Di </w:t>
      </w:r>
      <w:r w:rsidRPr="00D709AF">
        <w:rPr>
          <w:rFonts w:eastAsia="Arial Unicode MS" w:cs="Arial Unicode MS"/>
          <w:u w:color="000000"/>
          <w:bdr w:val="nil"/>
          <w:lang w:val="en-GB"/>
        </w:rPr>
        <w:t>Vita, G. (2012</w:t>
      </w:r>
      <w:r w:rsidR="00281233">
        <w:rPr>
          <w:rFonts w:eastAsia="Arial Unicode MS" w:cs="Arial Unicode MS"/>
          <w:u w:color="000000"/>
          <w:bdr w:val="nil"/>
          <w:lang w:val="en-GB"/>
        </w:rPr>
        <w:t>b</w:t>
      </w:r>
      <w:r w:rsidRPr="00D709AF">
        <w:rPr>
          <w:rFonts w:eastAsia="Arial Unicode MS" w:cs="Arial Unicode MS"/>
          <w:u w:color="000000"/>
          <w:bdr w:val="nil"/>
          <w:lang w:val="en-GB"/>
        </w:rPr>
        <w:t>). Normative complexity and the length of administrative disputes: evidence from Italian regions. </w:t>
      </w:r>
      <w:r w:rsidRPr="00624B17">
        <w:rPr>
          <w:rFonts w:eastAsia="Arial Unicode MS" w:cs="Arial Unicode MS"/>
          <w:i/>
          <w:iCs/>
          <w:u w:color="000000"/>
          <w:bdr w:val="nil"/>
          <w:lang w:val="en-GB"/>
        </w:rPr>
        <w:t>European Journal of Law and Economics</w:t>
      </w:r>
      <w:r w:rsidRPr="00624B17">
        <w:rPr>
          <w:rFonts w:eastAsia="Arial Unicode MS" w:cs="Arial Unicode MS"/>
          <w:u w:color="000000"/>
          <w:bdr w:val="nil"/>
          <w:lang w:val="en-GB"/>
        </w:rPr>
        <w:t>, </w:t>
      </w:r>
      <w:r w:rsidRPr="00624B17">
        <w:rPr>
          <w:rFonts w:eastAsia="Arial Unicode MS" w:cs="Arial Unicode MS"/>
          <w:i/>
          <w:iCs/>
          <w:u w:color="000000"/>
          <w:bdr w:val="nil"/>
          <w:lang w:val="en-GB"/>
        </w:rPr>
        <w:t>34</w:t>
      </w:r>
      <w:r w:rsidRPr="00624B17">
        <w:rPr>
          <w:rFonts w:eastAsia="Arial Unicode MS" w:cs="Arial Unicode MS"/>
          <w:u w:color="000000"/>
          <w:bdr w:val="nil"/>
          <w:lang w:val="en-GB"/>
        </w:rPr>
        <w:t>, 197-213.</w:t>
      </w:r>
    </w:p>
    <w:p w14:paraId="1450B793" w14:textId="388DB67C" w:rsidR="009E5EB4" w:rsidRDefault="009E5EB4"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9E5EB4">
        <w:rPr>
          <w:rFonts w:eastAsia="Arial Unicode MS" w:cs="Arial Unicode MS"/>
          <w:u w:color="000000"/>
          <w:bdr w:val="nil"/>
          <w:lang w:val="en-GB"/>
        </w:rPr>
        <w:t>Di Vita, G. (2018). Institutional quality and the growth rates of the Italian regions: The costs of regulatory complexity. </w:t>
      </w:r>
      <w:r w:rsidRPr="007C2EF8">
        <w:rPr>
          <w:rFonts w:eastAsia="Arial Unicode MS" w:cs="Arial Unicode MS"/>
          <w:i/>
          <w:iCs/>
          <w:u w:color="000000"/>
          <w:bdr w:val="nil"/>
          <w:lang w:val="en-GB"/>
        </w:rPr>
        <w:t>Papers in Regional Science</w:t>
      </w:r>
      <w:r w:rsidRPr="007C2EF8">
        <w:rPr>
          <w:rFonts w:eastAsia="Arial Unicode MS" w:cs="Arial Unicode MS"/>
          <w:u w:color="000000"/>
          <w:bdr w:val="nil"/>
          <w:lang w:val="en-GB"/>
        </w:rPr>
        <w:t>, </w:t>
      </w:r>
      <w:r w:rsidRPr="007C2EF8">
        <w:rPr>
          <w:rFonts w:eastAsia="Arial Unicode MS" w:cs="Arial Unicode MS"/>
          <w:i/>
          <w:iCs/>
          <w:u w:color="000000"/>
          <w:bdr w:val="nil"/>
          <w:lang w:val="en-GB"/>
        </w:rPr>
        <w:t>97</w:t>
      </w:r>
      <w:r w:rsidRPr="007C2EF8">
        <w:rPr>
          <w:rFonts w:eastAsia="Arial Unicode MS" w:cs="Arial Unicode MS"/>
          <w:u w:color="000000"/>
          <w:bdr w:val="nil"/>
          <w:lang w:val="en-GB"/>
        </w:rPr>
        <w:t>(4), 1057-1081.</w:t>
      </w:r>
    </w:p>
    <w:p w14:paraId="1D591A77" w14:textId="0C8ACC93" w:rsidR="000A6EB9" w:rsidRDefault="000A6EB9"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1A75C8">
        <w:rPr>
          <w:rFonts w:eastAsia="Arial Unicode MS" w:cs="Arial Unicode MS"/>
          <w:u w:color="000000"/>
          <w:bdr w:val="nil"/>
          <w:lang w:val="en-GB"/>
        </w:rPr>
        <w:t xml:space="preserve">Di Vita, G., &amp; Ferrante, L. (2021). </w:t>
      </w:r>
      <w:r w:rsidRPr="000A6EB9">
        <w:rPr>
          <w:rFonts w:eastAsia="Arial Unicode MS" w:cs="Arial Unicode MS"/>
          <w:u w:color="000000"/>
          <w:bdr w:val="nil"/>
          <w:lang w:val="en-GB"/>
        </w:rPr>
        <w:t>Is legislation grease or sand to economic growth? An econometric analysis using data from Italian regions before and after the 2008 crisis. </w:t>
      </w:r>
      <w:r w:rsidRPr="001A75C8">
        <w:rPr>
          <w:rFonts w:eastAsia="Arial Unicode MS" w:cs="Arial Unicode MS"/>
          <w:i/>
          <w:iCs/>
          <w:u w:color="000000"/>
          <w:bdr w:val="nil"/>
          <w:lang w:val="en-GB"/>
        </w:rPr>
        <w:t>European Journal of Law and Economics</w:t>
      </w:r>
      <w:r w:rsidRPr="001A75C8">
        <w:rPr>
          <w:rFonts w:eastAsia="Arial Unicode MS" w:cs="Arial Unicode MS"/>
          <w:u w:color="000000"/>
          <w:bdr w:val="nil"/>
          <w:lang w:val="en-GB"/>
        </w:rPr>
        <w:t>, </w:t>
      </w:r>
      <w:r w:rsidRPr="001A75C8">
        <w:rPr>
          <w:rFonts w:eastAsia="Arial Unicode MS" w:cs="Arial Unicode MS"/>
          <w:i/>
          <w:iCs/>
          <w:u w:color="000000"/>
          <w:bdr w:val="nil"/>
          <w:lang w:val="en-GB"/>
        </w:rPr>
        <w:t>51</w:t>
      </w:r>
      <w:r w:rsidRPr="001A75C8">
        <w:rPr>
          <w:rFonts w:eastAsia="Arial Unicode MS" w:cs="Arial Unicode MS"/>
          <w:u w:color="000000"/>
          <w:bdr w:val="nil"/>
          <w:lang w:val="en-GB"/>
        </w:rPr>
        <w:t>, 541-561.</w:t>
      </w:r>
    </w:p>
    <w:p w14:paraId="13AE662A" w14:textId="4C7662FD" w:rsidR="00E46F72" w:rsidRDefault="00E46F72"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E46F72">
        <w:rPr>
          <w:rFonts w:eastAsia="Arial Unicode MS" w:cs="Arial Unicode MS"/>
          <w:u w:color="000000"/>
          <w:bdr w:val="nil"/>
          <w:lang w:val="en-GB"/>
        </w:rPr>
        <w:t>Di Vita, G. (2023). The economic impact of legislative complexity and corruption: A cross‐country analysis. </w:t>
      </w:r>
      <w:r w:rsidRPr="005A7262">
        <w:rPr>
          <w:rFonts w:eastAsia="Arial Unicode MS" w:cs="Arial Unicode MS"/>
          <w:i/>
          <w:iCs/>
          <w:u w:color="000000"/>
          <w:bdr w:val="nil"/>
          <w:lang w:val="en-GB"/>
        </w:rPr>
        <w:t>International Journal of Finance &amp; Economics</w:t>
      </w:r>
      <w:r w:rsidRPr="005A7262">
        <w:rPr>
          <w:rFonts w:eastAsia="Arial Unicode MS" w:cs="Arial Unicode MS"/>
          <w:u w:color="000000"/>
          <w:bdr w:val="nil"/>
          <w:lang w:val="en-GB"/>
        </w:rPr>
        <w:t>, </w:t>
      </w:r>
      <w:r w:rsidRPr="005A7262">
        <w:rPr>
          <w:rFonts w:eastAsia="Arial Unicode MS" w:cs="Arial Unicode MS"/>
          <w:i/>
          <w:iCs/>
          <w:u w:color="000000"/>
          <w:bdr w:val="nil"/>
          <w:lang w:val="en-GB"/>
        </w:rPr>
        <w:t>28</w:t>
      </w:r>
      <w:r w:rsidRPr="005A7262">
        <w:rPr>
          <w:rFonts w:eastAsia="Arial Unicode MS" w:cs="Arial Unicode MS"/>
          <w:u w:color="000000"/>
          <w:bdr w:val="nil"/>
          <w:lang w:val="en-GB"/>
        </w:rPr>
        <w:t>(2), 1801-1825.</w:t>
      </w:r>
    </w:p>
    <w:p w14:paraId="11F0B32B" w14:textId="6F4CECA8" w:rsidR="005A7C8E" w:rsidRDefault="005A7C8E"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5A7C8E">
        <w:rPr>
          <w:rFonts w:eastAsia="Arial Unicode MS" w:cs="Arial Unicode MS"/>
          <w:u w:color="000000"/>
          <w:bdr w:val="nil"/>
          <w:lang w:val="en-GB"/>
        </w:rPr>
        <w:t>Feld, L. P., &amp; Voigt, S. (2003). Economic growth and judicial independence: cross-country evidence using a new set of indicators. </w:t>
      </w:r>
      <w:r w:rsidRPr="00624B17">
        <w:rPr>
          <w:rFonts w:eastAsia="Arial Unicode MS" w:cs="Arial Unicode MS"/>
          <w:i/>
          <w:iCs/>
          <w:u w:color="000000"/>
          <w:bdr w:val="nil"/>
          <w:lang w:val="en-GB"/>
        </w:rPr>
        <w:t>European Journal of Political Economy</w:t>
      </w:r>
      <w:r w:rsidRPr="00624B17">
        <w:rPr>
          <w:rFonts w:eastAsia="Arial Unicode MS" w:cs="Arial Unicode MS"/>
          <w:u w:color="000000"/>
          <w:bdr w:val="nil"/>
          <w:lang w:val="en-GB"/>
        </w:rPr>
        <w:t>, </w:t>
      </w:r>
      <w:r w:rsidRPr="00624B17">
        <w:rPr>
          <w:rFonts w:eastAsia="Arial Unicode MS" w:cs="Arial Unicode MS"/>
          <w:i/>
          <w:iCs/>
          <w:u w:color="000000"/>
          <w:bdr w:val="nil"/>
          <w:lang w:val="en-GB"/>
        </w:rPr>
        <w:t>19</w:t>
      </w:r>
      <w:r w:rsidRPr="00624B17">
        <w:rPr>
          <w:rFonts w:eastAsia="Arial Unicode MS" w:cs="Arial Unicode MS"/>
          <w:u w:color="000000"/>
          <w:bdr w:val="nil"/>
          <w:lang w:val="en-GB"/>
        </w:rPr>
        <w:t>(3), 497-527.</w:t>
      </w:r>
    </w:p>
    <w:p w14:paraId="037AF28F" w14:textId="6C24FE3E" w:rsidR="004A4E12" w:rsidRDefault="004A4E12"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4A4E12">
        <w:rPr>
          <w:rFonts w:eastAsia="Arial Unicode MS" w:cs="Arial Unicode MS"/>
          <w:u w:color="000000"/>
          <w:bdr w:val="nil"/>
          <w:lang w:val="en-GB"/>
        </w:rPr>
        <w:t>Fenn, P., &amp; Rickman, N. (1999). Delay and settlement in litigation. </w:t>
      </w:r>
      <w:r w:rsidRPr="004A4E12">
        <w:rPr>
          <w:rFonts w:eastAsia="Arial Unicode MS" w:cs="Arial Unicode MS"/>
          <w:i/>
          <w:iCs/>
          <w:u w:color="000000"/>
          <w:bdr w:val="nil"/>
          <w:lang w:val="en-GB"/>
        </w:rPr>
        <w:t>The Economic Journal</w:t>
      </w:r>
      <w:r w:rsidRPr="004A4E12">
        <w:rPr>
          <w:rFonts w:eastAsia="Arial Unicode MS" w:cs="Arial Unicode MS"/>
          <w:u w:color="000000"/>
          <w:bdr w:val="nil"/>
          <w:lang w:val="en-GB"/>
        </w:rPr>
        <w:t>, </w:t>
      </w:r>
      <w:r w:rsidRPr="004A4E12">
        <w:rPr>
          <w:rFonts w:eastAsia="Arial Unicode MS" w:cs="Arial Unicode MS"/>
          <w:i/>
          <w:iCs/>
          <w:u w:color="000000"/>
          <w:bdr w:val="nil"/>
          <w:lang w:val="en-GB"/>
        </w:rPr>
        <w:t>109</w:t>
      </w:r>
      <w:r w:rsidRPr="004A4E12">
        <w:rPr>
          <w:rFonts w:eastAsia="Arial Unicode MS" w:cs="Arial Unicode MS"/>
          <w:u w:color="000000"/>
          <w:bdr w:val="nil"/>
          <w:lang w:val="en-GB"/>
        </w:rPr>
        <w:t>(457), 476-491.</w:t>
      </w:r>
    </w:p>
    <w:p w14:paraId="2951026F" w14:textId="480DE9CF" w:rsidR="00745FF0" w:rsidRDefault="00745FF0"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US"/>
        </w:rPr>
      </w:pPr>
      <w:r w:rsidRPr="0067706C">
        <w:rPr>
          <w:rFonts w:eastAsia="Arial Unicode MS" w:cs="Arial Unicode MS"/>
          <w:u w:color="000000"/>
          <w:bdr w:val="nil"/>
          <w:lang w:val="en-GB"/>
        </w:rPr>
        <w:lastRenderedPageBreak/>
        <w:t xml:space="preserve">Finocchiaro Castro, M., &amp; Guccio, C. (2014). </w:t>
      </w:r>
      <w:r w:rsidRPr="00745FF0">
        <w:rPr>
          <w:rFonts w:eastAsia="Arial Unicode MS" w:cs="Arial Unicode MS"/>
          <w:u w:color="000000"/>
          <w:bdr w:val="nil"/>
          <w:lang w:val="en-GB"/>
        </w:rPr>
        <w:t>Searching for the source of technical inefficiency in Italian judicial districts: an empirical investigation. </w:t>
      </w:r>
      <w:r w:rsidRPr="00F46FE5">
        <w:rPr>
          <w:rFonts w:eastAsia="Arial Unicode MS" w:cs="Arial Unicode MS"/>
          <w:i/>
          <w:iCs/>
          <w:u w:color="000000"/>
          <w:bdr w:val="nil"/>
          <w:lang w:val="en-US"/>
        </w:rPr>
        <w:t>European journal of law and economics</w:t>
      </w:r>
      <w:r w:rsidRPr="00F46FE5">
        <w:rPr>
          <w:rFonts w:eastAsia="Arial Unicode MS" w:cs="Arial Unicode MS"/>
          <w:u w:color="000000"/>
          <w:bdr w:val="nil"/>
          <w:lang w:val="en-US"/>
        </w:rPr>
        <w:t>, </w:t>
      </w:r>
      <w:r w:rsidRPr="00F46FE5">
        <w:rPr>
          <w:rFonts w:eastAsia="Arial Unicode MS" w:cs="Arial Unicode MS"/>
          <w:i/>
          <w:iCs/>
          <w:u w:color="000000"/>
          <w:bdr w:val="nil"/>
          <w:lang w:val="en-US"/>
        </w:rPr>
        <w:t>38</w:t>
      </w:r>
      <w:r w:rsidRPr="00F46FE5">
        <w:rPr>
          <w:rFonts w:eastAsia="Arial Unicode MS" w:cs="Arial Unicode MS"/>
          <w:u w:color="000000"/>
          <w:bdr w:val="nil"/>
          <w:lang w:val="en-US"/>
        </w:rPr>
        <w:t>, 369-391.</w:t>
      </w:r>
    </w:p>
    <w:p w14:paraId="2640A437" w14:textId="639453EA" w:rsidR="0070329E" w:rsidRDefault="0070329E"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US"/>
        </w:rPr>
      </w:pPr>
      <w:bookmarkStart w:id="19" w:name="_Hlk137578392"/>
      <w:r w:rsidRPr="00310FA7">
        <w:rPr>
          <w:rFonts w:eastAsia="Arial Unicode MS" w:cs="Arial Unicode MS"/>
          <w:u w:color="000000"/>
          <w:bdr w:val="nil"/>
          <w:lang w:val="en-GB"/>
        </w:rPr>
        <w:t xml:space="preserve">Giacomelli, S., &amp; Palumbo, G. (2011). </w:t>
      </w:r>
      <w:r w:rsidRPr="0070329E">
        <w:rPr>
          <w:rFonts w:eastAsia="Arial Unicode MS" w:cs="Arial Unicode MS"/>
          <w:u w:color="000000"/>
          <w:bdr w:val="nil"/>
        </w:rPr>
        <w:t>Giustizia civile e funzionamento dell'economia. </w:t>
      </w:r>
      <w:proofErr w:type="spellStart"/>
      <w:r w:rsidRPr="00310FA7">
        <w:rPr>
          <w:rFonts w:eastAsia="Arial Unicode MS" w:cs="Arial Unicode MS"/>
          <w:i/>
          <w:iCs/>
          <w:u w:color="000000"/>
          <w:bdr w:val="nil"/>
          <w:lang w:val="en-GB"/>
        </w:rPr>
        <w:t>Analisi</w:t>
      </w:r>
      <w:proofErr w:type="spellEnd"/>
      <w:r w:rsidRPr="00310FA7">
        <w:rPr>
          <w:rFonts w:eastAsia="Arial Unicode MS" w:cs="Arial Unicode MS"/>
          <w:i/>
          <w:iCs/>
          <w:u w:color="000000"/>
          <w:bdr w:val="nil"/>
          <w:lang w:val="en-GB"/>
        </w:rPr>
        <w:t xml:space="preserve"> </w:t>
      </w:r>
      <w:proofErr w:type="spellStart"/>
      <w:r w:rsidRPr="00310FA7">
        <w:rPr>
          <w:rFonts w:eastAsia="Arial Unicode MS" w:cs="Arial Unicode MS"/>
          <w:i/>
          <w:iCs/>
          <w:u w:color="000000"/>
          <w:bdr w:val="nil"/>
          <w:lang w:val="en-GB"/>
        </w:rPr>
        <w:t>giuridica</w:t>
      </w:r>
      <w:proofErr w:type="spellEnd"/>
      <w:r w:rsidRPr="00310FA7">
        <w:rPr>
          <w:rFonts w:eastAsia="Arial Unicode MS" w:cs="Arial Unicode MS"/>
          <w:i/>
          <w:iCs/>
          <w:u w:color="000000"/>
          <w:bdr w:val="nil"/>
          <w:lang w:val="en-GB"/>
        </w:rPr>
        <w:t xml:space="preserve"> </w:t>
      </w:r>
      <w:proofErr w:type="spellStart"/>
      <w:r w:rsidRPr="00310FA7">
        <w:rPr>
          <w:rFonts w:eastAsia="Arial Unicode MS" w:cs="Arial Unicode MS"/>
          <w:i/>
          <w:iCs/>
          <w:u w:color="000000"/>
          <w:bdr w:val="nil"/>
          <w:lang w:val="en-GB"/>
        </w:rPr>
        <w:t>dell'economia</w:t>
      </w:r>
      <w:proofErr w:type="spellEnd"/>
      <w:r w:rsidRPr="00310FA7">
        <w:rPr>
          <w:rFonts w:eastAsia="Arial Unicode MS" w:cs="Arial Unicode MS"/>
          <w:u w:color="000000"/>
          <w:bdr w:val="nil"/>
          <w:lang w:val="en-GB"/>
        </w:rPr>
        <w:t>, </w:t>
      </w:r>
      <w:r w:rsidRPr="00310FA7">
        <w:rPr>
          <w:rFonts w:eastAsia="Arial Unicode MS" w:cs="Arial Unicode MS"/>
          <w:i/>
          <w:iCs/>
          <w:u w:color="000000"/>
          <w:bdr w:val="nil"/>
          <w:lang w:val="en-GB"/>
        </w:rPr>
        <w:t>10</w:t>
      </w:r>
      <w:r w:rsidRPr="00310FA7">
        <w:rPr>
          <w:rFonts w:eastAsia="Arial Unicode MS" w:cs="Arial Unicode MS"/>
          <w:u w:color="000000"/>
          <w:bdr w:val="nil"/>
          <w:lang w:val="en-GB"/>
        </w:rPr>
        <w:t>(1), 7-16.</w:t>
      </w:r>
    </w:p>
    <w:bookmarkEnd w:id="19"/>
    <w:p w14:paraId="42EE74C6" w14:textId="5A017475" w:rsidR="00102007" w:rsidRPr="006D6E7C" w:rsidRDefault="00102007"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102007">
        <w:rPr>
          <w:rFonts w:eastAsia="Arial Unicode MS" w:cs="Arial Unicode MS"/>
          <w:u w:color="000000"/>
          <w:bdr w:val="nil"/>
          <w:lang w:val="en-GB"/>
        </w:rPr>
        <w:t>Giacomelli, S., &amp; Menon, C. (2013). Firm size and judicial efficiency: evidence from the neighbour's court. </w:t>
      </w:r>
      <w:r w:rsidRPr="006D6E7C">
        <w:rPr>
          <w:rFonts w:eastAsia="Arial Unicode MS" w:cs="Arial Unicode MS"/>
          <w:i/>
          <w:iCs/>
          <w:u w:color="000000"/>
          <w:bdr w:val="nil"/>
          <w:lang w:val="en-GB"/>
        </w:rPr>
        <w:t xml:space="preserve">Bank of Italy Temi di </w:t>
      </w:r>
      <w:proofErr w:type="spellStart"/>
      <w:r w:rsidRPr="006D6E7C">
        <w:rPr>
          <w:rFonts w:eastAsia="Arial Unicode MS" w:cs="Arial Unicode MS"/>
          <w:i/>
          <w:iCs/>
          <w:u w:color="000000"/>
          <w:bdr w:val="nil"/>
          <w:lang w:val="en-GB"/>
        </w:rPr>
        <w:t>Discussione</w:t>
      </w:r>
      <w:proofErr w:type="spellEnd"/>
      <w:r w:rsidRPr="006D6E7C">
        <w:rPr>
          <w:rFonts w:eastAsia="Arial Unicode MS" w:cs="Arial Unicode MS"/>
          <w:i/>
          <w:iCs/>
          <w:u w:color="000000"/>
          <w:bdr w:val="nil"/>
          <w:lang w:val="en-GB"/>
        </w:rPr>
        <w:t xml:space="preserve"> (Working Paper) No</w:t>
      </w:r>
      <w:r w:rsidRPr="006D6E7C">
        <w:rPr>
          <w:rFonts w:eastAsia="Arial Unicode MS" w:cs="Arial Unicode MS"/>
          <w:u w:color="000000"/>
          <w:bdr w:val="nil"/>
          <w:lang w:val="en-GB"/>
        </w:rPr>
        <w:t>, </w:t>
      </w:r>
      <w:r w:rsidRPr="006D6E7C">
        <w:rPr>
          <w:rFonts w:eastAsia="Arial Unicode MS" w:cs="Arial Unicode MS"/>
          <w:i/>
          <w:iCs/>
          <w:u w:color="000000"/>
          <w:bdr w:val="nil"/>
          <w:lang w:val="en-GB"/>
        </w:rPr>
        <w:t>898</w:t>
      </w:r>
      <w:r w:rsidRPr="006D6E7C">
        <w:rPr>
          <w:rFonts w:eastAsia="Arial Unicode MS" w:cs="Arial Unicode MS"/>
          <w:u w:color="000000"/>
          <w:bdr w:val="nil"/>
          <w:lang w:val="en-GB"/>
        </w:rPr>
        <w:t>.</w:t>
      </w:r>
    </w:p>
    <w:p w14:paraId="2F1521C6" w14:textId="07ADA0FB" w:rsidR="00102007" w:rsidRPr="004A4E12" w:rsidRDefault="00102007"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DB2F43">
        <w:rPr>
          <w:rFonts w:eastAsia="Arial Unicode MS" w:cs="Arial Unicode MS"/>
          <w:u w:color="000000"/>
          <w:bdr w:val="nil"/>
          <w:lang w:val="en-GB"/>
        </w:rPr>
        <w:t xml:space="preserve">González-Torres, G., &amp; Rodano, G. (2020). </w:t>
      </w:r>
      <w:r w:rsidRPr="00102007">
        <w:rPr>
          <w:rFonts w:eastAsia="Arial Unicode MS" w:cs="Arial Unicode MS"/>
          <w:u w:color="000000"/>
          <w:bdr w:val="nil"/>
          <w:lang w:val="en-GB"/>
        </w:rPr>
        <w:t>Court efficiency and aggregate productivity: the credit channel. </w:t>
      </w:r>
      <w:r w:rsidRPr="006D6E7C">
        <w:rPr>
          <w:rFonts w:eastAsia="Arial Unicode MS" w:cs="Arial Unicode MS"/>
          <w:i/>
          <w:iCs/>
          <w:u w:color="000000"/>
          <w:bdr w:val="nil"/>
          <w:lang w:val="en-GB"/>
        </w:rPr>
        <w:t xml:space="preserve">Bank of Italy Temi di </w:t>
      </w:r>
      <w:proofErr w:type="spellStart"/>
      <w:r w:rsidRPr="006D6E7C">
        <w:rPr>
          <w:rFonts w:eastAsia="Arial Unicode MS" w:cs="Arial Unicode MS"/>
          <w:i/>
          <w:iCs/>
          <w:u w:color="000000"/>
          <w:bdr w:val="nil"/>
          <w:lang w:val="en-GB"/>
        </w:rPr>
        <w:t>Discussione</w:t>
      </w:r>
      <w:proofErr w:type="spellEnd"/>
      <w:r w:rsidRPr="006D6E7C">
        <w:rPr>
          <w:rFonts w:eastAsia="Arial Unicode MS" w:cs="Arial Unicode MS"/>
          <w:i/>
          <w:iCs/>
          <w:u w:color="000000"/>
          <w:bdr w:val="nil"/>
          <w:lang w:val="en-GB"/>
        </w:rPr>
        <w:t xml:space="preserve"> (Working Paper) No</w:t>
      </w:r>
      <w:r w:rsidRPr="006D6E7C">
        <w:rPr>
          <w:rFonts w:eastAsia="Arial Unicode MS" w:cs="Arial Unicode MS"/>
          <w:u w:color="000000"/>
          <w:bdr w:val="nil"/>
          <w:lang w:val="en-GB"/>
        </w:rPr>
        <w:t>, </w:t>
      </w:r>
      <w:r w:rsidRPr="006D6E7C">
        <w:rPr>
          <w:rFonts w:eastAsia="Arial Unicode MS" w:cs="Arial Unicode MS"/>
          <w:i/>
          <w:iCs/>
          <w:u w:color="000000"/>
          <w:bdr w:val="nil"/>
          <w:lang w:val="en-GB"/>
        </w:rPr>
        <w:t>1287</w:t>
      </w:r>
      <w:r w:rsidRPr="006D6E7C">
        <w:rPr>
          <w:rFonts w:eastAsia="Arial Unicode MS" w:cs="Arial Unicode MS"/>
          <w:u w:color="000000"/>
          <w:bdr w:val="nil"/>
          <w:lang w:val="en-GB"/>
        </w:rPr>
        <w:t>.</w:t>
      </w:r>
    </w:p>
    <w:p w14:paraId="7ED3CDCF" w14:textId="5DE29650" w:rsidR="00D41638" w:rsidRDefault="00D41638" w:rsidP="00D41638">
      <w:pPr>
        <w:pBdr>
          <w:top w:val="nil"/>
          <w:left w:val="nil"/>
          <w:bottom w:val="nil"/>
          <w:right w:val="nil"/>
          <w:between w:val="nil"/>
          <w:bar w:val="nil"/>
        </w:pBdr>
        <w:spacing w:after="120" w:line="360" w:lineRule="auto"/>
        <w:ind w:left="284" w:hanging="284"/>
        <w:jc w:val="both"/>
        <w:rPr>
          <w:color w:val="000000" w:themeColor="text1"/>
          <w:lang w:val="en-GB"/>
        </w:rPr>
      </w:pPr>
      <w:r w:rsidRPr="00D41638">
        <w:rPr>
          <w:color w:val="000000" w:themeColor="text1"/>
          <w:lang w:val="en-GB"/>
        </w:rPr>
        <w:t>Gravelle, H. S. (1990). Rationing trials by waiting: Welfare implications. </w:t>
      </w:r>
      <w:r w:rsidRPr="00D41638">
        <w:rPr>
          <w:i/>
          <w:iCs/>
          <w:color w:val="000000" w:themeColor="text1"/>
          <w:lang w:val="en-GB"/>
        </w:rPr>
        <w:t>International Review of Law and Economics</w:t>
      </w:r>
      <w:r w:rsidRPr="00D41638">
        <w:rPr>
          <w:color w:val="000000" w:themeColor="text1"/>
          <w:lang w:val="en-GB"/>
        </w:rPr>
        <w:t>, </w:t>
      </w:r>
      <w:r w:rsidRPr="00D41638">
        <w:rPr>
          <w:i/>
          <w:iCs/>
          <w:color w:val="000000" w:themeColor="text1"/>
          <w:lang w:val="en-GB"/>
        </w:rPr>
        <w:t>10</w:t>
      </w:r>
      <w:r w:rsidRPr="00D41638">
        <w:rPr>
          <w:color w:val="000000" w:themeColor="text1"/>
          <w:lang w:val="en-GB"/>
        </w:rPr>
        <w:t>(3), 255-270.</w:t>
      </w:r>
    </w:p>
    <w:p w14:paraId="0962C787" w14:textId="566FE1AD" w:rsidR="006F3434" w:rsidRDefault="006F3434"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proofErr w:type="spellStart"/>
      <w:r w:rsidRPr="0067706C">
        <w:rPr>
          <w:rFonts w:eastAsia="Arial Unicode MS" w:cs="Arial Unicode MS"/>
          <w:u w:color="000000"/>
          <w:bdr w:val="nil"/>
          <w:lang w:val="en-GB"/>
        </w:rPr>
        <w:t>Jappelli</w:t>
      </w:r>
      <w:proofErr w:type="spellEnd"/>
      <w:r w:rsidRPr="0067706C">
        <w:rPr>
          <w:rFonts w:eastAsia="Arial Unicode MS" w:cs="Arial Unicode MS"/>
          <w:u w:color="000000"/>
          <w:bdr w:val="nil"/>
          <w:lang w:val="en-GB"/>
        </w:rPr>
        <w:t xml:space="preserve">, T., Pagano, M., &amp; Bianco, M. (2005). </w:t>
      </w:r>
      <w:r w:rsidRPr="006F3434">
        <w:rPr>
          <w:rFonts w:eastAsia="Arial Unicode MS" w:cs="Arial Unicode MS"/>
          <w:u w:color="000000"/>
          <w:bdr w:val="nil"/>
          <w:lang w:val="en-GB"/>
        </w:rPr>
        <w:t>Courts and banks: Effects of judicial enforcement on credit markets. </w:t>
      </w:r>
      <w:r w:rsidRPr="002E758D">
        <w:rPr>
          <w:rFonts w:eastAsia="Arial Unicode MS" w:cs="Arial Unicode MS"/>
          <w:i/>
          <w:iCs/>
          <w:u w:color="000000"/>
          <w:bdr w:val="nil"/>
          <w:lang w:val="en-GB"/>
        </w:rPr>
        <w:t>Journal of Money, Credit and Banking</w:t>
      </w:r>
      <w:r w:rsidRPr="002E758D">
        <w:rPr>
          <w:rFonts w:eastAsia="Arial Unicode MS" w:cs="Arial Unicode MS"/>
          <w:u w:color="000000"/>
          <w:bdr w:val="nil"/>
          <w:lang w:val="en-GB"/>
        </w:rPr>
        <w:t>, 223-244.</w:t>
      </w:r>
    </w:p>
    <w:p w14:paraId="751E3688" w14:textId="6D02F4B5" w:rsidR="00143C42" w:rsidRDefault="00143C42"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proofErr w:type="spellStart"/>
      <w:r w:rsidRPr="0074278F">
        <w:rPr>
          <w:rFonts w:eastAsia="Arial Unicode MS" w:cs="Arial Unicode MS"/>
          <w:u w:color="000000"/>
          <w:bdr w:val="nil"/>
          <w:lang w:val="en-GB"/>
        </w:rPr>
        <w:t>Melcarne</w:t>
      </w:r>
      <w:proofErr w:type="spellEnd"/>
      <w:r w:rsidRPr="0074278F">
        <w:rPr>
          <w:rFonts w:eastAsia="Arial Unicode MS" w:cs="Arial Unicode MS"/>
          <w:u w:color="000000"/>
          <w:bdr w:val="nil"/>
          <w:lang w:val="en-GB"/>
        </w:rPr>
        <w:t xml:space="preserve">, A., Ramello, G. B., &amp; </w:t>
      </w:r>
      <w:proofErr w:type="spellStart"/>
      <w:r w:rsidRPr="0074278F">
        <w:rPr>
          <w:rFonts w:eastAsia="Arial Unicode MS" w:cs="Arial Unicode MS"/>
          <w:u w:color="000000"/>
          <w:bdr w:val="nil"/>
          <w:lang w:val="en-GB"/>
        </w:rPr>
        <w:t>Spruk</w:t>
      </w:r>
      <w:proofErr w:type="spellEnd"/>
      <w:r w:rsidRPr="0074278F">
        <w:rPr>
          <w:rFonts w:eastAsia="Arial Unicode MS" w:cs="Arial Unicode MS"/>
          <w:u w:color="000000"/>
          <w:bdr w:val="nil"/>
          <w:lang w:val="en-GB"/>
        </w:rPr>
        <w:t xml:space="preserve"> R. (2021). </w:t>
      </w:r>
      <w:r w:rsidRPr="00143C42">
        <w:rPr>
          <w:rFonts w:eastAsia="Arial Unicode MS" w:cs="Arial Unicode MS"/>
          <w:u w:color="000000"/>
          <w:bdr w:val="nil"/>
          <w:lang w:val="en-GB"/>
        </w:rPr>
        <w:t xml:space="preserve">Is </w:t>
      </w:r>
      <w:proofErr w:type="gramStart"/>
      <w:r w:rsidRPr="00143C42">
        <w:rPr>
          <w:rFonts w:eastAsia="Arial Unicode MS" w:cs="Arial Unicode MS"/>
          <w:u w:color="000000"/>
          <w:bdr w:val="nil"/>
          <w:lang w:val="en-GB"/>
        </w:rPr>
        <w:t>justice delayed</w:t>
      </w:r>
      <w:proofErr w:type="gramEnd"/>
      <w:r w:rsidRPr="00143C42">
        <w:rPr>
          <w:rFonts w:eastAsia="Arial Unicode MS" w:cs="Arial Unicode MS"/>
          <w:u w:color="000000"/>
          <w:bdr w:val="nil"/>
          <w:lang w:val="en-GB"/>
        </w:rPr>
        <w:t xml:space="preserve"> justice denied? </w:t>
      </w:r>
      <w:r w:rsidRPr="00CD7CC7">
        <w:rPr>
          <w:rFonts w:eastAsia="Arial Unicode MS" w:cs="Arial Unicode MS"/>
          <w:u w:color="000000"/>
          <w:bdr w:val="nil"/>
          <w:lang w:val="en-GB"/>
        </w:rPr>
        <w:t>An empirical approach. </w:t>
      </w:r>
      <w:r w:rsidRPr="00CD7CC7">
        <w:rPr>
          <w:rFonts w:eastAsia="Arial Unicode MS" w:cs="Arial Unicode MS"/>
          <w:i/>
          <w:iCs/>
          <w:u w:color="000000"/>
          <w:bdr w:val="nil"/>
          <w:lang w:val="en-GB"/>
        </w:rPr>
        <w:t>International Review of Law and Economics</w:t>
      </w:r>
      <w:r w:rsidRPr="00CD7CC7">
        <w:rPr>
          <w:rFonts w:eastAsia="Arial Unicode MS" w:cs="Arial Unicode MS"/>
          <w:u w:color="000000"/>
          <w:bdr w:val="nil"/>
          <w:lang w:val="en-GB"/>
        </w:rPr>
        <w:t>, </w:t>
      </w:r>
      <w:r w:rsidRPr="00CD7CC7">
        <w:rPr>
          <w:rFonts w:eastAsia="Arial Unicode MS" w:cs="Arial Unicode MS"/>
          <w:i/>
          <w:iCs/>
          <w:u w:color="000000"/>
          <w:bdr w:val="nil"/>
          <w:lang w:val="en-GB"/>
        </w:rPr>
        <w:t>65</w:t>
      </w:r>
      <w:r w:rsidRPr="00CD7CC7">
        <w:rPr>
          <w:rFonts w:eastAsia="Arial Unicode MS" w:cs="Arial Unicode MS"/>
          <w:u w:color="000000"/>
          <w:bdr w:val="nil"/>
          <w:lang w:val="en-GB"/>
        </w:rPr>
        <w:t>, 105953.</w:t>
      </w:r>
    </w:p>
    <w:p w14:paraId="6C65B1C5" w14:textId="4100F524" w:rsidR="00D709AF" w:rsidRDefault="00D709AF" w:rsidP="00D41638">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CD7CC7">
        <w:rPr>
          <w:rFonts w:eastAsia="Arial Unicode MS" w:cs="Arial Unicode MS"/>
          <w:u w:color="000000"/>
          <w:bdr w:val="nil"/>
          <w:lang w:val="en-GB"/>
        </w:rPr>
        <w:t xml:space="preserve">Nissi, E., Giacalone, M., &amp; </w:t>
      </w:r>
      <w:proofErr w:type="spellStart"/>
      <w:r w:rsidRPr="00CD7CC7">
        <w:rPr>
          <w:rFonts w:eastAsia="Arial Unicode MS" w:cs="Arial Unicode MS"/>
          <w:u w:color="000000"/>
          <w:bdr w:val="nil"/>
          <w:lang w:val="en-GB"/>
        </w:rPr>
        <w:t>Cusatelli</w:t>
      </w:r>
      <w:proofErr w:type="spellEnd"/>
      <w:r w:rsidRPr="00CD7CC7">
        <w:rPr>
          <w:rFonts w:eastAsia="Arial Unicode MS" w:cs="Arial Unicode MS"/>
          <w:u w:color="000000"/>
          <w:bdr w:val="nil"/>
          <w:lang w:val="en-GB"/>
        </w:rPr>
        <w:t xml:space="preserve">, C. (2019). </w:t>
      </w:r>
      <w:r w:rsidRPr="00D709AF">
        <w:rPr>
          <w:rFonts w:eastAsia="Arial Unicode MS" w:cs="Arial Unicode MS"/>
          <w:u w:color="000000"/>
          <w:bdr w:val="nil"/>
          <w:lang w:val="en-GB"/>
        </w:rPr>
        <w:t xml:space="preserve">The efficiency of the Italian judicial system: a </w:t>
      </w:r>
      <w:proofErr w:type="gramStart"/>
      <w:r w:rsidRPr="00D709AF">
        <w:rPr>
          <w:rFonts w:eastAsia="Arial Unicode MS" w:cs="Arial Unicode MS"/>
          <w:u w:color="000000"/>
          <w:bdr w:val="nil"/>
          <w:lang w:val="en-GB"/>
        </w:rPr>
        <w:t>two stage</w:t>
      </w:r>
      <w:proofErr w:type="gramEnd"/>
      <w:r w:rsidRPr="00D709AF">
        <w:rPr>
          <w:rFonts w:eastAsia="Arial Unicode MS" w:cs="Arial Unicode MS"/>
          <w:u w:color="000000"/>
          <w:bdr w:val="nil"/>
          <w:lang w:val="en-GB"/>
        </w:rPr>
        <w:t xml:space="preserve"> data envelopment analysis approach. </w:t>
      </w:r>
      <w:r w:rsidRPr="00624B17">
        <w:rPr>
          <w:rFonts w:eastAsia="Arial Unicode MS" w:cs="Arial Unicode MS"/>
          <w:i/>
          <w:iCs/>
          <w:u w:color="000000"/>
          <w:bdr w:val="nil"/>
          <w:lang w:val="en-GB"/>
        </w:rPr>
        <w:t>Social Indicators Research</w:t>
      </w:r>
      <w:r w:rsidRPr="00624B17">
        <w:rPr>
          <w:rFonts w:eastAsia="Arial Unicode MS" w:cs="Arial Unicode MS"/>
          <w:u w:color="000000"/>
          <w:bdr w:val="nil"/>
          <w:lang w:val="en-GB"/>
        </w:rPr>
        <w:t>, </w:t>
      </w:r>
      <w:r w:rsidRPr="00624B17">
        <w:rPr>
          <w:rFonts w:eastAsia="Arial Unicode MS" w:cs="Arial Unicode MS"/>
          <w:i/>
          <w:iCs/>
          <w:u w:color="000000"/>
          <w:bdr w:val="nil"/>
          <w:lang w:val="en-GB"/>
        </w:rPr>
        <w:t>146</w:t>
      </w:r>
      <w:r w:rsidRPr="00624B17">
        <w:rPr>
          <w:rFonts w:eastAsia="Arial Unicode MS" w:cs="Arial Unicode MS"/>
          <w:u w:color="000000"/>
          <w:bdr w:val="nil"/>
          <w:lang w:val="en-GB"/>
        </w:rPr>
        <w:t>, 395-407.</w:t>
      </w:r>
    </w:p>
    <w:p w14:paraId="70A79F41" w14:textId="39A9871C" w:rsidR="00F904B1" w:rsidRDefault="00F904B1" w:rsidP="00F904B1">
      <w:pPr>
        <w:pBdr>
          <w:top w:val="nil"/>
          <w:left w:val="nil"/>
          <w:bottom w:val="nil"/>
          <w:right w:val="nil"/>
          <w:between w:val="nil"/>
          <w:bar w:val="nil"/>
        </w:pBdr>
        <w:spacing w:after="120" w:line="360" w:lineRule="auto"/>
        <w:ind w:left="284" w:hanging="284"/>
        <w:jc w:val="both"/>
        <w:rPr>
          <w:rFonts w:eastAsia="Arial Unicode MS" w:cs="Arial Unicode MS"/>
          <w:i/>
          <w:iCs/>
          <w:u w:color="000000"/>
          <w:bdr w:val="nil"/>
          <w:lang w:val="en-GB"/>
        </w:rPr>
      </w:pPr>
      <w:r w:rsidRPr="00F904B1">
        <w:rPr>
          <w:rFonts w:eastAsia="Arial Unicode MS" w:cs="Arial Unicode MS"/>
          <w:u w:color="000000"/>
          <w:bdr w:val="nil"/>
          <w:lang w:val="en-GB"/>
        </w:rPr>
        <w:t xml:space="preserve">Patti A. (2023). Age quod </w:t>
      </w:r>
      <w:proofErr w:type="spellStart"/>
      <w:r w:rsidRPr="00F904B1">
        <w:rPr>
          <w:rFonts w:eastAsia="Arial Unicode MS" w:cs="Arial Unicode MS"/>
          <w:u w:color="000000"/>
          <w:bdr w:val="nil"/>
          <w:lang w:val="en-GB"/>
        </w:rPr>
        <w:t>agis</w:t>
      </w:r>
      <w:proofErr w:type="spellEnd"/>
      <w:r w:rsidRPr="00F904B1">
        <w:rPr>
          <w:rFonts w:eastAsia="Arial Unicode MS" w:cs="Arial Unicode MS"/>
          <w:u w:color="000000"/>
          <w:bdr w:val="nil"/>
          <w:lang w:val="en-GB"/>
        </w:rPr>
        <w:t xml:space="preserve">: an empirical analysis on judicial efficiency in Italy. </w:t>
      </w:r>
      <w:r w:rsidRPr="00F904B1">
        <w:rPr>
          <w:rFonts w:eastAsia="Arial Unicode MS" w:cs="Arial Unicode MS"/>
          <w:i/>
          <w:iCs/>
          <w:u w:color="000000"/>
          <w:bdr w:val="nil"/>
          <w:lang w:val="en-GB"/>
        </w:rPr>
        <w:t>(mimeo)</w:t>
      </w:r>
    </w:p>
    <w:p w14:paraId="5652905F" w14:textId="7B327121" w:rsidR="0063494F" w:rsidRPr="0063494F" w:rsidRDefault="0063494F" w:rsidP="00F904B1">
      <w:pPr>
        <w:pBdr>
          <w:top w:val="nil"/>
          <w:left w:val="nil"/>
          <w:bottom w:val="nil"/>
          <w:right w:val="nil"/>
          <w:between w:val="nil"/>
          <w:bar w:val="nil"/>
        </w:pBdr>
        <w:spacing w:after="120" w:line="360" w:lineRule="auto"/>
        <w:ind w:left="284" w:hanging="284"/>
        <w:jc w:val="both"/>
        <w:rPr>
          <w:rFonts w:eastAsia="Arial Unicode MS" w:cs="Arial Unicode MS"/>
          <w:u w:color="000000"/>
          <w:bdr w:val="nil"/>
          <w:lang w:val="en-GB"/>
        </w:rPr>
      </w:pPr>
      <w:r w:rsidRPr="0063494F">
        <w:rPr>
          <w:rFonts w:eastAsia="Arial Unicode MS" w:cs="Arial Unicode MS"/>
          <w:u w:color="000000"/>
          <w:bdr w:val="nil"/>
          <w:lang w:val="en-GB"/>
        </w:rPr>
        <w:t>Ramseyer, J. M. (2012). Talent matters: Judicial productivity and speed in Japan. </w:t>
      </w:r>
      <w:r w:rsidRPr="00311270">
        <w:rPr>
          <w:rFonts w:eastAsia="Arial Unicode MS" w:cs="Arial Unicode MS"/>
          <w:i/>
          <w:iCs/>
          <w:u w:color="000000"/>
          <w:bdr w:val="nil"/>
          <w:lang w:val="en-GB"/>
        </w:rPr>
        <w:t>International Review of Law and Economics</w:t>
      </w:r>
      <w:r w:rsidRPr="00311270">
        <w:rPr>
          <w:rFonts w:eastAsia="Arial Unicode MS" w:cs="Arial Unicode MS"/>
          <w:u w:color="000000"/>
          <w:bdr w:val="nil"/>
          <w:lang w:val="en-GB"/>
        </w:rPr>
        <w:t>, </w:t>
      </w:r>
      <w:r w:rsidRPr="00311270">
        <w:rPr>
          <w:rFonts w:eastAsia="Arial Unicode MS" w:cs="Arial Unicode MS"/>
          <w:i/>
          <w:iCs/>
          <w:u w:color="000000"/>
          <w:bdr w:val="nil"/>
          <w:lang w:val="en-GB"/>
        </w:rPr>
        <w:t>32</w:t>
      </w:r>
      <w:r w:rsidRPr="00311270">
        <w:rPr>
          <w:rFonts w:eastAsia="Arial Unicode MS" w:cs="Arial Unicode MS"/>
          <w:u w:color="000000"/>
          <w:bdr w:val="nil"/>
          <w:lang w:val="en-GB"/>
        </w:rPr>
        <w:t>(1), 38-48.</w:t>
      </w:r>
    </w:p>
    <w:p w14:paraId="1E8B8406" w14:textId="358FA240" w:rsidR="00D41638" w:rsidRDefault="00D41638" w:rsidP="00D41638">
      <w:pPr>
        <w:pBdr>
          <w:top w:val="nil"/>
          <w:left w:val="nil"/>
          <w:bottom w:val="nil"/>
          <w:right w:val="nil"/>
          <w:between w:val="nil"/>
          <w:bar w:val="nil"/>
        </w:pBdr>
        <w:spacing w:after="120" w:line="360" w:lineRule="auto"/>
        <w:ind w:left="284" w:hanging="284"/>
        <w:jc w:val="both"/>
        <w:rPr>
          <w:color w:val="000000" w:themeColor="text1"/>
          <w:lang w:val="en-GB"/>
        </w:rPr>
      </w:pPr>
      <w:r w:rsidRPr="00D41638">
        <w:rPr>
          <w:color w:val="000000" w:themeColor="text1"/>
          <w:lang w:val="en-GB"/>
        </w:rPr>
        <w:t>Spurr, S. J. (1997). The duration of litigation. </w:t>
      </w:r>
      <w:r w:rsidRPr="00D41638">
        <w:rPr>
          <w:i/>
          <w:iCs/>
          <w:color w:val="000000" w:themeColor="text1"/>
          <w:lang w:val="en-GB"/>
        </w:rPr>
        <w:t>Law &amp; Policy</w:t>
      </w:r>
      <w:r w:rsidRPr="00D41638">
        <w:rPr>
          <w:color w:val="000000" w:themeColor="text1"/>
          <w:lang w:val="en-GB"/>
        </w:rPr>
        <w:t>, </w:t>
      </w:r>
      <w:r w:rsidRPr="00D41638">
        <w:rPr>
          <w:i/>
          <w:iCs/>
          <w:color w:val="000000" w:themeColor="text1"/>
          <w:lang w:val="en-GB"/>
        </w:rPr>
        <w:t>19</w:t>
      </w:r>
      <w:r w:rsidRPr="00D41638">
        <w:rPr>
          <w:color w:val="000000" w:themeColor="text1"/>
          <w:lang w:val="en-GB"/>
        </w:rPr>
        <w:t>(3), 285-316.</w:t>
      </w:r>
    </w:p>
    <w:p w14:paraId="226E9ED4" w14:textId="0315B93E" w:rsidR="004A4E12" w:rsidRPr="00CD3C70" w:rsidRDefault="004A4E12" w:rsidP="00D41638">
      <w:pPr>
        <w:pBdr>
          <w:top w:val="nil"/>
          <w:left w:val="nil"/>
          <w:bottom w:val="nil"/>
          <w:right w:val="nil"/>
          <w:between w:val="nil"/>
          <w:bar w:val="nil"/>
        </w:pBdr>
        <w:spacing w:after="120" w:line="360" w:lineRule="auto"/>
        <w:ind w:left="284" w:hanging="284"/>
        <w:jc w:val="both"/>
        <w:rPr>
          <w:color w:val="000000" w:themeColor="text1"/>
          <w:lang w:val="en-GB"/>
        </w:rPr>
      </w:pPr>
      <w:proofErr w:type="spellStart"/>
      <w:r w:rsidRPr="004A4E12">
        <w:rPr>
          <w:color w:val="000000" w:themeColor="text1"/>
          <w:lang w:val="en-GB"/>
        </w:rPr>
        <w:t>Vereeck</w:t>
      </w:r>
      <w:proofErr w:type="spellEnd"/>
      <w:r w:rsidRPr="004A4E12">
        <w:rPr>
          <w:color w:val="000000" w:themeColor="text1"/>
          <w:lang w:val="en-GB"/>
        </w:rPr>
        <w:t>, L., &amp; Mühl, M. (2000). An economic theory of court delay. </w:t>
      </w:r>
      <w:r w:rsidRPr="00CD3C70">
        <w:rPr>
          <w:i/>
          <w:iCs/>
          <w:color w:val="000000" w:themeColor="text1"/>
          <w:lang w:val="en-GB"/>
        </w:rPr>
        <w:t>European Journal of Law and Economics</w:t>
      </w:r>
      <w:r w:rsidRPr="00CD3C70">
        <w:rPr>
          <w:color w:val="000000" w:themeColor="text1"/>
          <w:lang w:val="en-GB"/>
        </w:rPr>
        <w:t>, </w:t>
      </w:r>
      <w:r w:rsidRPr="00CD3C70">
        <w:rPr>
          <w:i/>
          <w:iCs/>
          <w:color w:val="000000" w:themeColor="text1"/>
          <w:lang w:val="en-GB"/>
        </w:rPr>
        <w:t>10</w:t>
      </w:r>
      <w:r w:rsidRPr="00CD3C70">
        <w:rPr>
          <w:color w:val="000000" w:themeColor="text1"/>
          <w:lang w:val="en-GB"/>
        </w:rPr>
        <w:t>, 243-268.</w:t>
      </w:r>
    </w:p>
    <w:p w14:paraId="5A299B36" w14:textId="1EA47BD2" w:rsidR="003326EC" w:rsidRPr="0049213B" w:rsidRDefault="004D74C1" w:rsidP="0049213B">
      <w:pPr>
        <w:pBdr>
          <w:top w:val="nil"/>
          <w:left w:val="nil"/>
          <w:bottom w:val="nil"/>
          <w:right w:val="nil"/>
          <w:between w:val="nil"/>
          <w:bar w:val="nil"/>
        </w:pBdr>
        <w:spacing w:after="120" w:line="360" w:lineRule="auto"/>
        <w:ind w:left="284" w:hanging="284"/>
        <w:jc w:val="both"/>
        <w:rPr>
          <w:color w:val="000000" w:themeColor="text1"/>
          <w:lang w:val="en-GB"/>
        </w:rPr>
      </w:pPr>
      <w:r w:rsidRPr="0074278F">
        <w:rPr>
          <w:color w:val="000000" w:themeColor="text1"/>
          <w:lang w:val="en-GB"/>
        </w:rPr>
        <w:t xml:space="preserve">Voigt, S., &amp; El-Bialy, N. (2016). </w:t>
      </w:r>
      <w:r w:rsidRPr="004D74C1">
        <w:rPr>
          <w:color w:val="000000" w:themeColor="text1"/>
          <w:lang w:val="en-GB"/>
        </w:rPr>
        <w:t xml:space="preserve">Identifying the determinants of aggregate judicial performance: taxpayers’ money well </w:t>
      </w:r>
      <w:proofErr w:type="gramStart"/>
      <w:r w:rsidRPr="004D74C1">
        <w:rPr>
          <w:color w:val="000000" w:themeColor="text1"/>
          <w:lang w:val="en-GB"/>
        </w:rPr>
        <w:t>spent?.</w:t>
      </w:r>
      <w:proofErr w:type="gramEnd"/>
      <w:r w:rsidRPr="004D74C1">
        <w:rPr>
          <w:color w:val="000000" w:themeColor="text1"/>
          <w:lang w:val="en-GB"/>
        </w:rPr>
        <w:t> </w:t>
      </w:r>
      <w:proofErr w:type="spellStart"/>
      <w:r w:rsidRPr="004D74C1">
        <w:rPr>
          <w:i/>
          <w:iCs/>
          <w:color w:val="000000" w:themeColor="text1"/>
        </w:rPr>
        <w:t>European</w:t>
      </w:r>
      <w:proofErr w:type="spellEnd"/>
      <w:r w:rsidRPr="004D74C1">
        <w:rPr>
          <w:i/>
          <w:iCs/>
          <w:color w:val="000000" w:themeColor="text1"/>
        </w:rPr>
        <w:t xml:space="preserve"> Journal of </w:t>
      </w:r>
      <w:proofErr w:type="spellStart"/>
      <w:r w:rsidRPr="004D74C1">
        <w:rPr>
          <w:i/>
          <w:iCs/>
          <w:color w:val="000000" w:themeColor="text1"/>
        </w:rPr>
        <w:t>Law</w:t>
      </w:r>
      <w:proofErr w:type="spellEnd"/>
      <w:r w:rsidRPr="004D74C1">
        <w:rPr>
          <w:i/>
          <w:iCs/>
          <w:color w:val="000000" w:themeColor="text1"/>
        </w:rPr>
        <w:t xml:space="preserve"> and </w:t>
      </w:r>
      <w:proofErr w:type="spellStart"/>
      <w:r w:rsidRPr="004D74C1">
        <w:rPr>
          <w:i/>
          <w:iCs/>
          <w:color w:val="000000" w:themeColor="text1"/>
        </w:rPr>
        <w:t>Economics</w:t>
      </w:r>
      <w:proofErr w:type="spellEnd"/>
      <w:r w:rsidRPr="004D74C1">
        <w:rPr>
          <w:color w:val="000000" w:themeColor="text1"/>
        </w:rPr>
        <w:t>, </w:t>
      </w:r>
      <w:r w:rsidRPr="004D74C1">
        <w:rPr>
          <w:i/>
          <w:iCs/>
          <w:color w:val="000000" w:themeColor="text1"/>
        </w:rPr>
        <w:t>41</w:t>
      </w:r>
      <w:r w:rsidRPr="004D74C1">
        <w:rPr>
          <w:color w:val="000000" w:themeColor="text1"/>
        </w:rPr>
        <w:t>, 283-319.</w:t>
      </w:r>
      <w:bookmarkEnd w:id="18"/>
    </w:p>
    <w:sectPr w:rsidR="003326EC" w:rsidRPr="0049213B" w:rsidSect="0098544C">
      <w:pgSz w:w="11906" w:h="16838"/>
      <w:pgMar w:top="1559" w:right="1701" w:bottom="1559" w:left="1701"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2DDF" w14:textId="77777777" w:rsidR="00707987" w:rsidRDefault="00707987" w:rsidP="008D5048">
      <w:r>
        <w:separator/>
      </w:r>
    </w:p>
  </w:endnote>
  <w:endnote w:type="continuationSeparator" w:id="0">
    <w:p w14:paraId="6C278D1B" w14:textId="77777777" w:rsidR="00707987" w:rsidRDefault="00707987" w:rsidP="008D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00000000" w:usb1="7AC7FFFF" w:usb2="00000012" w:usb3="00000000" w:csb0="0002000D" w:csb1="00000000"/>
  </w:font>
  <w:font w:name="Consolas">
    <w:panose1 w:val="020B0609020204030204"/>
    <w:charset w:val="00"/>
    <w:family w:val="modern"/>
    <w:pitch w:val="fixed"/>
    <w:sig w:usb0="E00006FF" w:usb1="0000FCFF" w:usb2="00000001" w:usb3="00000000" w:csb0="0000019F" w:csb1="00000000"/>
  </w:font>
  <w:font w:name="Helvetica Neue">
    <w:altName w:val="Arial"/>
    <w:charset w:val="00"/>
    <w:family w:val="roman"/>
    <w:pitch w:val="default"/>
  </w:font>
  <w:font w:name="AdvCORRESAST">
    <w:altName w:val="Malgun Gothic"/>
    <w:panose1 w:val="00000000000000000000"/>
    <w:charset w:val="81"/>
    <w:family w:val="auto"/>
    <w:notTrueType/>
    <w:pitch w:val="default"/>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NexusSansWeb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48375" w14:textId="79CCA5BC" w:rsidR="00E74F02" w:rsidRDefault="00E74F02">
    <w:pPr>
      <w:pStyle w:val="Pidipagina"/>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it-IT"/>
      </w:rPr>
      <w:t xml:space="preserve">Pag. </w:t>
    </w:r>
    <w:r>
      <w:rPr>
        <w:rFonts w:eastAsiaTheme="minorEastAsia"/>
      </w:rPr>
      <w:fldChar w:fldCharType="begin"/>
    </w:r>
    <w:r w:rsidRPr="00DB7B4C">
      <w:rPr>
        <w:lang w:val="it-IT"/>
      </w:rPr>
      <w:instrText>PAGE   \* MERGEFORMAT</w:instrText>
    </w:r>
    <w:r>
      <w:rPr>
        <w:rFonts w:eastAsiaTheme="minorEastAsia"/>
      </w:rPr>
      <w:fldChar w:fldCharType="separate"/>
    </w:r>
    <w:r w:rsidR="001E79C3" w:rsidRPr="001E79C3">
      <w:rPr>
        <w:rFonts w:asciiTheme="majorHAnsi" w:eastAsiaTheme="majorEastAsia" w:hAnsiTheme="majorHAnsi" w:cstheme="majorBidi"/>
        <w:noProof/>
        <w:lang w:val="it-IT"/>
      </w:rPr>
      <w:t>21</w:t>
    </w:r>
    <w:r>
      <w:rPr>
        <w:rFonts w:asciiTheme="majorHAnsi" w:eastAsiaTheme="majorEastAsia" w:hAnsiTheme="majorHAnsi" w:cstheme="majorBidi"/>
      </w:rPr>
      <w:fldChar w:fldCharType="end"/>
    </w:r>
  </w:p>
  <w:p w14:paraId="46F04FEC" w14:textId="77777777" w:rsidR="00E74F02" w:rsidRDefault="00E74F0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586C8" w14:textId="77777777" w:rsidR="00707987" w:rsidRDefault="00707987" w:rsidP="008D5048">
      <w:r>
        <w:separator/>
      </w:r>
    </w:p>
  </w:footnote>
  <w:footnote w:type="continuationSeparator" w:id="0">
    <w:p w14:paraId="27E453CA" w14:textId="77777777" w:rsidR="00707987" w:rsidRDefault="00707987" w:rsidP="008D5048">
      <w:r>
        <w:continuationSeparator/>
      </w:r>
    </w:p>
  </w:footnote>
  <w:footnote w:id="1">
    <w:p w14:paraId="4FAE59A2" w14:textId="59326D3E" w:rsidR="00E74F02" w:rsidRPr="00F46FE5" w:rsidRDefault="00E74F02" w:rsidP="00F46FE5">
      <w:pPr>
        <w:pStyle w:val="Testonotaapidipagina"/>
        <w:jc w:val="both"/>
        <w:rPr>
          <w:rFonts w:ascii="Times New Roman" w:hAnsi="Times New Roman" w:cs="Times New Roman"/>
          <w:lang w:val="en-US"/>
        </w:rPr>
      </w:pPr>
      <w:r w:rsidRPr="00F46FE5">
        <w:rPr>
          <w:rStyle w:val="Rimandonotaapidipagina"/>
          <w:rFonts w:ascii="Times New Roman" w:hAnsi="Times New Roman" w:cs="Times New Roman"/>
        </w:rPr>
        <w:footnoteRef/>
      </w:r>
      <w:r w:rsidRPr="00F46FE5">
        <w:rPr>
          <w:rFonts w:ascii="Times New Roman" w:hAnsi="Times New Roman" w:cs="Times New Roman"/>
          <w:lang w:val="en-US"/>
        </w:rPr>
        <w:t xml:space="preserve"> </w:t>
      </w:r>
      <w:r w:rsidRPr="00864120">
        <w:rPr>
          <w:rFonts w:ascii="Times New Roman" w:hAnsi="Times New Roman" w:cs="Times New Roman"/>
          <w:lang w:val="en-US"/>
        </w:rPr>
        <w:t>The so called “Judges of peace”</w:t>
      </w:r>
      <w:r>
        <w:rPr>
          <w:rFonts w:ascii="Times New Roman" w:hAnsi="Times New Roman" w:cs="Times New Roman"/>
          <w:lang w:val="en-US"/>
        </w:rPr>
        <w:t xml:space="preserve"> </w:t>
      </w:r>
      <w:r w:rsidRPr="00864120">
        <w:rPr>
          <w:rFonts w:ascii="Times New Roman" w:hAnsi="Times New Roman" w:cs="Times New Roman"/>
          <w:lang w:val="en-US"/>
        </w:rPr>
        <w:t>(Giudice di Pace) is competent only for disputes of lower value (generally, up to 5,200 euros) while all the others are devolved to the jurisdiction of the court.</w:t>
      </w:r>
    </w:p>
  </w:footnote>
  <w:footnote w:id="2">
    <w:p w14:paraId="2992143F" w14:textId="0C1A43AD" w:rsidR="00E74F02" w:rsidRPr="00B50FB0" w:rsidRDefault="00E74F02" w:rsidP="00B50FB0">
      <w:pPr>
        <w:pStyle w:val="Testonotaapidipagina"/>
        <w:jc w:val="both"/>
        <w:rPr>
          <w:rFonts w:ascii="Times New Roman" w:hAnsi="Times New Roman" w:cs="Times New Roman"/>
          <w:lang w:val="it-IT"/>
        </w:rPr>
      </w:pPr>
      <w:r w:rsidRPr="00B50FB0">
        <w:rPr>
          <w:rStyle w:val="Rimandonotaapidipagina"/>
          <w:rFonts w:ascii="Times New Roman" w:hAnsi="Times New Roman" w:cs="Times New Roman"/>
        </w:rPr>
        <w:footnoteRef/>
      </w:r>
      <w:r w:rsidRPr="00B50FB0">
        <w:rPr>
          <w:rFonts w:ascii="Times New Roman" w:hAnsi="Times New Roman" w:cs="Times New Roman"/>
          <w:lang w:val="it-IT"/>
        </w:rPr>
        <w:t xml:space="preserve"> The Italian </w:t>
      </w:r>
      <w:r>
        <w:rPr>
          <w:rFonts w:ascii="Times New Roman" w:hAnsi="Times New Roman" w:cs="Times New Roman"/>
          <w:lang w:val="it-IT"/>
        </w:rPr>
        <w:t>i</w:t>
      </w:r>
      <w:r w:rsidRPr="00B50FB0">
        <w:rPr>
          <w:rFonts w:ascii="Times New Roman" w:hAnsi="Times New Roman" w:cs="Times New Roman"/>
          <w:lang w:val="it-IT"/>
        </w:rPr>
        <w:t xml:space="preserve">nstitute </w:t>
      </w:r>
      <w:r>
        <w:rPr>
          <w:rFonts w:ascii="Times New Roman" w:hAnsi="Times New Roman" w:cs="Times New Roman"/>
          <w:lang w:val="it-IT"/>
        </w:rPr>
        <w:t xml:space="preserve">of statistics </w:t>
      </w:r>
      <w:r w:rsidRPr="00B50FB0">
        <w:rPr>
          <w:rFonts w:ascii="Times New Roman" w:hAnsi="Times New Roman" w:cs="Times New Roman"/>
          <w:lang w:val="it-IT"/>
        </w:rPr>
        <w:t>(ISTA</w:t>
      </w:r>
      <w:r>
        <w:rPr>
          <w:rFonts w:ascii="Times New Roman" w:hAnsi="Times New Roman" w:cs="Times New Roman"/>
          <w:lang w:val="it-IT"/>
        </w:rPr>
        <w:t>T</w:t>
      </w:r>
      <w:r w:rsidRPr="00B50FB0">
        <w:rPr>
          <w:rFonts w:ascii="Times New Roman" w:hAnsi="Times New Roman" w:cs="Times New Roman"/>
          <w:lang w:val="it-IT"/>
        </w:rPr>
        <w:t>) divides the Italian regions in three groups: North (Piemonte, Valle d’Aosta, Lombardia, Liguria, Veneto, Emilia-Romagna, Trentino-Alto Adige, Friuli-Venezia Giulia</w:t>
      </w:r>
      <w:r>
        <w:rPr>
          <w:rFonts w:ascii="Times New Roman" w:hAnsi="Times New Roman" w:cs="Times New Roman"/>
          <w:lang w:val="it-IT"/>
        </w:rPr>
        <w:t>),</w:t>
      </w:r>
      <w:r w:rsidRPr="00B50FB0">
        <w:rPr>
          <w:rFonts w:ascii="Times New Roman" w:hAnsi="Times New Roman" w:cs="Times New Roman"/>
          <w:lang w:val="it-IT"/>
        </w:rPr>
        <w:t xml:space="preserve"> Centre</w:t>
      </w:r>
      <w:r>
        <w:rPr>
          <w:rFonts w:ascii="Times New Roman" w:hAnsi="Times New Roman" w:cs="Times New Roman"/>
          <w:lang w:val="it-IT"/>
        </w:rPr>
        <w:t xml:space="preserve"> (</w:t>
      </w:r>
      <w:r w:rsidRPr="00B50FB0">
        <w:rPr>
          <w:rFonts w:ascii="Times New Roman" w:hAnsi="Times New Roman" w:cs="Times New Roman"/>
          <w:lang w:val="it-IT"/>
        </w:rPr>
        <w:t>Toscana, Umbria, Marche,</w:t>
      </w:r>
      <w:r>
        <w:rPr>
          <w:rFonts w:ascii="Times New Roman" w:hAnsi="Times New Roman" w:cs="Times New Roman"/>
          <w:lang w:val="it-IT"/>
        </w:rPr>
        <w:t xml:space="preserve"> </w:t>
      </w:r>
      <w:r w:rsidRPr="00B50FB0">
        <w:rPr>
          <w:rFonts w:ascii="Times New Roman" w:hAnsi="Times New Roman" w:cs="Times New Roman"/>
          <w:lang w:val="it-IT"/>
        </w:rPr>
        <w:t>Lazio</w:t>
      </w:r>
      <w:r>
        <w:rPr>
          <w:rFonts w:ascii="Times New Roman" w:hAnsi="Times New Roman" w:cs="Times New Roman"/>
          <w:lang w:val="it-IT"/>
        </w:rPr>
        <w:t>),</w:t>
      </w:r>
      <w:r w:rsidRPr="00B50FB0">
        <w:rPr>
          <w:rFonts w:ascii="Times New Roman" w:hAnsi="Times New Roman" w:cs="Times New Roman"/>
          <w:lang w:val="it-IT"/>
        </w:rPr>
        <w:t xml:space="preserve"> South</w:t>
      </w:r>
      <w:r>
        <w:rPr>
          <w:rFonts w:ascii="Times New Roman" w:hAnsi="Times New Roman" w:cs="Times New Roman"/>
          <w:lang w:val="it-IT"/>
        </w:rPr>
        <w:t xml:space="preserve"> (</w:t>
      </w:r>
      <w:r w:rsidRPr="00B50FB0">
        <w:rPr>
          <w:rFonts w:ascii="Times New Roman" w:hAnsi="Times New Roman" w:cs="Times New Roman"/>
          <w:lang w:val="it-IT"/>
        </w:rPr>
        <w:t>Abruzzo, Molise, Campania, Puglia, Basilicata, Calabria, Sicilia, Sardegna</w:t>
      </w:r>
      <w:r>
        <w:rPr>
          <w:rFonts w:ascii="Times New Roman" w:hAnsi="Times New Roman" w:cs="Times New Roman"/>
          <w:lang w:val="it-IT"/>
        </w:rPr>
        <w:t>)</w:t>
      </w:r>
    </w:p>
  </w:footnote>
  <w:footnote w:id="3">
    <w:p w14:paraId="57FDD5C6" w14:textId="61A0C8D7" w:rsidR="00E74F02" w:rsidRPr="00B015D9" w:rsidRDefault="00E74F02" w:rsidP="00864120">
      <w:pPr>
        <w:pStyle w:val="Testonotaapidipagina"/>
        <w:jc w:val="both"/>
        <w:rPr>
          <w:rFonts w:ascii="Times New Roman" w:hAnsi="Times New Roman" w:cs="Times New Roman"/>
        </w:rPr>
      </w:pPr>
      <w:r w:rsidRPr="00864120">
        <w:rPr>
          <w:rStyle w:val="Rimandonotaapidipagina"/>
          <w:rFonts w:ascii="Times New Roman" w:hAnsi="Times New Roman" w:cs="Times New Roman"/>
        </w:rPr>
        <w:footnoteRef/>
      </w:r>
      <w:r w:rsidRPr="00864120">
        <w:rPr>
          <w:rFonts w:ascii="Times New Roman" w:hAnsi="Times New Roman" w:cs="Times New Roman"/>
        </w:rPr>
        <w:t xml:space="preserve"> </w:t>
      </w:r>
      <w:r>
        <w:rPr>
          <w:rFonts w:ascii="Times New Roman" w:hAnsi="Times New Roman" w:cs="Times New Roman"/>
        </w:rPr>
        <w:t xml:space="preserve">Italian </w:t>
      </w:r>
      <w:r w:rsidRPr="00864120">
        <w:rPr>
          <w:rFonts w:ascii="Times New Roman" w:hAnsi="Times New Roman" w:cs="Times New Roman"/>
        </w:rPr>
        <w:t xml:space="preserve">PNRR program </w:t>
      </w:r>
      <w:r>
        <w:rPr>
          <w:rFonts w:ascii="Times New Roman" w:hAnsi="Times New Roman" w:cs="Times New Roman"/>
        </w:rPr>
        <w:t xml:space="preserve">has been </w:t>
      </w:r>
      <w:r w:rsidRPr="00864120">
        <w:rPr>
          <w:rFonts w:ascii="Times New Roman" w:hAnsi="Times New Roman" w:cs="Times New Roman"/>
        </w:rPr>
        <w:t xml:space="preserve">approved </w:t>
      </w:r>
      <w:r>
        <w:rPr>
          <w:rFonts w:ascii="Times New Roman" w:hAnsi="Times New Roman" w:cs="Times New Roman"/>
        </w:rPr>
        <w:t>the 13</w:t>
      </w:r>
      <w:r w:rsidRPr="00B015D9">
        <w:rPr>
          <w:rFonts w:ascii="Times New Roman" w:hAnsi="Times New Roman" w:cs="Times New Roman"/>
          <w:vertAlign w:val="superscript"/>
        </w:rPr>
        <w:t>th</w:t>
      </w:r>
      <w:r>
        <w:rPr>
          <w:rFonts w:ascii="Times New Roman" w:hAnsi="Times New Roman" w:cs="Times New Roman"/>
        </w:rPr>
        <w:t xml:space="preserve"> July 2021. </w:t>
      </w:r>
      <w:r w:rsidRPr="00B015D9">
        <w:rPr>
          <w:rFonts w:ascii="Times New Roman" w:hAnsi="Times New Roman" w:cs="Times New Roman"/>
        </w:rPr>
        <w:t>Italy has developed this plan to take advantage of the European funds of Next Generation EU, a 750 billion euros package that the European Commission agreed in July 2020 to cope with the coronavirus crisis and its impact on the economy and society. The plan consists of six missions that aim to make Italy more equitable, sustainable and inclusive, with a more productive, agile and innovative economy.</w:t>
      </w:r>
    </w:p>
  </w:footnote>
  <w:footnote w:id="4">
    <w:p w14:paraId="1787B811" w14:textId="0A7F0A4F" w:rsidR="00E74F02" w:rsidRPr="004D74C1" w:rsidRDefault="00E74F02" w:rsidP="004D74C1">
      <w:pPr>
        <w:pStyle w:val="Testonotaapidipagina"/>
        <w:jc w:val="both"/>
        <w:rPr>
          <w:rFonts w:ascii="Times New Roman" w:hAnsi="Times New Roman" w:cs="Times New Roman"/>
        </w:rPr>
      </w:pPr>
      <w:r w:rsidRPr="004D74C1">
        <w:rPr>
          <w:rStyle w:val="Rimandonotaapidipagina"/>
          <w:rFonts w:ascii="Times New Roman" w:hAnsi="Times New Roman" w:cs="Times New Roman"/>
        </w:rPr>
        <w:footnoteRef/>
      </w:r>
      <w:r w:rsidRPr="004D74C1">
        <w:rPr>
          <w:rFonts w:ascii="Times New Roman" w:hAnsi="Times New Roman" w:cs="Times New Roman"/>
        </w:rPr>
        <w:t xml:space="preserve"> The Office for Trial (UPP), having a similar purpose to that of other institutes present in various EU and non-EU countries, has been introduced in Italy with the art. 50 of the legislative decree June 24, 2014 no. 90, converted by the law of 11 August 2014, which inserted the art. 16-octies within the d.l. no. 179/2012 of 18/10/2012 (so-called "</w:t>
      </w:r>
      <w:r>
        <w:rPr>
          <w:rFonts w:ascii="Times New Roman" w:hAnsi="Times New Roman" w:cs="Times New Roman"/>
        </w:rPr>
        <w:t>D</w:t>
      </w:r>
      <w:r w:rsidRPr="004D74C1">
        <w:rPr>
          <w:rFonts w:ascii="Times New Roman" w:hAnsi="Times New Roman" w:cs="Times New Roman"/>
        </w:rPr>
        <w:t>ecree for development bis"), convert by law 17/12/2012 n. 221. The purpose of this institute is to "guarantee the reasonable duration of the process, through the innovation of organizational models and ensuring a more efficient use of information and communication technologies" (Article 16-octies,</w:t>
      </w:r>
      <w:r>
        <w:rPr>
          <w:rFonts w:ascii="Times New Roman" w:hAnsi="Times New Roman" w:cs="Times New Roman"/>
        </w:rPr>
        <w:t xml:space="preserve"> </w:t>
      </w:r>
      <w:r w:rsidRPr="004D74C1">
        <w:rPr>
          <w:rFonts w:ascii="Times New Roman" w:hAnsi="Times New Roman" w:cs="Times New Roman"/>
        </w:rPr>
        <w:t>Legislative Decree 179/2012)</w:t>
      </w:r>
      <w:r>
        <w:rPr>
          <w:rFonts w:ascii="Times New Roman" w:hAnsi="Times New Roman" w:cs="Times New Roman"/>
        </w:rPr>
        <w:t xml:space="preserve"> </w:t>
      </w:r>
      <w:r w:rsidRPr="004D74C1">
        <w:rPr>
          <w:rFonts w:ascii="Times New Roman" w:hAnsi="Times New Roman" w:cs="Times New Roman"/>
        </w:rPr>
        <w:t>through the establishment of a team at the service of judges at the first and second instance courts.</w:t>
      </w:r>
      <w:r>
        <w:rPr>
          <w:rFonts w:ascii="Times New Roman" w:hAnsi="Times New Roman" w:cs="Times New Roman"/>
        </w:rPr>
        <w:t xml:space="preserve"> A</w:t>
      </w:r>
      <w:r w:rsidRPr="00CD3C70">
        <w:rPr>
          <w:rFonts w:ascii="Times New Roman" w:hAnsi="Times New Roman" w:cs="Times New Roman"/>
        </w:rPr>
        <w:t xml:space="preserve">rt. 1 of the law of 27 September 2021 n. 134 </w:t>
      </w:r>
      <w:r>
        <w:rPr>
          <w:rFonts w:ascii="Times New Roman" w:hAnsi="Times New Roman" w:cs="Times New Roman"/>
        </w:rPr>
        <w:t>has enlarged the competence of</w:t>
      </w:r>
      <w:r w:rsidRPr="00CD3C70">
        <w:rPr>
          <w:rFonts w:ascii="Times New Roman" w:hAnsi="Times New Roman" w:cs="Times New Roman"/>
        </w:rPr>
        <w:t xml:space="preserve"> the Office for </w:t>
      </w:r>
      <w:r>
        <w:rPr>
          <w:rFonts w:ascii="Times New Roman" w:hAnsi="Times New Roman" w:cs="Times New Roman"/>
        </w:rPr>
        <w:t>Trial</w:t>
      </w:r>
      <w:r w:rsidRPr="00CD3C70">
        <w:rPr>
          <w:rFonts w:ascii="Times New Roman" w:hAnsi="Times New Roman" w:cs="Times New Roman"/>
        </w:rPr>
        <w:t xml:space="preserve"> also in the criminal sector, at the </w:t>
      </w:r>
      <w:r>
        <w:rPr>
          <w:rFonts w:ascii="Times New Roman" w:hAnsi="Times New Roman" w:cs="Times New Roman"/>
        </w:rPr>
        <w:t xml:space="preserve">first, second and third instance courts. </w:t>
      </w:r>
    </w:p>
  </w:footnote>
  <w:footnote w:id="5">
    <w:p w14:paraId="4ADADE46" w14:textId="4B8CA100" w:rsidR="00E74F02" w:rsidRPr="001D064C" w:rsidRDefault="00E74F02" w:rsidP="001D064C">
      <w:pPr>
        <w:pStyle w:val="Testonotaapidipagina"/>
        <w:jc w:val="both"/>
        <w:rPr>
          <w:rFonts w:ascii="Times New Roman" w:hAnsi="Times New Roman" w:cs="Times New Roman"/>
        </w:rPr>
      </w:pPr>
      <w:r w:rsidRPr="001D064C">
        <w:rPr>
          <w:rStyle w:val="Rimandonotaapidipagina"/>
          <w:rFonts w:ascii="Times New Roman" w:hAnsi="Times New Roman" w:cs="Times New Roman"/>
        </w:rPr>
        <w:footnoteRef/>
      </w:r>
      <w:r w:rsidRPr="001D064C">
        <w:rPr>
          <w:rFonts w:ascii="Times New Roman" w:hAnsi="Times New Roman" w:cs="Times New Roman"/>
        </w:rPr>
        <w:t xml:space="preserve"> UPP employees have been employed, among others, in the following tasks, ordered in decreasing </w:t>
      </w:r>
      <w:r>
        <w:rPr>
          <w:rFonts w:ascii="Times New Roman" w:hAnsi="Times New Roman" w:cs="Times New Roman"/>
        </w:rPr>
        <w:t>scale</w:t>
      </w:r>
      <w:r w:rsidRPr="001D064C">
        <w:rPr>
          <w:rFonts w:ascii="Times New Roman" w:hAnsi="Times New Roman" w:cs="Times New Roman"/>
        </w:rPr>
        <w:t xml:space="preserve"> of frequency: study of the files, in-depth study of jurisprudential and doctrinal matters, preparation of the minutes of the provisions, draft sentences, assistance in hearings and drafting of minutes, supplying professional magistrates in the formation of panels, listening to witnesses and attempts at conciliation in civil trials, creation of archives (Ministry of Justice)</w:t>
      </w:r>
    </w:p>
  </w:footnote>
  <w:footnote w:id="6">
    <w:p w14:paraId="2ABC508B" w14:textId="37D71CD2" w:rsidR="00E74F02" w:rsidRPr="00C566F2" w:rsidRDefault="00E74F02" w:rsidP="00C566F2">
      <w:pPr>
        <w:pStyle w:val="Testonotaapidipagina"/>
        <w:jc w:val="both"/>
        <w:rPr>
          <w:rFonts w:ascii="Times New Roman" w:hAnsi="Times New Roman" w:cs="Times New Roman"/>
        </w:rPr>
      </w:pPr>
      <w:r w:rsidRPr="00C566F2">
        <w:rPr>
          <w:rStyle w:val="Rimandonotaapidipagina"/>
          <w:rFonts w:ascii="Times New Roman" w:hAnsi="Times New Roman" w:cs="Times New Roman"/>
        </w:rPr>
        <w:footnoteRef/>
      </w:r>
      <w:r w:rsidRPr="00C566F2">
        <w:rPr>
          <w:rFonts w:ascii="Times New Roman" w:hAnsi="Times New Roman" w:cs="Times New Roman"/>
        </w:rPr>
        <w:t xml:space="preserve"> Task juggling can be triggered by various factors, such as the interconnection of work, the demand from clients or co-workers, or the best distribution of time across different stages of completion.</w:t>
      </w:r>
    </w:p>
  </w:footnote>
  <w:footnote w:id="7">
    <w:p w14:paraId="4EF022F9" w14:textId="7E682A72" w:rsidR="00E74F02" w:rsidRPr="00DC372E" w:rsidRDefault="00E74F02" w:rsidP="00DC372E">
      <w:pPr>
        <w:pStyle w:val="Testonotaapidipagina"/>
        <w:jc w:val="both"/>
        <w:rPr>
          <w:rFonts w:ascii="Times New Roman" w:hAnsi="Times New Roman" w:cs="Times New Roman"/>
        </w:rPr>
      </w:pPr>
      <w:r w:rsidRPr="00DC372E">
        <w:rPr>
          <w:rStyle w:val="Rimandonotaapidipagina"/>
          <w:rFonts w:ascii="Times New Roman" w:hAnsi="Times New Roman" w:cs="Times New Roman"/>
        </w:rPr>
        <w:footnoteRef/>
      </w:r>
      <w:r w:rsidRPr="00DC372E">
        <w:rPr>
          <w:rFonts w:ascii="Times New Roman" w:hAnsi="Times New Roman" w:cs="Times New Roman"/>
        </w:rPr>
        <w:t xml:space="preserve"> Other kind of quantitative approaches consider lexical structures of rules such as number of </w:t>
      </w:r>
      <w:r>
        <w:rPr>
          <w:rFonts w:ascii="Times New Roman" w:hAnsi="Times New Roman" w:cs="Times New Roman"/>
        </w:rPr>
        <w:t xml:space="preserve">pages, </w:t>
      </w:r>
      <w:r w:rsidRPr="00DC372E">
        <w:rPr>
          <w:rFonts w:ascii="Times New Roman" w:hAnsi="Times New Roman" w:cs="Times New Roman"/>
        </w:rPr>
        <w:t>paragraph, sentences and words</w:t>
      </w:r>
      <w:r>
        <w:rPr>
          <w:rFonts w:ascii="Times New Roman" w:hAnsi="Times New Roman" w:cs="Times New Roman"/>
        </w:rPr>
        <w:t xml:space="preserve"> (</w:t>
      </w:r>
      <w:r w:rsidRPr="00DC372E">
        <w:rPr>
          <w:rFonts w:ascii="Times New Roman" w:hAnsi="Times New Roman" w:cs="Times New Roman"/>
        </w:rPr>
        <w:t>De Lucio &amp; Mora-Sanguinetti, 2021</w:t>
      </w:r>
      <w:r>
        <w:rPr>
          <w:rFonts w:ascii="Times New Roman" w:hAnsi="Times New Roman" w:cs="Times New Roman"/>
        </w:rPr>
        <w:t>).</w:t>
      </w:r>
    </w:p>
  </w:footnote>
  <w:footnote w:id="8">
    <w:p w14:paraId="4D3FB2FC" w14:textId="4EAE978A" w:rsidR="00E74F02" w:rsidRPr="00617653" w:rsidRDefault="00E74F02" w:rsidP="001225A3">
      <w:pPr>
        <w:pStyle w:val="Testonotaapidipagina"/>
        <w:jc w:val="both"/>
        <w:rPr>
          <w:rFonts w:ascii="Times New Roman" w:hAnsi="Times New Roman" w:cs="Times New Roman"/>
        </w:rPr>
      </w:pPr>
      <w:r w:rsidRPr="001225A3">
        <w:rPr>
          <w:rStyle w:val="Rimandonotaapidipagina"/>
          <w:rFonts w:ascii="Times New Roman" w:hAnsi="Times New Roman" w:cs="Times New Roman"/>
        </w:rPr>
        <w:footnoteRef/>
      </w:r>
      <w:r w:rsidRPr="001225A3">
        <w:rPr>
          <w:rFonts w:ascii="Times New Roman" w:hAnsi="Times New Roman" w:cs="Times New Roman"/>
        </w:rPr>
        <w:t xml:space="preserve"> Excluding regional law, EU directives, international treaties, and sentences of Constitutional Court (see Di Vita, 2018 for an overview of the institutional setting of Italy)</w:t>
      </w:r>
    </w:p>
  </w:footnote>
  <w:footnote w:id="9">
    <w:p w14:paraId="1CCD5F5F" w14:textId="0646332E" w:rsidR="00E74F02" w:rsidRPr="00B6380F" w:rsidRDefault="00E74F02" w:rsidP="00B6380F">
      <w:pPr>
        <w:pStyle w:val="Testonotaapidipagina"/>
        <w:jc w:val="both"/>
        <w:rPr>
          <w:rFonts w:ascii="Times New Roman" w:hAnsi="Times New Roman" w:cs="Times New Roman"/>
        </w:rPr>
      </w:pPr>
      <w:r w:rsidRPr="00B6380F">
        <w:rPr>
          <w:rStyle w:val="Rimandonotaapidipagina"/>
          <w:rFonts w:ascii="Times New Roman" w:hAnsi="Times New Roman" w:cs="Times New Roman"/>
        </w:rPr>
        <w:footnoteRef/>
      </w:r>
      <w:r w:rsidRPr="00B6380F">
        <w:rPr>
          <w:rFonts w:ascii="Times New Roman" w:hAnsi="Times New Roman" w:cs="Times New Roman"/>
        </w:rPr>
        <w:t xml:space="preserve"> Special proceedings are those rites that differ from the ordinary proceeding of cognition, because they omit one or more procedural phases, allowing faster and simpler judicial decisions. Special proceedings are divided into different categories, including summary proceedings, precautionary and possessory proceedings, proceedings in chambers and other additional special proceedings.</w:t>
      </w:r>
    </w:p>
  </w:footnote>
  <w:footnote w:id="10">
    <w:p w14:paraId="665A718E" w14:textId="491B0866" w:rsidR="00E74F02" w:rsidRPr="00C74F14" w:rsidRDefault="00E74F02" w:rsidP="00C74F14">
      <w:pPr>
        <w:pStyle w:val="Testonotaapidipagina"/>
        <w:jc w:val="both"/>
        <w:rPr>
          <w:rFonts w:ascii="Times New Roman" w:hAnsi="Times New Roman" w:cs="Times New Roman"/>
        </w:rPr>
      </w:pPr>
      <w:r w:rsidRPr="00C74F14">
        <w:rPr>
          <w:rStyle w:val="Rimandonotaapidipagina"/>
          <w:rFonts w:ascii="Times New Roman" w:hAnsi="Times New Roman" w:cs="Times New Roman"/>
        </w:rPr>
        <w:footnoteRef/>
      </w:r>
      <w:r w:rsidRPr="00C74F14">
        <w:rPr>
          <w:rFonts w:ascii="Times New Roman" w:hAnsi="Times New Roman" w:cs="Times New Roman"/>
        </w:rPr>
        <w:t xml:space="preserve"> This </w:t>
      </w:r>
      <w:r>
        <w:rPr>
          <w:rFonts w:ascii="Times New Roman" w:hAnsi="Times New Roman" w:cs="Times New Roman"/>
        </w:rPr>
        <w:t>duration</w:t>
      </w:r>
      <w:r w:rsidRPr="00C74F14">
        <w:rPr>
          <w:rFonts w:ascii="Times New Roman" w:hAnsi="Times New Roman" w:cs="Times New Roman"/>
        </w:rPr>
        <w:t xml:space="preserve"> </w:t>
      </w:r>
      <w:r>
        <w:rPr>
          <w:rFonts w:ascii="Times New Roman" w:hAnsi="Times New Roman" w:cs="Times New Roman"/>
        </w:rPr>
        <w:t>is</w:t>
      </w:r>
      <w:r w:rsidRPr="00C74F14">
        <w:rPr>
          <w:rFonts w:ascii="Times New Roman" w:hAnsi="Times New Roman" w:cs="Times New Roman"/>
        </w:rPr>
        <w:t xml:space="preserve"> in line with </w:t>
      </w:r>
      <w:r>
        <w:rPr>
          <w:rFonts w:ascii="Times New Roman" w:hAnsi="Times New Roman" w:cs="Times New Roman"/>
        </w:rPr>
        <w:t xml:space="preserve">the </w:t>
      </w:r>
      <w:r w:rsidRPr="00C74F14">
        <w:rPr>
          <w:rFonts w:ascii="Times New Roman" w:hAnsi="Times New Roman" w:cs="Times New Roman"/>
        </w:rPr>
        <w:t xml:space="preserve">previous year: 1,158 </w:t>
      </w:r>
      <w:r>
        <w:rPr>
          <w:rFonts w:ascii="Times New Roman" w:hAnsi="Times New Roman" w:cs="Times New Roman"/>
        </w:rPr>
        <w:t xml:space="preserve">days </w:t>
      </w:r>
      <w:r w:rsidRPr="00C74F14">
        <w:rPr>
          <w:rFonts w:ascii="Times New Roman" w:hAnsi="Times New Roman" w:cs="Times New Roman"/>
        </w:rPr>
        <w:t xml:space="preserve">for </w:t>
      </w:r>
      <w:r>
        <w:rPr>
          <w:rFonts w:ascii="Times New Roman" w:hAnsi="Times New Roman" w:cs="Times New Roman"/>
        </w:rPr>
        <w:t>ordinary</w:t>
      </w:r>
      <w:r w:rsidRPr="00C74F14">
        <w:rPr>
          <w:rFonts w:ascii="Times New Roman" w:hAnsi="Times New Roman" w:cs="Times New Roman"/>
        </w:rPr>
        <w:t xml:space="preserve"> proceedings </w:t>
      </w:r>
      <w:r>
        <w:rPr>
          <w:rFonts w:ascii="Times New Roman" w:hAnsi="Times New Roman" w:cs="Times New Roman"/>
        </w:rPr>
        <w:t>vs</w:t>
      </w:r>
      <w:r w:rsidRPr="00C74F14">
        <w:rPr>
          <w:rFonts w:ascii="Times New Roman" w:hAnsi="Times New Roman" w:cs="Times New Roman"/>
        </w:rPr>
        <w:t xml:space="preserve"> 83 </w:t>
      </w:r>
      <w:r>
        <w:rPr>
          <w:rFonts w:ascii="Times New Roman" w:hAnsi="Times New Roman" w:cs="Times New Roman"/>
        </w:rPr>
        <w:t xml:space="preserve">days </w:t>
      </w:r>
      <w:r w:rsidRPr="00C74F14">
        <w:rPr>
          <w:rFonts w:ascii="Times New Roman" w:hAnsi="Times New Roman" w:cs="Times New Roman"/>
        </w:rPr>
        <w:t xml:space="preserve">for special proceedings in 2021; 1,191 </w:t>
      </w:r>
      <w:r>
        <w:rPr>
          <w:rFonts w:ascii="Times New Roman" w:hAnsi="Times New Roman" w:cs="Times New Roman"/>
        </w:rPr>
        <w:t>vs</w:t>
      </w:r>
      <w:r w:rsidRPr="00C74F14">
        <w:rPr>
          <w:rFonts w:ascii="Times New Roman" w:hAnsi="Times New Roman" w:cs="Times New Roman"/>
        </w:rPr>
        <w:t xml:space="preserve"> 82 in 2020; 1,197 </w:t>
      </w:r>
      <w:r>
        <w:rPr>
          <w:rFonts w:ascii="Times New Roman" w:hAnsi="Times New Roman" w:cs="Times New Roman"/>
        </w:rPr>
        <w:t>vs</w:t>
      </w:r>
      <w:r w:rsidRPr="00C74F14">
        <w:rPr>
          <w:rFonts w:ascii="Times New Roman" w:hAnsi="Times New Roman" w:cs="Times New Roman"/>
        </w:rPr>
        <w:t xml:space="preserve"> 77 in 2019; 1,152 </w:t>
      </w:r>
      <w:r>
        <w:rPr>
          <w:rFonts w:ascii="Times New Roman" w:hAnsi="Times New Roman" w:cs="Times New Roman"/>
        </w:rPr>
        <w:t>vs</w:t>
      </w:r>
      <w:r w:rsidRPr="00C74F14">
        <w:rPr>
          <w:rFonts w:ascii="Times New Roman" w:hAnsi="Times New Roman" w:cs="Times New Roman"/>
        </w:rPr>
        <w:t xml:space="preserve"> 84 for 2018; 1,080 </w:t>
      </w:r>
      <w:r>
        <w:rPr>
          <w:rFonts w:ascii="Times New Roman" w:hAnsi="Times New Roman" w:cs="Times New Roman"/>
        </w:rPr>
        <w:t>vs</w:t>
      </w:r>
      <w:r w:rsidRPr="00C74F14">
        <w:rPr>
          <w:rFonts w:ascii="Times New Roman" w:hAnsi="Times New Roman" w:cs="Times New Roman"/>
        </w:rPr>
        <w:t xml:space="preserve"> 91 for 2017</w:t>
      </w:r>
      <w:r>
        <w:rPr>
          <w:rFonts w:ascii="Times New Roman" w:hAnsi="Times New Roman" w:cs="Times New Roman"/>
        </w:rPr>
        <w:t xml:space="preserve"> (Patti, 2023). </w:t>
      </w:r>
    </w:p>
  </w:footnote>
  <w:footnote w:id="11">
    <w:p w14:paraId="20901315" w14:textId="10012F5B" w:rsidR="000A6EB9" w:rsidRPr="000A6EB9" w:rsidRDefault="000A6EB9" w:rsidP="000A6EB9">
      <w:pPr>
        <w:pStyle w:val="Testonotaapidipagina"/>
        <w:jc w:val="both"/>
        <w:rPr>
          <w:rFonts w:ascii="Times New Roman" w:hAnsi="Times New Roman" w:cs="Times New Roman"/>
        </w:rPr>
      </w:pPr>
      <w:r w:rsidRPr="000A6EB9">
        <w:rPr>
          <w:rStyle w:val="Rimandonotaapidipagina"/>
          <w:rFonts w:ascii="Times New Roman" w:hAnsi="Times New Roman" w:cs="Times New Roman"/>
        </w:rPr>
        <w:footnoteRef/>
      </w:r>
      <w:r w:rsidRPr="000A6EB9">
        <w:rPr>
          <w:rFonts w:ascii="Times New Roman" w:hAnsi="Times New Roman" w:cs="Times New Roman"/>
        </w:rPr>
        <w:t xml:space="preserve"> See Di Vita &amp; Ferrante (2021) for coordination externalities in the</w:t>
      </w:r>
      <w:r>
        <w:rPr>
          <w:rFonts w:ascii="Times New Roman" w:hAnsi="Times New Roman" w:cs="Times New Roman"/>
        </w:rPr>
        <w:t xml:space="preserve"> regulatory</w:t>
      </w:r>
      <w:r w:rsidRPr="000A6EB9">
        <w:rPr>
          <w:rFonts w:ascii="Times New Roman" w:hAnsi="Times New Roman" w:cs="Times New Roman"/>
        </w:rPr>
        <w:t xml:space="preserve"> production</w:t>
      </w:r>
      <w:r>
        <w:rPr>
          <w:rFonts w:ascii="Times New Roman" w:hAnsi="Times New Roman" w:cs="Times New Roman"/>
        </w:rPr>
        <w:t xml:space="preserve"> and thei</w:t>
      </w:r>
      <w:r w:rsidR="000F3B15">
        <w:rPr>
          <w:rFonts w:ascii="Times New Roman" w:hAnsi="Times New Roman" w:cs="Times New Roman"/>
        </w:rPr>
        <w:t>r</w:t>
      </w:r>
      <w:r>
        <w:rPr>
          <w:rFonts w:ascii="Times New Roman" w:hAnsi="Times New Roman" w:cs="Times New Roman"/>
        </w:rPr>
        <w:t xml:space="preserve"> negative effects on </w:t>
      </w:r>
      <w:r w:rsidR="000F3B15">
        <w:rPr>
          <w:rFonts w:ascii="Times New Roman" w:hAnsi="Times New Roman" w:cs="Times New Roman"/>
        </w:rPr>
        <w:t xml:space="preserve">efficiency. </w:t>
      </w:r>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9D68" w14:textId="72A2B4E9" w:rsidR="00E74F02" w:rsidRDefault="00E74F02" w:rsidP="007E1E7F">
    <w:pPr>
      <w:pStyle w:val="Intestazione"/>
    </w:pPr>
  </w:p>
  <w:p w14:paraId="76BAC6A7" w14:textId="77777777" w:rsidR="00E74F02" w:rsidRDefault="00E74F0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0AFB"/>
    <w:multiLevelType w:val="multilevel"/>
    <w:tmpl w:val="F048790C"/>
    <w:styleLink w:val="Stileimportato11"/>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800" w:hanging="720"/>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160" w:hanging="720"/>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350" w:hanging="110"/>
      </w:pPr>
      <w:rPr>
        <w:rFonts w:hAnsi="Arial Unicode MS"/>
        <w:b/>
        <w:bCs/>
        <w:caps w:val="0"/>
        <w:smallCaps w:val="0"/>
        <w:strike w:val="0"/>
        <w:dstrike w:val="0"/>
        <w:color w:val="000000"/>
        <w:spacing w:val="0"/>
        <w:w w:val="100"/>
        <w:kern w:val="0"/>
        <w:position w:val="0"/>
        <w:highlight w:val="none"/>
        <w:vertAlign w:val="baseline"/>
      </w:rPr>
    </w:lvl>
  </w:abstractNum>
  <w:abstractNum w:abstractNumId="1" w15:restartNumberingAfterBreak="0">
    <w:nsid w:val="0EFD3868"/>
    <w:multiLevelType w:val="hybridMultilevel"/>
    <w:tmpl w:val="43D23B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169139C"/>
    <w:multiLevelType w:val="hybridMultilevel"/>
    <w:tmpl w:val="1DCED7AE"/>
    <w:lvl w:ilvl="0" w:tplc="6298FB52">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18262E6"/>
    <w:multiLevelType w:val="hybridMultilevel"/>
    <w:tmpl w:val="123853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9D540A2"/>
    <w:multiLevelType w:val="hybridMultilevel"/>
    <w:tmpl w:val="19F2C1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BB522D8"/>
    <w:multiLevelType w:val="hybridMultilevel"/>
    <w:tmpl w:val="DB18C274"/>
    <w:lvl w:ilvl="0" w:tplc="6BC871BC">
      <w:start w:val="1"/>
      <w:numFmt w:val="decimal"/>
      <w:lvlText w:val="%1)"/>
      <w:lvlJc w:val="left"/>
      <w:pPr>
        <w:tabs>
          <w:tab w:val="num" w:pos="720"/>
        </w:tabs>
        <w:ind w:left="720" w:hanging="360"/>
      </w:pPr>
    </w:lvl>
    <w:lvl w:ilvl="1" w:tplc="94560AFA" w:tentative="1">
      <w:start w:val="1"/>
      <w:numFmt w:val="decimal"/>
      <w:lvlText w:val="%2)"/>
      <w:lvlJc w:val="left"/>
      <w:pPr>
        <w:tabs>
          <w:tab w:val="num" w:pos="1440"/>
        </w:tabs>
        <w:ind w:left="1440" w:hanging="360"/>
      </w:pPr>
    </w:lvl>
    <w:lvl w:ilvl="2" w:tplc="7B725664" w:tentative="1">
      <w:start w:val="1"/>
      <w:numFmt w:val="decimal"/>
      <w:lvlText w:val="%3)"/>
      <w:lvlJc w:val="left"/>
      <w:pPr>
        <w:tabs>
          <w:tab w:val="num" w:pos="2160"/>
        </w:tabs>
        <w:ind w:left="2160" w:hanging="360"/>
      </w:pPr>
    </w:lvl>
    <w:lvl w:ilvl="3" w:tplc="8B2EF46A" w:tentative="1">
      <w:start w:val="1"/>
      <w:numFmt w:val="decimal"/>
      <w:lvlText w:val="%4)"/>
      <w:lvlJc w:val="left"/>
      <w:pPr>
        <w:tabs>
          <w:tab w:val="num" w:pos="2880"/>
        </w:tabs>
        <w:ind w:left="2880" w:hanging="360"/>
      </w:pPr>
    </w:lvl>
    <w:lvl w:ilvl="4" w:tplc="44248E2E" w:tentative="1">
      <w:start w:val="1"/>
      <w:numFmt w:val="decimal"/>
      <w:lvlText w:val="%5)"/>
      <w:lvlJc w:val="left"/>
      <w:pPr>
        <w:tabs>
          <w:tab w:val="num" w:pos="3600"/>
        </w:tabs>
        <w:ind w:left="3600" w:hanging="360"/>
      </w:pPr>
    </w:lvl>
    <w:lvl w:ilvl="5" w:tplc="1A9C59D4" w:tentative="1">
      <w:start w:val="1"/>
      <w:numFmt w:val="decimal"/>
      <w:lvlText w:val="%6)"/>
      <w:lvlJc w:val="left"/>
      <w:pPr>
        <w:tabs>
          <w:tab w:val="num" w:pos="4320"/>
        </w:tabs>
        <w:ind w:left="4320" w:hanging="360"/>
      </w:pPr>
    </w:lvl>
    <w:lvl w:ilvl="6" w:tplc="AEEC2BEE" w:tentative="1">
      <w:start w:val="1"/>
      <w:numFmt w:val="decimal"/>
      <w:lvlText w:val="%7)"/>
      <w:lvlJc w:val="left"/>
      <w:pPr>
        <w:tabs>
          <w:tab w:val="num" w:pos="5040"/>
        </w:tabs>
        <w:ind w:left="5040" w:hanging="360"/>
      </w:pPr>
    </w:lvl>
    <w:lvl w:ilvl="7" w:tplc="D242A988" w:tentative="1">
      <w:start w:val="1"/>
      <w:numFmt w:val="decimal"/>
      <w:lvlText w:val="%8)"/>
      <w:lvlJc w:val="left"/>
      <w:pPr>
        <w:tabs>
          <w:tab w:val="num" w:pos="5760"/>
        </w:tabs>
        <w:ind w:left="5760" w:hanging="360"/>
      </w:pPr>
    </w:lvl>
    <w:lvl w:ilvl="8" w:tplc="3732E484" w:tentative="1">
      <w:start w:val="1"/>
      <w:numFmt w:val="decimal"/>
      <w:lvlText w:val="%9)"/>
      <w:lvlJc w:val="left"/>
      <w:pPr>
        <w:tabs>
          <w:tab w:val="num" w:pos="6480"/>
        </w:tabs>
        <w:ind w:left="6480" w:hanging="360"/>
      </w:pPr>
    </w:lvl>
  </w:abstractNum>
  <w:abstractNum w:abstractNumId="6" w15:restartNumberingAfterBreak="0">
    <w:nsid w:val="1D65724D"/>
    <w:multiLevelType w:val="multilevel"/>
    <w:tmpl w:val="7CA2C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FE7E4B"/>
    <w:multiLevelType w:val="multilevel"/>
    <w:tmpl w:val="7FBE0FB0"/>
    <w:styleLink w:val="Stileimportato13"/>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13" w:hanging="3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65" w:hanging="7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225" w:hanging="78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78" w:hanging="11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338" w:hanging="1178"/>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091" w:hanging="15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451" w:hanging="15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3360" w:hanging="1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D983A47"/>
    <w:multiLevelType w:val="multilevel"/>
    <w:tmpl w:val="123E2C28"/>
    <w:styleLink w:val="Stileimportato1"/>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13" w:hanging="39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865" w:hanging="785"/>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225" w:hanging="785"/>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978" w:hanging="117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3338" w:hanging="117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4091" w:hanging="1571"/>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4451" w:hanging="1571"/>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360" w:hanging="120"/>
      </w:pPr>
      <w:rPr>
        <w:rFonts w:hAnsi="Arial Unicode MS"/>
        <w:b/>
        <w:bCs/>
        <w:caps w:val="0"/>
        <w:smallCaps w:val="0"/>
        <w:strike w:val="0"/>
        <w:dstrike w:val="0"/>
        <w:color w:val="000000"/>
        <w:spacing w:val="0"/>
        <w:w w:val="100"/>
        <w:kern w:val="0"/>
        <w:position w:val="0"/>
        <w:highlight w:val="none"/>
        <w:vertAlign w:val="baseline"/>
      </w:rPr>
    </w:lvl>
  </w:abstractNum>
  <w:abstractNum w:abstractNumId="9" w15:restartNumberingAfterBreak="0">
    <w:nsid w:val="4F041696"/>
    <w:multiLevelType w:val="hybridMultilevel"/>
    <w:tmpl w:val="8F4A91A8"/>
    <w:lvl w:ilvl="0" w:tplc="A8AAF3AC">
      <w:start w:val="3"/>
      <w:numFmt w:val="bullet"/>
      <w:lvlText w:val="-"/>
      <w:lvlJc w:val="left"/>
      <w:pPr>
        <w:ind w:left="720" w:hanging="360"/>
      </w:pPr>
      <w:rPr>
        <w:rFonts w:ascii="Times New Roman" w:eastAsia="Arial Unicode M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B86EBF"/>
    <w:multiLevelType w:val="hybridMultilevel"/>
    <w:tmpl w:val="A76459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0012C7C"/>
    <w:multiLevelType w:val="multilevel"/>
    <w:tmpl w:val="412EFADE"/>
    <w:styleLink w:val="Stileimportato12"/>
    <w:lvl w:ilvl="0">
      <w:start w:val="1"/>
      <w:numFmt w:val="decimal"/>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113" w:hanging="39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865" w:hanging="785"/>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225" w:hanging="785"/>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2978" w:hanging="1178"/>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3338" w:hanging="1178"/>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4091" w:hanging="1571"/>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4451" w:hanging="1571"/>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suff w:val="nothing"/>
      <w:lvlText w:val="%1.%2.%3.%4.%5.%6.%7.%8.%9."/>
      <w:lvlJc w:val="left"/>
      <w:pPr>
        <w:ind w:left="3360" w:hanging="120"/>
      </w:pPr>
      <w:rPr>
        <w:rFonts w:hAnsi="Arial Unicode MS"/>
        <w:b/>
        <w:bCs/>
        <w:caps w:val="0"/>
        <w:smallCaps w:val="0"/>
        <w:strike w:val="0"/>
        <w:dstrike w:val="0"/>
        <w:color w:val="000000"/>
        <w:spacing w:val="0"/>
        <w:w w:val="100"/>
        <w:kern w:val="0"/>
        <w:position w:val="0"/>
        <w:highlight w:val="none"/>
        <w:vertAlign w:val="baseline"/>
      </w:rPr>
    </w:lvl>
  </w:abstractNum>
  <w:num w:numId="1" w16cid:durableId="2035842211">
    <w:abstractNumId w:val="1"/>
  </w:num>
  <w:num w:numId="2" w16cid:durableId="1490831674">
    <w:abstractNumId w:val="8"/>
  </w:num>
  <w:num w:numId="3" w16cid:durableId="1892957457">
    <w:abstractNumId w:val="0"/>
  </w:num>
  <w:num w:numId="4" w16cid:durableId="1064988901">
    <w:abstractNumId w:val="11"/>
  </w:num>
  <w:num w:numId="5" w16cid:durableId="468136377">
    <w:abstractNumId w:val="7"/>
  </w:num>
  <w:num w:numId="6" w16cid:durableId="1649094118">
    <w:abstractNumId w:val="9"/>
  </w:num>
  <w:num w:numId="7" w16cid:durableId="2108184960">
    <w:abstractNumId w:val="3"/>
  </w:num>
  <w:num w:numId="8" w16cid:durableId="428474438">
    <w:abstractNumId w:val="10"/>
  </w:num>
  <w:num w:numId="9" w16cid:durableId="1602176892">
    <w:abstractNumId w:val="4"/>
  </w:num>
  <w:num w:numId="10" w16cid:durableId="545485320">
    <w:abstractNumId w:val="2"/>
  </w:num>
  <w:num w:numId="11" w16cid:durableId="612056224">
    <w:abstractNumId w:val="6"/>
  </w:num>
  <w:num w:numId="12" w16cid:durableId="113437306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Y0NbMwMjY2MjWzNDRU0lEKTi0uzszPAykwNK8FAHzvei4tAAAA"/>
    <w:docVar w:name="APWAFVersion" w:val="5.0"/>
  </w:docVars>
  <w:rsids>
    <w:rsidRoot w:val="00AE646A"/>
    <w:rsid w:val="0000028B"/>
    <w:rsid w:val="00000A26"/>
    <w:rsid w:val="00000CF5"/>
    <w:rsid w:val="0000192E"/>
    <w:rsid w:val="000031BA"/>
    <w:rsid w:val="00004162"/>
    <w:rsid w:val="00006AFC"/>
    <w:rsid w:val="0000723B"/>
    <w:rsid w:val="00007E2F"/>
    <w:rsid w:val="00011333"/>
    <w:rsid w:val="000140C2"/>
    <w:rsid w:val="0001447F"/>
    <w:rsid w:val="00015579"/>
    <w:rsid w:val="000179D4"/>
    <w:rsid w:val="00021276"/>
    <w:rsid w:val="00022F1E"/>
    <w:rsid w:val="00023672"/>
    <w:rsid w:val="00023939"/>
    <w:rsid w:val="0002508B"/>
    <w:rsid w:val="00026125"/>
    <w:rsid w:val="00026C49"/>
    <w:rsid w:val="0003084E"/>
    <w:rsid w:val="00030D22"/>
    <w:rsid w:val="00030DF3"/>
    <w:rsid w:val="000310A7"/>
    <w:rsid w:val="00033D80"/>
    <w:rsid w:val="000362DE"/>
    <w:rsid w:val="0004071F"/>
    <w:rsid w:val="00040EB5"/>
    <w:rsid w:val="00041E64"/>
    <w:rsid w:val="00042132"/>
    <w:rsid w:val="00043BAB"/>
    <w:rsid w:val="000448E3"/>
    <w:rsid w:val="00046226"/>
    <w:rsid w:val="000463C2"/>
    <w:rsid w:val="00047CC6"/>
    <w:rsid w:val="00051660"/>
    <w:rsid w:val="00054156"/>
    <w:rsid w:val="0005431A"/>
    <w:rsid w:val="00054D91"/>
    <w:rsid w:val="000618DE"/>
    <w:rsid w:val="00064307"/>
    <w:rsid w:val="00064A92"/>
    <w:rsid w:val="00067DDD"/>
    <w:rsid w:val="00067EF7"/>
    <w:rsid w:val="00070BE5"/>
    <w:rsid w:val="00070D00"/>
    <w:rsid w:val="0007128D"/>
    <w:rsid w:val="00071DE6"/>
    <w:rsid w:val="00072E3B"/>
    <w:rsid w:val="00073A91"/>
    <w:rsid w:val="00075D20"/>
    <w:rsid w:val="000769F4"/>
    <w:rsid w:val="00077066"/>
    <w:rsid w:val="0007776F"/>
    <w:rsid w:val="00077AD0"/>
    <w:rsid w:val="00081638"/>
    <w:rsid w:val="00082C90"/>
    <w:rsid w:val="00085207"/>
    <w:rsid w:val="00085C38"/>
    <w:rsid w:val="0009236C"/>
    <w:rsid w:val="00094C15"/>
    <w:rsid w:val="00095B46"/>
    <w:rsid w:val="0009789A"/>
    <w:rsid w:val="00097F10"/>
    <w:rsid w:val="000A193D"/>
    <w:rsid w:val="000A38C8"/>
    <w:rsid w:val="000A3A61"/>
    <w:rsid w:val="000A4B8C"/>
    <w:rsid w:val="000A53F7"/>
    <w:rsid w:val="000A56FE"/>
    <w:rsid w:val="000A6EB9"/>
    <w:rsid w:val="000A7542"/>
    <w:rsid w:val="000A7610"/>
    <w:rsid w:val="000B04CE"/>
    <w:rsid w:val="000B1D91"/>
    <w:rsid w:val="000B2875"/>
    <w:rsid w:val="000B348C"/>
    <w:rsid w:val="000B719E"/>
    <w:rsid w:val="000B7688"/>
    <w:rsid w:val="000B7AA6"/>
    <w:rsid w:val="000C30C7"/>
    <w:rsid w:val="000C3731"/>
    <w:rsid w:val="000C3E52"/>
    <w:rsid w:val="000C411E"/>
    <w:rsid w:val="000C59B2"/>
    <w:rsid w:val="000C5B13"/>
    <w:rsid w:val="000C6F3C"/>
    <w:rsid w:val="000D06CE"/>
    <w:rsid w:val="000D0A2E"/>
    <w:rsid w:val="000D1BD9"/>
    <w:rsid w:val="000D477A"/>
    <w:rsid w:val="000D4C3C"/>
    <w:rsid w:val="000D61D0"/>
    <w:rsid w:val="000D7EA3"/>
    <w:rsid w:val="000E21FB"/>
    <w:rsid w:val="000E33FF"/>
    <w:rsid w:val="000E6A4A"/>
    <w:rsid w:val="000E6C70"/>
    <w:rsid w:val="000F2519"/>
    <w:rsid w:val="000F2BE1"/>
    <w:rsid w:val="000F32DA"/>
    <w:rsid w:val="000F3B15"/>
    <w:rsid w:val="000F4132"/>
    <w:rsid w:val="000F482F"/>
    <w:rsid w:val="000F4AC2"/>
    <w:rsid w:val="000F4D0F"/>
    <w:rsid w:val="000F52CF"/>
    <w:rsid w:val="000F5454"/>
    <w:rsid w:val="000F684A"/>
    <w:rsid w:val="000F7241"/>
    <w:rsid w:val="000F74E1"/>
    <w:rsid w:val="000F768F"/>
    <w:rsid w:val="001006D2"/>
    <w:rsid w:val="00102007"/>
    <w:rsid w:val="00102B02"/>
    <w:rsid w:val="001039E4"/>
    <w:rsid w:val="00103AC4"/>
    <w:rsid w:val="001043DB"/>
    <w:rsid w:val="00104402"/>
    <w:rsid w:val="00107C3F"/>
    <w:rsid w:val="00110826"/>
    <w:rsid w:val="00110A4C"/>
    <w:rsid w:val="00111886"/>
    <w:rsid w:val="00112F33"/>
    <w:rsid w:val="00121AF8"/>
    <w:rsid w:val="00122440"/>
    <w:rsid w:val="001225A3"/>
    <w:rsid w:val="00123321"/>
    <w:rsid w:val="0012501B"/>
    <w:rsid w:val="001269EF"/>
    <w:rsid w:val="0012751E"/>
    <w:rsid w:val="001275BF"/>
    <w:rsid w:val="001314D4"/>
    <w:rsid w:val="00131A35"/>
    <w:rsid w:val="00131B71"/>
    <w:rsid w:val="00134B63"/>
    <w:rsid w:val="00135586"/>
    <w:rsid w:val="00135D18"/>
    <w:rsid w:val="001400E7"/>
    <w:rsid w:val="00142A75"/>
    <w:rsid w:val="00143204"/>
    <w:rsid w:val="00143C42"/>
    <w:rsid w:val="00143D3B"/>
    <w:rsid w:val="00144115"/>
    <w:rsid w:val="00145672"/>
    <w:rsid w:val="0014585C"/>
    <w:rsid w:val="0014616A"/>
    <w:rsid w:val="00146F42"/>
    <w:rsid w:val="001472AA"/>
    <w:rsid w:val="0015065B"/>
    <w:rsid w:val="00150B50"/>
    <w:rsid w:val="00150C78"/>
    <w:rsid w:val="00150CC6"/>
    <w:rsid w:val="001518A3"/>
    <w:rsid w:val="00152025"/>
    <w:rsid w:val="00155F9F"/>
    <w:rsid w:val="00160A26"/>
    <w:rsid w:val="001615BF"/>
    <w:rsid w:val="00161DE2"/>
    <w:rsid w:val="00163472"/>
    <w:rsid w:val="0016471D"/>
    <w:rsid w:val="00164CE6"/>
    <w:rsid w:val="00167446"/>
    <w:rsid w:val="001674DC"/>
    <w:rsid w:val="0017010B"/>
    <w:rsid w:val="001707BD"/>
    <w:rsid w:val="001735EC"/>
    <w:rsid w:val="00174589"/>
    <w:rsid w:val="0017514A"/>
    <w:rsid w:val="00175854"/>
    <w:rsid w:val="0017591A"/>
    <w:rsid w:val="001778E8"/>
    <w:rsid w:val="001811B2"/>
    <w:rsid w:val="001816FC"/>
    <w:rsid w:val="00181935"/>
    <w:rsid w:val="00181DA2"/>
    <w:rsid w:val="00182028"/>
    <w:rsid w:val="0018284C"/>
    <w:rsid w:val="00184268"/>
    <w:rsid w:val="00184BAC"/>
    <w:rsid w:val="001853D1"/>
    <w:rsid w:val="001854F8"/>
    <w:rsid w:val="00185CB4"/>
    <w:rsid w:val="0018745A"/>
    <w:rsid w:val="00187B3B"/>
    <w:rsid w:val="0019222D"/>
    <w:rsid w:val="001937BF"/>
    <w:rsid w:val="00193DEF"/>
    <w:rsid w:val="00195B2B"/>
    <w:rsid w:val="00196E15"/>
    <w:rsid w:val="00196EAD"/>
    <w:rsid w:val="00197A28"/>
    <w:rsid w:val="001A02A1"/>
    <w:rsid w:val="001A0D44"/>
    <w:rsid w:val="001A19FB"/>
    <w:rsid w:val="001A2266"/>
    <w:rsid w:val="001A2373"/>
    <w:rsid w:val="001A2432"/>
    <w:rsid w:val="001A3178"/>
    <w:rsid w:val="001A332F"/>
    <w:rsid w:val="001A5A88"/>
    <w:rsid w:val="001A676E"/>
    <w:rsid w:val="001A68C9"/>
    <w:rsid w:val="001A75C8"/>
    <w:rsid w:val="001A7B5C"/>
    <w:rsid w:val="001B1E50"/>
    <w:rsid w:val="001B206F"/>
    <w:rsid w:val="001B3B52"/>
    <w:rsid w:val="001B4BD4"/>
    <w:rsid w:val="001B5B2D"/>
    <w:rsid w:val="001B634F"/>
    <w:rsid w:val="001C07C3"/>
    <w:rsid w:val="001C0B1E"/>
    <w:rsid w:val="001C2708"/>
    <w:rsid w:val="001C2A28"/>
    <w:rsid w:val="001C2A64"/>
    <w:rsid w:val="001C5C0E"/>
    <w:rsid w:val="001C6CEE"/>
    <w:rsid w:val="001D064C"/>
    <w:rsid w:val="001D0D29"/>
    <w:rsid w:val="001D0F04"/>
    <w:rsid w:val="001D19B9"/>
    <w:rsid w:val="001D2269"/>
    <w:rsid w:val="001D22A0"/>
    <w:rsid w:val="001D27CE"/>
    <w:rsid w:val="001D38F3"/>
    <w:rsid w:val="001D48E9"/>
    <w:rsid w:val="001D519F"/>
    <w:rsid w:val="001E03DD"/>
    <w:rsid w:val="001E07E6"/>
    <w:rsid w:val="001E18EF"/>
    <w:rsid w:val="001E1F94"/>
    <w:rsid w:val="001E23E5"/>
    <w:rsid w:val="001E30A3"/>
    <w:rsid w:val="001E32F0"/>
    <w:rsid w:val="001E38DD"/>
    <w:rsid w:val="001E391A"/>
    <w:rsid w:val="001E46C7"/>
    <w:rsid w:val="001E51D5"/>
    <w:rsid w:val="001E61C7"/>
    <w:rsid w:val="001E72FF"/>
    <w:rsid w:val="001E79C3"/>
    <w:rsid w:val="001F052D"/>
    <w:rsid w:val="001F1042"/>
    <w:rsid w:val="001F164F"/>
    <w:rsid w:val="001F1803"/>
    <w:rsid w:val="001F1F67"/>
    <w:rsid w:val="001F216B"/>
    <w:rsid w:val="001F2EBD"/>
    <w:rsid w:val="001F31D4"/>
    <w:rsid w:val="001F3B80"/>
    <w:rsid w:val="001F41D0"/>
    <w:rsid w:val="001F4216"/>
    <w:rsid w:val="001F65C6"/>
    <w:rsid w:val="001F6F35"/>
    <w:rsid w:val="001F77A1"/>
    <w:rsid w:val="001F7894"/>
    <w:rsid w:val="001F7988"/>
    <w:rsid w:val="001F7AAB"/>
    <w:rsid w:val="00200F39"/>
    <w:rsid w:val="00202B7F"/>
    <w:rsid w:val="00203413"/>
    <w:rsid w:val="00204C68"/>
    <w:rsid w:val="00205903"/>
    <w:rsid w:val="002059F7"/>
    <w:rsid w:val="002068E2"/>
    <w:rsid w:val="00207501"/>
    <w:rsid w:val="002077F3"/>
    <w:rsid w:val="002114DB"/>
    <w:rsid w:val="00212CDD"/>
    <w:rsid w:val="00213E2F"/>
    <w:rsid w:val="00214684"/>
    <w:rsid w:val="00214822"/>
    <w:rsid w:val="00214CE7"/>
    <w:rsid w:val="00215599"/>
    <w:rsid w:val="00217314"/>
    <w:rsid w:val="00217CD7"/>
    <w:rsid w:val="00217E03"/>
    <w:rsid w:val="00217E6D"/>
    <w:rsid w:val="002202A0"/>
    <w:rsid w:val="00220343"/>
    <w:rsid w:val="002207FB"/>
    <w:rsid w:val="00220AA4"/>
    <w:rsid w:val="002213AD"/>
    <w:rsid w:val="0022193F"/>
    <w:rsid w:val="00221CFC"/>
    <w:rsid w:val="00221F62"/>
    <w:rsid w:val="00222DA0"/>
    <w:rsid w:val="002230D0"/>
    <w:rsid w:val="002230E8"/>
    <w:rsid w:val="0022336A"/>
    <w:rsid w:val="00223874"/>
    <w:rsid w:val="00224AB1"/>
    <w:rsid w:val="0022525A"/>
    <w:rsid w:val="00226F6A"/>
    <w:rsid w:val="00227318"/>
    <w:rsid w:val="00227442"/>
    <w:rsid w:val="00227D65"/>
    <w:rsid w:val="00230EB3"/>
    <w:rsid w:val="002313E3"/>
    <w:rsid w:val="00231485"/>
    <w:rsid w:val="0023198E"/>
    <w:rsid w:val="00231A04"/>
    <w:rsid w:val="002320F7"/>
    <w:rsid w:val="00232379"/>
    <w:rsid w:val="002354CC"/>
    <w:rsid w:val="0023567C"/>
    <w:rsid w:val="00235708"/>
    <w:rsid w:val="00240663"/>
    <w:rsid w:val="002409D2"/>
    <w:rsid w:val="00240E9D"/>
    <w:rsid w:val="00240EE8"/>
    <w:rsid w:val="0024114C"/>
    <w:rsid w:val="00241A0C"/>
    <w:rsid w:val="00242271"/>
    <w:rsid w:val="0024575E"/>
    <w:rsid w:val="0024648D"/>
    <w:rsid w:val="0024665F"/>
    <w:rsid w:val="002478C1"/>
    <w:rsid w:val="0025109C"/>
    <w:rsid w:val="00251E62"/>
    <w:rsid w:val="00252272"/>
    <w:rsid w:val="002531EA"/>
    <w:rsid w:val="00253B42"/>
    <w:rsid w:val="00254C13"/>
    <w:rsid w:val="002558D4"/>
    <w:rsid w:val="00257312"/>
    <w:rsid w:val="00257BF8"/>
    <w:rsid w:val="0026013B"/>
    <w:rsid w:val="00260342"/>
    <w:rsid w:val="00262065"/>
    <w:rsid w:val="00262BA4"/>
    <w:rsid w:val="002642AE"/>
    <w:rsid w:val="0026490A"/>
    <w:rsid w:val="002650D1"/>
    <w:rsid w:val="00266CF5"/>
    <w:rsid w:val="0026792C"/>
    <w:rsid w:val="002709DF"/>
    <w:rsid w:val="002715D8"/>
    <w:rsid w:val="00271A5D"/>
    <w:rsid w:val="00271F16"/>
    <w:rsid w:val="0027373E"/>
    <w:rsid w:val="0027388C"/>
    <w:rsid w:val="00273BAA"/>
    <w:rsid w:val="00276319"/>
    <w:rsid w:val="002767A6"/>
    <w:rsid w:val="00276A95"/>
    <w:rsid w:val="00280A87"/>
    <w:rsid w:val="00281233"/>
    <w:rsid w:val="00281345"/>
    <w:rsid w:val="002826CA"/>
    <w:rsid w:val="0028297B"/>
    <w:rsid w:val="002830A8"/>
    <w:rsid w:val="00283356"/>
    <w:rsid w:val="00284026"/>
    <w:rsid w:val="00285879"/>
    <w:rsid w:val="00287772"/>
    <w:rsid w:val="002903C3"/>
    <w:rsid w:val="00290E45"/>
    <w:rsid w:val="00292B7B"/>
    <w:rsid w:val="00293293"/>
    <w:rsid w:val="00293F49"/>
    <w:rsid w:val="00294D42"/>
    <w:rsid w:val="00295A50"/>
    <w:rsid w:val="00297350"/>
    <w:rsid w:val="002A0515"/>
    <w:rsid w:val="002A0A71"/>
    <w:rsid w:val="002A0EED"/>
    <w:rsid w:val="002A0F39"/>
    <w:rsid w:val="002A121E"/>
    <w:rsid w:val="002A2298"/>
    <w:rsid w:val="002A33AE"/>
    <w:rsid w:val="002A374B"/>
    <w:rsid w:val="002A5428"/>
    <w:rsid w:val="002A6593"/>
    <w:rsid w:val="002A6A75"/>
    <w:rsid w:val="002A79BB"/>
    <w:rsid w:val="002B16E7"/>
    <w:rsid w:val="002B19E0"/>
    <w:rsid w:val="002B1A45"/>
    <w:rsid w:val="002B1D06"/>
    <w:rsid w:val="002B2EEE"/>
    <w:rsid w:val="002B2FCE"/>
    <w:rsid w:val="002B3388"/>
    <w:rsid w:val="002B4983"/>
    <w:rsid w:val="002B4C0D"/>
    <w:rsid w:val="002B53E8"/>
    <w:rsid w:val="002B6384"/>
    <w:rsid w:val="002B6C1B"/>
    <w:rsid w:val="002B7997"/>
    <w:rsid w:val="002B7C20"/>
    <w:rsid w:val="002C142C"/>
    <w:rsid w:val="002C161C"/>
    <w:rsid w:val="002C2D29"/>
    <w:rsid w:val="002C3A30"/>
    <w:rsid w:val="002C5107"/>
    <w:rsid w:val="002C5417"/>
    <w:rsid w:val="002C548D"/>
    <w:rsid w:val="002C7A56"/>
    <w:rsid w:val="002D16E3"/>
    <w:rsid w:val="002D17CD"/>
    <w:rsid w:val="002D18CB"/>
    <w:rsid w:val="002D1E6F"/>
    <w:rsid w:val="002D2220"/>
    <w:rsid w:val="002D3600"/>
    <w:rsid w:val="002D55C9"/>
    <w:rsid w:val="002D7F9F"/>
    <w:rsid w:val="002E0304"/>
    <w:rsid w:val="002E0EE7"/>
    <w:rsid w:val="002E2487"/>
    <w:rsid w:val="002E29C8"/>
    <w:rsid w:val="002E2A46"/>
    <w:rsid w:val="002E356F"/>
    <w:rsid w:val="002E463E"/>
    <w:rsid w:val="002E4687"/>
    <w:rsid w:val="002E4781"/>
    <w:rsid w:val="002E4BE0"/>
    <w:rsid w:val="002E5498"/>
    <w:rsid w:val="002E7307"/>
    <w:rsid w:val="002E758D"/>
    <w:rsid w:val="002E77AB"/>
    <w:rsid w:val="002E7C7F"/>
    <w:rsid w:val="002F1145"/>
    <w:rsid w:val="002F12D4"/>
    <w:rsid w:val="002F24C0"/>
    <w:rsid w:val="002F2A7B"/>
    <w:rsid w:val="002F2BFE"/>
    <w:rsid w:val="002F2C6E"/>
    <w:rsid w:val="002F3432"/>
    <w:rsid w:val="002F4A43"/>
    <w:rsid w:val="002F5B02"/>
    <w:rsid w:val="002F6B54"/>
    <w:rsid w:val="002F7BD6"/>
    <w:rsid w:val="003005E2"/>
    <w:rsid w:val="003019B1"/>
    <w:rsid w:val="0030362D"/>
    <w:rsid w:val="003039D6"/>
    <w:rsid w:val="00305433"/>
    <w:rsid w:val="00305A35"/>
    <w:rsid w:val="003066DD"/>
    <w:rsid w:val="00306AE3"/>
    <w:rsid w:val="00307446"/>
    <w:rsid w:val="003100C4"/>
    <w:rsid w:val="00310FA7"/>
    <w:rsid w:val="00311270"/>
    <w:rsid w:val="00311A12"/>
    <w:rsid w:val="00311E2A"/>
    <w:rsid w:val="003125D8"/>
    <w:rsid w:val="00312E0A"/>
    <w:rsid w:val="0031348E"/>
    <w:rsid w:val="00313D1D"/>
    <w:rsid w:val="00314880"/>
    <w:rsid w:val="00316DF0"/>
    <w:rsid w:val="0031734F"/>
    <w:rsid w:val="00320754"/>
    <w:rsid w:val="00321FDE"/>
    <w:rsid w:val="00322695"/>
    <w:rsid w:val="00325974"/>
    <w:rsid w:val="003259F7"/>
    <w:rsid w:val="00325A99"/>
    <w:rsid w:val="00326BB8"/>
    <w:rsid w:val="00326F1B"/>
    <w:rsid w:val="003303C7"/>
    <w:rsid w:val="00330585"/>
    <w:rsid w:val="00330AD1"/>
    <w:rsid w:val="00330EAF"/>
    <w:rsid w:val="00331005"/>
    <w:rsid w:val="003312DB"/>
    <w:rsid w:val="00331DED"/>
    <w:rsid w:val="003324F7"/>
    <w:rsid w:val="003326EC"/>
    <w:rsid w:val="003328CF"/>
    <w:rsid w:val="00334A8B"/>
    <w:rsid w:val="0033667D"/>
    <w:rsid w:val="00336E9E"/>
    <w:rsid w:val="0034058F"/>
    <w:rsid w:val="00340E39"/>
    <w:rsid w:val="00342BAD"/>
    <w:rsid w:val="00345145"/>
    <w:rsid w:val="00345C71"/>
    <w:rsid w:val="003466CE"/>
    <w:rsid w:val="003472B9"/>
    <w:rsid w:val="00347347"/>
    <w:rsid w:val="0034735D"/>
    <w:rsid w:val="0035059B"/>
    <w:rsid w:val="00352A44"/>
    <w:rsid w:val="0035306F"/>
    <w:rsid w:val="00353127"/>
    <w:rsid w:val="00353E06"/>
    <w:rsid w:val="00355F66"/>
    <w:rsid w:val="00357EE4"/>
    <w:rsid w:val="003600AA"/>
    <w:rsid w:val="003603A3"/>
    <w:rsid w:val="003609B5"/>
    <w:rsid w:val="00361360"/>
    <w:rsid w:val="0036183A"/>
    <w:rsid w:val="00361B9C"/>
    <w:rsid w:val="00362425"/>
    <w:rsid w:val="003643F6"/>
    <w:rsid w:val="00364C8C"/>
    <w:rsid w:val="00365760"/>
    <w:rsid w:val="00370DC8"/>
    <w:rsid w:val="00370E98"/>
    <w:rsid w:val="0037197B"/>
    <w:rsid w:val="00372C23"/>
    <w:rsid w:val="0037319B"/>
    <w:rsid w:val="00374583"/>
    <w:rsid w:val="00374651"/>
    <w:rsid w:val="00375F43"/>
    <w:rsid w:val="00377BBB"/>
    <w:rsid w:val="00380572"/>
    <w:rsid w:val="003815CE"/>
    <w:rsid w:val="00381C01"/>
    <w:rsid w:val="003825A2"/>
    <w:rsid w:val="00382D9F"/>
    <w:rsid w:val="00382E63"/>
    <w:rsid w:val="0038306B"/>
    <w:rsid w:val="003832A4"/>
    <w:rsid w:val="0038425E"/>
    <w:rsid w:val="00385DF0"/>
    <w:rsid w:val="00387EBD"/>
    <w:rsid w:val="00387F77"/>
    <w:rsid w:val="00390567"/>
    <w:rsid w:val="003914D5"/>
    <w:rsid w:val="0039327E"/>
    <w:rsid w:val="00393C51"/>
    <w:rsid w:val="00394C1E"/>
    <w:rsid w:val="0039628F"/>
    <w:rsid w:val="00396A88"/>
    <w:rsid w:val="00397CBC"/>
    <w:rsid w:val="003A0741"/>
    <w:rsid w:val="003A0A3F"/>
    <w:rsid w:val="003A23BD"/>
    <w:rsid w:val="003A24FC"/>
    <w:rsid w:val="003A3B80"/>
    <w:rsid w:val="003A55A9"/>
    <w:rsid w:val="003A5766"/>
    <w:rsid w:val="003A70D4"/>
    <w:rsid w:val="003A7343"/>
    <w:rsid w:val="003B0C37"/>
    <w:rsid w:val="003B665E"/>
    <w:rsid w:val="003B6700"/>
    <w:rsid w:val="003B6E54"/>
    <w:rsid w:val="003B7C61"/>
    <w:rsid w:val="003C0277"/>
    <w:rsid w:val="003C2080"/>
    <w:rsid w:val="003C294B"/>
    <w:rsid w:val="003C365F"/>
    <w:rsid w:val="003C40F9"/>
    <w:rsid w:val="003C45BD"/>
    <w:rsid w:val="003C64AC"/>
    <w:rsid w:val="003C6E70"/>
    <w:rsid w:val="003C7436"/>
    <w:rsid w:val="003C796E"/>
    <w:rsid w:val="003D0922"/>
    <w:rsid w:val="003D0BE7"/>
    <w:rsid w:val="003D0F55"/>
    <w:rsid w:val="003D0F98"/>
    <w:rsid w:val="003D1293"/>
    <w:rsid w:val="003D166A"/>
    <w:rsid w:val="003D1BD5"/>
    <w:rsid w:val="003D2312"/>
    <w:rsid w:val="003D32E1"/>
    <w:rsid w:val="003D37B3"/>
    <w:rsid w:val="003D3E64"/>
    <w:rsid w:val="003D3ECD"/>
    <w:rsid w:val="003D41CE"/>
    <w:rsid w:val="003D46AB"/>
    <w:rsid w:val="003D4DA3"/>
    <w:rsid w:val="003D4F9F"/>
    <w:rsid w:val="003D6515"/>
    <w:rsid w:val="003D78A1"/>
    <w:rsid w:val="003D79C8"/>
    <w:rsid w:val="003E0FF0"/>
    <w:rsid w:val="003E1CB3"/>
    <w:rsid w:val="003E2816"/>
    <w:rsid w:val="003E2AAA"/>
    <w:rsid w:val="003E2C73"/>
    <w:rsid w:val="003E4AAC"/>
    <w:rsid w:val="003E50AC"/>
    <w:rsid w:val="003E5810"/>
    <w:rsid w:val="003E5CD6"/>
    <w:rsid w:val="003E6610"/>
    <w:rsid w:val="003E6B98"/>
    <w:rsid w:val="003E7336"/>
    <w:rsid w:val="003E7E25"/>
    <w:rsid w:val="003F1A95"/>
    <w:rsid w:val="003F3D1D"/>
    <w:rsid w:val="003F5731"/>
    <w:rsid w:val="003F5825"/>
    <w:rsid w:val="003F6C80"/>
    <w:rsid w:val="004003A5"/>
    <w:rsid w:val="00400A6D"/>
    <w:rsid w:val="00400C6F"/>
    <w:rsid w:val="00401E70"/>
    <w:rsid w:val="0040349C"/>
    <w:rsid w:val="00403502"/>
    <w:rsid w:val="004039D9"/>
    <w:rsid w:val="0040449D"/>
    <w:rsid w:val="00404C78"/>
    <w:rsid w:val="00405986"/>
    <w:rsid w:val="004073F5"/>
    <w:rsid w:val="00410558"/>
    <w:rsid w:val="00411589"/>
    <w:rsid w:val="00413662"/>
    <w:rsid w:val="00413BC6"/>
    <w:rsid w:val="00413CBC"/>
    <w:rsid w:val="00413E49"/>
    <w:rsid w:val="0041509B"/>
    <w:rsid w:val="0041787D"/>
    <w:rsid w:val="00417B0E"/>
    <w:rsid w:val="00421A7F"/>
    <w:rsid w:val="00421B26"/>
    <w:rsid w:val="00422F01"/>
    <w:rsid w:val="00422F7D"/>
    <w:rsid w:val="0042304C"/>
    <w:rsid w:val="004233A1"/>
    <w:rsid w:val="00423D58"/>
    <w:rsid w:val="00424801"/>
    <w:rsid w:val="004276EE"/>
    <w:rsid w:val="00431532"/>
    <w:rsid w:val="00431C36"/>
    <w:rsid w:val="00432DC3"/>
    <w:rsid w:val="00434802"/>
    <w:rsid w:val="00434866"/>
    <w:rsid w:val="00434B60"/>
    <w:rsid w:val="004354F2"/>
    <w:rsid w:val="00435AA2"/>
    <w:rsid w:val="00436494"/>
    <w:rsid w:val="00437CB1"/>
    <w:rsid w:val="0044113F"/>
    <w:rsid w:val="00445318"/>
    <w:rsid w:val="00446373"/>
    <w:rsid w:val="00446C01"/>
    <w:rsid w:val="00447682"/>
    <w:rsid w:val="00450B9F"/>
    <w:rsid w:val="004514F4"/>
    <w:rsid w:val="00452602"/>
    <w:rsid w:val="00452E16"/>
    <w:rsid w:val="0045417E"/>
    <w:rsid w:val="00455D6A"/>
    <w:rsid w:val="004565DF"/>
    <w:rsid w:val="00460212"/>
    <w:rsid w:val="00460547"/>
    <w:rsid w:val="004610A8"/>
    <w:rsid w:val="00461475"/>
    <w:rsid w:val="004614B9"/>
    <w:rsid w:val="004614BB"/>
    <w:rsid w:val="004614ED"/>
    <w:rsid w:val="00461764"/>
    <w:rsid w:val="00462CAF"/>
    <w:rsid w:val="0046302D"/>
    <w:rsid w:val="00464AB3"/>
    <w:rsid w:val="00464BFD"/>
    <w:rsid w:val="00466DAE"/>
    <w:rsid w:val="004670A0"/>
    <w:rsid w:val="00467D35"/>
    <w:rsid w:val="0047126B"/>
    <w:rsid w:val="00471B16"/>
    <w:rsid w:val="00472C8F"/>
    <w:rsid w:val="004742CD"/>
    <w:rsid w:val="00474A2D"/>
    <w:rsid w:val="00475BB8"/>
    <w:rsid w:val="00476523"/>
    <w:rsid w:val="00477525"/>
    <w:rsid w:val="00477D35"/>
    <w:rsid w:val="00480B13"/>
    <w:rsid w:val="00482246"/>
    <w:rsid w:val="0048273F"/>
    <w:rsid w:val="0048338A"/>
    <w:rsid w:val="00483AF4"/>
    <w:rsid w:val="00484E81"/>
    <w:rsid w:val="0048510F"/>
    <w:rsid w:val="00486084"/>
    <w:rsid w:val="00486193"/>
    <w:rsid w:val="0048641A"/>
    <w:rsid w:val="004865FF"/>
    <w:rsid w:val="004871C4"/>
    <w:rsid w:val="0048747B"/>
    <w:rsid w:val="00490A96"/>
    <w:rsid w:val="0049213B"/>
    <w:rsid w:val="004927B9"/>
    <w:rsid w:val="00492D4D"/>
    <w:rsid w:val="00492EAD"/>
    <w:rsid w:val="00493775"/>
    <w:rsid w:val="004939DE"/>
    <w:rsid w:val="00495C56"/>
    <w:rsid w:val="004962D3"/>
    <w:rsid w:val="004963C0"/>
    <w:rsid w:val="004964B3"/>
    <w:rsid w:val="004964ED"/>
    <w:rsid w:val="00497228"/>
    <w:rsid w:val="004975BA"/>
    <w:rsid w:val="00497EAA"/>
    <w:rsid w:val="004A050C"/>
    <w:rsid w:val="004A0DB4"/>
    <w:rsid w:val="004A4E12"/>
    <w:rsid w:val="004A607D"/>
    <w:rsid w:val="004A6651"/>
    <w:rsid w:val="004A7005"/>
    <w:rsid w:val="004A7A30"/>
    <w:rsid w:val="004B0CD5"/>
    <w:rsid w:val="004B1975"/>
    <w:rsid w:val="004B1F48"/>
    <w:rsid w:val="004B215F"/>
    <w:rsid w:val="004B2418"/>
    <w:rsid w:val="004B6E7B"/>
    <w:rsid w:val="004B7F40"/>
    <w:rsid w:val="004C12EF"/>
    <w:rsid w:val="004C2C8D"/>
    <w:rsid w:val="004C33B8"/>
    <w:rsid w:val="004C3808"/>
    <w:rsid w:val="004C5277"/>
    <w:rsid w:val="004C5E01"/>
    <w:rsid w:val="004C6B4E"/>
    <w:rsid w:val="004C791C"/>
    <w:rsid w:val="004C7C26"/>
    <w:rsid w:val="004D0688"/>
    <w:rsid w:val="004D3557"/>
    <w:rsid w:val="004D39B3"/>
    <w:rsid w:val="004D48D8"/>
    <w:rsid w:val="004D5C9D"/>
    <w:rsid w:val="004D603A"/>
    <w:rsid w:val="004D6EB2"/>
    <w:rsid w:val="004D71DA"/>
    <w:rsid w:val="004D74C1"/>
    <w:rsid w:val="004D75FB"/>
    <w:rsid w:val="004E06D3"/>
    <w:rsid w:val="004E0B9F"/>
    <w:rsid w:val="004E24DD"/>
    <w:rsid w:val="004E2537"/>
    <w:rsid w:val="004E2AB0"/>
    <w:rsid w:val="004E5ADE"/>
    <w:rsid w:val="004E6DC5"/>
    <w:rsid w:val="004E7231"/>
    <w:rsid w:val="004E7C55"/>
    <w:rsid w:val="004F269E"/>
    <w:rsid w:val="004F274A"/>
    <w:rsid w:val="004F52C8"/>
    <w:rsid w:val="004F5ADA"/>
    <w:rsid w:val="0050086C"/>
    <w:rsid w:val="00500A40"/>
    <w:rsid w:val="005029D9"/>
    <w:rsid w:val="00504606"/>
    <w:rsid w:val="005049A0"/>
    <w:rsid w:val="00505E48"/>
    <w:rsid w:val="00505EC3"/>
    <w:rsid w:val="0050698D"/>
    <w:rsid w:val="005069E8"/>
    <w:rsid w:val="00506F4D"/>
    <w:rsid w:val="00507094"/>
    <w:rsid w:val="0051096F"/>
    <w:rsid w:val="00511A2C"/>
    <w:rsid w:val="00512067"/>
    <w:rsid w:val="00512FDD"/>
    <w:rsid w:val="0051353A"/>
    <w:rsid w:val="0051354D"/>
    <w:rsid w:val="00513FE1"/>
    <w:rsid w:val="00515033"/>
    <w:rsid w:val="00515E58"/>
    <w:rsid w:val="005164C6"/>
    <w:rsid w:val="00516845"/>
    <w:rsid w:val="00516C9E"/>
    <w:rsid w:val="005201FD"/>
    <w:rsid w:val="00526025"/>
    <w:rsid w:val="00526F81"/>
    <w:rsid w:val="00527A52"/>
    <w:rsid w:val="00533836"/>
    <w:rsid w:val="0053664C"/>
    <w:rsid w:val="005377DA"/>
    <w:rsid w:val="005404CF"/>
    <w:rsid w:val="00540C5E"/>
    <w:rsid w:val="00541F55"/>
    <w:rsid w:val="005420E6"/>
    <w:rsid w:val="005422D4"/>
    <w:rsid w:val="0054420F"/>
    <w:rsid w:val="00544F0C"/>
    <w:rsid w:val="005457BD"/>
    <w:rsid w:val="00545E02"/>
    <w:rsid w:val="00546D3F"/>
    <w:rsid w:val="0054714C"/>
    <w:rsid w:val="00547402"/>
    <w:rsid w:val="0054749A"/>
    <w:rsid w:val="00547A3B"/>
    <w:rsid w:val="00551550"/>
    <w:rsid w:val="00551E06"/>
    <w:rsid w:val="00551ED7"/>
    <w:rsid w:val="00553DEE"/>
    <w:rsid w:val="00554437"/>
    <w:rsid w:val="00554978"/>
    <w:rsid w:val="00561BC4"/>
    <w:rsid w:val="00562BE0"/>
    <w:rsid w:val="005641BF"/>
    <w:rsid w:val="00564312"/>
    <w:rsid w:val="005649D9"/>
    <w:rsid w:val="00564CC8"/>
    <w:rsid w:val="005662E9"/>
    <w:rsid w:val="0056764D"/>
    <w:rsid w:val="005678D9"/>
    <w:rsid w:val="005704F1"/>
    <w:rsid w:val="00570566"/>
    <w:rsid w:val="00570DD6"/>
    <w:rsid w:val="00572E4A"/>
    <w:rsid w:val="00574871"/>
    <w:rsid w:val="005750F1"/>
    <w:rsid w:val="0057543D"/>
    <w:rsid w:val="005757AF"/>
    <w:rsid w:val="0057709E"/>
    <w:rsid w:val="005771BB"/>
    <w:rsid w:val="0057795C"/>
    <w:rsid w:val="00577CBF"/>
    <w:rsid w:val="00580753"/>
    <w:rsid w:val="00580B93"/>
    <w:rsid w:val="00580C5F"/>
    <w:rsid w:val="00585B6C"/>
    <w:rsid w:val="00585FC1"/>
    <w:rsid w:val="00585FE2"/>
    <w:rsid w:val="00586005"/>
    <w:rsid w:val="00586290"/>
    <w:rsid w:val="00586FC4"/>
    <w:rsid w:val="00587EFE"/>
    <w:rsid w:val="00590565"/>
    <w:rsid w:val="00590581"/>
    <w:rsid w:val="005942DC"/>
    <w:rsid w:val="005955B5"/>
    <w:rsid w:val="00595AFA"/>
    <w:rsid w:val="00595D0B"/>
    <w:rsid w:val="00595EC9"/>
    <w:rsid w:val="0059666C"/>
    <w:rsid w:val="005A107D"/>
    <w:rsid w:val="005A1938"/>
    <w:rsid w:val="005A2204"/>
    <w:rsid w:val="005A2443"/>
    <w:rsid w:val="005A2BAD"/>
    <w:rsid w:val="005A2DC4"/>
    <w:rsid w:val="005A35CD"/>
    <w:rsid w:val="005A3B61"/>
    <w:rsid w:val="005A53AE"/>
    <w:rsid w:val="005A6F6C"/>
    <w:rsid w:val="005A7262"/>
    <w:rsid w:val="005A73F0"/>
    <w:rsid w:val="005A7C8E"/>
    <w:rsid w:val="005B2149"/>
    <w:rsid w:val="005B2640"/>
    <w:rsid w:val="005B2F93"/>
    <w:rsid w:val="005B47D9"/>
    <w:rsid w:val="005B54AE"/>
    <w:rsid w:val="005B5785"/>
    <w:rsid w:val="005B610F"/>
    <w:rsid w:val="005B7494"/>
    <w:rsid w:val="005B7B98"/>
    <w:rsid w:val="005C0ECB"/>
    <w:rsid w:val="005C1459"/>
    <w:rsid w:val="005C1775"/>
    <w:rsid w:val="005C2C47"/>
    <w:rsid w:val="005C319A"/>
    <w:rsid w:val="005C57EB"/>
    <w:rsid w:val="005C611D"/>
    <w:rsid w:val="005C63BF"/>
    <w:rsid w:val="005C7615"/>
    <w:rsid w:val="005C7712"/>
    <w:rsid w:val="005D0B21"/>
    <w:rsid w:val="005D12F6"/>
    <w:rsid w:val="005D3B74"/>
    <w:rsid w:val="005D3F01"/>
    <w:rsid w:val="005D4B7F"/>
    <w:rsid w:val="005E009E"/>
    <w:rsid w:val="005E02CC"/>
    <w:rsid w:val="005E0E38"/>
    <w:rsid w:val="005E505C"/>
    <w:rsid w:val="005E5914"/>
    <w:rsid w:val="005E5969"/>
    <w:rsid w:val="005E608F"/>
    <w:rsid w:val="005E6DFE"/>
    <w:rsid w:val="005F0A67"/>
    <w:rsid w:val="005F0CD5"/>
    <w:rsid w:val="005F2C89"/>
    <w:rsid w:val="005F4720"/>
    <w:rsid w:val="005F4E22"/>
    <w:rsid w:val="005F5434"/>
    <w:rsid w:val="005F5CF2"/>
    <w:rsid w:val="005F6135"/>
    <w:rsid w:val="005F62F4"/>
    <w:rsid w:val="005F77AA"/>
    <w:rsid w:val="006004F9"/>
    <w:rsid w:val="00600728"/>
    <w:rsid w:val="00601466"/>
    <w:rsid w:val="00601A92"/>
    <w:rsid w:val="00603349"/>
    <w:rsid w:val="006038A7"/>
    <w:rsid w:val="00603E9C"/>
    <w:rsid w:val="00604B45"/>
    <w:rsid w:val="006052AC"/>
    <w:rsid w:val="00606B4F"/>
    <w:rsid w:val="00607375"/>
    <w:rsid w:val="006105F1"/>
    <w:rsid w:val="006106E0"/>
    <w:rsid w:val="00611066"/>
    <w:rsid w:val="00612BB3"/>
    <w:rsid w:val="00612BE1"/>
    <w:rsid w:val="00612E92"/>
    <w:rsid w:val="0061349A"/>
    <w:rsid w:val="00615690"/>
    <w:rsid w:val="00615BAF"/>
    <w:rsid w:val="00615CD2"/>
    <w:rsid w:val="00617410"/>
    <w:rsid w:val="00617653"/>
    <w:rsid w:val="006207B5"/>
    <w:rsid w:val="00620CC4"/>
    <w:rsid w:val="006219E4"/>
    <w:rsid w:val="00622725"/>
    <w:rsid w:val="00622809"/>
    <w:rsid w:val="00622AB2"/>
    <w:rsid w:val="006236E4"/>
    <w:rsid w:val="00624B17"/>
    <w:rsid w:val="0062576C"/>
    <w:rsid w:val="00626B0E"/>
    <w:rsid w:val="00626B16"/>
    <w:rsid w:val="0063033E"/>
    <w:rsid w:val="0063041D"/>
    <w:rsid w:val="006317C7"/>
    <w:rsid w:val="00631AE4"/>
    <w:rsid w:val="00633B4F"/>
    <w:rsid w:val="00633F4D"/>
    <w:rsid w:val="00634914"/>
    <w:rsid w:val="0063494F"/>
    <w:rsid w:val="00635B73"/>
    <w:rsid w:val="00635B76"/>
    <w:rsid w:val="0063715A"/>
    <w:rsid w:val="00637CAF"/>
    <w:rsid w:val="006403F2"/>
    <w:rsid w:val="00640C4B"/>
    <w:rsid w:val="0064114D"/>
    <w:rsid w:val="006411FA"/>
    <w:rsid w:val="0064238F"/>
    <w:rsid w:val="00644126"/>
    <w:rsid w:val="006441AA"/>
    <w:rsid w:val="00644382"/>
    <w:rsid w:val="006451BC"/>
    <w:rsid w:val="006470D5"/>
    <w:rsid w:val="00650075"/>
    <w:rsid w:val="00651679"/>
    <w:rsid w:val="00651AD0"/>
    <w:rsid w:val="0065286A"/>
    <w:rsid w:val="00655BBE"/>
    <w:rsid w:val="0065726D"/>
    <w:rsid w:val="00657346"/>
    <w:rsid w:val="0065751E"/>
    <w:rsid w:val="006614BF"/>
    <w:rsid w:val="00661863"/>
    <w:rsid w:val="00661E3C"/>
    <w:rsid w:val="00661EAD"/>
    <w:rsid w:val="00662622"/>
    <w:rsid w:val="0066277C"/>
    <w:rsid w:val="006660CA"/>
    <w:rsid w:val="006668A7"/>
    <w:rsid w:val="00670FE7"/>
    <w:rsid w:val="00671003"/>
    <w:rsid w:val="00673104"/>
    <w:rsid w:val="006736A1"/>
    <w:rsid w:val="00673AC0"/>
    <w:rsid w:val="00676820"/>
    <w:rsid w:val="006768C9"/>
    <w:rsid w:val="00676E94"/>
    <w:rsid w:val="0067706C"/>
    <w:rsid w:val="00677611"/>
    <w:rsid w:val="00680AFD"/>
    <w:rsid w:val="00681C85"/>
    <w:rsid w:val="00683BC2"/>
    <w:rsid w:val="00683E86"/>
    <w:rsid w:val="006854A3"/>
    <w:rsid w:val="006905A5"/>
    <w:rsid w:val="006907B9"/>
    <w:rsid w:val="006918C3"/>
    <w:rsid w:val="0069344B"/>
    <w:rsid w:val="00694BC0"/>
    <w:rsid w:val="006977CC"/>
    <w:rsid w:val="006A0BBB"/>
    <w:rsid w:val="006A0C84"/>
    <w:rsid w:val="006A1B6D"/>
    <w:rsid w:val="006A2D4A"/>
    <w:rsid w:val="006A3076"/>
    <w:rsid w:val="006A529A"/>
    <w:rsid w:val="006A628D"/>
    <w:rsid w:val="006A6FFA"/>
    <w:rsid w:val="006B0DA2"/>
    <w:rsid w:val="006B2F7C"/>
    <w:rsid w:val="006B3411"/>
    <w:rsid w:val="006B388A"/>
    <w:rsid w:val="006B3C16"/>
    <w:rsid w:val="006B58CD"/>
    <w:rsid w:val="006B6049"/>
    <w:rsid w:val="006B77E4"/>
    <w:rsid w:val="006C0F13"/>
    <w:rsid w:val="006C15F3"/>
    <w:rsid w:val="006C2921"/>
    <w:rsid w:val="006C4746"/>
    <w:rsid w:val="006C479F"/>
    <w:rsid w:val="006C4842"/>
    <w:rsid w:val="006C5300"/>
    <w:rsid w:val="006C72E3"/>
    <w:rsid w:val="006C7B5B"/>
    <w:rsid w:val="006C7F49"/>
    <w:rsid w:val="006D23E8"/>
    <w:rsid w:val="006D2F64"/>
    <w:rsid w:val="006D457D"/>
    <w:rsid w:val="006D4931"/>
    <w:rsid w:val="006D4C12"/>
    <w:rsid w:val="006D590B"/>
    <w:rsid w:val="006D6E7C"/>
    <w:rsid w:val="006E04DF"/>
    <w:rsid w:val="006E09A1"/>
    <w:rsid w:val="006E1BEF"/>
    <w:rsid w:val="006E3760"/>
    <w:rsid w:val="006E5588"/>
    <w:rsid w:val="006E6339"/>
    <w:rsid w:val="006E653F"/>
    <w:rsid w:val="006E6B78"/>
    <w:rsid w:val="006F096B"/>
    <w:rsid w:val="006F0D25"/>
    <w:rsid w:val="006F0DCF"/>
    <w:rsid w:val="006F1E4F"/>
    <w:rsid w:val="006F341D"/>
    <w:rsid w:val="006F3434"/>
    <w:rsid w:val="006F369C"/>
    <w:rsid w:val="006F3C30"/>
    <w:rsid w:val="006F7BE8"/>
    <w:rsid w:val="00700FC1"/>
    <w:rsid w:val="00702B26"/>
    <w:rsid w:val="0070329E"/>
    <w:rsid w:val="007046D9"/>
    <w:rsid w:val="007054CD"/>
    <w:rsid w:val="007061D7"/>
    <w:rsid w:val="00706B3C"/>
    <w:rsid w:val="007073CF"/>
    <w:rsid w:val="00707581"/>
    <w:rsid w:val="00707987"/>
    <w:rsid w:val="00710791"/>
    <w:rsid w:val="00710ECF"/>
    <w:rsid w:val="0071176A"/>
    <w:rsid w:val="00712852"/>
    <w:rsid w:val="007138C1"/>
    <w:rsid w:val="0071494F"/>
    <w:rsid w:val="0071618E"/>
    <w:rsid w:val="00716F77"/>
    <w:rsid w:val="00717C58"/>
    <w:rsid w:val="00720151"/>
    <w:rsid w:val="00720F5B"/>
    <w:rsid w:val="0072318E"/>
    <w:rsid w:val="00725387"/>
    <w:rsid w:val="00726698"/>
    <w:rsid w:val="0072787D"/>
    <w:rsid w:val="00730EF0"/>
    <w:rsid w:val="00731780"/>
    <w:rsid w:val="00733A17"/>
    <w:rsid w:val="007346BC"/>
    <w:rsid w:val="0073571E"/>
    <w:rsid w:val="007366E9"/>
    <w:rsid w:val="00736F40"/>
    <w:rsid w:val="007400EE"/>
    <w:rsid w:val="00740890"/>
    <w:rsid w:val="00741D65"/>
    <w:rsid w:val="00742379"/>
    <w:rsid w:val="0074278F"/>
    <w:rsid w:val="007439A1"/>
    <w:rsid w:val="00744563"/>
    <w:rsid w:val="00744709"/>
    <w:rsid w:val="00745FF0"/>
    <w:rsid w:val="00746322"/>
    <w:rsid w:val="007471FC"/>
    <w:rsid w:val="00747F31"/>
    <w:rsid w:val="00751077"/>
    <w:rsid w:val="00752360"/>
    <w:rsid w:val="007527B3"/>
    <w:rsid w:val="0075318E"/>
    <w:rsid w:val="0075565F"/>
    <w:rsid w:val="00755844"/>
    <w:rsid w:val="00755FAC"/>
    <w:rsid w:val="00761384"/>
    <w:rsid w:val="0076242D"/>
    <w:rsid w:val="007654C4"/>
    <w:rsid w:val="0076612E"/>
    <w:rsid w:val="0076663C"/>
    <w:rsid w:val="00766F3F"/>
    <w:rsid w:val="007676B2"/>
    <w:rsid w:val="00767836"/>
    <w:rsid w:val="0077035B"/>
    <w:rsid w:val="00772540"/>
    <w:rsid w:val="0077336A"/>
    <w:rsid w:val="00773685"/>
    <w:rsid w:val="0077405E"/>
    <w:rsid w:val="00774E56"/>
    <w:rsid w:val="007750A8"/>
    <w:rsid w:val="0077563F"/>
    <w:rsid w:val="00777085"/>
    <w:rsid w:val="00777186"/>
    <w:rsid w:val="0077739C"/>
    <w:rsid w:val="007773EE"/>
    <w:rsid w:val="00777F34"/>
    <w:rsid w:val="007806FC"/>
    <w:rsid w:val="00781099"/>
    <w:rsid w:val="0078130C"/>
    <w:rsid w:val="007813C3"/>
    <w:rsid w:val="0078327D"/>
    <w:rsid w:val="00784F1C"/>
    <w:rsid w:val="0078616F"/>
    <w:rsid w:val="00786962"/>
    <w:rsid w:val="007902B6"/>
    <w:rsid w:val="007911A7"/>
    <w:rsid w:val="00791F0C"/>
    <w:rsid w:val="00792D0F"/>
    <w:rsid w:val="007933A6"/>
    <w:rsid w:val="00795582"/>
    <w:rsid w:val="007972F0"/>
    <w:rsid w:val="00797EB0"/>
    <w:rsid w:val="007A101A"/>
    <w:rsid w:val="007A13C8"/>
    <w:rsid w:val="007A18E1"/>
    <w:rsid w:val="007A55D2"/>
    <w:rsid w:val="007A5AE5"/>
    <w:rsid w:val="007A5B05"/>
    <w:rsid w:val="007A5DEC"/>
    <w:rsid w:val="007A615A"/>
    <w:rsid w:val="007A62AF"/>
    <w:rsid w:val="007A6375"/>
    <w:rsid w:val="007A673B"/>
    <w:rsid w:val="007A6A7F"/>
    <w:rsid w:val="007A6F98"/>
    <w:rsid w:val="007A6FD1"/>
    <w:rsid w:val="007A7F06"/>
    <w:rsid w:val="007B04F6"/>
    <w:rsid w:val="007B1B69"/>
    <w:rsid w:val="007B277B"/>
    <w:rsid w:val="007B3024"/>
    <w:rsid w:val="007B3E95"/>
    <w:rsid w:val="007B408C"/>
    <w:rsid w:val="007B621E"/>
    <w:rsid w:val="007B62F5"/>
    <w:rsid w:val="007B71CE"/>
    <w:rsid w:val="007C220A"/>
    <w:rsid w:val="007C2EF8"/>
    <w:rsid w:val="007C3496"/>
    <w:rsid w:val="007C3ECA"/>
    <w:rsid w:val="007C4FB7"/>
    <w:rsid w:val="007C5541"/>
    <w:rsid w:val="007C67F7"/>
    <w:rsid w:val="007D01CB"/>
    <w:rsid w:val="007D22D9"/>
    <w:rsid w:val="007D3700"/>
    <w:rsid w:val="007D42AD"/>
    <w:rsid w:val="007D53DB"/>
    <w:rsid w:val="007D6085"/>
    <w:rsid w:val="007D7835"/>
    <w:rsid w:val="007E003F"/>
    <w:rsid w:val="007E047A"/>
    <w:rsid w:val="007E063B"/>
    <w:rsid w:val="007E1E7F"/>
    <w:rsid w:val="007E3CDB"/>
    <w:rsid w:val="007E438B"/>
    <w:rsid w:val="007E449A"/>
    <w:rsid w:val="007E4FA9"/>
    <w:rsid w:val="007E62A9"/>
    <w:rsid w:val="007E6A76"/>
    <w:rsid w:val="007E6B56"/>
    <w:rsid w:val="007E6C73"/>
    <w:rsid w:val="007E6E64"/>
    <w:rsid w:val="007F0B27"/>
    <w:rsid w:val="007F1C30"/>
    <w:rsid w:val="007F25FF"/>
    <w:rsid w:val="007F41D4"/>
    <w:rsid w:val="007F454B"/>
    <w:rsid w:val="007F482A"/>
    <w:rsid w:val="007F487B"/>
    <w:rsid w:val="007F6D3C"/>
    <w:rsid w:val="008009AB"/>
    <w:rsid w:val="00800AB8"/>
    <w:rsid w:val="00802C6C"/>
    <w:rsid w:val="00802FF9"/>
    <w:rsid w:val="00805316"/>
    <w:rsid w:val="00805D62"/>
    <w:rsid w:val="008062E1"/>
    <w:rsid w:val="008112B1"/>
    <w:rsid w:val="00814BDD"/>
    <w:rsid w:val="008150D2"/>
    <w:rsid w:val="00815B85"/>
    <w:rsid w:val="00815D34"/>
    <w:rsid w:val="00815D5E"/>
    <w:rsid w:val="00816D0D"/>
    <w:rsid w:val="00820899"/>
    <w:rsid w:val="0082252A"/>
    <w:rsid w:val="0082456B"/>
    <w:rsid w:val="00825289"/>
    <w:rsid w:val="00825617"/>
    <w:rsid w:val="00825728"/>
    <w:rsid w:val="008275F7"/>
    <w:rsid w:val="008300F4"/>
    <w:rsid w:val="0083025C"/>
    <w:rsid w:val="00830550"/>
    <w:rsid w:val="008311CD"/>
    <w:rsid w:val="00832F07"/>
    <w:rsid w:val="00833E27"/>
    <w:rsid w:val="00833EF7"/>
    <w:rsid w:val="00834F24"/>
    <w:rsid w:val="00835B91"/>
    <w:rsid w:val="00835CEF"/>
    <w:rsid w:val="0083617C"/>
    <w:rsid w:val="008369F6"/>
    <w:rsid w:val="00843747"/>
    <w:rsid w:val="00843893"/>
    <w:rsid w:val="0084480F"/>
    <w:rsid w:val="00845A32"/>
    <w:rsid w:val="008462A3"/>
    <w:rsid w:val="00850EA9"/>
    <w:rsid w:val="00851581"/>
    <w:rsid w:val="00854BD6"/>
    <w:rsid w:val="00855B78"/>
    <w:rsid w:val="008562D3"/>
    <w:rsid w:val="008564E8"/>
    <w:rsid w:val="00856851"/>
    <w:rsid w:val="00856A1C"/>
    <w:rsid w:val="00857D99"/>
    <w:rsid w:val="008608AE"/>
    <w:rsid w:val="00863595"/>
    <w:rsid w:val="00864120"/>
    <w:rsid w:val="00864B36"/>
    <w:rsid w:val="008653CC"/>
    <w:rsid w:val="0086765C"/>
    <w:rsid w:val="00867743"/>
    <w:rsid w:val="0087016F"/>
    <w:rsid w:val="00871A68"/>
    <w:rsid w:val="00871A96"/>
    <w:rsid w:val="00872487"/>
    <w:rsid w:val="00872949"/>
    <w:rsid w:val="00873725"/>
    <w:rsid w:val="0087433E"/>
    <w:rsid w:val="00874484"/>
    <w:rsid w:val="00874995"/>
    <w:rsid w:val="00874E69"/>
    <w:rsid w:val="0087578C"/>
    <w:rsid w:val="00876896"/>
    <w:rsid w:val="0087752F"/>
    <w:rsid w:val="00877576"/>
    <w:rsid w:val="00880D63"/>
    <w:rsid w:val="008810E6"/>
    <w:rsid w:val="008816FE"/>
    <w:rsid w:val="00883C0E"/>
    <w:rsid w:val="0088671C"/>
    <w:rsid w:val="008871D0"/>
    <w:rsid w:val="00890482"/>
    <w:rsid w:val="008932A3"/>
    <w:rsid w:val="0089382C"/>
    <w:rsid w:val="00893C2B"/>
    <w:rsid w:val="00894026"/>
    <w:rsid w:val="008A0173"/>
    <w:rsid w:val="008A129D"/>
    <w:rsid w:val="008A1D67"/>
    <w:rsid w:val="008A26D6"/>
    <w:rsid w:val="008A34EC"/>
    <w:rsid w:val="008A6134"/>
    <w:rsid w:val="008A6175"/>
    <w:rsid w:val="008A762A"/>
    <w:rsid w:val="008A7A1E"/>
    <w:rsid w:val="008A7D19"/>
    <w:rsid w:val="008A7E63"/>
    <w:rsid w:val="008B118F"/>
    <w:rsid w:val="008B128D"/>
    <w:rsid w:val="008B14AC"/>
    <w:rsid w:val="008B2D24"/>
    <w:rsid w:val="008B3059"/>
    <w:rsid w:val="008B30A2"/>
    <w:rsid w:val="008B4EC3"/>
    <w:rsid w:val="008B6987"/>
    <w:rsid w:val="008B783F"/>
    <w:rsid w:val="008B7A0E"/>
    <w:rsid w:val="008C15D9"/>
    <w:rsid w:val="008C3827"/>
    <w:rsid w:val="008C3BC7"/>
    <w:rsid w:val="008C3C3A"/>
    <w:rsid w:val="008C50F6"/>
    <w:rsid w:val="008C5FD0"/>
    <w:rsid w:val="008C60C0"/>
    <w:rsid w:val="008C64D5"/>
    <w:rsid w:val="008C6C53"/>
    <w:rsid w:val="008C7627"/>
    <w:rsid w:val="008D0531"/>
    <w:rsid w:val="008D13D4"/>
    <w:rsid w:val="008D178E"/>
    <w:rsid w:val="008D22C1"/>
    <w:rsid w:val="008D5048"/>
    <w:rsid w:val="008D52FF"/>
    <w:rsid w:val="008D78F7"/>
    <w:rsid w:val="008E0D78"/>
    <w:rsid w:val="008E1617"/>
    <w:rsid w:val="008E1C26"/>
    <w:rsid w:val="008E1CEF"/>
    <w:rsid w:val="008E283B"/>
    <w:rsid w:val="008E3BE9"/>
    <w:rsid w:val="008E50CB"/>
    <w:rsid w:val="008E54F2"/>
    <w:rsid w:val="008E6E81"/>
    <w:rsid w:val="008E75E5"/>
    <w:rsid w:val="008E76C0"/>
    <w:rsid w:val="008F0676"/>
    <w:rsid w:val="008F0706"/>
    <w:rsid w:val="008F0C7A"/>
    <w:rsid w:val="008F0DB4"/>
    <w:rsid w:val="008F0FB7"/>
    <w:rsid w:val="008F176E"/>
    <w:rsid w:val="008F184B"/>
    <w:rsid w:val="008F1CD8"/>
    <w:rsid w:val="008F1E52"/>
    <w:rsid w:val="008F2688"/>
    <w:rsid w:val="008F2E51"/>
    <w:rsid w:val="008F38FA"/>
    <w:rsid w:val="008F51FE"/>
    <w:rsid w:val="008F561A"/>
    <w:rsid w:val="008F6F84"/>
    <w:rsid w:val="008F735B"/>
    <w:rsid w:val="008F738A"/>
    <w:rsid w:val="009001DB"/>
    <w:rsid w:val="00900855"/>
    <w:rsid w:val="00900E73"/>
    <w:rsid w:val="00901D64"/>
    <w:rsid w:val="009026AA"/>
    <w:rsid w:val="009030BA"/>
    <w:rsid w:val="00903784"/>
    <w:rsid w:val="00904232"/>
    <w:rsid w:val="009045EE"/>
    <w:rsid w:val="009046F6"/>
    <w:rsid w:val="009051D2"/>
    <w:rsid w:val="00906739"/>
    <w:rsid w:val="00907DAE"/>
    <w:rsid w:val="009107F4"/>
    <w:rsid w:val="009108A2"/>
    <w:rsid w:val="00914574"/>
    <w:rsid w:val="00914967"/>
    <w:rsid w:val="00916CEC"/>
    <w:rsid w:val="009206CC"/>
    <w:rsid w:val="00920E52"/>
    <w:rsid w:val="0092112A"/>
    <w:rsid w:val="00921607"/>
    <w:rsid w:val="00924336"/>
    <w:rsid w:val="00924814"/>
    <w:rsid w:val="00924E96"/>
    <w:rsid w:val="009253CD"/>
    <w:rsid w:val="009259E6"/>
    <w:rsid w:val="009309DB"/>
    <w:rsid w:val="00933776"/>
    <w:rsid w:val="00933B81"/>
    <w:rsid w:val="0093431C"/>
    <w:rsid w:val="00935E57"/>
    <w:rsid w:val="00936F9A"/>
    <w:rsid w:val="00937623"/>
    <w:rsid w:val="00937C31"/>
    <w:rsid w:val="009411D4"/>
    <w:rsid w:val="00941970"/>
    <w:rsid w:val="00944117"/>
    <w:rsid w:val="009441C9"/>
    <w:rsid w:val="00946AA2"/>
    <w:rsid w:val="00946C43"/>
    <w:rsid w:val="00947072"/>
    <w:rsid w:val="00947333"/>
    <w:rsid w:val="00952227"/>
    <w:rsid w:val="0095264F"/>
    <w:rsid w:val="00953B37"/>
    <w:rsid w:val="00953FA1"/>
    <w:rsid w:val="00954220"/>
    <w:rsid w:val="00954A3A"/>
    <w:rsid w:val="009560A5"/>
    <w:rsid w:val="009560E0"/>
    <w:rsid w:val="00956A7A"/>
    <w:rsid w:val="00963176"/>
    <w:rsid w:val="00965967"/>
    <w:rsid w:val="009670FF"/>
    <w:rsid w:val="0097033B"/>
    <w:rsid w:val="009707FA"/>
    <w:rsid w:val="00970D77"/>
    <w:rsid w:val="00971679"/>
    <w:rsid w:val="00971CE1"/>
    <w:rsid w:val="00974564"/>
    <w:rsid w:val="00975385"/>
    <w:rsid w:val="009760C0"/>
    <w:rsid w:val="0097624C"/>
    <w:rsid w:val="009762F5"/>
    <w:rsid w:val="009767E6"/>
    <w:rsid w:val="00981050"/>
    <w:rsid w:val="00982445"/>
    <w:rsid w:val="00982520"/>
    <w:rsid w:val="0098324B"/>
    <w:rsid w:val="00984554"/>
    <w:rsid w:val="00984631"/>
    <w:rsid w:val="0098544C"/>
    <w:rsid w:val="0098569D"/>
    <w:rsid w:val="0098578F"/>
    <w:rsid w:val="00985F50"/>
    <w:rsid w:val="00986258"/>
    <w:rsid w:val="0099057F"/>
    <w:rsid w:val="00990B83"/>
    <w:rsid w:val="00990F4C"/>
    <w:rsid w:val="00991073"/>
    <w:rsid w:val="00991715"/>
    <w:rsid w:val="00992FCB"/>
    <w:rsid w:val="00993C4A"/>
    <w:rsid w:val="0099740F"/>
    <w:rsid w:val="00997D39"/>
    <w:rsid w:val="009A00AF"/>
    <w:rsid w:val="009A0AAA"/>
    <w:rsid w:val="009A0F44"/>
    <w:rsid w:val="009A3864"/>
    <w:rsid w:val="009A5991"/>
    <w:rsid w:val="009A67E0"/>
    <w:rsid w:val="009A6C63"/>
    <w:rsid w:val="009A793A"/>
    <w:rsid w:val="009A79A4"/>
    <w:rsid w:val="009B0207"/>
    <w:rsid w:val="009B0B9C"/>
    <w:rsid w:val="009B3061"/>
    <w:rsid w:val="009B31DB"/>
    <w:rsid w:val="009B53FB"/>
    <w:rsid w:val="009B5618"/>
    <w:rsid w:val="009B56EA"/>
    <w:rsid w:val="009B56F3"/>
    <w:rsid w:val="009B5F48"/>
    <w:rsid w:val="009B6F1D"/>
    <w:rsid w:val="009B73A9"/>
    <w:rsid w:val="009B7896"/>
    <w:rsid w:val="009B79FD"/>
    <w:rsid w:val="009B7B9B"/>
    <w:rsid w:val="009C0388"/>
    <w:rsid w:val="009C06EA"/>
    <w:rsid w:val="009C0E8A"/>
    <w:rsid w:val="009C18C3"/>
    <w:rsid w:val="009C2633"/>
    <w:rsid w:val="009C2909"/>
    <w:rsid w:val="009C6424"/>
    <w:rsid w:val="009D0B33"/>
    <w:rsid w:val="009D46CB"/>
    <w:rsid w:val="009D493F"/>
    <w:rsid w:val="009D51C3"/>
    <w:rsid w:val="009D5DD6"/>
    <w:rsid w:val="009D6266"/>
    <w:rsid w:val="009D7167"/>
    <w:rsid w:val="009E0994"/>
    <w:rsid w:val="009E0C43"/>
    <w:rsid w:val="009E0F8C"/>
    <w:rsid w:val="009E116E"/>
    <w:rsid w:val="009E163D"/>
    <w:rsid w:val="009E1980"/>
    <w:rsid w:val="009E1985"/>
    <w:rsid w:val="009E2D66"/>
    <w:rsid w:val="009E5825"/>
    <w:rsid w:val="009E5EB4"/>
    <w:rsid w:val="009F0B3D"/>
    <w:rsid w:val="009F1CBA"/>
    <w:rsid w:val="009F2FD5"/>
    <w:rsid w:val="009F3532"/>
    <w:rsid w:val="009F3862"/>
    <w:rsid w:val="009F39F8"/>
    <w:rsid w:val="009F4ECC"/>
    <w:rsid w:val="009F6A3E"/>
    <w:rsid w:val="009F7EE6"/>
    <w:rsid w:val="00A0020E"/>
    <w:rsid w:val="00A01D56"/>
    <w:rsid w:val="00A02426"/>
    <w:rsid w:val="00A02CA0"/>
    <w:rsid w:val="00A03C17"/>
    <w:rsid w:val="00A0402A"/>
    <w:rsid w:val="00A05DF9"/>
    <w:rsid w:val="00A05E14"/>
    <w:rsid w:val="00A05E52"/>
    <w:rsid w:val="00A11D8D"/>
    <w:rsid w:val="00A1247C"/>
    <w:rsid w:val="00A13D12"/>
    <w:rsid w:val="00A144CD"/>
    <w:rsid w:val="00A1470E"/>
    <w:rsid w:val="00A20CA5"/>
    <w:rsid w:val="00A213EF"/>
    <w:rsid w:val="00A2184E"/>
    <w:rsid w:val="00A23DBE"/>
    <w:rsid w:val="00A2439E"/>
    <w:rsid w:val="00A257C3"/>
    <w:rsid w:val="00A264AC"/>
    <w:rsid w:val="00A268C6"/>
    <w:rsid w:val="00A27368"/>
    <w:rsid w:val="00A276AD"/>
    <w:rsid w:val="00A27DEA"/>
    <w:rsid w:val="00A30735"/>
    <w:rsid w:val="00A31A80"/>
    <w:rsid w:val="00A32B36"/>
    <w:rsid w:val="00A33124"/>
    <w:rsid w:val="00A34CB9"/>
    <w:rsid w:val="00A3501B"/>
    <w:rsid w:val="00A35E2E"/>
    <w:rsid w:val="00A36A56"/>
    <w:rsid w:val="00A374E9"/>
    <w:rsid w:val="00A3762E"/>
    <w:rsid w:val="00A40647"/>
    <w:rsid w:val="00A41C05"/>
    <w:rsid w:val="00A4437E"/>
    <w:rsid w:val="00A44799"/>
    <w:rsid w:val="00A44F26"/>
    <w:rsid w:val="00A466E7"/>
    <w:rsid w:val="00A47BA2"/>
    <w:rsid w:val="00A47C53"/>
    <w:rsid w:val="00A50E2E"/>
    <w:rsid w:val="00A54DC3"/>
    <w:rsid w:val="00A578FA"/>
    <w:rsid w:val="00A60A6F"/>
    <w:rsid w:val="00A60B9F"/>
    <w:rsid w:val="00A61088"/>
    <w:rsid w:val="00A6130F"/>
    <w:rsid w:val="00A6191C"/>
    <w:rsid w:val="00A62BDD"/>
    <w:rsid w:val="00A62C9B"/>
    <w:rsid w:val="00A63F1B"/>
    <w:rsid w:val="00A646FF"/>
    <w:rsid w:val="00A64ACE"/>
    <w:rsid w:val="00A65047"/>
    <w:rsid w:val="00A66A3E"/>
    <w:rsid w:val="00A72183"/>
    <w:rsid w:val="00A74A55"/>
    <w:rsid w:val="00A74BFD"/>
    <w:rsid w:val="00A7756A"/>
    <w:rsid w:val="00A81052"/>
    <w:rsid w:val="00A81E61"/>
    <w:rsid w:val="00A82722"/>
    <w:rsid w:val="00A8280F"/>
    <w:rsid w:val="00A82838"/>
    <w:rsid w:val="00A83992"/>
    <w:rsid w:val="00A84287"/>
    <w:rsid w:val="00A847EF"/>
    <w:rsid w:val="00A849C0"/>
    <w:rsid w:val="00A8737F"/>
    <w:rsid w:val="00A87F64"/>
    <w:rsid w:val="00A903E9"/>
    <w:rsid w:val="00A91585"/>
    <w:rsid w:val="00A917D2"/>
    <w:rsid w:val="00A91D32"/>
    <w:rsid w:val="00A9559F"/>
    <w:rsid w:val="00A96914"/>
    <w:rsid w:val="00A969A0"/>
    <w:rsid w:val="00A96B4F"/>
    <w:rsid w:val="00A9779D"/>
    <w:rsid w:val="00A97A93"/>
    <w:rsid w:val="00A97FA7"/>
    <w:rsid w:val="00AA084E"/>
    <w:rsid w:val="00AA09D6"/>
    <w:rsid w:val="00AA09E7"/>
    <w:rsid w:val="00AA17E6"/>
    <w:rsid w:val="00AA2341"/>
    <w:rsid w:val="00AA26E9"/>
    <w:rsid w:val="00AA34D3"/>
    <w:rsid w:val="00AA53BE"/>
    <w:rsid w:val="00AA74DA"/>
    <w:rsid w:val="00AB1095"/>
    <w:rsid w:val="00AB14E8"/>
    <w:rsid w:val="00AB1D9A"/>
    <w:rsid w:val="00AB59D5"/>
    <w:rsid w:val="00AB5B1C"/>
    <w:rsid w:val="00AB7AB1"/>
    <w:rsid w:val="00AB7F96"/>
    <w:rsid w:val="00AC08EB"/>
    <w:rsid w:val="00AC2760"/>
    <w:rsid w:val="00AC2813"/>
    <w:rsid w:val="00AC2BD7"/>
    <w:rsid w:val="00AC3359"/>
    <w:rsid w:val="00AC39DE"/>
    <w:rsid w:val="00AC6BF3"/>
    <w:rsid w:val="00AC7C3F"/>
    <w:rsid w:val="00AC7D83"/>
    <w:rsid w:val="00AD01CE"/>
    <w:rsid w:val="00AD03E3"/>
    <w:rsid w:val="00AD0578"/>
    <w:rsid w:val="00AD0AB0"/>
    <w:rsid w:val="00AD10CF"/>
    <w:rsid w:val="00AD23D2"/>
    <w:rsid w:val="00AD3260"/>
    <w:rsid w:val="00AD34AF"/>
    <w:rsid w:val="00AD4051"/>
    <w:rsid w:val="00AD5A29"/>
    <w:rsid w:val="00AD5B33"/>
    <w:rsid w:val="00AD6E2B"/>
    <w:rsid w:val="00AD6E6A"/>
    <w:rsid w:val="00AD769F"/>
    <w:rsid w:val="00AE0261"/>
    <w:rsid w:val="00AE1405"/>
    <w:rsid w:val="00AE56FD"/>
    <w:rsid w:val="00AE61A4"/>
    <w:rsid w:val="00AE646A"/>
    <w:rsid w:val="00AE6F1B"/>
    <w:rsid w:val="00AE710D"/>
    <w:rsid w:val="00AE7DC3"/>
    <w:rsid w:val="00AF12DB"/>
    <w:rsid w:val="00AF3382"/>
    <w:rsid w:val="00AF37C4"/>
    <w:rsid w:val="00AF45E7"/>
    <w:rsid w:val="00AF6740"/>
    <w:rsid w:val="00AF7979"/>
    <w:rsid w:val="00B00267"/>
    <w:rsid w:val="00B00E2A"/>
    <w:rsid w:val="00B015D9"/>
    <w:rsid w:val="00B019A1"/>
    <w:rsid w:val="00B03590"/>
    <w:rsid w:val="00B053A7"/>
    <w:rsid w:val="00B07760"/>
    <w:rsid w:val="00B11090"/>
    <w:rsid w:val="00B113B4"/>
    <w:rsid w:val="00B125DF"/>
    <w:rsid w:val="00B142C6"/>
    <w:rsid w:val="00B143D0"/>
    <w:rsid w:val="00B1781A"/>
    <w:rsid w:val="00B1793A"/>
    <w:rsid w:val="00B249D1"/>
    <w:rsid w:val="00B24D6C"/>
    <w:rsid w:val="00B24E49"/>
    <w:rsid w:val="00B25ED5"/>
    <w:rsid w:val="00B260EA"/>
    <w:rsid w:val="00B2684C"/>
    <w:rsid w:val="00B279EC"/>
    <w:rsid w:val="00B30FA1"/>
    <w:rsid w:val="00B31659"/>
    <w:rsid w:val="00B3210F"/>
    <w:rsid w:val="00B3310D"/>
    <w:rsid w:val="00B33E2B"/>
    <w:rsid w:val="00B340CD"/>
    <w:rsid w:val="00B364CA"/>
    <w:rsid w:val="00B369DE"/>
    <w:rsid w:val="00B36A05"/>
    <w:rsid w:val="00B36D15"/>
    <w:rsid w:val="00B4102D"/>
    <w:rsid w:val="00B42D44"/>
    <w:rsid w:val="00B42E1E"/>
    <w:rsid w:val="00B43258"/>
    <w:rsid w:val="00B43564"/>
    <w:rsid w:val="00B43E5F"/>
    <w:rsid w:val="00B45697"/>
    <w:rsid w:val="00B45FAE"/>
    <w:rsid w:val="00B50FB0"/>
    <w:rsid w:val="00B51A98"/>
    <w:rsid w:val="00B526AC"/>
    <w:rsid w:val="00B53783"/>
    <w:rsid w:val="00B53790"/>
    <w:rsid w:val="00B538B9"/>
    <w:rsid w:val="00B53F56"/>
    <w:rsid w:val="00B544A0"/>
    <w:rsid w:val="00B54513"/>
    <w:rsid w:val="00B54889"/>
    <w:rsid w:val="00B5532F"/>
    <w:rsid w:val="00B55F84"/>
    <w:rsid w:val="00B6041E"/>
    <w:rsid w:val="00B6055F"/>
    <w:rsid w:val="00B61B89"/>
    <w:rsid w:val="00B62C9B"/>
    <w:rsid w:val="00B6380F"/>
    <w:rsid w:val="00B63F80"/>
    <w:rsid w:val="00B67459"/>
    <w:rsid w:val="00B67753"/>
    <w:rsid w:val="00B67CAB"/>
    <w:rsid w:val="00B67CEC"/>
    <w:rsid w:val="00B71848"/>
    <w:rsid w:val="00B720F5"/>
    <w:rsid w:val="00B7393E"/>
    <w:rsid w:val="00B73A57"/>
    <w:rsid w:val="00B73C74"/>
    <w:rsid w:val="00B744DD"/>
    <w:rsid w:val="00B74AAF"/>
    <w:rsid w:val="00B75A86"/>
    <w:rsid w:val="00B764C5"/>
    <w:rsid w:val="00B76DEA"/>
    <w:rsid w:val="00B800EE"/>
    <w:rsid w:val="00B803E2"/>
    <w:rsid w:val="00B82067"/>
    <w:rsid w:val="00B825C7"/>
    <w:rsid w:val="00B82ABA"/>
    <w:rsid w:val="00B84602"/>
    <w:rsid w:val="00B85399"/>
    <w:rsid w:val="00B8623D"/>
    <w:rsid w:val="00B867F8"/>
    <w:rsid w:val="00B87A95"/>
    <w:rsid w:val="00B90B06"/>
    <w:rsid w:val="00B91407"/>
    <w:rsid w:val="00B916C0"/>
    <w:rsid w:val="00B939F5"/>
    <w:rsid w:val="00B93AF1"/>
    <w:rsid w:val="00B96B5C"/>
    <w:rsid w:val="00B976A8"/>
    <w:rsid w:val="00B97F6D"/>
    <w:rsid w:val="00BA0312"/>
    <w:rsid w:val="00BA4A33"/>
    <w:rsid w:val="00BA4FCC"/>
    <w:rsid w:val="00BA61C5"/>
    <w:rsid w:val="00BA6447"/>
    <w:rsid w:val="00BA6BEF"/>
    <w:rsid w:val="00BA6E02"/>
    <w:rsid w:val="00BA6E80"/>
    <w:rsid w:val="00BB0269"/>
    <w:rsid w:val="00BB04AB"/>
    <w:rsid w:val="00BB060C"/>
    <w:rsid w:val="00BB0F87"/>
    <w:rsid w:val="00BB14F0"/>
    <w:rsid w:val="00BB3294"/>
    <w:rsid w:val="00BB3A10"/>
    <w:rsid w:val="00BB5C5D"/>
    <w:rsid w:val="00BB619B"/>
    <w:rsid w:val="00BB71F9"/>
    <w:rsid w:val="00BB7FF8"/>
    <w:rsid w:val="00BC4B15"/>
    <w:rsid w:val="00BC7074"/>
    <w:rsid w:val="00BD1556"/>
    <w:rsid w:val="00BD24B3"/>
    <w:rsid w:val="00BD3676"/>
    <w:rsid w:val="00BD39C8"/>
    <w:rsid w:val="00BD3E6A"/>
    <w:rsid w:val="00BD3F2E"/>
    <w:rsid w:val="00BD441C"/>
    <w:rsid w:val="00BD4D6C"/>
    <w:rsid w:val="00BD710D"/>
    <w:rsid w:val="00BD7155"/>
    <w:rsid w:val="00BD7677"/>
    <w:rsid w:val="00BE0173"/>
    <w:rsid w:val="00BE0482"/>
    <w:rsid w:val="00BE10A8"/>
    <w:rsid w:val="00BE1496"/>
    <w:rsid w:val="00BE293D"/>
    <w:rsid w:val="00BE4CA9"/>
    <w:rsid w:val="00BE52EE"/>
    <w:rsid w:val="00BE53F5"/>
    <w:rsid w:val="00BE6BF2"/>
    <w:rsid w:val="00BE771C"/>
    <w:rsid w:val="00BF08B6"/>
    <w:rsid w:val="00BF0C93"/>
    <w:rsid w:val="00BF11D7"/>
    <w:rsid w:val="00BF24D1"/>
    <w:rsid w:val="00BF4642"/>
    <w:rsid w:val="00BF4C66"/>
    <w:rsid w:val="00BF6734"/>
    <w:rsid w:val="00BF7FD8"/>
    <w:rsid w:val="00C001F1"/>
    <w:rsid w:val="00C00F37"/>
    <w:rsid w:val="00C06022"/>
    <w:rsid w:val="00C101DE"/>
    <w:rsid w:val="00C1028E"/>
    <w:rsid w:val="00C118EC"/>
    <w:rsid w:val="00C12DA7"/>
    <w:rsid w:val="00C13063"/>
    <w:rsid w:val="00C139CD"/>
    <w:rsid w:val="00C13A22"/>
    <w:rsid w:val="00C13A53"/>
    <w:rsid w:val="00C150A2"/>
    <w:rsid w:val="00C15F75"/>
    <w:rsid w:val="00C16981"/>
    <w:rsid w:val="00C1757C"/>
    <w:rsid w:val="00C17B39"/>
    <w:rsid w:val="00C207C1"/>
    <w:rsid w:val="00C20C2A"/>
    <w:rsid w:val="00C226D4"/>
    <w:rsid w:val="00C23F38"/>
    <w:rsid w:val="00C23F3B"/>
    <w:rsid w:val="00C241B1"/>
    <w:rsid w:val="00C27CF0"/>
    <w:rsid w:val="00C27D49"/>
    <w:rsid w:val="00C27D7B"/>
    <w:rsid w:val="00C30111"/>
    <w:rsid w:val="00C3039B"/>
    <w:rsid w:val="00C30828"/>
    <w:rsid w:val="00C30DD8"/>
    <w:rsid w:val="00C31B21"/>
    <w:rsid w:val="00C3297C"/>
    <w:rsid w:val="00C33250"/>
    <w:rsid w:val="00C35030"/>
    <w:rsid w:val="00C3710C"/>
    <w:rsid w:val="00C379E5"/>
    <w:rsid w:val="00C4047D"/>
    <w:rsid w:val="00C40946"/>
    <w:rsid w:val="00C41C8F"/>
    <w:rsid w:val="00C420DD"/>
    <w:rsid w:val="00C450E0"/>
    <w:rsid w:val="00C452F7"/>
    <w:rsid w:val="00C4537E"/>
    <w:rsid w:val="00C46A57"/>
    <w:rsid w:val="00C47A12"/>
    <w:rsid w:val="00C47ADC"/>
    <w:rsid w:val="00C51CE8"/>
    <w:rsid w:val="00C5345B"/>
    <w:rsid w:val="00C54779"/>
    <w:rsid w:val="00C5491F"/>
    <w:rsid w:val="00C551AD"/>
    <w:rsid w:val="00C557F0"/>
    <w:rsid w:val="00C55859"/>
    <w:rsid w:val="00C566F2"/>
    <w:rsid w:val="00C57C1C"/>
    <w:rsid w:val="00C60856"/>
    <w:rsid w:val="00C608B4"/>
    <w:rsid w:val="00C60D10"/>
    <w:rsid w:val="00C60FC1"/>
    <w:rsid w:val="00C614AD"/>
    <w:rsid w:val="00C61B9C"/>
    <w:rsid w:val="00C627D0"/>
    <w:rsid w:val="00C62B59"/>
    <w:rsid w:val="00C62B81"/>
    <w:rsid w:val="00C64085"/>
    <w:rsid w:val="00C642C2"/>
    <w:rsid w:val="00C642E9"/>
    <w:rsid w:val="00C65917"/>
    <w:rsid w:val="00C6593D"/>
    <w:rsid w:val="00C67861"/>
    <w:rsid w:val="00C70C96"/>
    <w:rsid w:val="00C7399A"/>
    <w:rsid w:val="00C73EC2"/>
    <w:rsid w:val="00C74014"/>
    <w:rsid w:val="00C743D6"/>
    <w:rsid w:val="00C74F14"/>
    <w:rsid w:val="00C75012"/>
    <w:rsid w:val="00C7583F"/>
    <w:rsid w:val="00C7584E"/>
    <w:rsid w:val="00C75FC3"/>
    <w:rsid w:val="00C7685B"/>
    <w:rsid w:val="00C76A96"/>
    <w:rsid w:val="00C779D5"/>
    <w:rsid w:val="00C77F95"/>
    <w:rsid w:val="00C77FF8"/>
    <w:rsid w:val="00C801F1"/>
    <w:rsid w:val="00C80252"/>
    <w:rsid w:val="00C80F13"/>
    <w:rsid w:val="00C818FD"/>
    <w:rsid w:val="00C81BBB"/>
    <w:rsid w:val="00C822EB"/>
    <w:rsid w:val="00C82BCB"/>
    <w:rsid w:val="00C8475E"/>
    <w:rsid w:val="00C84BC9"/>
    <w:rsid w:val="00C86FAE"/>
    <w:rsid w:val="00C875FF"/>
    <w:rsid w:val="00C90F3C"/>
    <w:rsid w:val="00C91454"/>
    <w:rsid w:val="00C9280A"/>
    <w:rsid w:val="00C92EA9"/>
    <w:rsid w:val="00C9553A"/>
    <w:rsid w:val="00C95986"/>
    <w:rsid w:val="00C95C54"/>
    <w:rsid w:val="00C9643A"/>
    <w:rsid w:val="00C975AF"/>
    <w:rsid w:val="00CA0128"/>
    <w:rsid w:val="00CA072F"/>
    <w:rsid w:val="00CA13C4"/>
    <w:rsid w:val="00CA2CD0"/>
    <w:rsid w:val="00CA5831"/>
    <w:rsid w:val="00CA6218"/>
    <w:rsid w:val="00CA635A"/>
    <w:rsid w:val="00CA70C6"/>
    <w:rsid w:val="00CB09F2"/>
    <w:rsid w:val="00CB1219"/>
    <w:rsid w:val="00CB506C"/>
    <w:rsid w:val="00CB5523"/>
    <w:rsid w:val="00CB7083"/>
    <w:rsid w:val="00CC0FC4"/>
    <w:rsid w:val="00CC1226"/>
    <w:rsid w:val="00CC167C"/>
    <w:rsid w:val="00CC271A"/>
    <w:rsid w:val="00CC4D12"/>
    <w:rsid w:val="00CC597F"/>
    <w:rsid w:val="00CC6974"/>
    <w:rsid w:val="00CC7AB8"/>
    <w:rsid w:val="00CD1704"/>
    <w:rsid w:val="00CD1AC4"/>
    <w:rsid w:val="00CD2BCB"/>
    <w:rsid w:val="00CD399B"/>
    <w:rsid w:val="00CD3C70"/>
    <w:rsid w:val="00CD421D"/>
    <w:rsid w:val="00CD4BE7"/>
    <w:rsid w:val="00CD59CC"/>
    <w:rsid w:val="00CD63CA"/>
    <w:rsid w:val="00CD740C"/>
    <w:rsid w:val="00CD7CC7"/>
    <w:rsid w:val="00CD7DE4"/>
    <w:rsid w:val="00CE2BA6"/>
    <w:rsid w:val="00CE319D"/>
    <w:rsid w:val="00CE3600"/>
    <w:rsid w:val="00CE3B9E"/>
    <w:rsid w:val="00CE3C4D"/>
    <w:rsid w:val="00CE4629"/>
    <w:rsid w:val="00CE4D25"/>
    <w:rsid w:val="00CE528A"/>
    <w:rsid w:val="00CE5341"/>
    <w:rsid w:val="00CE5563"/>
    <w:rsid w:val="00CE649B"/>
    <w:rsid w:val="00CE7D09"/>
    <w:rsid w:val="00CF02D3"/>
    <w:rsid w:val="00CF05B3"/>
    <w:rsid w:val="00CF065C"/>
    <w:rsid w:val="00CF15A7"/>
    <w:rsid w:val="00CF20F0"/>
    <w:rsid w:val="00CF4D2C"/>
    <w:rsid w:val="00CF613D"/>
    <w:rsid w:val="00CF738C"/>
    <w:rsid w:val="00CF784A"/>
    <w:rsid w:val="00CF7A7F"/>
    <w:rsid w:val="00D01A62"/>
    <w:rsid w:val="00D01B08"/>
    <w:rsid w:val="00D01E32"/>
    <w:rsid w:val="00D020FE"/>
    <w:rsid w:val="00D0511A"/>
    <w:rsid w:val="00D05CA0"/>
    <w:rsid w:val="00D21C6C"/>
    <w:rsid w:val="00D21E76"/>
    <w:rsid w:val="00D222EC"/>
    <w:rsid w:val="00D2336D"/>
    <w:rsid w:val="00D24190"/>
    <w:rsid w:val="00D2421F"/>
    <w:rsid w:val="00D247AF"/>
    <w:rsid w:val="00D24A8F"/>
    <w:rsid w:val="00D257BF"/>
    <w:rsid w:val="00D27564"/>
    <w:rsid w:val="00D27C44"/>
    <w:rsid w:val="00D32FA8"/>
    <w:rsid w:val="00D342F7"/>
    <w:rsid w:val="00D3453E"/>
    <w:rsid w:val="00D34DA5"/>
    <w:rsid w:val="00D35217"/>
    <w:rsid w:val="00D362D7"/>
    <w:rsid w:val="00D36C9A"/>
    <w:rsid w:val="00D36CF1"/>
    <w:rsid w:val="00D3781D"/>
    <w:rsid w:val="00D4057A"/>
    <w:rsid w:val="00D4090A"/>
    <w:rsid w:val="00D41638"/>
    <w:rsid w:val="00D41D1E"/>
    <w:rsid w:val="00D4249A"/>
    <w:rsid w:val="00D42714"/>
    <w:rsid w:val="00D42967"/>
    <w:rsid w:val="00D42E1E"/>
    <w:rsid w:val="00D45061"/>
    <w:rsid w:val="00D454A4"/>
    <w:rsid w:val="00D52002"/>
    <w:rsid w:val="00D52874"/>
    <w:rsid w:val="00D5292F"/>
    <w:rsid w:val="00D5370B"/>
    <w:rsid w:val="00D539D2"/>
    <w:rsid w:val="00D543C5"/>
    <w:rsid w:val="00D551E7"/>
    <w:rsid w:val="00D553ED"/>
    <w:rsid w:val="00D56D48"/>
    <w:rsid w:val="00D57294"/>
    <w:rsid w:val="00D6012B"/>
    <w:rsid w:val="00D6078E"/>
    <w:rsid w:val="00D61F49"/>
    <w:rsid w:val="00D620E1"/>
    <w:rsid w:val="00D6260F"/>
    <w:rsid w:val="00D63072"/>
    <w:rsid w:val="00D6477D"/>
    <w:rsid w:val="00D64FF5"/>
    <w:rsid w:val="00D654F2"/>
    <w:rsid w:val="00D654FA"/>
    <w:rsid w:val="00D709AF"/>
    <w:rsid w:val="00D70F3B"/>
    <w:rsid w:val="00D719D5"/>
    <w:rsid w:val="00D720FE"/>
    <w:rsid w:val="00D725FD"/>
    <w:rsid w:val="00D72868"/>
    <w:rsid w:val="00D731CB"/>
    <w:rsid w:val="00D743D2"/>
    <w:rsid w:val="00D76CF6"/>
    <w:rsid w:val="00D7712F"/>
    <w:rsid w:val="00D7725B"/>
    <w:rsid w:val="00D817A1"/>
    <w:rsid w:val="00D8371D"/>
    <w:rsid w:val="00D85E89"/>
    <w:rsid w:val="00D86AB5"/>
    <w:rsid w:val="00D871B2"/>
    <w:rsid w:val="00D9081D"/>
    <w:rsid w:val="00D91C94"/>
    <w:rsid w:val="00D92C00"/>
    <w:rsid w:val="00D92DE2"/>
    <w:rsid w:val="00D93AA6"/>
    <w:rsid w:val="00D93AD3"/>
    <w:rsid w:val="00D9448E"/>
    <w:rsid w:val="00D9502A"/>
    <w:rsid w:val="00D954B7"/>
    <w:rsid w:val="00D95614"/>
    <w:rsid w:val="00D9588B"/>
    <w:rsid w:val="00D96C5D"/>
    <w:rsid w:val="00D97921"/>
    <w:rsid w:val="00DA3C68"/>
    <w:rsid w:val="00DA4EE2"/>
    <w:rsid w:val="00DA5001"/>
    <w:rsid w:val="00DA5451"/>
    <w:rsid w:val="00DA74FD"/>
    <w:rsid w:val="00DA7F68"/>
    <w:rsid w:val="00DB05B7"/>
    <w:rsid w:val="00DB0F79"/>
    <w:rsid w:val="00DB2B9E"/>
    <w:rsid w:val="00DB2F43"/>
    <w:rsid w:val="00DB2F83"/>
    <w:rsid w:val="00DB2FBE"/>
    <w:rsid w:val="00DB38F9"/>
    <w:rsid w:val="00DB4441"/>
    <w:rsid w:val="00DB495D"/>
    <w:rsid w:val="00DB5C79"/>
    <w:rsid w:val="00DB5D1C"/>
    <w:rsid w:val="00DB6D37"/>
    <w:rsid w:val="00DB744F"/>
    <w:rsid w:val="00DB7B4C"/>
    <w:rsid w:val="00DB7D60"/>
    <w:rsid w:val="00DC0DD7"/>
    <w:rsid w:val="00DC372E"/>
    <w:rsid w:val="00DC42F9"/>
    <w:rsid w:val="00DC47D9"/>
    <w:rsid w:val="00DC4E72"/>
    <w:rsid w:val="00DC5FCC"/>
    <w:rsid w:val="00DC696E"/>
    <w:rsid w:val="00DC69ED"/>
    <w:rsid w:val="00DC7366"/>
    <w:rsid w:val="00DD0B37"/>
    <w:rsid w:val="00DD1720"/>
    <w:rsid w:val="00DD266D"/>
    <w:rsid w:val="00DD28E3"/>
    <w:rsid w:val="00DD2C20"/>
    <w:rsid w:val="00DD303E"/>
    <w:rsid w:val="00DD4975"/>
    <w:rsid w:val="00DD682D"/>
    <w:rsid w:val="00DD7EE9"/>
    <w:rsid w:val="00DD7F40"/>
    <w:rsid w:val="00DE020D"/>
    <w:rsid w:val="00DE0DA9"/>
    <w:rsid w:val="00DE1C43"/>
    <w:rsid w:val="00DE2ECF"/>
    <w:rsid w:val="00DE38B8"/>
    <w:rsid w:val="00DE3DCE"/>
    <w:rsid w:val="00DE41BA"/>
    <w:rsid w:val="00DE4BF1"/>
    <w:rsid w:val="00DE5A9E"/>
    <w:rsid w:val="00DE7095"/>
    <w:rsid w:val="00DF049A"/>
    <w:rsid w:val="00DF08BB"/>
    <w:rsid w:val="00DF0ED5"/>
    <w:rsid w:val="00DF0F56"/>
    <w:rsid w:val="00DF2D63"/>
    <w:rsid w:val="00DF3271"/>
    <w:rsid w:val="00DF4AB4"/>
    <w:rsid w:val="00DF4CCF"/>
    <w:rsid w:val="00DF4E0E"/>
    <w:rsid w:val="00DF532D"/>
    <w:rsid w:val="00DF58AA"/>
    <w:rsid w:val="00DF62CB"/>
    <w:rsid w:val="00DF6B29"/>
    <w:rsid w:val="00DF7966"/>
    <w:rsid w:val="00DF7F44"/>
    <w:rsid w:val="00E02FC6"/>
    <w:rsid w:val="00E04268"/>
    <w:rsid w:val="00E04EF6"/>
    <w:rsid w:val="00E060D8"/>
    <w:rsid w:val="00E064C0"/>
    <w:rsid w:val="00E06CA7"/>
    <w:rsid w:val="00E06EEA"/>
    <w:rsid w:val="00E11D89"/>
    <w:rsid w:val="00E12BD4"/>
    <w:rsid w:val="00E13A81"/>
    <w:rsid w:val="00E13CEC"/>
    <w:rsid w:val="00E140BE"/>
    <w:rsid w:val="00E146BC"/>
    <w:rsid w:val="00E14E68"/>
    <w:rsid w:val="00E16380"/>
    <w:rsid w:val="00E169BD"/>
    <w:rsid w:val="00E16C09"/>
    <w:rsid w:val="00E1731D"/>
    <w:rsid w:val="00E22971"/>
    <w:rsid w:val="00E22A7E"/>
    <w:rsid w:val="00E23CD6"/>
    <w:rsid w:val="00E241F0"/>
    <w:rsid w:val="00E244FE"/>
    <w:rsid w:val="00E250F7"/>
    <w:rsid w:val="00E25C62"/>
    <w:rsid w:val="00E26878"/>
    <w:rsid w:val="00E270B4"/>
    <w:rsid w:val="00E278EF"/>
    <w:rsid w:val="00E27F1B"/>
    <w:rsid w:val="00E30A80"/>
    <w:rsid w:val="00E326FB"/>
    <w:rsid w:val="00E32709"/>
    <w:rsid w:val="00E3273B"/>
    <w:rsid w:val="00E32C08"/>
    <w:rsid w:val="00E33200"/>
    <w:rsid w:val="00E3464B"/>
    <w:rsid w:val="00E35A7F"/>
    <w:rsid w:val="00E411B9"/>
    <w:rsid w:val="00E4167F"/>
    <w:rsid w:val="00E42A2D"/>
    <w:rsid w:val="00E43184"/>
    <w:rsid w:val="00E43C10"/>
    <w:rsid w:val="00E44823"/>
    <w:rsid w:val="00E44BB4"/>
    <w:rsid w:val="00E45975"/>
    <w:rsid w:val="00E46970"/>
    <w:rsid w:val="00E46B96"/>
    <w:rsid w:val="00E46DAA"/>
    <w:rsid w:val="00E46F72"/>
    <w:rsid w:val="00E50830"/>
    <w:rsid w:val="00E512AC"/>
    <w:rsid w:val="00E5238D"/>
    <w:rsid w:val="00E543F5"/>
    <w:rsid w:val="00E55997"/>
    <w:rsid w:val="00E61360"/>
    <w:rsid w:val="00E61A56"/>
    <w:rsid w:val="00E61DAC"/>
    <w:rsid w:val="00E629AE"/>
    <w:rsid w:val="00E648B7"/>
    <w:rsid w:val="00E64E80"/>
    <w:rsid w:val="00E66688"/>
    <w:rsid w:val="00E70785"/>
    <w:rsid w:val="00E707EB"/>
    <w:rsid w:val="00E72E74"/>
    <w:rsid w:val="00E73C11"/>
    <w:rsid w:val="00E74F02"/>
    <w:rsid w:val="00E75236"/>
    <w:rsid w:val="00E752F1"/>
    <w:rsid w:val="00E77647"/>
    <w:rsid w:val="00E776CA"/>
    <w:rsid w:val="00E77C5B"/>
    <w:rsid w:val="00E77CB8"/>
    <w:rsid w:val="00E8043D"/>
    <w:rsid w:val="00E81911"/>
    <w:rsid w:val="00E82DC6"/>
    <w:rsid w:val="00E846AF"/>
    <w:rsid w:val="00E84AF3"/>
    <w:rsid w:val="00E875C5"/>
    <w:rsid w:val="00E87897"/>
    <w:rsid w:val="00E911A6"/>
    <w:rsid w:val="00E9212B"/>
    <w:rsid w:val="00E92F6E"/>
    <w:rsid w:val="00E93235"/>
    <w:rsid w:val="00E93A56"/>
    <w:rsid w:val="00E94895"/>
    <w:rsid w:val="00E9526E"/>
    <w:rsid w:val="00E97835"/>
    <w:rsid w:val="00E9795A"/>
    <w:rsid w:val="00E97F13"/>
    <w:rsid w:val="00EA04A0"/>
    <w:rsid w:val="00EA369E"/>
    <w:rsid w:val="00EA59B9"/>
    <w:rsid w:val="00EA6016"/>
    <w:rsid w:val="00EA6617"/>
    <w:rsid w:val="00EA6CDF"/>
    <w:rsid w:val="00EA77C4"/>
    <w:rsid w:val="00EB0035"/>
    <w:rsid w:val="00EB33D1"/>
    <w:rsid w:val="00EB3EFC"/>
    <w:rsid w:val="00EB42FF"/>
    <w:rsid w:val="00EB4485"/>
    <w:rsid w:val="00EB44D3"/>
    <w:rsid w:val="00EB5ECA"/>
    <w:rsid w:val="00EB6E21"/>
    <w:rsid w:val="00EB6EC1"/>
    <w:rsid w:val="00EC024F"/>
    <w:rsid w:val="00EC0ED1"/>
    <w:rsid w:val="00EC157B"/>
    <w:rsid w:val="00EC23C8"/>
    <w:rsid w:val="00EC25D8"/>
    <w:rsid w:val="00EC3833"/>
    <w:rsid w:val="00EC4634"/>
    <w:rsid w:val="00EC652F"/>
    <w:rsid w:val="00EC7831"/>
    <w:rsid w:val="00ED0194"/>
    <w:rsid w:val="00ED2E2F"/>
    <w:rsid w:val="00ED3A1C"/>
    <w:rsid w:val="00ED3A5E"/>
    <w:rsid w:val="00ED45BE"/>
    <w:rsid w:val="00ED5205"/>
    <w:rsid w:val="00ED63B6"/>
    <w:rsid w:val="00ED6C06"/>
    <w:rsid w:val="00ED745D"/>
    <w:rsid w:val="00ED7E47"/>
    <w:rsid w:val="00EE1663"/>
    <w:rsid w:val="00EE2845"/>
    <w:rsid w:val="00EE2A6D"/>
    <w:rsid w:val="00EE2BE4"/>
    <w:rsid w:val="00EE558F"/>
    <w:rsid w:val="00EE565A"/>
    <w:rsid w:val="00EE7FFB"/>
    <w:rsid w:val="00EF05EE"/>
    <w:rsid w:val="00EF0A77"/>
    <w:rsid w:val="00EF0E3D"/>
    <w:rsid w:val="00EF1553"/>
    <w:rsid w:val="00EF1D01"/>
    <w:rsid w:val="00EF2565"/>
    <w:rsid w:val="00EF3C2E"/>
    <w:rsid w:val="00EF43F2"/>
    <w:rsid w:val="00EF549C"/>
    <w:rsid w:val="00EF7581"/>
    <w:rsid w:val="00EF7F35"/>
    <w:rsid w:val="00F01480"/>
    <w:rsid w:val="00F01FFC"/>
    <w:rsid w:val="00F0204B"/>
    <w:rsid w:val="00F027EC"/>
    <w:rsid w:val="00F02E5B"/>
    <w:rsid w:val="00F0317B"/>
    <w:rsid w:val="00F03AE5"/>
    <w:rsid w:val="00F041C5"/>
    <w:rsid w:val="00F050C3"/>
    <w:rsid w:val="00F05EF2"/>
    <w:rsid w:val="00F05FB4"/>
    <w:rsid w:val="00F06402"/>
    <w:rsid w:val="00F0774D"/>
    <w:rsid w:val="00F105D7"/>
    <w:rsid w:val="00F10C50"/>
    <w:rsid w:val="00F11E03"/>
    <w:rsid w:val="00F15248"/>
    <w:rsid w:val="00F17633"/>
    <w:rsid w:val="00F20171"/>
    <w:rsid w:val="00F20C4B"/>
    <w:rsid w:val="00F20F24"/>
    <w:rsid w:val="00F215CE"/>
    <w:rsid w:val="00F21DFA"/>
    <w:rsid w:val="00F22812"/>
    <w:rsid w:val="00F22CEC"/>
    <w:rsid w:val="00F23256"/>
    <w:rsid w:val="00F249C0"/>
    <w:rsid w:val="00F262D6"/>
    <w:rsid w:val="00F263BF"/>
    <w:rsid w:val="00F268F6"/>
    <w:rsid w:val="00F26FC9"/>
    <w:rsid w:val="00F27247"/>
    <w:rsid w:val="00F2747A"/>
    <w:rsid w:val="00F277D8"/>
    <w:rsid w:val="00F27FD7"/>
    <w:rsid w:val="00F30124"/>
    <w:rsid w:val="00F30508"/>
    <w:rsid w:val="00F30DD9"/>
    <w:rsid w:val="00F31AF9"/>
    <w:rsid w:val="00F32F68"/>
    <w:rsid w:val="00F33638"/>
    <w:rsid w:val="00F33D2E"/>
    <w:rsid w:val="00F345A7"/>
    <w:rsid w:val="00F349B3"/>
    <w:rsid w:val="00F34C47"/>
    <w:rsid w:val="00F35B45"/>
    <w:rsid w:val="00F372D2"/>
    <w:rsid w:val="00F37A5F"/>
    <w:rsid w:val="00F405AF"/>
    <w:rsid w:val="00F41D9F"/>
    <w:rsid w:val="00F429B5"/>
    <w:rsid w:val="00F43D60"/>
    <w:rsid w:val="00F43DEB"/>
    <w:rsid w:val="00F43EB8"/>
    <w:rsid w:val="00F46FE5"/>
    <w:rsid w:val="00F50484"/>
    <w:rsid w:val="00F50CF9"/>
    <w:rsid w:val="00F51437"/>
    <w:rsid w:val="00F525DC"/>
    <w:rsid w:val="00F52775"/>
    <w:rsid w:val="00F52A2E"/>
    <w:rsid w:val="00F52FF7"/>
    <w:rsid w:val="00F56368"/>
    <w:rsid w:val="00F56A04"/>
    <w:rsid w:val="00F574C7"/>
    <w:rsid w:val="00F575BD"/>
    <w:rsid w:val="00F63458"/>
    <w:rsid w:val="00F6496C"/>
    <w:rsid w:val="00F64CD4"/>
    <w:rsid w:val="00F67650"/>
    <w:rsid w:val="00F71B20"/>
    <w:rsid w:val="00F7216E"/>
    <w:rsid w:val="00F72ECC"/>
    <w:rsid w:val="00F7430B"/>
    <w:rsid w:val="00F74B25"/>
    <w:rsid w:val="00F758D6"/>
    <w:rsid w:val="00F76847"/>
    <w:rsid w:val="00F7769F"/>
    <w:rsid w:val="00F80716"/>
    <w:rsid w:val="00F82374"/>
    <w:rsid w:val="00F82A93"/>
    <w:rsid w:val="00F83B35"/>
    <w:rsid w:val="00F840D5"/>
    <w:rsid w:val="00F846D9"/>
    <w:rsid w:val="00F852A1"/>
    <w:rsid w:val="00F85315"/>
    <w:rsid w:val="00F877CE"/>
    <w:rsid w:val="00F904B1"/>
    <w:rsid w:val="00F90695"/>
    <w:rsid w:val="00F9139B"/>
    <w:rsid w:val="00F9164F"/>
    <w:rsid w:val="00F92BCB"/>
    <w:rsid w:val="00F92EEF"/>
    <w:rsid w:val="00F939FE"/>
    <w:rsid w:val="00F93F98"/>
    <w:rsid w:val="00F95B3A"/>
    <w:rsid w:val="00F95EBF"/>
    <w:rsid w:val="00F96BA3"/>
    <w:rsid w:val="00F97B82"/>
    <w:rsid w:val="00F97FAE"/>
    <w:rsid w:val="00FA05E3"/>
    <w:rsid w:val="00FA0D24"/>
    <w:rsid w:val="00FA208F"/>
    <w:rsid w:val="00FA298C"/>
    <w:rsid w:val="00FA2C0C"/>
    <w:rsid w:val="00FA2D96"/>
    <w:rsid w:val="00FA2E9E"/>
    <w:rsid w:val="00FA3524"/>
    <w:rsid w:val="00FA490C"/>
    <w:rsid w:val="00FA6A90"/>
    <w:rsid w:val="00FA6C26"/>
    <w:rsid w:val="00FB0710"/>
    <w:rsid w:val="00FB2DB6"/>
    <w:rsid w:val="00FB3A05"/>
    <w:rsid w:val="00FB596F"/>
    <w:rsid w:val="00FB6821"/>
    <w:rsid w:val="00FB6C57"/>
    <w:rsid w:val="00FB7CA2"/>
    <w:rsid w:val="00FB7D9C"/>
    <w:rsid w:val="00FC0168"/>
    <w:rsid w:val="00FC1987"/>
    <w:rsid w:val="00FC2FEE"/>
    <w:rsid w:val="00FC33F0"/>
    <w:rsid w:val="00FC3E6F"/>
    <w:rsid w:val="00FC4A56"/>
    <w:rsid w:val="00FC5E88"/>
    <w:rsid w:val="00FC6010"/>
    <w:rsid w:val="00FC632A"/>
    <w:rsid w:val="00FC6F9A"/>
    <w:rsid w:val="00FC73CE"/>
    <w:rsid w:val="00FC7589"/>
    <w:rsid w:val="00FC77EF"/>
    <w:rsid w:val="00FC7E22"/>
    <w:rsid w:val="00FD030A"/>
    <w:rsid w:val="00FD13EC"/>
    <w:rsid w:val="00FD1505"/>
    <w:rsid w:val="00FD4C67"/>
    <w:rsid w:val="00FD58C8"/>
    <w:rsid w:val="00FD5D14"/>
    <w:rsid w:val="00FD751F"/>
    <w:rsid w:val="00FE30A8"/>
    <w:rsid w:val="00FE342C"/>
    <w:rsid w:val="00FE3C39"/>
    <w:rsid w:val="00FE46B3"/>
    <w:rsid w:val="00FE4D46"/>
    <w:rsid w:val="00FE4D5E"/>
    <w:rsid w:val="00FE5A11"/>
    <w:rsid w:val="00FE6718"/>
    <w:rsid w:val="00FE682C"/>
    <w:rsid w:val="00FF1C2B"/>
    <w:rsid w:val="00FF2541"/>
    <w:rsid w:val="00FF3282"/>
    <w:rsid w:val="00FF4615"/>
    <w:rsid w:val="00FF4987"/>
    <w:rsid w:val="00FF4E31"/>
    <w:rsid w:val="00FF5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FB5EF"/>
  <w15:docId w15:val="{D579F0B3-260E-4195-8E7E-18A8922B8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273B"/>
    <w:pPr>
      <w:spacing w:after="0" w:line="240" w:lineRule="auto"/>
    </w:pPr>
    <w:rPr>
      <w:rFonts w:ascii="Times New Roman" w:eastAsia="Times New Roman" w:hAnsi="Times New Roman" w:cs="Times New Roman"/>
      <w:sz w:val="24"/>
      <w:szCs w:val="24"/>
      <w:lang w:val="it-IT" w:eastAsia="it-IT"/>
    </w:rPr>
  </w:style>
  <w:style w:type="paragraph" w:styleId="Titolo1">
    <w:name w:val="heading 1"/>
    <w:basedOn w:val="Normale"/>
    <w:next w:val="Normale"/>
    <w:link w:val="Titolo1Carattere"/>
    <w:uiPriority w:val="9"/>
    <w:qFormat/>
    <w:rsid w:val="002F2C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241A0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0F768F"/>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unhideWhenUsed/>
    <w:qFormat/>
    <w:rsid w:val="000F76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copustermhighlight1">
    <w:name w:val="scopustermhighlight1"/>
    <w:basedOn w:val="Carpredefinitoparagrafo"/>
    <w:rsid w:val="00AE646A"/>
    <w:rPr>
      <w:b/>
      <w:bCs/>
    </w:rPr>
  </w:style>
  <w:style w:type="character" w:customStyle="1" w:styleId="txt">
    <w:name w:val="txt"/>
    <w:basedOn w:val="Carpredefinitoparagrafo"/>
    <w:rsid w:val="003E0FF0"/>
  </w:style>
  <w:style w:type="paragraph" w:styleId="Paragrafoelenco">
    <w:name w:val="List Paragraph"/>
    <w:basedOn w:val="Normale"/>
    <w:qFormat/>
    <w:rsid w:val="00CE7D09"/>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Testonotaapidipagina">
    <w:name w:val="footnote text"/>
    <w:basedOn w:val="Normale"/>
    <w:link w:val="TestonotaapidipaginaCarattere"/>
    <w:unhideWhenUsed/>
    <w:rsid w:val="008D5048"/>
    <w:rPr>
      <w:rFonts w:asciiTheme="minorHAnsi" w:eastAsiaTheme="minorHAnsi" w:hAnsiTheme="minorHAnsi" w:cstheme="minorBidi"/>
      <w:sz w:val="20"/>
      <w:szCs w:val="20"/>
      <w:lang w:val="en-GB" w:eastAsia="en-US"/>
    </w:rPr>
  </w:style>
  <w:style w:type="character" w:customStyle="1" w:styleId="TestonotaapidipaginaCarattere">
    <w:name w:val="Testo nota a piè di pagina Carattere"/>
    <w:basedOn w:val="Carpredefinitoparagrafo"/>
    <w:link w:val="Testonotaapidipagina"/>
    <w:rsid w:val="008D5048"/>
    <w:rPr>
      <w:sz w:val="20"/>
      <w:szCs w:val="20"/>
    </w:rPr>
  </w:style>
  <w:style w:type="character" w:styleId="Rimandonotaapidipagina">
    <w:name w:val="footnote reference"/>
    <w:basedOn w:val="Carpredefinitoparagrafo"/>
    <w:uiPriority w:val="99"/>
    <w:unhideWhenUsed/>
    <w:rsid w:val="008D5048"/>
    <w:rPr>
      <w:vertAlign w:val="superscript"/>
    </w:rPr>
  </w:style>
  <w:style w:type="character" w:styleId="Collegamentoipertestuale">
    <w:name w:val="Hyperlink"/>
    <w:basedOn w:val="Carpredefinitoparagrafo"/>
    <w:uiPriority w:val="99"/>
    <w:unhideWhenUsed/>
    <w:rsid w:val="008D5048"/>
    <w:rPr>
      <w:color w:val="0000FF" w:themeColor="hyperlink"/>
      <w:u w:val="single"/>
    </w:rPr>
  </w:style>
  <w:style w:type="character" w:customStyle="1" w:styleId="tooltiptextvisible1">
    <w:name w:val="tooltiptextvisible1"/>
    <w:basedOn w:val="Carpredefinitoparagrafo"/>
    <w:rsid w:val="006451BC"/>
  </w:style>
  <w:style w:type="character" w:customStyle="1" w:styleId="doctitle">
    <w:name w:val="doctitle"/>
    <w:basedOn w:val="Carpredefinitoparagrafo"/>
    <w:rsid w:val="00CE4629"/>
  </w:style>
  <w:style w:type="character" w:customStyle="1" w:styleId="querysrchtext1">
    <w:name w:val="querysrchtext1"/>
    <w:basedOn w:val="Carpredefinitoparagrafo"/>
    <w:rsid w:val="002F24C0"/>
    <w:rPr>
      <w:sz w:val="23"/>
      <w:szCs w:val="23"/>
    </w:rPr>
  </w:style>
  <w:style w:type="character" w:customStyle="1" w:styleId="citeddoctitle1">
    <w:name w:val="citeddoctitle1"/>
    <w:basedOn w:val="Carpredefinitoparagrafo"/>
    <w:rsid w:val="002F24C0"/>
    <w:rPr>
      <w:sz w:val="25"/>
      <w:szCs w:val="25"/>
    </w:rPr>
  </w:style>
  <w:style w:type="paragraph" w:styleId="Intestazione">
    <w:name w:val="header"/>
    <w:basedOn w:val="Normale"/>
    <w:link w:val="IntestazioneCarattere"/>
    <w:uiPriority w:val="99"/>
    <w:unhideWhenUsed/>
    <w:rsid w:val="00400C6F"/>
    <w:pPr>
      <w:tabs>
        <w:tab w:val="center" w:pos="4819"/>
        <w:tab w:val="right" w:pos="9638"/>
      </w:tabs>
    </w:pPr>
    <w:rPr>
      <w:rFonts w:asciiTheme="minorHAnsi" w:eastAsiaTheme="minorHAnsi" w:hAnsiTheme="minorHAnsi" w:cstheme="minorBidi"/>
      <w:sz w:val="22"/>
      <w:szCs w:val="22"/>
      <w:lang w:val="en-GB" w:eastAsia="en-US"/>
    </w:rPr>
  </w:style>
  <w:style w:type="character" w:customStyle="1" w:styleId="IntestazioneCarattere">
    <w:name w:val="Intestazione Carattere"/>
    <w:basedOn w:val="Carpredefinitoparagrafo"/>
    <w:link w:val="Intestazione"/>
    <w:uiPriority w:val="99"/>
    <w:rsid w:val="00400C6F"/>
  </w:style>
  <w:style w:type="paragraph" w:styleId="Pidipagina">
    <w:name w:val="footer"/>
    <w:basedOn w:val="Normale"/>
    <w:link w:val="PidipaginaCarattere"/>
    <w:uiPriority w:val="99"/>
    <w:unhideWhenUsed/>
    <w:rsid w:val="00400C6F"/>
    <w:pPr>
      <w:tabs>
        <w:tab w:val="center" w:pos="4819"/>
        <w:tab w:val="right" w:pos="9638"/>
      </w:tabs>
    </w:pPr>
    <w:rPr>
      <w:rFonts w:asciiTheme="minorHAnsi" w:eastAsiaTheme="minorHAnsi" w:hAnsiTheme="minorHAnsi" w:cstheme="minorBidi"/>
      <w:sz w:val="22"/>
      <w:szCs w:val="22"/>
      <w:lang w:val="en-GB" w:eastAsia="en-US"/>
    </w:rPr>
  </w:style>
  <w:style w:type="character" w:customStyle="1" w:styleId="PidipaginaCarattere">
    <w:name w:val="Piè di pagina Carattere"/>
    <w:basedOn w:val="Carpredefinitoparagrafo"/>
    <w:link w:val="Pidipagina"/>
    <w:uiPriority w:val="99"/>
    <w:rsid w:val="00400C6F"/>
  </w:style>
  <w:style w:type="character" w:styleId="Enfasicorsivo">
    <w:name w:val="Emphasis"/>
    <w:basedOn w:val="Carpredefinitoparagrafo"/>
    <w:uiPriority w:val="20"/>
    <w:qFormat/>
    <w:rsid w:val="00DF0ED5"/>
    <w:rPr>
      <w:i/>
      <w:iCs/>
    </w:rPr>
  </w:style>
  <w:style w:type="paragraph" w:customStyle="1" w:styleId="Default">
    <w:name w:val="Default"/>
    <w:rsid w:val="00A20CA5"/>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Rimandocommento">
    <w:name w:val="annotation reference"/>
    <w:basedOn w:val="Carpredefinitoparagrafo"/>
    <w:semiHidden/>
    <w:unhideWhenUsed/>
    <w:rsid w:val="00204C68"/>
    <w:rPr>
      <w:sz w:val="16"/>
      <w:szCs w:val="16"/>
    </w:rPr>
  </w:style>
  <w:style w:type="paragraph" w:styleId="Testocommento">
    <w:name w:val="annotation text"/>
    <w:basedOn w:val="Normale"/>
    <w:link w:val="TestocommentoCarattere"/>
    <w:uiPriority w:val="99"/>
    <w:semiHidden/>
    <w:unhideWhenUsed/>
    <w:rsid w:val="00204C68"/>
    <w:pPr>
      <w:spacing w:after="200"/>
    </w:pPr>
    <w:rPr>
      <w:rFonts w:asciiTheme="minorHAnsi" w:eastAsiaTheme="minorHAnsi" w:hAnsiTheme="minorHAnsi" w:cstheme="minorBidi"/>
      <w:sz w:val="20"/>
      <w:szCs w:val="20"/>
      <w:lang w:val="en-GB" w:eastAsia="en-US"/>
    </w:rPr>
  </w:style>
  <w:style w:type="character" w:customStyle="1" w:styleId="TestocommentoCarattere">
    <w:name w:val="Testo commento Carattere"/>
    <w:basedOn w:val="Carpredefinitoparagrafo"/>
    <w:link w:val="Testocommento"/>
    <w:uiPriority w:val="99"/>
    <w:semiHidden/>
    <w:rsid w:val="00204C68"/>
    <w:rPr>
      <w:sz w:val="20"/>
      <w:szCs w:val="20"/>
    </w:rPr>
  </w:style>
  <w:style w:type="paragraph" w:styleId="Soggettocommento">
    <w:name w:val="annotation subject"/>
    <w:basedOn w:val="Testocommento"/>
    <w:next w:val="Testocommento"/>
    <w:link w:val="SoggettocommentoCarattere"/>
    <w:uiPriority w:val="99"/>
    <w:semiHidden/>
    <w:unhideWhenUsed/>
    <w:rsid w:val="00204C68"/>
    <w:rPr>
      <w:b/>
      <w:bCs/>
    </w:rPr>
  </w:style>
  <w:style w:type="character" w:customStyle="1" w:styleId="SoggettocommentoCarattere">
    <w:name w:val="Soggetto commento Carattere"/>
    <w:basedOn w:val="TestocommentoCarattere"/>
    <w:link w:val="Soggettocommento"/>
    <w:uiPriority w:val="99"/>
    <w:semiHidden/>
    <w:rsid w:val="00204C68"/>
    <w:rPr>
      <w:b/>
      <w:bCs/>
      <w:sz w:val="20"/>
      <w:szCs w:val="20"/>
    </w:rPr>
  </w:style>
  <w:style w:type="paragraph" w:styleId="Testofumetto">
    <w:name w:val="Balloon Text"/>
    <w:basedOn w:val="Normale"/>
    <w:link w:val="TestofumettoCarattere"/>
    <w:uiPriority w:val="99"/>
    <w:semiHidden/>
    <w:unhideWhenUsed/>
    <w:rsid w:val="00204C68"/>
    <w:rPr>
      <w:rFonts w:ascii="Tahoma" w:eastAsiaTheme="minorHAnsi" w:hAnsi="Tahoma" w:cs="Tahoma"/>
      <w:sz w:val="16"/>
      <w:szCs w:val="16"/>
      <w:lang w:val="en-GB" w:eastAsia="en-US"/>
    </w:rPr>
  </w:style>
  <w:style w:type="character" w:customStyle="1" w:styleId="TestofumettoCarattere">
    <w:name w:val="Testo fumetto Carattere"/>
    <w:basedOn w:val="Carpredefinitoparagrafo"/>
    <w:link w:val="Testofumetto"/>
    <w:uiPriority w:val="99"/>
    <w:semiHidden/>
    <w:rsid w:val="00204C68"/>
    <w:rPr>
      <w:rFonts w:ascii="Tahoma" w:hAnsi="Tahoma" w:cs="Tahoma"/>
      <w:sz w:val="16"/>
      <w:szCs w:val="16"/>
    </w:rPr>
  </w:style>
  <w:style w:type="paragraph" w:styleId="NormaleWeb">
    <w:name w:val="Normal (Web)"/>
    <w:basedOn w:val="Normale"/>
    <w:uiPriority w:val="99"/>
    <w:unhideWhenUsed/>
    <w:rsid w:val="00E46B96"/>
    <w:pPr>
      <w:spacing w:before="100" w:beforeAutospacing="1" w:after="100" w:afterAutospacing="1"/>
    </w:pPr>
    <w:rPr>
      <w:rFonts w:eastAsiaTheme="minorHAnsi"/>
    </w:rPr>
  </w:style>
  <w:style w:type="character" w:styleId="Collegamentovisitato">
    <w:name w:val="FollowedHyperlink"/>
    <w:basedOn w:val="Carpredefinitoparagrafo"/>
    <w:uiPriority w:val="99"/>
    <w:semiHidden/>
    <w:unhideWhenUsed/>
    <w:rsid w:val="00C35030"/>
    <w:rPr>
      <w:color w:val="800080" w:themeColor="followedHyperlink"/>
      <w:u w:val="single"/>
    </w:rPr>
  </w:style>
  <w:style w:type="paragraph" w:styleId="Revisione">
    <w:name w:val="Revision"/>
    <w:hidden/>
    <w:uiPriority w:val="99"/>
    <w:semiHidden/>
    <w:rsid w:val="001F1803"/>
    <w:pPr>
      <w:spacing w:after="0" w:line="240" w:lineRule="auto"/>
    </w:pPr>
    <w:rPr>
      <w:rFonts w:ascii="Times New Roman" w:eastAsia="Times New Roman" w:hAnsi="Times New Roman" w:cs="Times New Roman"/>
      <w:sz w:val="24"/>
      <w:szCs w:val="24"/>
      <w:lang w:val="it-IT" w:eastAsia="it-IT"/>
    </w:rPr>
  </w:style>
  <w:style w:type="character" w:customStyle="1" w:styleId="Titolo1Carattere">
    <w:name w:val="Titolo 1 Carattere"/>
    <w:basedOn w:val="Carpredefinitoparagrafo"/>
    <w:link w:val="Titolo1"/>
    <w:uiPriority w:val="9"/>
    <w:rsid w:val="002F2C6E"/>
    <w:rPr>
      <w:rFonts w:asciiTheme="majorHAnsi" w:eastAsiaTheme="majorEastAsia" w:hAnsiTheme="majorHAnsi" w:cstheme="majorBidi"/>
      <w:b/>
      <w:bCs/>
      <w:color w:val="365F91" w:themeColor="accent1" w:themeShade="BF"/>
      <w:sz w:val="28"/>
      <w:szCs w:val="28"/>
      <w:lang w:val="it-IT" w:eastAsia="it-IT"/>
    </w:rPr>
  </w:style>
  <w:style w:type="paragraph" w:styleId="Titolosommario">
    <w:name w:val="TOC Heading"/>
    <w:basedOn w:val="Titolo1"/>
    <w:next w:val="Normale"/>
    <w:uiPriority w:val="39"/>
    <w:unhideWhenUsed/>
    <w:qFormat/>
    <w:rsid w:val="002F2C6E"/>
    <w:pPr>
      <w:spacing w:line="276" w:lineRule="auto"/>
      <w:outlineLvl w:val="9"/>
    </w:pPr>
  </w:style>
  <w:style w:type="paragraph" w:styleId="Sommario1">
    <w:name w:val="toc 1"/>
    <w:basedOn w:val="Normale"/>
    <w:next w:val="Normale"/>
    <w:autoRedefine/>
    <w:uiPriority w:val="39"/>
    <w:unhideWhenUsed/>
    <w:rsid w:val="00107C3F"/>
    <w:pPr>
      <w:tabs>
        <w:tab w:val="right" w:leader="dot" w:pos="7927"/>
      </w:tabs>
      <w:spacing w:after="100"/>
      <w:jc w:val="both"/>
    </w:pPr>
    <w:rPr>
      <w:b/>
      <w:noProof/>
      <w:lang w:val="en-GB" w:eastAsia="en-US"/>
    </w:rPr>
  </w:style>
  <w:style w:type="character" w:customStyle="1" w:styleId="Titolo2Carattere">
    <w:name w:val="Titolo 2 Carattere"/>
    <w:basedOn w:val="Carpredefinitoparagrafo"/>
    <w:link w:val="Titolo2"/>
    <w:uiPriority w:val="9"/>
    <w:rsid w:val="00241A0C"/>
    <w:rPr>
      <w:rFonts w:asciiTheme="majorHAnsi" w:eastAsiaTheme="majorEastAsia" w:hAnsiTheme="majorHAnsi" w:cstheme="majorBidi"/>
      <w:b/>
      <w:bCs/>
      <w:color w:val="4F81BD" w:themeColor="accent1"/>
      <w:sz w:val="26"/>
      <w:szCs w:val="26"/>
      <w:lang w:val="it-IT" w:eastAsia="it-IT"/>
    </w:rPr>
  </w:style>
  <w:style w:type="paragraph" w:styleId="Sommario2">
    <w:name w:val="toc 2"/>
    <w:basedOn w:val="Normale"/>
    <w:next w:val="Normale"/>
    <w:autoRedefine/>
    <w:uiPriority w:val="39"/>
    <w:unhideWhenUsed/>
    <w:rsid w:val="00241A0C"/>
    <w:pPr>
      <w:spacing w:after="100"/>
      <w:ind w:left="240"/>
    </w:pPr>
  </w:style>
  <w:style w:type="table" w:styleId="Grigliatabella">
    <w:name w:val="Table Grid"/>
    <w:basedOn w:val="Tabellanormale"/>
    <w:uiPriority w:val="39"/>
    <w:rsid w:val="004D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21">
    <w:name w:val="Tabella semplice - 21"/>
    <w:basedOn w:val="Tabellanormale"/>
    <w:uiPriority w:val="42"/>
    <w:rsid w:val="004D6EB2"/>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itolo">
    <w:name w:val="Title"/>
    <w:basedOn w:val="Normale"/>
    <w:next w:val="Normale"/>
    <w:link w:val="TitoloCarattere"/>
    <w:uiPriority w:val="10"/>
    <w:qFormat/>
    <w:rsid w:val="004D6EB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4D6EB2"/>
    <w:rPr>
      <w:rFonts w:asciiTheme="majorHAnsi" w:eastAsiaTheme="majorEastAsia" w:hAnsiTheme="majorHAnsi" w:cstheme="majorBidi"/>
      <w:color w:val="17365D" w:themeColor="text2" w:themeShade="BF"/>
      <w:spacing w:val="5"/>
      <w:kern w:val="28"/>
      <w:sz w:val="52"/>
      <w:szCs w:val="52"/>
      <w:lang w:val="it-IT" w:eastAsia="it-IT"/>
    </w:rPr>
  </w:style>
  <w:style w:type="character" w:customStyle="1" w:styleId="Titolo3Carattere">
    <w:name w:val="Titolo 3 Carattere"/>
    <w:basedOn w:val="Carpredefinitoparagrafo"/>
    <w:link w:val="Titolo3"/>
    <w:uiPriority w:val="9"/>
    <w:rsid w:val="000F768F"/>
    <w:rPr>
      <w:rFonts w:asciiTheme="majorHAnsi" w:eastAsiaTheme="majorEastAsia" w:hAnsiTheme="majorHAnsi" w:cstheme="majorBidi"/>
      <w:b/>
      <w:bCs/>
      <w:color w:val="4F81BD" w:themeColor="accent1"/>
      <w:sz w:val="24"/>
      <w:szCs w:val="24"/>
      <w:lang w:val="it-IT" w:eastAsia="it-IT"/>
    </w:rPr>
  </w:style>
  <w:style w:type="character" w:customStyle="1" w:styleId="Titolo4Carattere">
    <w:name w:val="Titolo 4 Carattere"/>
    <w:basedOn w:val="Carpredefinitoparagrafo"/>
    <w:link w:val="Titolo4"/>
    <w:uiPriority w:val="9"/>
    <w:rsid w:val="000F768F"/>
    <w:rPr>
      <w:rFonts w:asciiTheme="majorHAnsi" w:eastAsiaTheme="majorEastAsia" w:hAnsiTheme="majorHAnsi" w:cstheme="majorBidi"/>
      <w:b/>
      <w:bCs/>
      <w:i/>
      <w:iCs/>
      <w:color w:val="4F81BD" w:themeColor="accent1"/>
      <w:sz w:val="24"/>
      <w:szCs w:val="24"/>
      <w:lang w:val="it-IT" w:eastAsia="it-IT"/>
    </w:rPr>
  </w:style>
  <w:style w:type="paragraph" w:styleId="Sommario3">
    <w:name w:val="toc 3"/>
    <w:basedOn w:val="Normale"/>
    <w:next w:val="Normale"/>
    <w:autoRedefine/>
    <w:uiPriority w:val="39"/>
    <w:unhideWhenUsed/>
    <w:rsid w:val="000F768F"/>
    <w:pPr>
      <w:spacing w:after="100"/>
      <w:ind w:left="480"/>
    </w:pPr>
  </w:style>
  <w:style w:type="paragraph" w:customStyle="1" w:styleId="ARH1">
    <w:name w:val="AR H1"/>
    <w:link w:val="ARH1Char"/>
    <w:qFormat/>
    <w:rsid w:val="000F768F"/>
    <w:pPr>
      <w:spacing w:before="240" w:after="120"/>
    </w:pPr>
    <w:rPr>
      <w:rFonts w:ascii="Times New Roman" w:eastAsia="Calibri" w:hAnsi="Times New Roman" w:cs="Times New Roman"/>
      <w:b/>
      <w:sz w:val="28"/>
      <w:szCs w:val="20"/>
      <w:lang w:eastAsia="it-IT"/>
    </w:rPr>
  </w:style>
  <w:style w:type="character" w:customStyle="1" w:styleId="ARH1Char">
    <w:name w:val="AR H1 Char"/>
    <w:link w:val="ARH1"/>
    <w:rsid w:val="000F768F"/>
    <w:rPr>
      <w:rFonts w:ascii="Times New Roman" w:eastAsia="Calibri" w:hAnsi="Times New Roman" w:cs="Times New Roman"/>
      <w:b/>
      <w:sz w:val="28"/>
      <w:szCs w:val="20"/>
      <w:lang w:eastAsia="it-IT"/>
    </w:rPr>
  </w:style>
  <w:style w:type="character" w:styleId="Enfasigrassetto">
    <w:name w:val="Strong"/>
    <w:uiPriority w:val="22"/>
    <w:qFormat/>
    <w:rsid w:val="000F768F"/>
    <w:rPr>
      <w:b/>
      <w:bCs/>
    </w:rPr>
  </w:style>
  <w:style w:type="paragraph" w:customStyle="1" w:styleId="ARAffiliation">
    <w:name w:val="AR Affiliation"/>
    <w:qFormat/>
    <w:rsid w:val="000F768F"/>
    <w:pPr>
      <w:spacing w:after="0"/>
      <w:ind w:right="-2"/>
      <w:jc w:val="both"/>
    </w:pPr>
    <w:rPr>
      <w:rFonts w:ascii="Times New Roman" w:eastAsia="ヒラギノ角ゴ Pro W3" w:hAnsi="Times New Roman" w:cs="Calibri"/>
      <w:color w:val="000000"/>
      <w:sz w:val="24"/>
      <w:szCs w:val="18"/>
    </w:rPr>
  </w:style>
  <w:style w:type="paragraph" w:customStyle="1" w:styleId="ARAuthors">
    <w:name w:val="AR Authors"/>
    <w:basedOn w:val="Normale"/>
    <w:qFormat/>
    <w:rsid w:val="000F768F"/>
    <w:pPr>
      <w:spacing w:after="200" w:line="276" w:lineRule="auto"/>
      <w:jc w:val="center"/>
    </w:pPr>
    <w:rPr>
      <w:rFonts w:eastAsia="Calibri"/>
      <w:b/>
      <w:szCs w:val="20"/>
      <w:lang w:val="el-GR" w:eastAsia="en-US"/>
    </w:rPr>
  </w:style>
  <w:style w:type="table" w:customStyle="1" w:styleId="Tabellasemplice-210">
    <w:name w:val="Tabella semplice - 21"/>
    <w:basedOn w:val="Tabellanormale"/>
    <w:uiPriority w:val="42"/>
    <w:rsid w:val="000F768F"/>
    <w:pPr>
      <w:spacing w:after="0" w:line="240" w:lineRule="auto"/>
    </w:pPr>
    <w:rPr>
      <w:lang w:val="it-IT"/>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stonormale">
    <w:name w:val="Plain Text"/>
    <w:basedOn w:val="Normale"/>
    <w:link w:val="TestonormaleCarattere"/>
    <w:uiPriority w:val="99"/>
    <w:unhideWhenUsed/>
    <w:rsid w:val="000F768F"/>
    <w:rPr>
      <w:rFonts w:ascii="Consolas" w:eastAsiaTheme="minorHAnsi" w:hAnsi="Consolas" w:cstheme="minorBidi"/>
      <w:sz w:val="21"/>
      <w:szCs w:val="21"/>
      <w:lang w:eastAsia="en-US"/>
    </w:rPr>
  </w:style>
  <w:style w:type="character" w:customStyle="1" w:styleId="TestonormaleCarattere">
    <w:name w:val="Testo normale Carattere"/>
    <w:basedOn w:val="Carpredefinitoparagrafo"/>
    <w:link w:val="Testonormale"/>
    <w:uiPriority w:val="99"/>
    <w:rsid w:val="000F768F"/>
    <w:rPr>
      <w:rFonts w:ascii="Consolas" w:hAnsi="Consolas"/>
      <w:sz w:val="21"/>
      <w:szCs w:val="21"/>
      <w:lang w:val="it-IT"/>
    </w:rPr>
  </w:style>
  <w:style w:type="character" w:styleId="Testosegnaposto">
    <w:name w:val="Placeholder Text"/>
    <w:basedOn w:val="Carpredefinitoparagrafo"/>
    <w:uiPriority w:val="99"/>
    <w:semiHidden/>
    <w:rsid w:val="006B6049"/>
    <w:rPr>
      <w:color w:val="808080"/>
    </w:rPr>
  </w:style>
  <w:style w:type="numbering" w:customStyle="1" w:styleId="Nessunelenco1">
    <w:name w:val="Nessun elenco1"/>
    <w:next w:val="Nessunelenco"/>
    <w:uiPriority w:val="99"/>
    <w:semiHidden/>
    <w:unhideWhenUsed/>
    <w:rsid w:val="00DC42F9"/>
  </w:style>
  <w:style w:type="table" w:customStyle="1" w:styleId="Grigliatabella1">
    <w:name w:val="Griglia tabella1"/>
    <w:basedOn w:val="Tabellanormale"/>
    <w:next w:val="Grigliatabella"/>
    <w:uiPriority w:val="59"/>
    <w:rsid w:val="00DC42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asemplice-211">
    <w:name w:val="Tabella semplice - 211"/>
    <w:basedOn w:val="Tabellanormale"/>
    <w:uiPriority w:val="42"/>
    <w:rsid w:val="00DC42F9"/>
    <w:pPr>
      <w:spacing w:after="0" w:line="240" w:lineRule="auto"/>
    </w:pPr>
    <w:rPr>
      <w:lang w:val="it-I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CitazioneHTML">
    <w:name w:val="HTML Cite"/>
    <w:basedOn w:val="Carpredefinitoparagrafo"/>
    <w:uiPriority w:val="99"/>
    <w:semiHidden/>
    <w:unhideWhenUsed/>
    <w:rsid w:val="00221F62"/>
    <w:rPr>
      <w:i/>
      <w:iCs/>
    </w:rPr>
  </w:style>
  <w:style w:type="paragraph" w:styleId="Corpotesto">
    <w:name w:val="Body Text"/>
    <w:basedOn w:val="Normale"/>
    <w:link w:val="CorpotestoCarattere"/>
    <w:uiPriority w:val="99"/>
    <w:rsid w:val="00131A35"/>
    <w:pPr>
      <w:spacing w:line="360" w:lineRule="auto"/>
      <w:jc w:val="both"/>
    </w:pPr>
    <w:rPr>
      <w:lang w:val="en-US"/>
    </w:rPr>
  </w:style>
  <w:style w:type="character" w:customStyle="1" w:styleId="CorpotestoCarattere">
    <w:name w:val="Corpo testo Carattere"/>
    <w:basedOn w:val="Carpredefinitoparagrafo"/>
    <w:link w:val="Corpotesto"/>
    <w:uiPriority w:val="99"/>
    <w:rsid w:val="00131A35"/>
    <w:rPr>
      <w:rFonts w:ascii="Times New Roman" w:eastAsia="Times New Roman" w:hAnsi="Times New Roman" w:cs="Times New Roman"/>
      <w:sz w:val="24"/>
      <w:szCs w:val="24"/>
      <w:lang w:val="en-US" w:eastAsia="it-IT"/>
    </w:rPr>
  </w:style>
  <w:style w:type="paragraph" w:styleId="Rientrocorpodeltesto3">
    <w:name w:val="Body Text Indent 3"/>
    <w:basedOn w:val="Normale"/>
    <w:link w:val="Rientrocorpodeltesto3Carattere"/>
    <w:uiPriority w:val="99"/>
    <w:rsid w:val="00131A35"/>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rsid w:val="00131A35"/>
    <w:rPr>
      <w:rFonts w:ascii="Times New Roman" w:eastAsia="Times New Roman" w:hAnsi="Times New Roman" w:cs="Times New Roman"/>
      <w:sz w:val="16"/>
      <w:szCs w:val="16"/>
      <w:lang w:val="it-IT" w:eastAsia="it-IT"/>
    </w:rPr>
  </w:style>
  <w:style w:type="paragraph" w:customStyle="1" w:styleId="Normale2">
    <w:name w:val="Normale2"/>
    <w:uiPriority w:val="99"/>
    <w:rsid w:val="00131A35"/>
    <w:pPr>
      <w:spacing w:after="0" w:line="240" w:lineRule="auto"/>
    </w:pPr>
    <w:rPr>
      <w:rFonts w:ascii="Times New Roman" w:eastAsia="Times New Roman" w:hAnsi="Times New Roman" w:cs="Times New Roman"/>
      <w:color w:val="000000"/>
      <w:sz w:val="24"/>
      <w:szCs w:val="24"/>
      <w:lang w:val="en-US" w:eastAsia="it-IT"/>
    </w:rPr>
  </w:style>
  <w:style w:type="paragraph" w:customStyle="1" w:styleId="Normale3">
    <w:name w:val="Normale3"/>
    <w:uiPriority w:val="99"/>
    <w:rsid w:val="00131A35"/>
    <w:pPr>
      <w:spacing w:after="0" w:line="240" w:lineRule="auto"/>
    </w:pPr>
    <w:rPr>
      <w:rFonts w:ascii="Times New Roman" w:eastAsia="Times New Roman" w:hAnsi="Times New Roman" w:cs="Times New Roman"/>
      <w:color w:val="000000"/>
      <w:sz w:val="24"/>
      <w:szCs w:val="24"/>
      <w:lang w:val="en-US"/>
    </w:rPr>
  </w:style>
  <w:style w:type="character" w:customStyle="1" w:styleId="artauthors">
    <w:name w:val="art_authors"/>
    <w:basedOn w:val="Carpredefinitoparagrafo"/>
    <w:rsid w:val="00A0020E"/>
  </w:style>
  <w:style w:type="character" w:customStyle="1" w:styleId="year">
    <w:name w:val="year"/>
    <w:basedOn w:val="Carpredefinitoparagrafo"/>
    <w:rsid w:val="00A0020E"/>
  </w:style>
  <w:style w:type="character" w:customStyle="1" w:styleId="arttitle2">
    <w:name w:val="art_title2"/>
    <w:basedOn w:val="Carpredefinitoparagrafo"/>
    <w:rsid w:val="00A0020E"/>
  </w:style>
  <w:style w:type="character" w:customStyle="1" w:styleId="journalname">
    <w:name w:val="journalname"/>
    <w:basedOn w:val="Carpredefinitoparagrafo"/>
    <w:rsid w:val="00A0020E"/>
  </w:style>
  <w:style w:type="character" w:customStyle="1" w:styleId="volume">
    <w:name w:val="volume"/>
    <w:basedOn w:val="Carpredefinitoparagrafo"/>
    <w:rsid w:val="00A0020E"/>
  </w:style>
  <w:style w:type="character" w:customStyle="1" w:styleId="issue3">
    <w:name w:val="issue3"/>
    <w:basedOn w:val="Carpredefinitoparagrafo"/>
    <w:rsid w:val="00A0020E"/>
  </w:style>
  <w:style w:type="character" w:customStyle="1" w:styleId="page1">
    <w:name w:val="page1"/>
    <w:basedOn w:val="Carpredefinitoparagrafo"/>
    <w:rsid w:val="00A0020E"/>
    <w:rPr>
      <w:shd w:val="clear" w:color="auto" w:fill="FFFFFF"/>
    </w:rPr>
  </w:style>
  <w:style w:type="table" w:customStyle="1" w:styleId="TableNormal">
    <w:name w:val="Table Normal"/>
    <w:rsid w:val="004F5A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it-IT" w:eastAsia="it-IT"/>
    </w:rPr>
    <w:tblPr>
      <w:tblInd w:w="0" w:type="dxa"/>
      <w:tblCellMar>
        <w:top w:w="0" w:type="dxa"/>
        <w:left w:w="0" w:type="dxa"/>
        <w:bottom w:w="0" w:type="dxa"/>
        <w:right w:w="0" w:type="dxa"/>
      </w:tblCellMar>
    </w:tblPr>
  </w:style>
  <w:style w:type="paragraph" w:customStyle="1" w:styleId="Intestazioneepidipagina">
    <w:name w:val="Intestazione e piè di pagina"/>
    <w:rsid w:val="004F5AD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val="it-IT" w:eastAsia="it-IT"/>
    </w:rPr>
  </w:style>
  <w:style w:type="numbering" w:customStyle="1" w:styleId="Stileimportato1">
    <w:name w:val="Stile importato 1"/>
    <w:rsid w:val="004F5ADA"/>
    <w:pPr>
      <w:numPr>
        <w:numId w:val="2"/>
      </w:numPr>
    </w:pPr>
  </w:style>
  <w:style w:type="paragraph" w:customStyle="1" w:styleId="Notaapidipagina">
    <w:name w:val="Nota a piè di pagina"/>
    <w:rsid w:val="004F5AD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it-IT" w:eastAsia="it-IT"/>
    </w:rPr>
  </w:style>
  <w:style w:type="paragraph" w:customStyle="1" w:styleId="Corpo">
    <w:name w:val="Corpo"/>
    <w:rsid w:val="004F5AD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it-IT" w:eastAsia="it-IT"/>
    </w:rPr>
  </w:style>
  <w:style w:type="paragraph" w:customStyle="1" w:styleId="Didefault">
    <w:name w:val="Di default"/>
    <w:rsid w:val="004F5AD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it-IT" w:eastAsia="it-IT"/>
    </w:rPr>
  </w:style>
  <w:style w:type="character" w:customStyle="1" w:styleId="Nessuno">
    <w:name w:val="Nessuno"/>
    <w:rsid w:val="004F5ADA"/>
  </w:style>
  <w:style w:type="character" w:customStyle="1" w:styleId="Hyperlink0">
    <w:name w:val="Hyperlink.0"/>
    <w:basedOn w:val="Nessuno"/>
    <w:rsid w:val="004F5ADA"/>
    <w:rPr>
      <w:color w:val="0000FF"/>
      <w:u w:val="single" w:color="0000FF"/>
    </w:rPr>
  </w:style>
  <w:style w:type="numbering" w:customStyle="1" w:styleId="Stileimportato11">
    <w:name w:val="Stile importato 11"/>
    <w:rsid w:val="004F5ADA"/>
    <w:pPr>
      <w:numPr>
        <w:numId w:val="3"/>
      </w:numPr>
    </w:pPr>
  </w:style>
  <w:style w:type="numbering" w:customStyle="1" w:styleId="Stileimportato12">
    <w:name w:val="Stile importato 12"/>
    <w:rsid w:val="004F5ADA"/>
    <w:pPr>
      <w:numPr>
        <w:numId w:val="4"/>
      </w:numPr>
    </w:pPr>
  </w:style>
  <w:style w:type="paragraph" w:customStyle="1" w:styleId="NotaapidipaginaA">
    <w:name w:val="Nota a piè di pagina A"/>
    <w:rsid w:val="004F5ADA"/>
    <w:pPr>
      <w:pBdr>
        <w:top w:val="nil"/>
        <w:left w:val="nil"/>
        <w:bottom w:val="nil"/>
        <w:right w:val="nil"/>
        <w:between w:val="nil"/>
        <w:bar w:val="nil"/>
      </w:pBdr>
    </w:pPr>
    <w:rPr>
      <w:rFonts w:ascii="Helvetica Neue" w:eastAsia="Helvetica Neue" w:hAnsi="Helvetica Neue" w:cs="Helvetica Neue"/>
      <w:color w:val="000000"/>
      <w:u w:color="000000"/>
      <w:bdr w:val="nil"/>
      <w:lang w:val="it-IT" w:eastAsia="it-IT"/>
    </w:rPr>
  </w:style>
  <w:style w:type="table" w:customStyle="1" w:styleId="Grigliatabella2">
    <w:name w:val="Griglia tabella2"/>
    <w:basedOn w:val="Tabellanormale"/>
    <w:next w:val="Grigliatabella"/>
    <w:uiPriority w:val="59"/>
    <w:rsid w:val="004F5ADA"/>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3">
    <w:name w:val="Stile importato 13"/>
    <w:rsid w:val="004F5ADA"/>
    <w:pPr>
      <w:numPr>
        <w:numId w:val="5"/>
      </w:numPr>
    </w:pPr>
  </w:style>
  <w:style w:type="paragraph" w:customStyle="1" w:styleId="DidefaultA">
    <w:name w:val="Di default A"/>
    <w:rsid w:val="0025109C"/>
    <w:pPr>
      <w:pBdr>
        <w:top w:val="nil"/>
        <w:left w:val="nil"/>
        <w:bottom w:val="nil"/>
        <w:right w:val="nil"/>
        <w:between w:val="nil"/>
        <w:bar w:val="nil"/>
      </w:pBdr>
    </w:pPr>
    <w:rPr>
      <w:rFonts w:ascii="Helvetica Neue" w:eastAsia="Arial Unicode MS" w:hAnsi="Helvetica Neue" w:cs="Arial Unicode MS"/>
      <w:color w:val="000000"/>
      <w:u w:color="000000"/>
      <w:bdr w:val="nil"/>
      <w:lang w:val="it-IT" w:eastAsia="it-IT"/>
    </w:rPr>
  </w:style>
  <w:style w:type="paragraph" w:customStyle="1" w:styleId="DidefaultAA">
    <w:name w:val="Di default A A"/>
    <w:rsid w:val="0025109C"/>
    <w:pPr>
      <w:pBdr>
        <w:top w:val="nil"/>
        <w:left w:val="nil"/>
        <w:bottom w:val="nil"/>
        <w:right w:val="nil"/>
        <w:between w:val="nil"/>
        <w:bar w:val="nil"/>
      </w:pBdr>
    </w:pPr>
    <w:rPr>
      <w:rFonts w:ascii="Helvetica Neue" w:eastAsia="Arial Unicode MS" w:hAnsi="Helvetica Neue" w:cs="Arial Unicode MS"/>
      <w:color w:val="000000"/>
      <w:u w:color="000000"/>
      <w:bdr w:val="nil"/>
      <w:lang w:val="it-IT" w:eastAsia="it-IT"/>
    </w:rPr>
  </w:style>
  <w:style w:type="table" w:customStyle="1" w:styleId="Grigliatabella21">
    <w:name w:val="Griglia tabella21"/>
    <w:basedOn w:val="Tabellanormale"/>
    <w:next w:val="Grigliatabella"/>
    <w:uiPriority w:val="59"/>
    <w:rsid w:val="001E46C7"/>
    <w:pPr>
      <w:spacing w:after="0" w:line="240" w:lineRule="auto"/>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59"/>
    <w:rsid w:val="001E46C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E46C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it-IT" w:eastAsia="it-IT"/>
    </w:rPr>
    <w:tblPr>
      <w:tblInd w:w="0" w:type="dxa"/>
      <w:tblCellMar>
        <w:top w:w="0" w:type="dxa"/>
        <w:left w:w="0" w:type="dxa"/>
        <w:bottom w:w="0" w:type="dxa"/>
        <w:right w:w="0" w:type="dxa"/>
      </w:tblCellMar>
    </w:tblPr>
  </w:style>
  <w:style w:type="paragraph" w:styleId="PreformattatoHTML">
    <w:name w:val="HTML Preformatted"/>
    <w:basedOn w:val="Normale"/>
    <w:link w:val="PreformattatoHTMLCarattere"/>
    <w:uiPriority w:val="99"/>
    <w:semiHidden/>
    <w:unhideWhenUsed/>
    <w:rsid w:val="00C51CE8"/>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C51CE8"/>
    <w:rPr>
      <w:rFonts w:ascii="Consolas" w:eastAsia="Times New Roman" w:hAnsi="Consolas" w:cs="Times New Roman"/>
      <w:sz w:val="20"/>
      <w:szCs w:val="20"/>
      <w:lang w:val="it-IT" w:eastAsia="it-IT"/>
    </w:rPr>
  </w:style>
  <w:style w:type="character" w:customStyle="1" w:styleId="Menzionenonrisolta1">
    <w:name w:val="Menzione non risolta1"/>
    <w:basedOn w:val="Carpredefinitoparagrafo"/>
    <w:uiPriority w:val="99"/>
    <w:semiHidden/>
    <w:unhideWhenUsed/>
    <w:rsid w:val="00DF0F56"/>
    <w:rPr>
      <w:color w:val="605E5C"/>
      <w:shd w:val="clear" w:color="auto" w:fill="E1DFDD"/>
    </w:rPr>
  </w:style>
  <w:style w:type="character" w:customStyle="1" w:styleId="Menzionenonrisolta2">
    <w:name w:val="Menzione non risolta2"/>
    <w:basedOn w:val="Carpredefinitoparagrafo"/>
    <w:uiPriority w:val="99"/>
    <w:semiHidden/>
    <w:unhideWhenUsed/>
    <w:rsid w:val="00E75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13525">
      <w:bodyDiv w:val="1"/>
      <w:marLeft w:val="0"/>
      <w:marRight w:val="0"/>
      <w:marTop w:val="0"/>
      <w:marBottom w:val="0"/>
      <w:divBdr>
        <w:top w:val="none" w:sz="0" w:space="0" w:color="auto"/>
        <w:left w:val="none" w:sz="0" w:space="0" w:color="auto"/>
        <w:bottom w:val="none" w:sz="0" w:space="0" w:color="auto"/>
        <w:right w:val="none" w:sz="0" w:space="0" w:color="auto"/>
      </w:divBdr>
    </w:div>
    <w:div w:id="59179588">
      <w:bodyDiv w:val="1"/>
      <w:marLeft w:val="0"/>
      <w:marRight w:val="0"/>
      <w:marTop w:val="0"/>
      <w:marBottom w:val="0"/>
      <w:divBdr>
        <w:top w:val="none" w:sz="0" w:space="0" w:color="auto"/>
        <w:left w:val="none" w:sz="0" w:space="0" w:color="auto"/>
        <w:bottom w:val="none" w:sz="0" w:space="0" w:color="auto"/>
        <w:right w:val="none" w:sz="0" w:space="0" w:color="auto"/>
      </w:divBdr>
    </w:div>
    <w:div w:id="99956632">
      <w:bodyDiv w:val="1"/>
      <w:marLeft w:val="0"/>
      <w:marRight w:val="0"/>
      <w:marTop w:val="0"/>
      <w:marBottom w:val="0"/>
      <w:divBdr>
        <w:top w:val="none" w:sz="0" w:space="0" w:color="auto"/>
        <w:left w:val="none" w:sz="0" w:space="0" w:color="auto"/>
        <w:bottom w:val="none" w:sz="0" w:space="0" w:color="auto"/>
        <w:right w:val="none" w:sz="0" w:space="0" w:color="auto"/>
      </w:divBdr>
      <w:divsChild>
        <w:div w:id="909727577">
          <w:marLeft w:val="0"/>
          <w:marRight w:val="0"/>
          <w:marTop w:val="0"/>
          <w:marBottom w:val="0"/>
          <w:divBdr>
            <w:top w:val="none" w:sz="0" w:space="0" w:color="auto"/>
            <w:left w:val="none" w:sz="0" w:space="0" w:color="auto"/>
            <w:bottom w:val="none" w:sz="0" w:space="0" w:color="auto"/>
            <w:right w:val="none" w:sz="0" w:space="0" w:color="auto"/>
          </w:divBdr>
        </w:div>
      </w:divsChild>
    </w:div>
    <w:div w:id="126825209">
      <w:bodyDiv w:val="1"/>
      <w:marLeft w:val="0"/>
      <w:marRight w:val="0"/>
      <w:marTop w:val="0"/>
      <w:marBottom w:val="0"/>
      <w:divBdr>
        <w:top w:val="none" w:sz="0" w:space="0" w:color="auto"/>
        <w:left w:val="none" w:sz="0" w:space="0" w:color="auto"/>
        <w:bottom w:val="none" w:sz="0" w:space="0" w:color="auto"/>
        <w:right w:val="none" w:sz="0" w:space="0" w:color="auto"/>
      </w:divBdr>
    </w:div>
    <w:div w:id="166019066">
      <w:bodyDiv w:val="1"/>
      <w:marLeft w:val="0"/>
      <w:marRight w:val="0"/>
      <w:marTop w:val="0"/>
      <w:marBottom w:val="0"/>
      <w:divBdr>
        <w:top w:val="none" w:sz="0" w:space="0" w:color="auto"/>
        <w:left w:val="none" w:sz="0" w:space="0" w:color="auto"/>
        <w:bottom w:val="none" w:sz="0" w:space="0" w:color="auto"/>
        <w:right w:val="none" w:sz="0" w:space="0" w:color="auto"/>
      </w:divBdr>
    </w:div>
    <w:div w:id="206450299">
      <w:bodyDiv w:val="1"/>
      <w:marLeft w:val="0"/>
      <w:marRight w:val="0"/>
      <w:marTop w:val="0"/>
      <w:marBottom w:val="0"/>
      <w:divBdr>
        <w:top w:val="none" w:sz="0" w:space="0" w:color="auto"/>
        <w:left w:val="none" w:sz="0" w:space="0" w:color="auto"/>
        <w:bottom w:val="none" w:sz="0" w:space="0" w:color="auto"/>
        <w:right w:val="none" w:sz="0" w:space="0" w:color="auto"/>
      </w:divBdr>
      <w:divsChild>
        <w:div w:id="659190389">
          <w:marLeft w:val="0"/>
          <w:marRight w:val="0"/>
          <w:marTop w:val="0"/>
          <w:marBottom w:val="0"/>
          <w:divBdr>
            <w:top w:val="none" w:sz="0" w:space="0" w:color="auto"/>
            <w:left w:val="none" w:sz="0" w:space="0" w:color="auto"/>
            <w:bottom w:val="none" w:sz="0" w:space="0" w:color="auto"/>
            <w:right w:val="none" w:sz="0" w:space="0" w:color="auto"/>
          </w:divBdr>
          <w:divsChild>
            <w:div w:id="64761600">
              <w:marLeft w:val="0"/>
              <w:marRight w:val="0"/>
              <w:marTop w:val="0"/>
              <w:marBottom w:val="0"/>
              <w:divBdr>
                <w:top w:val="none" w:sz="0" w:space="0" w:color="auto"/>
                <w:left w:val="none" w:sz="0" w:space="0" w:color="auto"/>
                <w:bottom w:val="none" w:sz="0" w:space="0" w:color="auto"/>
                <w:right w:val="none" w:sz="0" w:space="0" w:color="auto"/>
              </w:divBdr>
              <w:divsChild>
                <w:div w:id="1043823788">
                  <w:marLeft w:val="0"/>
                  <w:marRight w:val="0"/>
                  <w:marTop w:val="0"/>
                  <w:marBottom w:val="0"/>
                  <w:divBdr>
                    <w:top w:val="single" w:sz="6" w:space="0" w:color="CCCCCC"/>
                    <w:left w:val="single" w:sz="6" w:space="0" w:color="CCCCCC"/>
                    <w:bottom w:val="single" w:sz="6" w:space="0" w:color="CCCCCC"/>
                    <w:right w:val="single" w:sz="6" w:space="0" w:color="CCCCCC"/>
                  </w:divBdr>
                  <w:divsChild>
                    <w:div w:id="480654178">
                      <w:marLeft w:val="0"/>
                      <w:marRight w:val="0"/>
                      <w:marTop w:val="0"/>
                      <w:marBottom w:val="0"/>
                      <w:divBdr>
                        <w:top w:val="none" w:sz="0" w:space="0" w:color="auto"/>
                        <w:left w:val="none" w:sz="0" w:space="0" w:color="auto"/>
                        <w:bottom w:val="none" w:sz="0" w:space="0" w:color="auto"/>
                        <w:right w:val="none" w:sz="0" w:space="0" w:color="auto"/>
                      </w:divBdr>
                      <w:divsChild>
                        <w:div w:id="1807352876">
                          <w:marLeft w:val="0"/>
                          <w:marRight w:val="0"/>
                          <w:marTop w:val="0"/>
                          <w:marBottom w:val="0"/>
                          <w:divBdr>
                            <w:top w:val="none" w:sz="0" w:space="0" w:color="auto"/>
                            <w:left w:val="none" w:sz="0" w:space="0" w:color="auto"/>
                            <w:bottom w:val="none" w:sz="0" w:space="0" w:color="auto"/>
                            <w:right w:val="none" w:sz="0" w:space="0" w:color="auto"/>
                          </w:divBdr>
                          <w:divsChild>
                            <w:div w:id="204683261">
                              <w:marLeft w:val="0"/>
                              <w:marRight w:val="0"/>
                              <w:marTop w:val="0"/>
                              <w:marBottom w:val="0"/>
                              <w:divBdr>
                                <w:top w:val="none" w:sz="0" w:space="0" w:color="auto"/>
                                <w:left w:val="none" w:sz="0" w:space="0" w:color="auto"/>
                                <w:bottom w:val="none" w:sz="0" w:space="0" w:color="auto"/>
                                <w:right w:val="none" w:sz="0" w:space="0" w:color="auto"/>
                              </w:divBdr>
                              <w:divsChild>
                                <w:div w:id="185738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6182978">
      <w:bodyDiv w:val="1"/>
      <w:marLeft w:val="0"/>
      <w:marRight w:val="0"/>
      <w:marTop w:val="0"/>
      <w:marBottom w:val="0"/>
      <w:divBdr>
        <w:top w:val="none" w:sz="0" w:space="0" w:color="auto"/>
        <w:left w:val="none" w:sz="0" w:space="0" w:color="auto"/>
        <w:bottom w:val="none" w:sz="0" w:space="0" w:color="auto"/>
        <w:right w:val="none" w:sz="0" w:space="0" w:color="auto"/>
      </w:divBdr>
    </w:div>
    <w:div w:id="240679964">
      <w:bodyDiv w:val="1"/>
      <w:marLeft w:val="0"/>
      <w:marRight w:val="0"/>
      <w:marTop w:val="0"/>
      <w:marBottom w:val="0"/>
      <w:divBdr>
        <w:top w:val="none" w:sz="0" w:space="0" w:color="auto"/>
        <w:left w:val="none" w:sz="0" w:space="0" w:color="auto"/>
        <w:bottom w:val="none" w:sz="0" w:space="0" w:color="auto"/>
        <w:right w:val="none" w:sz="0" w:space="0" w:color="auto"/>
      </w:divBdr>
    </w:div>
    <w:div w:id="311720699">
      <w:bodyDiv w:val="1"/>
      <w:marLeft w:val="0"/>
      <w:marRight w:val="0"/>
      <w:marTop w:val="0"/>
      <w:marBottom w:val="0"/>
      <w:divBdr>
        <w:top w:val="none" w:sz="0" w:space="0" w:color="auto"/>
        <w:left w:val="none" w:sz="0" w:space="0" w:color="auto"/>
        <w:bottom w:val="none" w:sz="0" w:space="0" w:color="auto"/>
        <w:right w:val="none" w:sz="0" w:space="0" w:color="auto"/>
      </w:divBdr>
      <w:divsChild>
        <w:div w:id="504324647">
          <w:marLeft w:val="0"/>
          <w:marRight w:val="0"/>
          <w:marTop w:val="0"/>
          <w:marBottom w:val="0"/>
          <w:divBdr>
            <w:top w:val="none" w:sz="0" w:space="0" w:color="auto"/>
            <w:left w:val="none" w:sz="0" w:space="0" w:color="auto"/>
            <w:bottom w:val="none" w:sz="0" w:space="0" w:color="auto"/>
            <w:right w:val="none" w:sz="0" w:space="0" w:color="auto"/>
          </w:divBdr>
          <w:divsChild>
            <w:div w:id="1305697130">
              <w:marLeft w:val="0"/>
              <w:marRight w:val="0"/>
              <w:marTop w:val="0"/>
              <w:marBottom w:val="0"/>
              <w:divBdr>
                <w:top w:val="none" w:sz="0" w:space="0" w:color="auto"/>
                <w:left w:val="none" w:sz="0" w:space="0" w:color="auto"/>
                <w:bottom w:val="none" w:sz="0" w:space="0" w:color="auto"/>
                <w:right w:val="none" w:sz="0" w:space="0" w:color="auto"/>
              </w:divBdr>
              <w:divsChild>
                <w:div w:id="1464082006">
                  <w:marLeft w:val="0"/>
                  <w:marRight w:val="0"/>
                  <w:marTop w:val="0"/>
                  <w:marBottom w:val="0"/>
                  <w:divBdr>
                    <w:top w:val="none" w:sz="0" w:space="0" w:color="auto"/>
                    <w:left w:val="none" w:sz="0" w:space="0" w:color="auto"/>
                    <w:bottom w:val="none" w:sz="0" w:space="0" w:color="auto"/>
                    <w:right w:val="none" w:sz="0" w:space="0" w:color="auto"/>
                  </w:divBdr>
                  <w:divsChild>
                    <w:div w:id="794644885">
                      <w:marLeft w:val="0"/>
                      <w:marRight w:val="0"/>
                      <w:marTop w:val="0"/>
                      <w:marBottom w:val="0"/>
                      <w:divBdr>
                        <w:top w:val="none" w:sz="0" w:space="0" w:color="auto"/>
                        <w:left w:val="none" w:sz="0" w:space="0" w:color="auto"/>
                        <w:bottom w:val="none" w:sz="0" w:space="0" w:color="auto"/>
                        <w:right w:val="none" w:sz="0" w:space="0" w:color="auto"/>
                      </w:divBdr>
                      <w:divsChild>
                        <w:div w:id="2087454118">
                          <w:marLeft w:val="0"/>
                          <w:marRight w:val="0"/>
                          <w:marTop w:val="0"/>
                          <w:marBottom w:val="0"/>
                          <w:divBdr>
                            <w:top w:val="none" w:sz="0" w:space="0" w:color="auto"/>
                            <w:left w:val="none" w:sz="0" w:space="0" w:color="auto"/>
                            <w:bottom w:val="none" w:sz="0" w:space="0" w:color="auto"/>
                            <w:right w:val="none" w:sz="0" w:space="0" w:color="auto"/>
                          </w:divBdr>
                          <w:divsChild>
                            <w:div w:id="7234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766275">
      <w:bodyDiv w:val="1"/>
      <w:marLeft w:val="0"/>
      <w:marRight w:val="0"/>
      <w:marTop w:val="0"/>
      <w:marBottom w:val="0"/>
      <w:divBdr>
        <w:top w:val="none" w:sz="0" w:space="0" w:color="auto"/>
        <w:left w:val="none" w:sz="0" w:space="0" w:color="auto"/>
        <w:bottom w:val="none" w:sz="0" w:space="0" w:color="auto"/>
        <w:right w:val="none" w:sz="0" w:space="0" w:color="auto"/>
      </w:divBdr>
    </w:div>
    <w:div w:id="365258887">
      <w:bodyDiv w:val="1"/>
      <w:marLeft w:val="0"/>
      <w:marRight w:val="0"/>
      <w:marTop w:val="0"/>
      <w:marBottom w:val="0"/>
      <w:divBdr>
        <w:top w:val="none" w:sz="0" w:space="0" w:color="auto"/>
        <w:left w:val="none" w:sz="0" w:space="0" w:color="auto"/>
        <w:bottom w:val="none" w:sz="0" w:space="0" w:color="auto"/>
        <w:right w:val="none" w:sz="0" w:space="0" w:color="auto"/>
      </w:divBdr>
    </w:div>
    <w:div w:id="392848843">
      <w:bodyDiv w:val="1"/>
      <w:marLeft w:val="0"/>
      <w:marRight w:val="0"/>
      <w:marTop w:val="0"/>
      <w:marBottom w:val="0"/>
      <w:divBdr>
        <w:top w:val="none" w:sz="0" w:space="0" w:color="auto"/>
        <w:left w:val="none" w:sz="0" w:space="0" w:color="auto"/>
        <w:bottom w:val="none" w:sz="0" w:space="0" w:color="auto"/>
        <w:right w:val="none" w:sz="0" w:space="0" w:color="auto"/>
      </w:divBdr>
      <w:divsChild>
        <w:div w:id="1983926638">
          <w:marLeft w:val="0"/>
          <w:marRight w:val="0"/>
          <w:marTop w:val="0"/>
          <w:marBottom w:val="0"/>
          <w:divBdr>
            <w:top w:val="none" w:sz="0" w:space="0" w:color="auto"/>
            <w:left w:val="none" w:sz="0" w:space="0" w:color="auto"/>
            <w:bottom w:val="none" w:sz="0" w:space="0" w:color="auto"/>
            <w:right w:val="none" w:sz="0" w:space="0" w:color="auto"/>
          </w:divBdr>
          <w:divsChild>
            <w:div w:id="1181747697">
              <w:marLeft w:val="0"/>
              <w:marRight w:val="0"/>
              <w:marTop w:val="0"/>
              <w:marBottom w:val="0"/>
              <w:divBdr>
                <w:top w:val="none" w:sz="0" w:space="0" w:color="auto"/>
                <w:left w:val="none" w:sz="0" w:space="0" w:color="auto"/>
                <w:bottom w:val="none" w:sz="0" w:space="0" w:color="auto"/>
                <w:right w:val="none" w:sz="0" w:space="0" w:color="auto"/>
              </w:divBdr>
              <w:divsChild>
                <w:div w:id="2085180834">
                  <w:marLeft w:val="0"/>
                  <w:marRight w:val="0"/>
                  <w:marTop w:val="0"/>
                  <w:marBottom w:val="0"/>
                  <w:divBdr>
                    <w:top w:val="none" w:sz="0" w:space="0" w:color="auto"/>
                    <w:left w:val="none" w:sz="0" w:space="0" w:color="auto"/>
                    <w:bottom w:val="none" w:sz="0" w:space="0" w:color="auto"/>
                    <w:right w:val="none" w:sz="0" w:space="0" w:color="auto"/>
                  </w:divBdr>
                  <w:divsChild>
                    <w:div w:id="1111827952">
                      <w:marLeft w:val="0"/>
                      <w:marRight w:val="0"/>
                      <w:marTop w:val="0"/>
                      <w:marBottom w:val="0"/>
                      <w:divBdr>
                        <w:top w:val="none" w:sz="0" w:space="0" w:color="auto"/>
                        <w:left w:val="none" w:sz="0" w:space="0" w:color="auto"/>
                        <w:bottom w:val="none" w:sz="0" w:space="0" w:color="auto"/>
                        <w:right w:val="none" w:sz="0" w:space="0" w:color="auto"/>
                      </w:divBdr>
                      <w:divsChild>
                        <w:div w:id="905919490">
                          <w:marLeft w:val="0"/>
                          <w:marRight w:val="0"/>
                          <w:marTop w:val="0"/>
                          <w:marBottom w:val="0"/>
                          <w:divBdr>
                            <w:top w:val="none" w:sz="0" w:space="0" w:color="auto"/>
                            <w:left w:val="none" w:sz="0" w:space="0" w:color="auto"/>
                            <w:bottom w:val="none" w:sz="0" w:space="0" w:color="auto"/>
                            <w:right w:val="none" w:sz="0" w:space="0" w:color="auto"/>
                          </w:divBdr>
                          <w:divsChild>
                            <w:div w:id="71666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105142">
      <w:bodyDiv w:val="1"/>
      <w:marLeft w:val="0"/>
      <w:marRight w:val="0"/>
      <w:marTop w:val="0"/>
      <w:marBottom w:val="0"/>
      <w:divBdr>
        <w:top w:val="none" w:sz="0" w:space="0" w:color="auto"/>
        <w:left w:val="none" w:sz="0" w:space="0" w:color="auto"/>
        <w:bottom w:val="none" w:sz="0" w:space="0" w:color="auto"/>
        <w:right w:val="none" w:sz="0" w:space="0" w:color="auto"/>
      </w:divBdr>
      <w:divsChild>
        <w:div w:id="397754813">
          <w:marLeft w:val="0"/>
          <w:marRight w:val="0"/>
          <w:marTop w:val="0"/>
          <w:marBottom w:val="0"/>
          <w:divBdr>
            <w:top w:val="none" w:sz="0" w:space="0" w:color="auto"/>
            <w:left w:val="none" w:sz="0" w:space="0" w:color="auto"/>
            <w:bottom w:val="none" w:sz="0" w:space="0" w:color="auto"/>
            <w:right w:val="none" w:sz="0" w:space="0" w:color="auto"/>
          </w:divBdr>
          <w:divsChild>
            <w:div w:id="2119446035">
              <w:marLeft w:val="0"/>
              <w:marRight w:val="0"/>
              <w:marTop w:val="0"/>
              <w:marBottom w:val="0"/>
              <w:divBdr>
                <w:top w:val="none" w:sz="0" w:space="0" w:color="auto"/>
                <w:left w:val="none" w:sz="0" w:space="0" w:color="auto"/>
                <w:bottom w:val="none" w:sz="0" w:space="0" w:color="auto"/>
                <w:right w:val="none" w:sz="0" w:space="0" w:color="auto"/>
              </w:divBdr>
              <w:divsChild>
                <w:div w:id="1084765981">
                  <w:marLeft w:val="0"/>
                  <w:marRight w:val="0"/>
                  <w:marTop w:val="0"/>
                  <w:marBottom w:val="0"/>
                  <w:divBdr>
                    <w:top w:val="single" w:sz="6" w:space="0" w:color="CCCCCC"/>
                    <w:left w:val="single" w:sz="6" w:space="0" w:color="CCCCCC"/>
                    <w:bottom w:val="single" w:sz="6" w:space="0" w:color="CCCCCC"/>
                    <w:right w:val="single" w:sz="6" w:space="0" w:color="CCCCCC"/>
                  </w:divBdr>
                  <w:divsChild>
                    <w:div w:id="232592620">
                      <w:marLeft w:val="0"/>
                      <w:marRight w:val="0"/>
                      <w:marTop w:val="0"/>
                      <w:marBottom w:val="0"/>
                      <w:divBdr>
                        <w:top w:val="none" w:sz="0" w:space="0" w:color="auto"/>
                        <w:left w:val="none" w:sz="0" w:space="0" w:color="auto"/>
                        <w:bottom w:val="none" w:sz="0" w:space="0" w:color="auto"/>
                        <w:right w:val="none" w:sz="0" w:space="0" w:color="auto"/>
                      </w:divBdr>
                      <w:divsChild>
                        <w:div w:id="188295485">
                          <w:marLeft w:val="0"/>
                          <w:marRight w:val="0"/>
                          <w:marTop w:val="0"/>
                          <w:marBottom w:val="0"/>
                          <w:divBdr>
                            <w:top w:val="none" w:sz="0" w:space="0" w:color="auto"/>
                            <w:left w:val="none" w:sz="0" w:space="0" w:color="auto"/>
                            <w:bottom w:val="none" w:sz="0" w:space="0" w:color="auto"/>
                            <w:right w:val="none" w:sz="0" w:space="0" w:color="auto"/>
                          </w:divBdr>
                          <w:divsChild>
                            <w:div w:id="1484084320">
                              <w:marLeft w:val="0"/>
                              <w:marRight w:val="0"/>
                              <w:marTop w:val="0"/>
                              <w:marBottom w:val="0"/>
                              <w:divBdr>
                                <w:top w:val="none" w:sz="0" w:space="0" w:color="auto"/>
                                <w:left w:val="none" w:sz="0" w:space="0" w:color="auto"/>
                                <w:bottom w:val="none" w:sz="0" w:space="0" w:color="auto"/>
                                <w:right w:val="none" w:sz="0" w:space="0" w:color="auto"/>
                              </w:divBdr>
                              <w:divsChild>
                                <w:div w:id="76750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231364">
      <w:bodyDiv w:val="1"/>
      <w:marLeft w:val="0"/>
      <w:marRight w:val="0"/>
      <w:marTop w:val="0"/>
      <w:marBottom w:val="0"/>
      <w:divBdr>
        <w:top w:val="none" w:sz="0" w:space="0" w:color="auto"/>
        <w:left w:val="none" w:sz="0" w:space="0" w:color="auto"/>
        <w:bottom w:val="none" w:sz="0" w:space="0" w:color="auto"/>
        <w:right w:val="none" w:sz="0" w:space="0" w:color="auto"/>
      </w:divBdr>
      <w:divsChild>
        <w:div w:id="1929848885">
          <w:marLeft w:val="0"/>
          <w:marRight w:val="0"/>
          <w:marTop w:val="0"/>
          <w:marBottom w:val="0"/>
          <w:divBdr>
            <w:top w:val="none" w:sz="0" w:space="0" w:color="auto"/>
            <w:left w:val="none" w:sz="0" w:space="0" w:color="auto"/>
            <w:bottom w:val="none" w:sz="0" w:space="0" w:color="auto"/>
            <w:right w:val="none" w:sz="0" w:space="0" w:color="auto"/>
          </w:divBdr>
          <w:divsChild>
            <w:div w:id="603925733">
              <w:marLeft w:val="0"/>
              <w:marRight w:val="0"/>
              <w:marTop w:val="0"/>
              <w:marBottom w:val="0"/>
              <w:divBdr>
                <w:top w:val="none" w:sz="0" w:space="0" w:color="auto"/>
                <w:left w:val="none" w:sz="0" w:space="0" w:color="auto"/>
                <w:bottom w:val="none" w:sz="0" w:space="0" w:color="auto"/>
                <w:right w:val="none" w:sz="0" w:space="0" w:color="auto"/>
              </w:divBdr>
              <w:divsChild>
                <w:div w:id="204119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3261">
      <w:bodyDiv w:val="1"/>
      <w:marLeft w:val="0"/>
      <w:marRight w:val="0"/>
      <w:marTop w:val="0"/>
      <w:marBottom w:val="0"/>
      <w:divBdr>
        <w:top w:val="none" w:sz="0" w:space="0" w:color="auto"/>
        <w:left w:val="none" w:sz="0" w:space="0" w:color="auto"/>
        <w:bottom w:val="none" w:sz="0" w:space="0" w:color="auto"/>
        <w:right w:val="none" w:sz="0" w:space="0" w:color="auto"/>
      </w:divBdr>
    </w:div>
    <w:div w:id="562834751">
      <w:bodyDiv w:val="1"/>
      <w:marLeft w:val="0"/>
      <w:marRight w:val="0"/>
      <w:marTop w:val="0"/>
      <w:marBottom w:val="0"/>
      <w:divBdr>
        <w:top w:val="none" w:sz="0" w:space="0" w:color="auto"/>
        <w:left w:val="none" w:sz="0" w:space="0" w:color="auto"/>
        <w:bottom w:val="none" w:sz="0" w:space="0" w:color="auto"/>
        <w:right w:val="none" w:sz="0" w:space="0" w:color="auto"/>
      </w:divBdr>
      <w:divsChild>
        <w:div w:id="1975987898">
          <w:marLeft w:val="0"/>
          <w:marRight w:val="0"/>
          <w:marTop w:val="0"/>
          <w:marBottom w:val="0"/>
          <w:divBdr>
            <w:top w:val="none" w:sz="0" w:space="0" w:color="auto"/>
            <w:left w:val="none" w:sz="0" w:space="0" w:color="auto"/>
            <w:bottom w:val="none" w:sz="0" w:space="0" w:color="auto"/>
            <w:right w:val="none" w:sz="0" w:space="0" w:color="auto"/>
          </w:divBdr>
        </w:div>
      </w:divsChild>
    </w:div>
    <w:div w:id="616913632">
      <w:bodyDiv w:val="1"/>
      <w:marLeft w:val="0"/>
      <w:marRight w:val="0"/>
      <w:marTop w:val="0"/>
      <w:marBottom w:val="0"/>
      <w:divBdr>
        <w:top w:val="none" w:sz="0" w:space="0" w:color="auto"/>
        <w:left w:val="none" w:sz="0" w:space="0" w:color="auto"/>
        <w:bottom w:val="none" w:sz="0" w:space="0" w:color="auto"/>
        <w:right w:val="none" w:sz="0" w:space="0" w:color="auto"/>
      </w:divBdr>
    </w:div>
    <w:div w:id="626473646">
      <w:bodyDiv w:val="1"/>
      <w:marLeft w:val="0"/>
      <w:marRight w:val="0"/>
      <w:marTop w:val="0"/>
      <w:marBottom w:val="0"/>
      <w:divBdr>
        <w:top w:val="none" w:sz="0" w:space="0" w:color="auto"/>
        <w:left w:val="none" w:sz="0" w:space="0" w:color="auto"/>
        <w:bottom w:val="none" w:sz="0" w:space="0" w:color="auto"/>
        <w:right w:val="none" w:sz="0" w:space="0" w:color="auto"/>
      </w:divBdr>
    </w:div>
    <w:div w:id="696543564">
      <w:bodyDiv w:val="1"/>
      <w:marLeft w:val="0"/>
      <w:marRight w:val="0"/>
      <w:marTop w:val="0"/>
      <w:marBottom w:val="0"/>
      <w:divBdr>
        <w:top w:val="none" w:sz="0" w:space="0" w:color="auto"/>
        <w:left w:val="none" w:sz="0" w:space="0" w:color="auto"/>
        <w:bottom w:val="none" w:sz="0" w:space="0" w:color="auto"/>
        <w:right w:val="none" w:sz="0" w:space="0" w:color="auto"/>
      </w:divBdr>
    </w:div>
    <w:div w:id="697051708">
      <w:bodyDiv w:val="1"/>
      <w:marLeft w:val="0"/>
      <w:marRight w:val="0"/>
      <w:marTop w:val="0"/>
      <w:marBottom w:val="0"/>
      <w:divBdr>
        <w:top w:val="none" w:sz="0" w:space="0" w:color="auto"/>
        <w:left w:val="none" w:sz="0" w:space="0" w:color="auto"/>
        <w:bottom w:val="none" w:sz="0" w:space="0" w:color="auto"/>
        <w:right w:val="none" w:sz="0" w:space="0" w:color="auto"/>
      </w:divBdr>
      <w:divsChild>
        <w:div w:id="132409172">
          <w:marLeft w:val="0"/>
          <w:marRight w:val="0"/>
          <w:marTop w:val="0"/>
          <w:marBottom w:val="0"/>
          <w:divBdr>
            <w:top w:val="none" w:sz="0" w:space="0" w:color="auto"/>
            <w:left w:val="none" w:sz="0" w:space="0" w:color="auto"/>
            <w:bottom w:val="none" w:sz="0" w:space="0" w:color="auto"/>
            <w:right w:val="none" w:sz="0" w:space="0" w:color="auto"/>
          </w:divBdr>
          <w:divsChild>
            <w:div w:id="149374707">
              <w:marLeft w:val="0"/>
              <w:marRight w:val="0"/>
              <w:marTop w:val="0"/>
              <w:marBottom w:val="0"/>
              <w:divBdr>
                <w:top w:val="none" w:sz="0" w:space="0" w:color="auto"/>
                <w:left w:val="none" w:sz="0" w:space="0" w:color="auto"/>
                <w:bottom w:val="none" w:sz="0" w:space="0" w:color="auto"/>
                <w:right w:val="none" w:sz="0" w:space="0" w:color="auto"/>
              </w:divBdr>
              <w:divsChild>
                <w:div w:id="12011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292997">
      <w:bodyDiv w:val="1"/>
      <w:marLeft w:val="0"/>
      <w:marRight w:val="0"/>
      <w:marTop w:val="0"/>
      <w:marBottom w:val="0"/>
      <w:divBdr>
        <w:top w:val="none" w:sz="0" w:space="0" w:color="auto"/>
        <w:left w:val="none" w:sz="0" w:space="0" w:color="auto"/>
        <w:bottom w:val="none" w:sz="0" w:space="0" w:color="auto"/>
        <w:right w:val="none" w:sz="0" w:space="0" w:color="auto"/>
      </w:divBdr>
      <w:divsChild>
        <w:div w:id="2065715874">
          <w:marLeft w:val="0"/>
          <w:marRight w:val="0"/>
          <w:marTop w:val="0"/>
          <w:marBottom w:val="0"/>
          <w:divBdr>
            <w:top w:val="none" w:sz="0" w:space="0" w:color="auto"/>
            <w:left w:val="none" w:sz="0" w:space="0" w:color="auto"/>
            <w:bottom w:val="none" w:sz="0" w:space="0" w:color="auto"/>
            <w:right w:val="none" w:sz="0" w:space="0" w:color="auto"/>
          </w:divBdr>
          <w:divsChild>
            <w:div w:id="993681511">
              <w:marLeft w:val="0"/>
              <w:marRight w:val="0"/>
              <w:marTop w:val="0"/>
              <w:marBottom w:val="0"/>
              <w:divBdr>
                <w:top w:val="none" w:sz="0" w:space="0" w:color="auto"/>
                <w:left w:val="none" w:sz="0" w:space="0" w:color="auto"/>
                <w:bottom w:val="none" w:sz="0" w:space="0" w:color="auto"/>
                <w:right w:val="none" w:sz="0" w:space="0" w:color="auto"/>
              </w:divBdr>
              <w:divsChild>
                <w:div w:id="594292140">
                  <w:marLeft w:val="0"/>
                  <w:marRight w:val="0"/>
                  <w:marTop w:val="0"/>
                  <w:marBottom w:val="0"/>
                  <w:divBdr>
                    <w:top w:val="none" w:sz="0" w:space="0" w:color="auto"/>
                    <w:left w:val="none" w:sz="0" w:space="0" w:color="auto"/>
                    <w:bottom w:val="none" w:sz="0" w:space="0" w:color="auto"/>
                    <w:right w:val="none" w:sz="0" w:space="0" w:color="auto"/>
                  </w:divBdr>
                  <w:divsChild>
                    <w:div w:id="991177412">
                      <w:marLeft w:val="0"/>
                      <w:marRight w:val="0"/>
                      <w:marTop w:val="0"/>
                      <w:marBottom w:val="0"/>
                      <w:divBdr>
                        <w:top w:val="none" w:sz="0" w:space="0" w:color="auto"/>
                        <w:left w:val="none" w:sz="0" w:space="0" w:color="auto"/>
                        <w:bottom w:val="none" w:sz="0" w:space="0" w:color="auto"/>
                        <w:right w:val="none" w:sz="0" w:space="0" w:color="auto"/>
                      </w:divBdr>
                      <w:divsChild>
                        <w:div w:id="711198378">
                          <w:marLeft w:val="0"/>
                          <w:marRight w:val="0"/>
                          <w:marTop w:val="0"/>
                          <w:marBottom w:val="0"/>
                          <w:divBdr>
                            <w:top w:val="none" w:sz="0" w:space="0" w:color="auto"/>
                            <w:left w:val="none" w:sz="0" w:space="0" w:color="auto"/>
                            <w:bottom w:val="none" w:sz="0" w:space="0" w:color="auto"/>
                            <w:right w:val="none" w:sz="0" w:space="0" w:color="auto"/>
                          </w:divBdr>
                          <w:divsChild>
                            <w:div w:id="21963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161724">
      <w:bodyDiv w:val="1"/>
      <w:marLeft w:val="0"/>
      <w:marRight w:val="0"/>
      <w:marTop w:val="0"/>
      <w:marBottom w:val="0"/>
      <w:divBdr>
        <w:top w:val="none" w:sz="0" w:space="0" w:color="auto"/>
        <w:left w:val="none" w:sz="0" w:space="0" w:color="auto"/>
        <w:bottom w:val="none" w:sz="0" w:space="0" w:color="auto"/>
        <w:right w:val="none" w:sz="0" w:space="0" w:color="auto"/>
      </w:divBdr>
      <w:divsChild>
        <w:div w:id="924799957">
          <w:marLeft w:val="0"/>
          <w:marRight w:val="0"/>
          <w:marTop w:val="0"/>
          <w:marBottom w:val="0"/>
          <w:divBdr>
            <w:top w:val="none" w:sz="0" w:space="0" w:color="auto"/>
            <w:left w:val="none" w:sz="0" w:space="0" w:color="auto"/>
            <w:bottom w:val="none" w:sz="0" w:space="0" w:color="auto"/>
            <w:right w:val="none" w:sz="0" w:space="0" w:color="auto"/>
          </w:divBdr>
          <w:divsChild>
            <w:div w:id="1136336869">
              <w:marLeft w:val="0"/>
              <w:marRight w:val="0"/>
              <w:marTop w:val="0"/>
              <w:marBottom w:val="0"/>
              <w:divBdr>
                <w:top w:val="none" w:sz="0" w:space="0" w:color="auto"/>
                <w:left w:val="none" w:sz="0" w:space="0" w:color="auto"/>
                <w:bottom w:val="none" w:sz="0" w:space="0" w:color="auto"/>
                <w:right w:val="none" w:sz="0" w:space="0" w:color="auto"/>
              </w:divBdr>
              <w:divsChild>
                <w:div w:id="185677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65471">
      <w:bodyDiv w:val="1"/>
      <w:marLeft w:val="0"/>
      <w:marRight w:val="0"/>
      <w:marTop w:val="0"/>
      <w:marBottom w:val="0"/>
      <w:divBdr>
        <w:top w:val="none" w:sz="0" w:space="0" w:color="auto"/>
        <w:left w:val="none" w:sz="0" w:space="0" w:color="auto"/>
        <w:bottom w:val="none" w:sz="0" w:space="0" w:color="auto"/>
        <w:right w:val="none" w:sz="0" w:space="0" w:color="auto"/>
      </w:divBdr>
      <w:divsChild>
        <w:div w:id="166598002">
          <w:marLeft w:val="0"/>
          <w:marRight w:val="0"/>
          <w:marTop w:val="0"/>
          <w:marBottom w:val="0"/>
          <w:divBdr>
            <w:top w:val="none" w:sz="0" w:space="0" w:color="auto"/>
            <w:left w:val="none" w:sz="0" w:space="0" w:color="auto"/>
            <w:bottom w:val="none" w:sz="0" w:space="0" w:color="auto"/>
            <w:right w:val="none" w:sz="0" w:space="0" w:color="auto"/>
          </w:divBdr>
          <w:divsChild>
            <w:div w:id="98378641">
              <w:marLeft w:val="0"/>
              <w:marRight w:val="0"/>
              <w:marTop w:val="0"/>
              <w:marBottom w:val="0"/>
              <w:divBdr>
                <w:top w:val="none" w:sz="0" w:space="0" w:color="auto"/>
                <w:left w:val="none" w:sz="0" w:space="0" w:color="auto"/>
                <w:bottom w:val="none" w:sz="0" w:space="0" w:color="auto"/>
                <w:right w:val="none" w:sz="0" w:space="0" w:color="auto"/>
              </w:divBdr>
              <w:divsChild>
                <w:div w:id="327171423">
                  <w:marLeft w:val="0"/>
                  <w:marRight w:val="0"/>
                  <w:marTop w:val="0"/>
                  <w:marBottom w:val="0"/>
                  <w:divBdr>
                    <w:top w:val="none" w:sz="0" w:space="0" w:color="auto"/>
                    <w:left w:val="none" w:sz="0" w:space="0" w:color="auto"/>
                    <w:bottom w:val="none" w:sz="0" w:space="0" w:color="auto"/>
                    <w:right w:val="none" w:sz="0" w:space="0" w:color="auto"/>
                  </w:divBdr>
                  <w:divsChild>
                    <w:div w:id="1446998555">
                      <w:marLeft w:val="0"/>
                      <w:marRight w:val="0"/>
                      <w:marTop w:val="0"/>
                      <w:marBottom w:val="0"/>
                      <w:divBdr>
                        <w:top w:val="none" w:sz="0" w:space="0" w:color="auto"/>
                        <w:left w:val="none" w:sz="0" w:space="0" w:color="auto"/>
                        <w:bottom w:val="none" w:sz="0" w:space="0" w:color="auto"/>
                        <w:right w:val="none" w:sz="0" w:space="0" w:color="auto"/>
                      </w:divBdr>
                      <w:divsChild>
                        <w:div w:id="1323658887">
                          <w:marLeft w:val="0"/>
                          <w:marRight w:val="0"/>
                          <w:marTop w:val="0"/>
                          <w:marBottom w:val="0"/>
                          <w:divBdr>
                            <w:top w:val="none" w:sz="0" w:space="0" w:color="auto"/>
                            <w:left w:val="none" w:sz="0" w:space="0" w:color="auto"/>
                            <w:bottom w:val="none" w:sz="0" w:space="0" w:color="auto"/>
                            <w:right w:val="none" w:sz="0" w:space="0" w:color="auto"/>
                          </w:divBdr>
                          <w:divsChild>
                            <w:div w:id="16631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742656">
      <w:bodyDiv w:val="1"/>
      <w:marLeft w:val="0"/>
      <w:marRight w:val="0"/>
      <w:marTop w:val="0"/>
      <w:marBottom w:val="0"/>
      <w:divBdr>
        <w:top w:val="none" w:sz="0" w:space="0" w:color="auto"/>
        <w:left w:val="none" w:sz="0" w:space="0" w:color="auto"/>
        <w:bottom w:val="none" w:sz="0" w:space="0" w:color="auto"/>
        <w:right w:val="none" w:sz="0" w:space="0" w:color="auto"/>
      </w:divBdr>
    </w:div>
    <w:div w:id="1009065149">
      <w:bodyDiv w:val="1"/>
      <w:marLeft w:val="0"/>
      <w:marRight w:val="0"/>
      <w:marTop w:val="0"/>
      <w:marBottom w:val="0"/>
      <w:divBdr>
        <w:top w:val="none" w:sz="0" w:space="0" w:color="auto"/>
        <w:left w:val="none" w:sz="0" w:space="0" w:color="auto"/>
        <w:bottom w:val="none" w:sz="0" w:space="0" w:color="auto"/>
        <w:right w:val="none" w:sz="0" w:space="0" w:color="auto"/>
      </w:divBdr>
      <w:divsChild>
        <w:div w:id="915016856">
          <w:marLeft w:val="0"/>
          <w:marRight w:val="0"/>
          <w:marTop w:val="0"/>
          <w:marBottom w:val="0"/>
          <w:divBdr>
            <w:top w:val="none" w:sz="0" w:space="0" w:color="auto"/>
            <w:left w:val="none" w:sz="0" w:space="0" w:color="auto"/>
            <w:bottom w:val="none" w:sz="0" w:space="0" w:color="auto"/>
            <w:right w:val="none" w:sz="0" w:space="0" w:color="auto"/>
          </w:divBdr>
          <w:divsChild>
            <w:div w:id="784883697">
              <w:marLeft w:val="0"/>
              <w:marRight w:val="0"/>
              <w:marTop w:val="0"/>
              <w:marBottom w:val="0"/>
              <w:divBdr>
                <w:top w:val="none" w:sz="0" w:space="0" w:color="auto"/>
                <w:left w:val="none" w:sz="0" w:space="0" w:color="auto"/>
                <w:bottom w:val="none" w:sz="0" w:space="0" w:color="auto"/>
                <w:right w:val="none" w:sz="0" w:space="0" w:color="auto"/>
              </w:divBdr>
              <w:divsChild>
                <w:div w:id="2065135215">
                  <w:marLeft w:val="0"/>
                  <w:marRight w:val="0"/>
                  <w:marTop w:val="0"/>
                  <w:marBottom w:val="0"/>
                  <w:divBdr>
                    <w:top w:val="single" w:sz="6" w:space="0" w:color="CCCCCC"/>
                    <w:left w:val="single" w:sz="6" w:space="0" w:color="CCCCCC"/>
                    <w:bottom w:val="single" w:sz="6" w:space="0" w:color="CCCCCC"/>
                    <w:right w:val="single" w:sz="6" w:space="0" w:color="CCCCCC"/>
                  </w:divBdr>
                  <w:divsChild>
                    <w:div w:id="333067087">
                      <w:marLeft w:val="0"/>
                      <w:marRight w:val="0"/>
                      <w:marTop w:val="0"/>
                      <w:marBottom w:val="0"/>
                      <w:divBdr>
                        <w:top w:val="none" w:sz="0" w:space="0" w:color="auto"/>
                        <w:left w:val="none" w:sz="0" w:space="0" w:color="auto"/>
                        <w:bottom w:val="none" w:sz="0" w:space="0" w:color="auto"/>
                        <w:right w:val="none" w:sz="0" w:space="0" w:color="auto"/>
                      </w:divBdr>
                      <w:divsChild>
                        <w:div w:id="1378159787">
                          <w:marLeft w:val="0"/>
                          <w:marRight w:val="0"/>
                          <w:marTop w:val="0"/>
                          <w:marBottom w:val="0"/>
                          <w:divBdr>
                            <w:top w:val="none" w:sz="0" w:space="0" w:color="auto"/>
                            <w:left w:val="none" w:sz="0" w:space="0" w:color="auto"/>
                            <w:bottom w:val="none" w:sz="0" w:space="0" w:color="auto"/>
                            <w:right w:val="none" w:sz="0" w:space="0" w:color="auto"/>
                          </w:divBdr>
                          <w:divsChild>
                            <w:div w:id="675377502">
                              <w:marLeft w:val="0"/>
                              <w:marRight w:val="0"/>
                              <w:marTop w:val="0"/>
                              <w:marBottom w:val="0"/>
                              <w:divBdr>
                                <w:top w:val="none" w:sz="0" w:space="0" w:color="auto"/>
                                <w:left w:val="none" w:sz="0" w:space="0" w:color="auto"/>
                                <w:bottom w:val="none" w:sz="0" w:space="0" w:color="auto"/>
                                <w:right w:val="none" w:sz="0" w:space="0" w:color="auto"/>
                              </w:divBdr>
                              <w:divsChild>
                                <w:div w:id="12389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995403">
      <w:bodyDiv w:val="1"/>
      <w:marLeft w:val="0"/>
      <w:marRight w:val="0"/>
      <w:marTop w:val="0"/>
      <w:marBottom w:val="0"/>
      <w:divBdr>
        <w:top w:val="none" w:sz="0" w:space="0" w:color="auto"/>
        <w:left w:val="none" w:sz="0" w:space="0" w:color="auto"/>
        <w:bottom w:val="none" w:sz="0" w:space="0" w:color="auto"/>
        <w:right w:val="none" w:sz="0" w:space="0" w:color="auto"/>
      </w:divBdr>
      <w:divsChild>
        <w:div w:id="245580850">
          <w:marLeft w:val="547"/>
          <w:marRight w:val="0"/>
          <w:marTop w:val="0"/>
          <w:marBottom w:val="0"/>
          <w:divBdr>
            <w:top w:val="none" w:sz="0" w:space="0" w:color="auto"/>
            <w:left w:val="none" w:sz="0" w:space="0" w:color="auto"/>
            <w:bottom w:val="none" w:sz="0" w:space="0" w:color="auto"/>
            <w:right w:val="none" w:sz="0" w:space="0" w:color="auto"/>
          </w:divBdr>
        </w:div>
      </w:divsChild>
    </w:div>
    <w:div w:id="1216354580">
      <w:bodyDiv w:val="1"/>
      <w:marLeft w:val="0"/>
      <w:marRight w:val="0"/>
      <w:marTop w:val="0"/>
      <w:marBottom w:val="0"/>
      <w:divBdr>
        <w:top w:val="none" w:sz="0" w:space="0" w:color="auto"/>
        <w:left w:val="none" w:sz="0" w:space="0" w:color="auto"/>
        <w:bottom w:val="none" w:sz="0" w:space="0" w:color="auto"/>
        <w:right w:val="none" w:sz="0" w:space="0" w:color="auto"/>
      </w:divBdr>
      <w:divsChild>
        <w:div w:id="1104107545">
          <w:marLeft w:val="0"/>
          <w:marRight w:val="0"/>
          <w:marTop w:val="0"/>
          <w:marBottom w:val="0"/>
          <w:divBdr>
            <w:top w:val="none" w:sz="0" w:space="0" w:color="auto"/>
            <w:left w:val="none" w:sz="0" w:space="0" w:color="auto"/>
            <w:bottom w:val="none" w:sz="0" w:space="0" w:color="auto"/>
            <w:right w:val="none" w:sz="0" w:space="0" w:color="auto"/>
          </w:divBdr>
          <w:divsChild>
            <w:div w:id="1679192020">
              <w:marLeft w:val="0"/>
              <w:marRight w:val="0"/>
              <w:marTop w:val="0"/>
              <w:marBottom w:val="0"/>
              <w:divBdr>
                <w:top w:val="none" w:sz="0" w:space="0" w:color="auto"/>
                <w:left w:val="none" w:sz="0" w:space="0" w:color="auto"/>
                <w:bottom w:val="none" w:sz="0" w:space="0" w:color="auto"/>
                <w:right w:val="none" w:sz="0" w:space="0" w:color="auto"/>
              </w:divBdr>
              <w:divsChild>
                <w:div w:id="1878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736362">
      <w:bodyDiv w:val="1"/>
      <w:marLeft w:val="0"/>
      <w:marRight w:val="0"/>
      <w:marTop w:val="0"/>
      <w:marBottom w:val="0"/>
      <w:divBdr>
        <w:top w:val="none" w:sz="0" w:space="0" w:color="auto"/>
        <w:left w:val="none" w:sz="0" w:space="0" w:color="auto"/>
        <w:bottom w:val="none" w:sz="0" w:space="0" w:color="auto"/>
        <w:right w:val="none" w:sz="0" w:space="0" w:color="auto"/>
      </w:divBdr>
    </w:div>
    <w:div w:id="1300259408">
      <w:bodyDiv w:val="1"/>
      <w:marLeft w:val="0"/>
      <w:marRight w:val="0"/>
      <w:marTop w:val="0"/>
      <w:marBottom w:val="0"/>
      <w:divBdr>
        <w:top w:val="none" w:sz="0" w:space="0" w:color="auto"/>
        <w:left w:val="none" w:sz="0" w:space="0" w:color="auto"/>
        <w:bottom w:val="none" w:sz="0" w:space="0" w:color="auto"/>
        <w:right w:val="none" w:sz="0" w:space="0" w:color="auto"/>
      </w:divBdr>
    </w:div>
    <w:div w:id="1317761625">
      <w:bodyDiv w:val="1"/>
      <w:marLeft w:val="0"/>
      <w:marRight w:val="0"/>
      <w:marTop w:val="0"/>
      <w:marBottom w:val="0"/>
      <w:divBdr>
        <w:top w:val="none" w:sz="0" w:space="0" w:color="auto"/>
        <w:left w:val="none" w:sz="0" w:space="0" w:color="auto"/>
        <w:bottom w:val="none" w:sz="0" w:space="0" w:color="auto"/>
        <w:right w:val="none" w:sz="0" w:space="0" w:color="auto"/>
      </w:divBdr>
      <w:divsChild>
        <w:div w:id="1259942349">
          <w:marLeft w:val="0"/>
          <w:marRight w:val="0"/>
          <w:marTop w:val="0"/>
          <w:marBottom w:val="0"/>
          <w:divBdr>
            <w:top w:val="none" w:sz="0" w:space="0" w:color="auto"/>
            <w:left w:val="none" w:sz="0" w:space="0" w:color="auto"/>
            <w:bottom w:val="none" w:sz="0" w:space="0" w:color="auto"/>
            <w:right w:val="none" w:sz="0" w:space="0" w:color="auto"/>
          </w:divBdr>
        </w:div>
        <w:div w:id="613295973">
          <w:marLeft w:val="0"/>
          <w:marRight w:val="0"/>
          <w:marTop w:val="0"/>
          <w:marBottom w:val="0"/>
          <w:divBdr>
            <w:top w:val="none" w:sz="0" w:space="0" w:color="auto"/>
            <w:left w:val="none" w:sz="0" w:space="0" w:color="auto"/>
            <w:bottom w:val="none" w:sz="0" w:space="0" w:color="auto"/>
            <w:right w:val="none" w:sz="0" w:space="0" w:color="auto"/>
          </w:divBdr>
        </w:div>
      </w:divsChild>
    </w:div>
    <w:div w:id="1325281559">
      <w:bodyDiv w:val="1"/>
      <w:marLeft w:val="0"/>
      <w:marRight w:val="0"/>
      <w:marTop w:val="0"/>
      <w:marBottom w:val="0"/>
      <w:divBdr>
        <w:top w:val="none" w:sz="0" w:space="0" w:color="auto"/>
        <w:left w:val="none" w:sz="0" w:space="0" w:color="auto"/>
        <w:bottom w:val="none" w:sz="0" w:space="0" w:color="auto"/>
        <w:right w:val="none" w:sz="0" w:space="0" w:color="auto"/>
      </w:divBdr>
    </w:div>
    <w:div w:id="1353141309">
      <w:bodyDiv w:val="1"/>
      <w:marLeft w:val="0"/>
      <w:marRight w:val="0"/>
      <w:marTop w:val="0"/>
      <w:marBottom w:val="0"/>
      <w:divBdr>
        <w:top w:val="none" w:sz="0" w:space="0" w:color="auto"/>
        <w:left w:val="none" w:sz="0" w:space="0" w:color="auto"/>
        <w:bottom w:val="none" w:sz="0" w:space="0" w:color="auto"/>
        <w:right w:val="none" w:sz="0" w:space="0" w:color="auto"/>
      </w:divBdr>
      <w:divsChild>
        <w:div w:id="1832986398">
          <w:marLeft w:val="0"/>
          <w:marRight w:val="0"/>
          <w:marTop w:val="0"/>
          <w:marBottom w:val="0"/>
          <w:divBdr>
            <w:top w:val="none" w:sz="0" w:space="0" w:color="auto"/>
            <w:left w:val="none" w:sz="0" w:space="0" w:color="auto"/>
            <w:bottom w:val="none" w:sz="0" w:space="0" w:color="auto"/>
            <w:right w:val="none" w:sz="0" w:space="0" w:color="auto"/>
          </w:divBdr>
          <w:divsChild>
            <w:div w:id="1132747839">
              <w:marLeft w:val="0"/>
              <w:marRight w:val="0"/>
              <w:marTop w:val="0"/>
              <w:marBottom w:val="0"/>
              <w:divBdr>
                <w:top w:val="none" w:sz="0" w:space="0" w:color="auto"/>
                <w:left w:val="none" w:sz="0" w:space="0" w:color="auto"/>
                <w:bottom w:val="none" w:sz="0" w:space="0" w:color="auto"/>
                <w:right w:val="none" w:sz="0" w:space="0" w:color="auto"/>
              </w:divBdr>
              <w:divsChild>
                <w:div w:id="854540201">
                  <w:marLeft w:val="0"/>
                  <w:marRight w:val="0"/>
                  <w:marTop w:val="0"/>
                  <w:marBottom w:val="0"/>
                  <w:divBdr>
                    <w:top w:val="single" w:sz="6" w:space="0" w:color="CCCCCC"/>
                    <w:left w:val="single" w:sz="6" w:space="0" w:color="CCCCCC"/>
                    <w:bottom w:val="single" w:sz="6" w:space="0" w:color="CCCCCC"/>
                    <w:right w:val="single" w:sz="6" w:space="0" w:color="CCCCCC"/>
                  </w:divBdr>
                  <w:divsChild>
                    <w:div w:id="1082525938">
                      <w:marLeft w:val="0"/>
                      <w:marRight w:val="0"/>
                      <w:marTop w:val="0"/>
                      <w:marBottom w:val="0"/>
                      <w:divBdr>
                        <w:top w:val="none" w:sz="0" w:space="0" w:color="auto"/>
                        <w:left w:val="none" w:sz="0" w:space="0" w:color="auto"/>
                        <w:bottom w:val="none" w:sz="0" w:space="0" w:color="auto"/>
                        <w:right w:val="none" w:sz="0" w:space="0" w:color="auto"/>
                      </w:divBdr>
                      <w:divsChild>
                        <w:div w:id="1779255473">
                          <w:marLeft w:val="0"/>
                          <w:marRight w:val="0"/>
                          <w:marTop w:val="0"/>
                          <w:marBottom w:val="0"/>
                          <w:divBdr>
                            <w:top w:val="none" w:sz="0" w:space="0" w:color="auto"/>
                            <w:left w:val="none" w:sz="0" w:space="0" w:color="auto"/>
                            <w:bottom w:val="none" w:sz="0" w:space="0" w:color="auto"/>
                            <w:right w:val="none" w:sz="0" w:space="0" w:color="auto"/>
                          </w:divBdr>
                          <w:divsChild>
                            <w:div w:id="1325741730">
                              <w:marLeft w:val="0"/>
                              <w:marRight w:val="0"/>
                              <w:marTop w:val="0"/>
                              <w:marBottom w:val="0"/>
                              <w:divBdr>
                                <w:top w:val="none" w:sz="0" w:space="0" w:color="auto"/>
                                <w:left w:val="none" w:sz="0" w:space="0" w:color="auto"/>
                                <w:bottom w:val="none" w:sz="0" w:space="0" w:color="auto"/>
                                <w:right w:val="none" w:sz="0" w:space="0" w:color="auto"/>
                              </w:divBdr>
                              <w:divsChild>
                                <w:div w:id="67188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196918">
      <w:bodyDiv w:val="1"/>
      <w:marLeft w:val="0"/>
      <w:marRight w:val="0"/>
      <w:marTop w:val="0"/>
      <w:marBottom w:val="0"/>
      <w:divBdr>
        <w:top w:val="none" w:sz="0" w:space="0" w:color="auto"/>
        <w:left w:val="none" w:sz="0" w:space="0" w:color="auto"/>
        <w:bottom w:val="none" w:sz="0" w:space="0" w:color="auto"/>
        <w:right w:val="none" w:sz="0" w:space="0" w:color="auto"/>
      </w:divBdr>
      <w:divsChild>
        <w:div w:id="1466972386">
          <w:marLeft w:val="0"/>
          <w:marRight w:val="0"/>
          <w:marTop w:val="0"/>
          <w:marBottom w:val="0"/>
          <w:divBdr>
            <w:top w:val="none" w:sz="0" w:space="0" w:color="auto"/>
            <w:left w:val="none" w:sz="0" w:space="0" w:color="auto"/>
            <w:bottom w:val="none" w:sz="0" w:space="0" w:color="auto"/>
            <w:right w:val="none" w:sz="0" w:space="0" w:color="auto"/>
          </w:divBdr>
          <w:divsChild>
            <w:div w:id="1478648864">
              <w:marLeft w:val="0"/>
              <w:marRight w:val="0"/>
              <w:marTop w:val="0"/>
              <w:marBottom w:val="0"/>
              <w:divBdr>
                <w:top w:val="none" w:sz="0" w:space="0" w:color="auto"/>
                <w:left w:val="none" w:sz="0" w:space="0" w:color="auto"/>
                <w:bottom w:val="none" w:sz="0" w:space="0" w:color="auto"/>
                <w:right w:val="none" w:sz="0" w:space="0" w:color="auto"/>
              </w:divBdr>
              <w:divsChild>
                <w:div w:id="1493177528">
                  <w:marLeft w:val="0"/>
                  <w:marRight w:val="0"/>
                  <w:marTop w:val="0"/>
                  <w:marBottom w:val="0"/>
                  <w:divBdr>
                    <w:top w:val="single" w:sz="6" w:space="0" w:color="CCCCCC"/>
                    <w:left w:val="single" w:sz="6" w:space="0" w:color="CCCCCC"/>
                    <w:bottom w:val="single" w:sz="6" w:space="0" w:color="CCCCCC"/>
                    <w:right w:val="single" w:sz="6" w:space="0" w:color="CCCCCC"/>
                  </w:divBdr>
                  <w:divsChild>
                    <w:div w:id="1824005738">
                      <w:marLeft w:val="0"/>
                      <w:marRight w:val="0"/>
                      <w:marTop w:val="0"/>
                      <w:marBottom w:val="0"/>
                      <w:divBdr>
                        <w:top w:val="none" w:sz="0" w:space="0" w:color="auto"/>
                        <w:left w:val="none" w:sz="0" w:space="0" w:color="auto"/>
                        <w:bottom w:val="none" w:sz="0" w:space="0" w:color="auto"/>
                        <w:right w:val="none" w:sz="0" w:space="0" w:color="auto"/>
                      </w:divBdr>
                      <w:divsChild>
                        <w:div w:id="994187509">
                          <w:marLeft w:val="0"/>
                          <w:marRight w:val="0"/>
                          <w:marTop w:val="0"/>
                          <w:marBottom w:val="0"/>
                          <w:divBdr>
                            <w:top w:val="none" w:sz="0" w:space="0" w:color="auto"/>
                            <w:left w:val="none" w:sz="0" w:space="0" w:color="auto"/>
                            <w:bottom w:val="none" w:sz="0" w:space="0" w:color="auto"/>
                            <w:right w:val="none" w:sz="0" w:space="0" w:color="auto"/>
                          </w:divBdr>
                          <w:divsChild>
                            <w:div w:id="1766068613">
                              <w:marLeft w:val="0"/>
                              <w:marRight w:val="0"/>
                              <w:marTop w:val="0"/>
                              <w:marBottom w:val="0"/>
                              <w:divBdr>
                                <w:top w:val="none" w:sz="0" w:space="0" w:color="auto"/>
                                <w:left w:val="none" w:sz="0" w:space="0" w:color="auto"/>
                                <w:bottom w:val="none" w:sz="0" w:space="0" w:color="auto"/>
                                <w:right w:val="none" w:sz="0" w:space="0" w:color="auto"/>
                              </w:divBdr>
                              <w:divsChild>
                                <w:div w:id="1229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315055">
      <w:bodyDiv w:val="1"/>
      <w:marLeft w:val="0"/>
      <w:marRight w:val="0"/>
      <w:marTop w:val="0"/>
      <w:marBottom w:val="0"/>
      <w:divBdr>
        <w:top w:val="none" w:sz="0" w:space="0" w:color="auto"/>
        <w:left w:val="none" w:sz="0" w:space="0" w:color="auto"/>
        <w:bottom w:val="none" w:sz="0" w:space="0" w:color="auto"/>
        <w:right w:val="none" w:sz="0" w:space="0" w:color="auto"/>
      </w:divBdr>
    </w:div>
    <w:div w:id="1446316408">
      <w:bodyDiv w:val="1"/>
      <w:marLeft w:val="0"/>
      <w:marRight w:val="0"/>
      <w:marTop w:val="0"/>
      <w:marBottom w:val="0"/>
      <w:divBdr>
        <w:top w:val="none" w:sz="0" w:space="0" w:color="auto"/>
        <w:left w:val="none" w:sz="0" w:space="0" w:color="auto"/>
        <w:bottom w:val="none" w:sz="0" w:space="0" w:color="auto"/>
        <w:right w:val="none" w:sz="0" w:space="0" w:color="auto"/>
      </w:divBdr>
      <w:divsChild>
        <w:div w:id="467555243">
          <w:marLeft w:val="547"/>
          <w:marRight w:val="0"/>
          <w:marTop w:val="86"/>
          <w:marBottom w:val="0"/>
          <w:divBdr>
            <w:top w:val="none" w:sz="0" w:space="0" w:color="auto"/>
            <w:left w:val="none" w:sz="0" w:space="0" w:color="auto"/>
            <w:bottom w:val="none" w:sz="0" w:space="0" w:color="auto"/>
            <w:right w:val="none" w:sz="0" w:space="0" w:color="auto"/>
          </w:divBdr>
        </w:div>
        <w:div w:id="1068184621">
          <w:marLeft w:val="547"/>
          <w:marRight w:val="0"/>
          <w:marTop w:val="86"/>
          <w:marBottom w:val="0"/>
          <w:divBdr>
            <w:top w:val="none" w:sz="0" w:space="0" w:color="auto"/>
            <w:left w:val="none" w:sz="0" w:space="0" w:color="auto"/>
            <w:bottom w:val="none" w:sz="0" w:space="0" w:color="auto"/>
            <w:right w:val="none" w:sz="0" w:space="0" w:color="auto"/>
          </w:divBdr>
        </w:div>
        <w:div w:id="1097284745">
          <w:marLeft w:val="547"/>
          <w:marRight w:val="0"/>
          <w:marTop w:val="86"/>
          <w:marBottom w:val="0"/>
          <w:divBdr>
            <w:top w:val="none" w:sz="0" w:space="0" w:color="auto"/>
            <w:left w:val="none" w:sz="0" w:space="0" w:color="auto"/>
            <w:bottom w:val="none" w:sz="0" w:space="0" w:color="auto"/>
            <w:right w:val="none" w:sz="0" w:space="0" w:color="auto"/>
          </w:divBdr>
        </w:div>
        <w:div w:id="1219317595">
          <w:marLeft w:val="547"/>
          <w:marRight w:val="0"/>
          <w:marTop w:val="86"/>
          <w:marBottom w:val="0"/>
          <w:divBdr>
            <w:top w:val="none" w:sz="0" w:space="0" w:color="auto"/>
            <w:left w:val="none" w:sz="0" w:space="0" w:color="auto"/>
            <w:bottom w:val="none" w:sz="0" w:space="0" w:color="auto"/>
            <w:right w:val="none" w:sz="0" w:space="0" w:color="auto"/>
          </w:divBdr>
        </w:div>
        <w:div w:id="559481764">
          <w:marLeft w:val="547"/>
          <w:marRight w:val="0"/>
          <w:marTop w:val="86"/>
          <w:marBottom w:val="0"/>
          <w:divBdr>
            <w:top w:val="none" w:sz="0" w:space="0" w:color="auto"/>
            <w:left w:val="none" w:sz="0" w:space="0" w:color="auto"/>
            <w:bottom w:val="none" w:sz="0" w:space="0" w:color="auto"/>
            <w:right w:val="none" w:sz="0" w:space="0" w:color="auto"/>
          </w:divBdr>
        </w:div>
        <w:div w:id="1877692108">
          <w:marLeft w:val="547"/>
          <w:marRight w:val="0"/>
          <w:marTop w:val="86"/>
          <w:marBottom w:val="0"/>
          <w:divBdr>
            <w:top w:val="none" w:sz="0" w:space="0" w:color="auto"/>
            <w:left w:val="none" w:sz="0" w:space="0" w:color="auto"/>
            <w:bottom w:val="none" w:sz="0" w:space="0" w:color="auto"/>
            <w:right w:val="none" w:sz="0" w:space="0" w:color="auto"/>
          </w:divBdr>
        </w:div>
        <w:div w:id="1994136855">
          <w:marLeft w:val="547"/>
          <w:marRight w:val="0"/>
          <w:marTop w:val="86"/>
          <w:marBottom w:val="0"/>
          <w:divBdr>
            <w:top w:val="none" w:sz="0" w:space="0" w:color="auto"/>
            <w:left w:val="none" w:sz="0" w:space="0" w:color="auto"/>
            <w:bottom w:val="none" w:sz="0" w:space="0" w:color="auto"/>
            <w:right w:val="none" w:sz="0" w:space="0" w:color="auto"/>
          </w:divBdr>
        </w:div>
        <w:div w:id="1589970533">
          <w:marLeft w:val="547"/>
          <w:marRight w:val="0"/>
          <w:marTop w:val="86"/>
          <w:marBottom w:val="0"/>
          <w:divBdr>
            <w:top w:val="none" w:sz="0" w:space="0" w:color="auto"/>
            <w:left w:val="none" w:sz="0" w:space="0" w:color="auto"/>
            <w:bottom w:val="none" w:sz="0" w:space="0" w:color="auto"/>
            <w:right w:val="none" w:sz="0" w:space="0" w:color="auto"/>
          </w:divBdr>
        </w:div>
      </w:divsChild>
    </w:div>
    <w:div w:id="1456213840">
      <w:bodyDiv w:val="1"/>
      <w:marLeft w:val="0"/>
      <w:marRight w:val="0"/>
      <w:marTop w:val="0"/>
      <w:marBottom w:val="0"/>
      <w:divBdr>
        <w:top w:val="none" w:sz="0" w:space="0" w:color="auto"/>
        <w:left w:val="none" w:sz="0" w:space="0" w:color="auto"/>
        <w:bottom w:val="none" w:sz="0" w:space="0" w:color="auto"/>
        <w:right w:val="none" w:sz="0" w:space="0" w:color="auto"/>
      </w:divBdr>
      <w:divsChild>
        <w:div w:id="701249195">
          <w:marLeft w:val="0"/>
          <w:marRight w:val="0"/>
          <w:marTop w:val="0"/>
          <w:marBottom w:val="0"/>
          <w:divBdr>
            <w:top w:val="none" w:sz="0" w:space="0" w:color="auto"/>
            <w:left w:val="none" w:sz="0" w:space="0" w:color="auto"/>
            <w:bottom w:val="none" w:sz="0" w:space="0" w:color="auto"/>
            <w:right w:val="none" w:sz="0" w:space="0" w:color="auto"/>
          </w:divBdr>
          <w:divsChild>
            <w:div w:id="1021006611">
              <w:marLeft w:val="0"/>
              <w:marRight w:val="0"/>
              <w:marTop w:val="0"/>
              <w:marBottom w:val="0"/>
              <w:divBdr>
                <w:top w:val="none" w:sz="0" w:space="0" w:color="auto"/>
                <w:left w:val="none" w:sz="0" w:space="0" w:color="auto"/>
                <w:bottom w:val="none" w:sz="0" w:space="0" w:color="auto"/>
                <w:right w:val="none" w:sz="0" w:space="0" w:color="auto"/>
              </w:divBdr>
              <w:divsChild>
                <w:div w:id="1044986382">
                  <w:marLeft w:val="0"/>
                  <w:marRight w:val="0"/>
                  <w:marTop w:val="0"/>
                  <w:marBottom w:val="0"/>
                  <w:divBdr>
                    <w:top w:val="none" w:sz="0" w:space="0" w:color="auto"/>
                    <w:left w:val="none" w:sz="0" w:space="0" w:color="auto"/>
                    <w:bottom w:val="none" w:sz="0" w:space="0" w:color="auto"/>
                    <w:right w:val="none" w:sz="0" w:space="0" w:color="auto"/>
                  </w:divBdr>
                  <w:divsChild>
                    <w:div w:id="1115363575">
                      <w:marLeft w:val="0"/>
                      <w:marRight w:val="0"/>
                      <w:marTop w:val="0"/>
                      <w:marBottom w:val="0"/>
                      <w:divBdr>
                        <w:top w:val="none" w:sz="0" w:space="0" w:color="auto"/>
                        <w:left w:val="none" w:sz="0" w:space="0" w:color="auto"/>
                        <w:bottom w:val="none" w:sz="0" w:space="0" w:color="auto"/>
                        <w:right w:val="none" w:sz="0" w:space="0" w:color="auto"/>
                      </w:divBdr>
                      <w:divsChild>
                        <w:div w:id="2047094906">
                          <w:marLeft w:val="0"/>
                          <w:marRight w:val="0"/>
                          <w:marTop w:val="0"/>
                          <w:marBottom w:val="0"/>
                          <w:divBdr>
                            <w:top w:val="none" w:sz="0" w:space="0" w:color="auto"/>
                            <w:left w:val="none" w:sz="0" w:space="0" w:color="auto"/>
                            <w:bottom w:val="none" w:sz="0" w:space="0" w:color="auto"/>
                            <w:right w:val="none" w:sz="0" w:space="0" w:color="auto"/>
                          </w:divBdr>
                          <w:divsChild>
                            <w:div w:id="19481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914088">
      <w:bodyDiv w:val="1"/>
      <w:marLeft w:val="0"/>
      <w:marRight w:val="0"/>
      <w:marTop w:val="0"/>
      <w:marBottom w:val="0"/>
      <w:divBdr>
        <w:top w:val="none" w:sz="0" w:space="0" w:color="auto"/>
        <w:left w:val="none" w:sz="0" w:space="0" w:color="auto"/>
        <w:bottom w:val="none" w:sz="0" w:space="0" w:color="auto"/>
        <w:right w:val="none" w:sz="0" w:space="0" w:color="auto"/>
      </w:divBdr>
      <w:divsChild>
        <w:div w:id="295766519">
          <w:marLeft w:val="0"/>
          <w:marRight w:val="0"/>
          <w:marTop w:val="0"/>
          <w:marBottom w:val="0"/>
          <w:divBdr>
            <w:top w:val="none" w:sz="0" w:space="0" w:color="auto"/>
            <w:left w:val="none" w:sz="0" w:space="0" w:color="auto"/>
            <w:bottom w:val="none" w:sz="0" w:space="0" w:color="auto"/>
            <w:right w:val="none" w:sz="0" w:space="0" w:color="auto"/>
          </w:divBdr>
          <w:divsChild>
            <w:div w:id="1246721199">
              <w:marLeft w:val="0"/>
              <w:marRight w:val="0"/>
              <w:marTop w:val="0"/>
              <w:marBottom w:val="0"/>
              <w:divBdr>
                <w:top w:val="none" w:sz="0" w:space="0" w:color="auto"/>
                <w:left w:val="none" w:sz="0" w:space="0" w:color="auto"/>
                <w:bottom w:val="none" w:sz="0" w:space="0" w:color="auto"/>
                <w:right w:val="none" w:sz="0" w:space="0" w:color="auto"/>
              </w:divBdr>
              <w:divsChild>
                <w:div w:id="2056418054">
                  <w:marLeft w:val="0"/>
                  <w:marRight w:val="0"/>
                  <w:marTop w:val="0"/>
                  <w:marBottom w:val="0"/>
                  <w:divBdr>
                    <w:top w:val="single" w:sz="6" w:space="0" w:color="CCCCCC"/>
                    <w:left w:val="single" w:sz="6" w:space="0" w:color="CCCCCC"/>
                    <w:bottom w:val="single" w:sz="6" w:space="0" w:color="CCCCCC"/>
                    <w:right w:val="single" w:sz="6" w:space="0" w:color="CCCCCC"/>
                  </w:divBdr>
                  <w:divsChild>
                    <w:div w:id="1379546713">
                      <w:marLeft w:val="0"/>
                      <w:marRight w:val="0"/>
                      <w:marTop w:val="0"/>
                      <w:marBottom w:val="0"/>
                      <w:divBdr>
                        <w:top w:val="none" w:sz="0" w:space="0" w:color="auto"/>
                        <w:left w:val="none" w:sz="0" w:space="0" w:color="auto"/>
                        <w:bottom w:val="none" w:sz="0" w:space="0" w:color="auto"/>
                        <w:right w:val="none" w:sz="0" w:space="0" w:color="auto"/>
                      </w:divBdr>
                      <w:divsChild>
                        <w:div w:id="1723943616">
                          <w:marLeft w:val="0"/>
                          <w:marRight w:val="0"/>
                          <w:marTop w:val="0"/>
                          <w:marBottom w:val="0"/>
                          <w:divBdr>
                            <w:top w:val="none" w:sz="0" w:space="0" w:color="auto"/>
                            <w:left w:val="none" w:sz="0" w:space="0" w:color="auto"/>
                            <w:bottom w:val="none" w:sz="0" w:space="0" w:color="auto"/>
                            <w:right w:val="none" w:sz="0" w:space="0" w:color="auto"/>
                          </w:divBdr>
                          <w:divsChild>
                            <w:div w:id="665477526">
                              <w:marLeft w:val="0"/>
                              <w:marRight w:val="0"/>
                              <w:marTop w:val="0"/>
                              <w:marBottom w:val="0"/>
                              <w:divBdr>
                                <w:top w:val="none" w:sz="0" w:space="0" w:color="auto"/>
                                <w:left w:val="none" w:sz="0" w:space="0" w:color="auto"/>
                                <w:bottom w:val="none" w:sz="0" w:space="0" w:color="auto"/>
                                <w:right w:val="none" w:sz="0" w:space="0" w:color="auto"/>
                              </w:divBdr>
                              <w:divsChild>
                                <w:div w:id="97691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620706">
      <w:bodyDiv w:val="1"/>
      <w:marLeft w:val="0"/>
      <w:marRight w:val="0"/>
      <w:marTop w:val="0"/>
      <w:marBottom w:val="0"/>
      <w:divBdr>
        <w:top w:val="none" w:sz="0" w:space="0" w:color="auto"/>
        <w:left w:val="none" w:sz="0" w:space="0" w:color="auto"/>
        <w:bottom w:val="none" w:sz="0" w:space="0" w:color="auto"/>
        <w:right w:val="none" w:sz="0" w:space="0" w:color="auto"/>
      </w:divBdr>
    </w:div>
    <w:div w:id="1621064192">
      <w:bodyDiv w:val="1"/>
      <w:marLeft w:val="0"/>
      <w:marRight w:val="0"/>
      <w:marTop w:val="0"/>
      <w:marBottom w:val="0"/>
      <w:divBdr>
        <w:top w:val="none" w:sz="0" w:space="0" w:color="auto"/>
        <w:left w:val="none" w:sz="0" w:space="0" w:color="auto"/>
        <w:bottom w:val="none" w:sz="0" w:space="0" w:color="auto"/>
        <w:right w:val="none" w:sz="0" w:space="0" w:color="auto"/>
      </w:divBdr>
    </w:div>
    <w:div w:id="1651523338">
      <w:bodyDiv w:val="1"/>
      <w:marLeft w:val="0"/>
      <w:marRight w:val="0"/>
      <w:marTop w:val="0"/>
      <w:marBottom w:val="0"/>
      <w:divBdr>
        <w:top w:val="none" w:sz="0" w:space="0" w:color="auto"/>
        <w:left w:val="none" w:sz="0" w:space="0" w:color="auto"/>
        <w:bottom w:val="none" w:sz="0" w:space="0" w:color="auto"/>
        <w:right w:val="none" w:sz="0" w:space="0" w:color="auto"/>
      </w:divBdr>
      <w:divsChild>
        <w:div w:id="683241209">
          <w:marLeft w:val="0"/>
          <w:marRight w:val="0"/>
          <w:marTop w:val="0"/>
          <w:marBottom w:val="0"/>
          <w:divBdr>
            <w:top w:val="none" w:sz="0" w:space="0" w:color="auto"/>
            <w:left w:val="none" w:sz="0" w:space="0" w:color="auto"/>
            <w:bottom w:val="none" w:sz="0" w:space="0" w:color="auto"/>
            <w:right w:val="none" w:sz="0" w:space="0" w:color="auto"/>
          </w:divBdr>
          <w:divsChild>
            <w:div w:id="315426173">
              <w:marLeft w:val="0"/>
              <w:marRight w:val="0"/>
              <w:marTop w:val="0"/>
              <w:marBottom w:val="0"/>
              <w:divBdr>
                <w:top w:val="none" w:sz="0" w:space="0" w:color="auto"/>
                <w:left w:val="none" w:sz="0" w:space="0" w:color="auto"/>
                <w:bottom w:val="none" w:sz="0" w:space="0" w:color="auto"/>
                <w:right w:val="none" w:sz="0" w:space="0" w:color="auto"/>
              </w:divBdr>
              <w:divsChild>
                <w:div w:id="1427309385">
                  <w:marLeft w:val="0"/>
                  <w:marRight w:val="0"/>
                  <w:marTop w:val="0"/>
                  <w:marBottom w:val="0"/>
                  <w:divBdr>
                    <w:top w:val="single" w:sz="6" w:space="0" w:color="CCCCCC"/>
                    <w:left w:val="single" w:sz="6" w:space="0" w:color="CCCCCC"/>
                    <w:bottom w:val="single" w:sz="6" w:space="0" w:color="CCCCCC"/>
                    <w:right w:val="single" w:sz="6" w:space="0" w:color="CCCCCC"/>
                  </w:divBdr>
                  <w:divsChild>
                    <w:div w:id="583684397">
                      <w:marLeft w:val="0"/>
                      <w:marRight w:val="0"/>
                      <w:marTop w:val="0"/>
                      <w:marBottom w:val="0"/>
                      <w:divBdr>
                        <w:top w:val="none" w:sz="0" w:space="0" w:color="auto"/>
                        <w:left w:val="none" w:sz="0" w:space="0" w:color="auto"/>
                        <w:bottom w:val="none" w:sz="0" w:space="0" w:color="auto"/>
                        <w:right w:val="none" w:sz="0" w:space="0" w:color="auto"/>
                      </w:divBdr>
                      <w:divsChild>
                        <w:div w:id="1647398168">
                          <w:marLeft w:val="0"/>
                          <w:marRight w:val="0"/>
                          <w:marTop w:val="0"/>
                          <w:marBottom w:val="0"/>
                          <w:divBdr>
                            <w:top w:val="none" w:sz="0" w:space="0" w:color="auto"/>
                            <w:left w:val="none" w:sz="0" w:space="0" w:color="auto"/>
                            <w:bottom w:val="none" w:sz="0" w:space="0" w:color="auto"/>
                            <w:right w:val="none" w:sz="0" w:space="0" w:color="auto"/>
                          </w:divBdr>
                          <w:divsChild>
                            <w:div w:id="81880450">
                              <w:marLeft w:val="0"/>
                              <w:marRight w:val="0"/>
                              <w:marTop w:val="0"/>
                              <w:marBottom w:val="0"/>
                              <w:divBdr>
                                <w:top w:val="none" w:sz="0" w:space="0" w:color="auto"/>
                                <w:left w:val="none" w:sz="0" w:space="0" w:color="auto"/>
                                <w:bottom w:val="none" w:sz="0" w:space="0" w:color="auto"/>
                                <w:right w:val="none" w:sz="0" w:space="0" w:color="auto"/>
                              </w:divBdr>
                              <w:divsChild>
                                <w:div w:id="72433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963566">
      <w:bodyDiv w:val="1"/>
      <w:marLeft w:val="0"/>
      <w:marRight w:val="0"/>
      <w:marTop w:val="0"/>
      <w:marBottom w:val="0"/>
      <w:divBdr>
        <w:top w:val="none" w:sz="0" w:space="0" w:color="auto"/>
        <w:left w:val="none" w:sz="0" w:space="0" w:color="auto"/>
        <w:bottom w:val="none" w:sz="0" w:space="0" w:color="auto"/>
        <w:right w:val="none" w:sz="0" w:space="0" w:color="auto"/>
      </w:divBdr>
    </w:div>
    <w:div w:id="1776824095">
      <w:bodyDiv w:val="1"/>
      <w:marLeft w:val="0"/>
      <w:marRight w:val="0"/>
      <w:marTop w:val="0"/>
      <w:marBottom w:val="0"/>
      <w:divBdr>
        <w:top w:val="none" w:sz="0" w:space="0" w:color="auto"/>
        <w:left w:val="none" w:sz="0" w:space="0" w:color="auto"/>
        <w:bottom w:val="none" w:sz="0" w:space="0" w:color="auto"/>
        <w:right w:val="none" w:sz="0" w:space="0" w:color="auto"/>
      </w:divBdr>
      <w:divsChild>
        <w:div w:id="240720668">
          <w:marLeft w:val="0"/>
          <w:marRight w:val="0"/>
          <w:marTop w:val="0"/>
          <w:marBottom w:val="0"/>
          <w:divBdr>
            <w:top w:val="none" w:sz="0" w:space="0" w:color="auto"/>
            <w:left w:val="none" w:sz="0" w:space="0" w:color="auto"/>
            <w:bottom w:val="none" w:sz="0" w:space="0" w:color="auto"/>
            <w:right w:val="none" w:sz="0" w:space="0" w:color="auto"/>
          </w:divBdr>
        </w:div>
        <w:div w:id="480969139">
          <w:marLeft w:val="0"/>
          <w:marRight w:val="0"/>
          <w:marTop w:val="0"/>
          <w:marBottom w:val="0"/>
          <w:divBdr>
            <w:top w:val="none" w:sz="0" w:space="0" w:color="auto"/>
            <w:left w:val="none" w:sz="0" w:space="0" w:color="auto"/>
            <w:bottom w:val="none" w:sz="0" w:space="0" w:color="auto"/>
            <w:right w:val="none" w:sz="0" w:space="0" w:color="auto"/>
          </w:divBdr>
        </w:div>
        <w:div w:id="716395755">
          <w:marLeft w:val="0"/>
          <w:marRight w:val="0"/>
          <w:marTop w:val="0"/>
          <w:marBottom w:val="0"/>
          <w:divBdr>
            <w:top w:val="none" w:sz="0" w:space="0" w:color="auto"/>
            <w:left w:val="none" w:sz="0" w:space="0" w:color="auto"/>
            <w:bottom w:val="none" w:sz="0" w:space="0" w:color="auto"/>
            <w:right w:val="none" w:sz="0" w:space="0" w:color="auto"/>
          </w:divBdr>
        </w:div>
        <w:div w:id="1437402534">
          <w:marLeft w:val="0"/>
          <w:marRight w:val="0"/>
          <w:marTop w:val="0"/>
          <w:marBottom w:val="0"/>
          <w:divBdr>
            <w:top w:val="none" w:sz="0" w:space="0" w:color="auto"/>
            <w:left w:val="none" w:sz="0" w:space="0" w:color="auto"/>
            <w:bottom w:val="none" w:sz="0" w:space="0" w:color="auto"/>
            <w:right w:val="none" w:sz="0" w:space="0" w:color="auto"/>
          </w:divBdr>
        </w:div>
        <w:div w:id="1029718582">
          <w:marLeft w:val="0"/>
          <w:marRight w:val="0"/>
          <w:marTop w:val="0"/>
          <w:marBottom w:val="0"/>
          <w:divBdr>
            <w:top w:val="none" w:sz="0" w:space="0" w:color="auto"/>
            <w:left w:val="none" w:sz="0" w:space="0" w:color="auto"/>
            <w:bottom w:val="none" w:sz="0" w:space="0" w:color="auto"/>
            <w:right w:val="none" w:sz="0" w:space="0" w:color="auto"/>
          </w:divBdr>
        </w:div>
        <w:div w:id="718674350">
          <w:marLeft w:val="0"/>
          <w:marRight w:val="0"/>
          <w:marTop w:val="0"/>
          <w:marBottom w:val="0"/>
          <w:divBdr>
            <w:top w:val="none" w:sz="0" w:space="0" w:color="auto"/>
            <w:left w:val="none" w:sz="0" w:space="0" w:color="auto"/>
            <w:bottom w:val="none" w:sz="0" w:space="0" w:color="auto"/>
            <w:right w:val="none" w:sz="0" w:space="0" w:color="auto"/>
          </w:divBdr>
        </w:div>
        <w:div w:id="678115850">
          <w:marLeft w:val="0"/>
          <w:marRight w:val="0"/>
          <w:marTop w:val="0"/>
          <w:marBottom w:val="0"/>
          <w:divBdr>
            <w:top w:val="none" w:sz="0" w:space="0" w:color="auto"/>
            <w:left w:val="none" w:sz="0" w:space="0" w:color="auto"/>
            <w:bottom w:val="none" w:sz="0" w:space="0" w:color="auto"/>
            <w:right w:val="none" w:sz="0" w:space="0" w:color="auto"/>
          </w:divBdr>
        </w:div>
        <w:div w:id="680474964">
          <w:marLeft w:val="0"/>
          <w:marRight w:val="0"/>
          <w:marTop w:val="0"/>
          <w:marBottom w:val="0"/>
          <w:divBdr>
            <w:top w:val="none" w:sz="0" w:space="0" w:color="auto"/>
            <w:left w:val="none" w:sz="0" w:space="0" w:color="auto"/>
            <w:bottom w:val="none" w:sz="0" w:space="0" w:color="auto"/>
            <w:right w:val="none" w:sz="0" w:space="0" w:color="auto"/>
          </w:divBdr>
        </w:div>
        <w:div w:id="1768691686">
          <w:marLeft w:val="0"/>
          <w:marRight w:val="0"/>
          <w:marTop w:val="0"/>
          <w:marBottom w:val="0"/>
          <w:divBdr>
            <w:top w:val="none" w:sz="0" w:space="0" w:color="auto"/>
            <w:left w:val="none" w:sz="0" w:space="0" w:color="auto"/>
            <w:bottom w:val="none" w:sz="0" w:space="0" w:color="auto"/>
            <w:right w:val="none" w:sz="0" w:space="0" w:color="auto"/>
          </w:divBdr>
        </w:div>
        <w:div w:id="1490093705">
          <w:marLeft w:val="0"/>
          <w:marRight w:val="0"/>
          <w:marTop w:val="0"/>
          <w:marBottom w:val="0"/>
          <w:divBdr>
            <w:top w:val="none" w:sz="0" w:space="0" w:color="auto"/>
            <w:left w:val="none" w:sz="0" w:space="0" w:color="auto"/>
            <w:bottom w:val="none" w:sz="0" w:space="0" w:color="auto"/>
            <w:right w:val="none" w:sz="0" w:space="0" w:color="auto"/>
          </w:divBdr>
        </w:div>
        <w:div w:id="1339887129">
          <w:marLeft w:val="0"/>
          <w:marRight w:val="0"/>
          <w:marTop w:val="0"/>
          <w:marBottom w:val="0"/>
          <w:divBdr>
            <w:top w:val="none" w:sz="0" w:space="0" w:color="auto"/>
            <w:left w:val="none" w:sz="0" w:space="0" w:color="auto"/>
            <w:bottom w:val="none" w:sz="0" w:space="0" w:color="auto"/>
            <w:right w:val="none" w:sz="0" w:space="0" w:color="auto"/>
          </w:divBdr>
        </w:div>
      </w:divsChild>
    </w:div>
    <w:div w:id="1826362284">
      <w:bodyDiv w:val="1"/>
      <w:marLeft w:val="0"/>
      <w:marRight w:val="0"/>
      <w:marTop w:val="0"/>
      <w:marBottom w:val="0"/>
      <w:divBdr>
        <w:top w:val="none" w:sz="0" w:space="0" w:color="auto"/>
        <w:left w:val="none" w:sz="0" w:space="0" w:color="auto"/>
        <w:bottom w:val="none" w:sz="0" w:space="0" w:color="auto"/>
        <w:right w:val="none" w:sz="0" w:space="0" w:color="auto"/>
      </w:divBdr>
      <w:divsChild>
        <w:div w:id="410591244">
          <w:marLeft w:val="0"/>
          <w:marRight w:val="0"/>
          <w:marTop w:val="0"/>
          <w:marBottom w:val="0"/>
          <w:divBdr>
            <w:top w:val="none" w:sz="0" w:space="0" w:color="auto"/>
            <w:left w:val="none" w:sz="0" w:space="0" w:color="auto"/>
            <w:bottom w:val="none" w:sz="0" w:space="0" w:color="auto"/>
            <w:right w:val="none" w:sz="0" w:space="0" w:color="auto"/>
          </w:divBdr>
          <w:divsChild>
            <w:div w:id="916864725">
              <w:marLeft w:val="0"/>
              <w:marRight w:val="0"/>
              <w:marTop w:val="0"/>
              <w:marBottom w:val="0"/>
              <w:divBdr>
                <w:top w:val="none" w:sz="0" w:space="0" w:color="auto"/>
                <w:left w:val="none" w:sz="0" w:space="0" w:color="auto"/>
                <w:bottom w:val="none" w:sz="0" w:space="0" w:color="auto"/>
                <w:right w:val="none" w:sz="0" w:space="0" w:color="auto"/>
              </w:divBdr>
              <w:divsChild>
                <w:div w:id="831263033">
                  <w:marLeft w:val="0"/>
                  <w:marRight w:val="0"/>
                  <w:marTop w:val="0"/>
                  <w:marBottom w:val="0"/>
                  <w:divBdr>
                    <w:top w:val="none" w:sz="0" w:space="0" w:color="auto"/>
                    <w:left w:val="none" w:sz="0" w:space="0" w:color="auto"/>
                    <w:bottom w:val="none" w:sz="0" w:space="0" w:color="auto"/>
                    <w:right w:val="none" w:sz="0" w:space="0" w:color="auto"/>
                  </w:divBdr>
                  <w:divsChild>
                    <w:div w:id="896160044">
                      <w:marLeft w:val="0"/>
                      <w:marRight w:val="0"/>
                      <w:marTop w:val="0"/>
                      <w:marBottom w:val="0"/>
                      <w:divBdr>
                        <w:top w:val="none" w:sz="0" w:space="0" w:color="auto"/>
                        <w:left w:val="none" w:sz="0" w:space="0" w:color="auto"/>
                        <w:bottom w:val="none" w:sz="0" w:space="0" w:color="auto"/>
                        <w:right w:val="none" w:sz="0" w:space="0" w:color="auto"/>
                      </w:divBdr>
                      <w:divsChild>
                        <w:div w:id="47994337">
                          <w:marLeft w:val="0"/>
                          <w:marRight w:val="0"/>
                          <w:marTop w:val="0"/>
                          <w:marBottom w:val="0"/>
                          <w:divBdr>
                            <w:top w:val="none" w:sz="0" w:space="0" w:color="auto"/>
                            <w:left w:val="none" w:sz="0" w:space="0" w:color="auto"/>
                            <w:bottom w:val="none" w:sz="0" w:space="0" w:color="auto"/>
                            <w:right w:val="none" w:sz="0" w:space="0" w:color="auto"/>
                          </w:divBdr>
                          <w:divsChild>
                            <w:div w:id="14165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8159533">
      <w:bodyDiv w:val="1"/>
      <w:marLeft w:val="0"/>
      <w:marRight w:val="0"/>
      <w:marTop w:val="0"/>
      <w:marBottom w:val="0"/>
      <w:divBdr>
        <w:top w:val="none" w:sz="0" w:space="0" w:color="auto"/>
        <w:left w:val="none" w:sz="0" w:space="0" w:color="auto"/>
        <w:bottom w:val="none" w:sz="0" w:space="0" w:color="auto"/>
        <w:right w:val="none" w:sz="0" w:space="0" w:color="auto"/>
      </w:divBdr>
      <w:divsChild>
        <w:div w:id="1839928067">
          <w:marLeft w:val="0"/>
          <w:marRight w:val="0"/>
          <w:marTop w:val="0"/>
          <w:marBottom w:val="0"/>
          <w:divBdr>
            <w:top w:val="none" w:sz="0" w:space="0" w:color="auto"/>
            <w:left w:val="none" w:sz="0" w:space="0" w:color="auto"/>
            <w:bottom w:val="none" w:sz="0" w:space="0" w:color="auto"/>
            <w:right w:val="none" w:sz="0" w:space="0" w:color="auto"/>
          </w:divBdr>
          <w:divsChild>
            <w:div w:id="1648632757">
              <w:marLeft w:val="0"/>
              <w:marRight w:val="0"/>
              <w:marTop w:val="0"/>
              <w:marBottom w:val="0"/>
              <w:divBdr>
                <w:top w:val="none" w:sz="0" w:space="0" w:color="auto"/>
                <w:left w:val="none" w:sz="0" w:space="0" w:color="auto"/>
                <w:bottom w:val="none" w:sz="0" w:space="0" w:color="auto"/>
                <w:right w:val="none" w:sz="0" w:space="0" w:color="auto"/>
              </w:divBdr>
              <w:divsChild>
                <w:div w:id="15831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934337">
      <w:bodyDiv w:val="1"/>
      <w:marLeft w:val="0"/>
      <w:marRight w:val="0"/>
      <w:marTop w:val="0"/>
      <w:marBottom w:val="0"/>
      <w:divBdr>
        <w:top w:val="none" w:sz="0" w:space="0" w:color="auto"/>
        <w:left w:val="none" w:sz="0" w:space="0" w:color="auto"/>
        <w:bottom w:val="none" w:sz="0" w:space="0" w:color="auto"/>
        <w:right w:val="none" w:sz="0" w:space="0" w:color="auto"/>
      </w:divBdr>
    </w:div>
    <w:div w:id="1933195395">
      <w:bodyDiv w:val="1"/>
      <w:marLeft w:val="0"/>
      <w:marRight w:val="0"/>
      <w:marTop w:val="0"/>
      <w:marBottom w:val="0"/>
      <w:divBdr>
        <w:top w:val="none" w:sz="0" w:space="0" w:color="auto"/>
        <w:left w:val="none" w:sz="0" w:space="0" w:color="auto"/>
        <w:bottom w:val="none" w:sz="0" w:space="0" w:color="auto"/>
        <w:right w:val="none" w:sz="0" w:space="0" w:color="auto"/>
      </w:divBdr>
    </w:div>
    <w:div w:id="1934043716">
      <w:bodyDiv w:val="1"/>
      <w:marLeft w:val="0"/>
      <w:marRight w:val="0"/>
      <w:marTop w:val="0"/>
      <w:marBottom w:val="0"/>
      <w:divBdr>
        <w:top w:val="none" w:sz="0" w:space="0" w:color="auto"/>
        <w:left w:val="none" w:sz="0" w:space="0" w:color="auto"/>
        <w:bottom w:val="none" w:sz="0" w:space="0" w:color="auto"/>
        <w:right w:val="none" w:sz="0" w:space="0" w:color="auto"/>
      </w:divBdr>
      <w:divsChild>
        <w:div w:id="291594396">
          <w:marLeft w:val="0"/>
          <w:marRight w:val="0"/>
          <w:marTop w:val="0"/>
          <w:marBottom w:val="0"/>
          <w:divBdr>
            <w:top w:val="none" w:sz="0" w:space="0" w:color="auto"/>
            <w:left w:val="none" w:sz="0" w:space="0" w:color="auto"/>
            <w:bottom w:val="none" w:sz="0" w:space="0" w:color="auto"/>
            <w:right w:val="none" w:sz="0" w:space="0" w:color="auto"/>
          </w:divBdr>
          <w:divsChild>
            <w:div w:id="1112629282">
              <w:marLeft w:val="0"/>
              <w:marRight w:val="0"/>
              <w:marTop w:val="0"/>
              <w:marBottom w:val="0"/>
              <w:divBdr>
                <w:top w:val="none" w:sz="0" w:space="0" w:color="auto"/>
                <w:left w:val="none" w:sz="0" w:space="0" w:color="auto"/>
                <w:bottom w:val="none" w:sz="0" w:space="0" w:color="auto"/>
                <w:right w:val="none" w:sz="0" w:space="0" w:color="auto"/>
              </w:divBdr>
              <w:divsChild>
                <w:div w:id="1715736675">
                  <w:marLeft w:val="1"/>
                  <w:marRight w:val="1"/>
                  <w:marTop w:val="90"/>
                  <w:marBottom w:val="90"/>
                  <w:divBdr>
                    <w:top w:val="none" w:sz="0" w:space="0" w:color="auto"/>
                    <w:left w:val="none" w:sz="0" w:space="0" w:color="auto"/>
                    <w:bottom w:val="none" w:sz="0" w:space="0" w:color="auto"/>
                    <w:right w:val="none" w:sz="0" w:space="0" w:color="auto"/>
                  </w:divBdr>
                  <w:divsChild>
                    <w:div w:id="1517884677">
                      <w:marLeft w:val="0"/>
                      <w:marRight w:val="0"/>
                      <w:marTop w:val="0"/>
                      <w:marBottom w:val="0"/>
                      <w:divBdr>
                        <w:top w:val="none" w:sz="0" w:space="0" w:color="auto"/>
                        <w:left w:val="none" w:sz="0" w:space="0" w:color="auto"/>
                        <w:bottom w:val="none" w:sz="0" w:space="0" w:color="auto"/>
                        <w:right w:val="none" w:sz="0" w:space="0" w:color="auto"/>
                      </w:divBdr>
                      <w:divsChild>
                        <w:div w:id="780994072">
                          <w:marLeft w:val="0"/>
                          <w:marRight w:val="0"/>
                          <w:marTop w:val="0"/>
                          <w:marBottom w:val="0"/>
                          <w:divBdr>
                            <w:top w:val="none" w:sz="0" w:space="0" w:color="auto"/>
                            <w:left w:val="none" w:sz="0" w:space="0" w:color="auto"/>
                            <w:bottom w:val="none" w:sz="0" w:space="0" w:color="auto"/>
                            <w:right w:val="none" w:sz="0" w:space="0" w:color="auto"/>
                          </w:divBdr>
                          <w:divsChild>
                            <w:div w:id="250432949">
                              <w:marLeft w:val="0"/>
                              <w:marRight w:val="0"/>
                              <w:marTop w:val="0"/>
                              <w:marBottom w:val="0"/>
                              <w:divBdr>
                                <w:top w:val="none" w:sz="0" w:space="0" w:color="auto"/>
                                <w:left w:val="none" w:sz="0" w:space="0" w:color="auto"/>
                                <w:bottom w:val="none" w:sz="0" w:space="0" w:color="auto"/>
                                <w:right w:val="none" w:sz="0" w:space="0" w:color="auto"/>
                              </w:divBdr>
                              <w:divsChild>
                                <w:div w:id="1356035991">
                                  <w:marLeft w:val="90"/>
                                  <w:marRight w:val="0"/>
                                  <w:marTop w:val="0"/>
                                  <w:marBottom w:val="0"/>
                                  <w:divBdr>
                                    <w:top w:val="none" w:sz="0" w:space="0" w:color="auto"/>
                                    <w:left w:val="none" w:sz="0" w:space="0" w:color="auto"/>
                                    <w:bottom w:val="none" w:sz="0" w:space="0" w:color="auto"/>
                                    <w:right w:val="none" w:sz="0" w:space="0" w:color="auto"/>
                                  </w:divBdr>
                                  <w:divsChild>
                                    <w:div w:id="566036966">
                                      <w:marLeft w:val="0"/>
                                      <w:marRight w:val="0"/>
                                      <w:marTop w:val="0"/>
                                      <w:marBottom w:val="0"/>
                                      <w:divBdr>
                                        <w:top w:val="none" w:sz="0" w:space="0" w:color="auto"/>
                                        <w:left w:val="none" w:sz="0" w:space="0" w:color="auto"/>
                                        <w:bottom w:val="none" w:sz="0" w:space="0" w:color="auto"/>
                                        <w:right w:val="none" w:sz="0" w:space="0" w:color="auto"/>
                                      </w:divBdr>
                                      <w:divsChild>
                                        <w:div w:id="1272930105">
                                          <w:marLeft w:val="0"/>
                                          <w:marRight w:val="150"/>
                                          <w:marTop w:val="0"/>
                                          <w:marBottom w:val="0"/>
                                          <w:divBdr>
                                            <w:top w:val="none" w:sz="0" w:space="0" w:color="auto"/>
                                            <w:left w:val="none" w:sz="0" w:space="0" w:color="auto"/>
                                            <w:bottom w:val="none" w:sz="0" w:space="0" w:color="auto"/>
                                            <w:right w:val="none" w:sz="0" w:space="0" w:color="auto"/>
                                          </w:divBdr>
                                          <w:divsChild>
                                            <w:div w:id="1345205077">
                                              <w:marLeft w:val="0"/>
                                              <w:marRight w:val="0"/>
                                              <w:marTop w:val="0"/>
                                              <w:marBottom w:val="0"/>
                                              <w:divBdr>
                                                <w:top w:val="none" w:sz="0" w:space="0" w:color="auto"/>
                                                <w:left w:val="none" w:sz="0" w:space="0" w:color="auto"/>
                                                <w:bottom w:val="none" w:sz="0" w:space="0" w:color="auto"/>
                                                <w:right w:val="none" w:sz="0" w:space="0" w:color="auto"/>
                                              </w:divBdr>
                                              <w:divsChild>
                                                <w:div w:id="237442892">
                                                  <w:marLeft w:val="0"/>
                                                  <w:marRight w:val="0"/>
                                                  <w:marTop w:val="0"/>
                                                  <w:marBottom w:val="0"/>
                                                  <w:divBdr>
                                                    <w:top w:val="none" w:sz="0" w:space="0" w:color="auto"/>
                                                    <w:left w:val="none" w:sz="0" w:space="0" w:color="auto"/>
                                                    <w:bottom w:val="none" w:sz="0" w:space="0" w:color="auto"/>
                                                    <w:right w:val="none" w:sz="0" w:space="0" w:color="auto"/>
                                                  </w:divBdr>
                                                  <w:divsChild>
                                                    <w:div w:id="2105884146">
                                                      <w:marLeft w:val="0"/>
                                                      <w:marRight w:val="0"/>
                                                      <w:marTop w:val="0"/>
                                                      <w:marBottom w:val="0"/>
                                                      <w:divBdr>
                                                        <w:top w:val="none" w:sz="0" w:space="0" w:color="auto"/>
                                                        <w:left w:val="none" w:sz="0" w:space="0" w:color="auto"/>
                                                        <w:bottom w:val="none" w:sz="0" w:space="0" w:color="auto"/>
                                                        <w:right w:val="none" w:sz="0" w:space="0" w:color="auto"/>
                                                      </w:divBdr>
                                                      <w:divsChild>
                                                        <w:div w:id="1002439380">
                                                          <w:marLeft w:val="0"/>
                                                          <w:marRight w:val="0"/>
                                                          <w:marTop w:val="0"/>
                                                          <w:marBottom w:val="0"/>
                                                          <w:divBdr>
                                                            <w:top w:val="none" w:sz="0" w:space="0" w:color="auto"/>
                                                            <w:left w:val="none" w:sz="0" w:space="0" w:color="auto"/>
                                                            <w:bottom w:val="none" w:sz="0" w:space="0" w:color="auto"/>
                                                            <w:right w:val="none" w:sz="0" w:space="0" w:color="auto"/>
                                                          </w:divBdr>
                                                          <w:divsChild>
                                                            <w:div w:id="855340118">
                                                              <w:marLeft w:val="0"/>
                                                              <w:marRight w:val="0"/>
                                                              <w:marTop w:val="0"/>
                                                              <w:marBottom w:val="0"/>
                                                              <w:divBdr>
                                                                <w:top w:val="none" w:sz="0" w:space="0" w:color="auto"/>
                                                                <w:left w:val="none" w:sz="0" w:space="0" w:color="auto"/>
                                                                <w:bottom w:val="none" w:sz="0" w:space="0" w:color="auto"/>
                                                                <w:right w:val="none" w:sz="0" w:space="0" w:color="auto"/>
                                                              </w:divBdr>
                                                              <w:divsChild>
                                                                <w:div w:id="478036908">
                                                                  <w:marLeft w:val="0"/>
                                                                  <w:marRight w:val="0"/>
                                                                  <w:marTop w:val="0"/>
                                                                  <w:marBottom w:val="0"/>
                                                                  <w:divBdr>
                                                                    <w:top w:val="none" w:sz="0" w:space="0" w:color="auto"/>
                                                                    <w:left w:val="none" w:sz="0" w:space="0" w:color="auto"/>
                                                                    <w:bottom w:val="none" w:sz="0" w:space="0" w:color="auto"/>
                                                                    <w:right w:val="none" w:sz="0" w:space="0" w:color="auto"/>
                                                                  </w:divBdr>
                                                                  <w:divsChild>
                                                                    <w:div w:id="707222919">
                                                                      <w:marLeft w:val="0"/>
                                                                      <w:marRight w:val="0"/>
                                                                      <w:marTop w:val="0"/>
                                                                      <w:marBottom w:val="0"/>
                                                                      <w:divBdr>
                                                                        <w:top w:val="none" w:sz="0" w:space="0" w:color="auto"/>
                                                                        <w:left w:val="none" w:sz="0" w:space="0" w:color="auto"/>
                                                                        <w:bottom w:val="none" w:sz="0" w:space="0" w:color="auto"/>
                                                                        <w:right w:val="none" w:sz="0" w:space="0" w:color="auto"/>
                                                                      </w:divBdr>
                                                                      <w:divsChild>
                                                                        <w:div w:id="28380118">
                                                                          <w:marLeft w:val="0"/>
                                                                          <w:marRight w:val="0"/>
                                                                          <w:marTop w:val="0"/>
                                                                          <w:marBottom w:val="0"/>
                                                                          <w:divBdr>
                                                                            <w:top w:val="none" w:sz="0" w:space="0" w:color="auto"/>
                                                                            <w:left w:val="none" w:sz="0" w:space="0" w:color="auto"/>
                                                                            <w:bottom w:val="none" w:sz="0" w:space="0" w:color="auto"/>
                                                                            <w:right w:val="none" w:sz="0" w:space="0" w:color="auto"/>
                                                                          </w:divBdr>
                                                                          <w:divsChild>
                                                                            <w:div w:id="328288341">
                                                                              <w:marLeft w:val="0"/>
                                                                              <w:marRight w:val="0"/>
                                                                              <w:marTop w:val="0"/>
                                                                              <w:marBottom w:val="0"/>
                                                                              <w:divBdr>
                                                                                <w:top w:val="none" w:sz="0" w:space="0" w:color="auto"/>
                                                                                <w:left w:val="none" w:sz="0" w:space="0" w:color="auto"/>
                                                                                <w:bottom w:val="none" w:sz="0" w:space="0" w:color="auto"/>
                                                                                <w:right w:val="none" w:sz="0" w:space="0" w:color="auto"/>
                                                                              </w:divBdr>
                                                                              <w:divsChild>
                                                                                <w:div w:id="690691918">
                                                                                  <w:marLeft w:val="-45"/>
                                                                                  <w:marRight w:val="-45"/>
                                                                                  <w:marTop w:val="30"/>
                                                                                  <w:marBottom w:val="0"/>
                                                                                  <w:divBdr>
                                                                                    <w:top w:val="none" w:sz="0" w:space="0" w:color="auto"/>
                                                                                    <w:left w:val="none" w:sz="0" w:space="0" w:color="auto"/>
                                                                                    <w:bottom w:val="none" w:sz="0" w:space="0" w:color="auto"/>
                                                                                    <w:right w:val="none" w:sz="0" w:space="0" w:color="auto"/>
                                                                                  </w:divBdr>
                                                                                  <w:divsChild>
                                                                                    <w:div w:id="719088929">
                                                                                      <w:marLeft w:val="0"/>
                                                                                      <w:marRight w:val="0"/>
                                                                                      <w:marTop w:val="0"/>
                                                                                      <w:marBottom w:val="0"/>
                                                                                      <w:divBdr>
                                                                                        <w:top w:val="none" w:sz="0" w:space="0" w:color="auto"/>
                                                                                        <w:left w:val="none" w:sz="0" w:space="0" w:color="auto"/>
                                                                                        <w:bottom w:val="none" w:sz="0" w:space="0" w:color="auto"/>
                                                                                        <w:right w:val="none" w:sz="0" w:space="0" w:color="auto"/>
                                                                                      </w:divBdr>
                                                                                    </w:div>
                                                                                    <w:div w:id="1153982870">
                                                                                      <w:marLeft w:val="0"/>
                                                                                      <w:marRight w:val="0"/>
                                                                                      <w:marTop w:val="0"/>
                                                                                      <w:marBottom w:val="0"/>
                                                                                      <w:divBdr>
                                                                                        <w:top w:val="none" w:sz="0" w:space="0" w:color="auto"/>
                                                                                        <w:left w:val="none" w:sz="0" w:space="0" w:color="auto"/>
                                                                                        <w:bottom w:val="none" w:sz="0" w:space="0" w:color="auto"/>
                                                                                        <w:right w:val="none" w:sz="0" w:space="0" w:color="auto"/>
                                                                                      </w:divBdr>
                                                                                    </w:div>
                                                                                    <w:div w:id="1700742117">
                                                                                      <w:marLeft w:val="0"/>
                                                                                      <w:marRight w:val="0"/>
                                                                                      <w:marTop w:val="0"/>
                                                                                      <w:marBottom w:val="0"/>
                                                                                      <w:divBdr>
                                                                                        <w:top w:val="none" w:sz="0" w:space="0" w:color="auto"/>
                                                                                        <w:left w:val="none" w:sz="0" w:space="0" w:color="auto"/>
                                                                                        <w:bottom w:val="none" w:sz="0" w:space="0" w:color="auto"/>
                                                                                        <w:right w:val="none" w:sz="0" w:space="0" w:color="auto"/>
                                                                                      </w:divBdr>
                                                                                    </w:div>
                                                                                    <w:div w:id="980770901">
                                                                                      <w:marLeft w:val="0"/>
                                                                                      <w:marRight w:val="0"/>
                                                                                      <w:marTop w:val="0"/>
                                                                                      <w:marBottom w:val="0"/>
                                                                                      <w:divBdr>
                                                                                        <w:top w:val="none" w:sz="0" w:space="0" w:color="auto"/>
                                                                                        <w:left w:val="none" w:sz="0" w:space="0" w:color="auto"/>
                                                                                        <w:bottom w:val="none" w:sz="0" w:space="0" w:color="auto"/>
                                                                                        <w:right w:val="none" w:sz="0" w:space="0" w:color="auto"/>
                                                                                      </w:divBdr>
                                                                                    </w:div>
                                                                                    <w:div w:id="1148590025">
                                                                                      <w:marLeft w:val="0"/>
                                                                                      <w:marRight w:val="0"/>
                                                                                      <w:marTop w:val="0"/>
                                                                                      <w:marBottom w:val="0"/>
                                                                                      <w:divBdr>
                                                                                        <w:top w:val="none" w:sz="0" w:space="0" w:color="auto"/>
                                                                                        <w:left w:val="none" w:sz="0" w:space="0" w:color="auto"/>
                                                                                        <w:bottom w:val="none" w:sz="0" w:space="0" w:color="auto"/>
                                                                                        <w:right w:val="none" w:sz="0" w:space="0" w:color="auto"/>
                                                                                      </w:divBdr>
                                                                                    </w:div>
                                                                                    <w:div w:id="405688812">
                                                                                      <w:marLeft w:val="0"/>
                                                                                      <w:marRight w:val="0"/>
                                                                                      <w:marTop w:val="0"/>
                                                                                      <w:marBottom w:val="0"/>
                                                                                      <w:divBdr>
                                                                                        <w:top w:val="none" w:sz="0" w:space="0" w:color="auto"/>
                                                                                        <w:left w:val="none" w:sz="0" w:space="0" w:color="auto"/>
                                                                                        <w:bottom w:val="none" w:sz="0" w:space="0" w:color="auto"/>
                                                                                        <w:right w:val="none" w:sz="0" w:space="0" w:color="auto"/>
                                                                                      </w:divBdr>
                                                                                    </w:div>
                                                                                    <w:div w:id="1655257314">
                                                                                      <w:marLeft w:val="0"/>
                                                                                      <w:marRight w:val="0"/>
                                                                                      <w:marTop w:val="0"/>
                                                                                      <w:marBottom w:val="0"/>
                                                                                      <w:divBdr>
                                                                                        <w:top w:val="none" w:sz="0" w:space="0" w:color="auto"/>
                                                                                        <w:left w:val="none" w:sz="0" w:space="0" w:color="auto"/>
                                                                                        <w:bottom w:val="none" w:sz="0" w:space="0" w:color="auto"/>
                                                                                        <w:right w:val="none" w:sz="0" w:space="0" w:color="auto"/>
                                                                                      </w:divBdr>
                                                                                    </w:div>
                                                                                    <w:div w:id="1589845183">
                                                                                      <w:marLeft w:val="0"/>
                                                                                      <w:marRight w:val="0"/>
                                                                                      <w:marTop w:val="0"/>
                                                                                      <w:marBottom w:val="0"/>
                                                                                      <w:divBdr>
                                                                                        <w:top w:val="none" w:sz="0" w:space="0" w:color="auto"/>
                                                                                        <w:left w:val="none" w:sz="0" w:space="0" w:color="auto"/>
                                                                                        <w:bottom w:val="none" w:sz="0" w:space="0" w:color="auto"/>
                                                                                        <w:right w:val="none" w:sz="0" w:space="0" w:color="auto"/>
                                                                                      </w:divBdr>
                                                                                    </w:div>
                                                                                    <w:div w:id="1430275664">
                                                                                      <w:marLeft w:val="0"/>
                                                                                      <w:marRight w:val="0"/>
                                                                                      <w:marTop w:val="0"/>
                                                                                      <w:marBottom w:val="0"/>
                                                                                      <w:divBdr>
                                                                                        <w:top w:val="none" w:sz="0" w:space="0" w:color="auto"/>
                                                                                        <w:left w:val="none" w:sz="0" w:space="0" w:color="auto"/>
                                                                                        <w:bottom w:val="none" w:sz="0" w:space="0" w:color="auto"/>
                                                                                        <w:right w:val="none" w:sz="0" w:space="0" w:color="auto"/>
                                                                                      </w:divBdr>
                                                                                    </w:div>
                                                                                    <w:div w:id="309872720">
                                                                                      <w:marLeft w:val="0"/>
                                                                                      <w:marRight w:val="0"/>
                                                                                      <w:marTop w:val="0"/>
                                                                                      <w:marBottom w:val="0"/>
                                                                                      <w:divBdr>
                                                                                        <w:top w:val="none" w:sz="0" w:space="0" w:color="auto"/>
                                                                                        <w:left w:val="none" w:sz="0" w:space="0" w:color="auto"/>
                                                                                        <w:bottom w:val="none" w:sz="0" w:space="0" w:color="auto"/>
                                                                                        <w:right w:val="none" w:sz="0" w:space="0" w:color="auto"/>
                                                                                      </w:divBdr>
                                                                                    </w:div>
                                                                                    <w:div w:id="998385000">
                                                                                      <w:marLeft w:val="0"/>
                                                                                      <w:marRight w:val="0"/>
                                                                                      <w:marTop w:val="0"/>
                                                                                      <w:marBottom w:val="0"/>
                                                                                      <w:divBdr>
                                                                                        <w:top w:val="none" w:sz="0" w:space="0" w:color="auto"/>
                                                                                        <w:left w:val="none" w:sz="0" w:space="0" w:color="auto"/>
                                                                                        <w:bottom w:val="none" w:sz="0" w:space="0" w:color="auto"/>
                                                                                        <w:right w:val="none" w:sz="0" w:space="0" w:color="auto"/>
                                                                                      </w:divBdr>
                                                                                    </w:div>
                                                                                    <w:div w:id="722563532">
                                                                                      <w:marLeft w:val="0"/>
                                                                                      <w:marRight w:val="0"/>
                                                                                      <w:marTop w:val="0"/>
                                                                                      <w:marBottom w:val="0"/>
                                                                                      <w:divBdr>
                                                                                        <w:top w:val="none" w:sz="0" w:space="0" w:color="auto"/>
                                                                                        <w:left w:val="none" w:sz="0" w:space="0" w:color="auto"/>
                                                                                        <w:bottom w:val="none" w:sz="0" w:space="0" w:color="auto"/>
                                                                                        <w:right w:val="none" w:sz="0" w:space="0" w:color="auto"/>
                                                                                      </w:divBdr>
                                                                                    </w:div>
                                                                                    <w:div w:id="1152453265">
                                                                                      <w:marLeft w:val="0"/>
                                                                                      <w:marRight w:val="0"/>
                                                                                      <w:marTop w:val="0"/>
                                                                                      <w:marBottom w:val="0"/>
                                                                                      <w:divBdr>
                                                                                        <w:top w:val="none" w:sz="0" w:space="0" w:color="auto"/>
                                                                                        <w:left w:val="none" w:sz="0" w:space="0" w:color="auto"/>
                                                                                        <w:bottom w:val="none" w:sz="0" w:space="0" w:color="auto"/>
                                                                                        <w:right w:val="none" w:sz="0" w:space="0" w:color="auto"/>
                                                                                      </w:divBdr>
                                                                                    </w:div>
                                                                                    <w:div w:id="1726029713">
                                                                                      <w:marLeft w:val="0"/>
                                                                                      <w:marRight w:val="0"/>
                                                                                      <w:marTop w:val="0"/>
                                                                                      <w:marBottom w:val="0"/>
                                                                                      <w:divBdr>
                                                                                        <w:top w:val="none" w:sz="0" w:space="0" w:color="auto"/>
                                                                                        <w:left w:val="none" w:sz="0" w:space="0" w:color="auto"/>
                                                                                        <w:bottom w:val="none" w:sz="0" w:space="0" w:color="auto"/>
                                                                                        <w:right w:val="none" w:sz="0" w:space="0" w:color="auto"/>
                                                                                      </w:divBdr>
                                                                                    </w:div>
                                                                                    <w:div w:id="499278654">
                                                                                      <w:marLeft w:val="0"/>
                                                                                      <w:marRight w:val="0"/>
                                                                                      <w:marTop w:val="0"/>
                                                                                      <w:marBottom w:val="0"/>
                                                                                      <w:divBdr>
                                                                                        <w:top w:val="none" w:sz="0" w:space="0" w:color="auto"/>
                                                                                        <w:left w:val="none" w:sz="0" w:space="0" w:color="auto"/>
                                                                                        <w:bottom w:val="none" w:sz="0" w:space="0" w:color="auto"/>
                                                                                        <w:right w:val="none" w:sz="0" w:space="0" w:color="auto"/>
                                                                                      </w:divBdr>
                                                                                    </w:div>
                                                                                    <w:div w:id="1806701098">
                                                                                      <w:marLeft w:val="0"/>
                                                                                      <w:marRight w:val="0"/>
                                                                                      <w:marTop w:val="0"/>
                                                                                      <w:marBottom w:val="0"/>
                                                                                      <w:divBdr>
                                                                                        <w:top w:val="none" w:sz="0" w:space="0" w:color="auto"/>
                                                                                        <w:left w:val="none" w:sz="0" w:space="0" w:color="auto"/>
                                                                                        <w:bottom w:val="none" w:sz="0" w:space="0" w:color="auto"/>
                                                                                        <w:right w:val="none" w:sz="0" w:space="0" w:color="auto"/>
                                                                                      </w:divBdr>
                                                                                    </w:div>
                                                                                    <w:div w:id="1777747968">
                                                                                      <w:marLeft w:val="0"/>
                                                                                      <w:marRight w:val="0"/>
                                                                                      <w:marTop w:val="0"/>
                                                                                      <w:marBottom w:val="0"/>
                                                                                      <w:divBdr>
                                                                                        <w:top w:val="none" w:sz="0" w:space="0" w:color="auto"/>
                                                                                        <w:left w:val="none" w:sz="0" w:space="0" w:color="auto"/>
                                                                                        <w:bottom w:val="none" w:sz="0" w:space="0" w:color="auto"/>
                                                                                        <w:right w:val="none" w:sz="0" w:space="0" w:color="auto"/>
                                                                                      </w:divBdr>
                                                                                    </w:div>
                                                                                    <w:div w:id="925071658">
                                                                                      <w:marLeft w:val="0"/>
                                                                                      <w:marRight w:val="0"/>
                                                                                      <w:marTop w:val="0"/>
                                                                                      <w:marBottom w:val="0"/>
                                                                                      <w:divBdr>
                                                                                        <w:top w:val="none" w:sz="0" w:space="0" w:color="auto"/>
                                                                                        <w:left w:val="none" w:sz="0" w:space="0" w:color="auto"/>
                                                                                        <w:bottom w:val="none" w:sz="0" w:space="0" w:color="auto"/>
                                                                                        <w:right w:val="none" w:sz="0" w:space="0" w:color="auto"/>
                                                                                      </w:divBdr>
                                                                                    </w:div>
                                                                                    <w:div w:id="16998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2365834">
      <w:bodyDiv w:val="1"/>
      <w:marLeft w:val="0"/>
      <w:marRight w:val="0"/>
      <w:marTop w:val="0"/>
      <w:marBottom w:val="0"/>
      <w:divBdr>
        <w:top w:val="none" w:sz="0" w:space="0" w:color="auto"/>
        <w:left w:val="none" w:sz="0" w:space="0" w:color="auto"/>
        <w:bottom w:val="none" w:sz="0" w:space="0" w:color="auto"/>
        <w:right w:val="none" w:sz="0" w:space="0" w:color="auto"/>
      </w:divBdr>
    </w:div>
    <w:div w:id="2059428617">
      <w:bodyDiv w:val="1"/>
      <w:marLeft w:val="0"/>
      <w:marRight w:val="0"/>
      <w:marTop w:val="0"/>
      <w:marBottom w:val="0"/>
      <w:divBdr>
        <w:top w:val="none" w:sz="0" w:space="0" w:color="auto"/>
        <w:left w:val="none" w:sz="0" w:space="0" w:color="auto"/>
        <w:bottom w:val="none" w:sz="0" w:space="0" w:color="auto"/>
        <w:right w:val="none" w:sz="0" w:space="0" w:color="auto"/>
      </w:divBdr>
    </w:div>
    <w:div w:id="2086104122">
      <w:bodyDiv w:val="1"/>
      <w:marLeft w:val="0"/>
      <w:marRight w:val="0"/>
      <w:marTop w:val="0"/>
      <w:marBottom w:val="0"/>
      <w:divBdr>
        <w:top w:val="none" w:sz="0" w:space="0" w:color="auto"/>
        <w:left w:val="none" w:sz="0" w:space="0" w:color="auto"/>
        <w:bottom w:val="none" w:sz="0" w:space="0" w:color="auto"/>
        <w:right w:val="none" w:sz="0" w:space="0" w:color="auto"/>
      </w:divBdr>
      <w:divsChild>
        <w:div w:id="1869099014">
          <w:marLeft w:val="0"/>
          <w:marRight w:val="0"/>
          <w:marTop w:val="0"/>
          <w:marBottom w:val="0"/>
          <w:divBdr>
            <w:top w:val="none" w:sz="0" w:space="0" w:color="auto"/>
            <w:left w:val="none" w:sz="0" w:space="0" w:color="auto"/>
            <w:bottom w:val="none" w:sz="0" w:space="0" w:color="auto"/>
            <w:right w:val="none" w:sz="0" w:space="0" w:color="auto"/>
          </w:divBdr>
          <w:divsChild>
            <w:div w:id="1795058034">
              <w:marLeft w:val="0"/>
              <w:marRight w:val="0"/>
              <w:marTop w:val="0"/>
              <w:marBottom w:val="0"/>
              <w:divBdr>
                <w:top w:val="none" w:sz="0" w:space="0" w:color="auto"/>
                <w:left w:val="none" w:sz="0" w:space="0" w:color="auto"/>
                <w:bottom w:val="none" w:sz="0" w:space="0" w:color="auto"/>
                <w:right w:val="none" w:sz="0" w:space="0" w:color="auto"/>
              </w:divBdr>
              <w:divsChild>
                <w:div w:id="1687054349">
                  <w:marLeft w:val="0"/>
                  <w:marRight w:val="0"/>
                  <w:marTop w:val="0"/>
                  <w:marBottom w:val="0"/>
                  <w:divBdr>
                    <w:top w:val="none" w:sz="0" w:space="0" w:color="auto"/>
                    <w:left w:val="none" w:sz="0" w:space="0" w:color="auto"/>
                    <w:bottom w:val="none" w:sz="0" w:space="0" w:color="auto"/>
                    <w:right w:val="none" w:sz="0" w:space="0" w:color="auto"/>
                  </w:divBdr>
                  <w:divsChild>
                    <w:div w:id="1083992007">
                      <w:marLeft w:val="0"/>
                      <w:marRight w:val="0"/>
                      <w:marTop w:val="0"/>
                      <w:marBottom w:val="0"/>
                      <w:divBdr>
                        <w:top w:val="none" w:sz="0" w:space="0" w:color="auto"/>
                        <w:left w:val="none" w:sz="0" w:space="0" w:color="auto"/>
                        <w:bottom w:val="none" w:sz="0" w:space="0" w:color="auto"/>
                        <w:right w:val="none" w:sz="0" w:space="0" w:color="auto"/>
                      </w:divBdr>
                      <w:divsChild>
                        <w:div w:id="1468234752">
                          <w:marLeft w:val="0"/>
                          <w:marRight w:val="0"/>
                          <w:marTop w:val="0"/>
                          <w:marBottom w:val="0"/>
                          <w:divBdr>
                            <w:top w:val="none" w:sz="0" w:space="0" w:color="auto"/>
                            <w:left w:val="none" w:sz="0" w:space="0" w:color="auto"/>
                            <w:bottom w:val="none" w:sz="0" w:space="0" w:color="auto"/>
                            <w:right w:val="none" w:sz="0" w:space="0" w:color="auto"/>
                          </w:divBdr>
                          <w:divsChild>
                            <w:div w:id="1593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45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olo.ferrara@unict.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6E462-4B6D-417D-B38B-68E9CCA28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4800</Words>
  <Characters>27362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Calogero Guccio</dc:creator>
  <cp:lastModifiedBy>Paolo Lorenzo Ferrara</cp:lastModifiedBy>
  <cp:revision>2</cp:revision>
  <cp:lastPrinted>2023-07-17T10:35:00Z</cp:lastPrinted>
  <dcterms:created xsi:type="dcterms:W3CDTF">2023-12-10T20:11:00Z</dcterms:created>
  <dcterms:modified xsi:type="dcterms:W3CDTF">2023-12-10T20:11:00Z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e51c40e1dbb6b9573da587601e2d637ff0e53345ffd383ff27237058ef635e4d</vt:lpwstr>
  </property>
</Properties>
</file>