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D4E0" w14:textId="55CBDC2A" w:rsidR="00082024" w:rsidRPr="00082024" w:rsidRDefault="00E308C5" w:rsidP="00082024">
      <w:pPr>
        <w:spacing w:after="0" w:line="240" w:lineRule="auto"/>
        <w:jc w:val="center"/>
        <w:rPr>
          <w:rFonts w:ascii="Times New Roman" w:eastAsia="Times New Roman" w:hAnsi="Times New Roman" w:cs="Times New Roman"/>
          <w:b/>
          <w:sz w:val="24"/>
          <w:szCs w:val="24"/>
          <w:lang w:val="en-GB" w:eastAsia="nl-NL"/>
        </w:rPr>
      </w:pPr>
      <w:r>
        <w:rPr>
          <w:rFonts w:ascii="Times New Roman" w:eastAsia="Times New Roman" w:hAnsi="Times New Roman" w:cs="Times New Roman"/>
          <w:b/>
          <w:sz w:val="28"/>
          <w:szCs w:val="24"/>
          <w:lang w:val="en-US" w:eastAsia="nl-NL"/>
        </w:rPr>
        <w:t>Autonomous AI</w:t>
      </w:r>
      <w:r w:rsidR="00884B86">
        <w:rPr>
          <w:rFonts w:ascii="Times New Roman" w:eastAsia="Times New Roman" w:hAnsi="Times New Roman" w:cs="Times New Roman"/>
          <w:b/>
          <w:sz w:val="28"/>
          <w:szCs w:val="24"/>
          <w:lang w:val="en-US" w:eastAsia="nl-NL"/>
        </w:rPr>
        <w:t xml:space="preserve">, </w:t>
      </w:r>
      <w:r w:rsidR="003B5AFB">
        <w:rPr>
          <w:rFonts w:ascii="Times New Roman" w:eastAsia="Times New Roman" w:hAnsi="Times New Roman" w:cs="Times New Roman"/>
          <w:b/>
          <w:sz w:val="28"/>
          <w:szCs w:val="24"/>
          <w:lang w:val="en-US" w:eastAsia="nl-NL"/>
        </w:rPr>
        <w:t xml:space="preserve">private </w:t>
      </w:r>
      <w:proofErr w:type="gramStart"/>
      <w:r w:rsidR="003B5AFB">
        <w:rPr>
          <w:rFonts w:ascii="Times New Roman" w:eastAsia="Times New Roman" w:hAnsi="Times New Roman" w:cs="Times New Roman"/>
          <w:b/>
          <w:sz w:val="28"/>
          <w:szCs w:val="24"/>
          <w:lang w:val="en-US" w:eastAsia="nl-NL"/>
        </w:rPr>
        <w:t>actors</w:t>
      </w:r>
      <w:proofErr w:type="gramEnd"/>
      <w:r w:rsidR="003B5AFB">
        <w:rPr>
          <w:rFonts w:ascii="Times New Roman" w:eastAsia="Times New Roman" w:hAnsi="Times New Roman" w:cs="Times New Roman"/>
          <w:b/>
          <w:sz w:val="28"/>
          <w:szCs w:val="24"/>
          <w:lang w:val="en-US" w:eastAsia="nl-NL"/>
        </w:rPr>
        <w:t xml:space="preserve"> </w:t>
      </w:r>
      <w:r w:rsidR="00C93B41">
        <w:rPr>
          <w:rFonts w:ascii="Times New Roman" w:eastAsia="Times New Roman" w:hAnsi="Times New Roman" w:cs="Times New Roman"/>
          <w:b/>
          <w:sz w:val="28"/>
          <w:szCs w:val="24"/>
          <w:lang w:val="en-US" w:eastAsia="nl-NL"/>
        </w:rPr>
        <w:t xml:space="preserve">and </w:t>
      </w:r>
      <w:r w:rsidR="00F43F5C">
        <w:rPr>
          <w:rFonts w:ascii="Times New Roman" w:eastAsia="Times New Roman" w:hAnsi="Times New Roman" w:cs="Times New Roman"/>
          <w:b/>
          <w:sz w:val="28"/>
          <w:szCs w:val="24"/>
          <w:lang w:val="en-US" w:eastAsia="nl-NL"/>
        </w:rPr>
        <w:t xml:space="preserve">hybrid modes of </w:t>
      </w:r>
      <w:r w:rsidR="003B5AFB">
        <w:rPr>
          <w:rFonts w:ascii="Times New Roman" w:eastAsia="Times New Roman" w:hAnsi="Times New Roman" w:cs="Times New Roman"/>
          <w:b/>
          <w:sz w:val="28"/>
          <w:szCs w:val="24"/>
          <w:lang w:val="en-US" w:eastAsia="nl-NL"/>
        </w:rPr>
        <w:t xml:space="preserve">technology </w:t>
      </w:r>
      <w:r w:rsidR="00F43F5C">
        <w:rPr>
          <w:rFonts w:ascii="Times New Roman" w:eastAsia="Times New Roman" w:hAnsi="Times New Roman" w:cs="Times New Roman"/>
          <w:b/>
          <w:sz w:val="28"/>
          <w:szCs w:val="24"/>
          <w:lang w:val="en-US" w:eastAsia="nl-NL"/>
        </w:rPr>
        <w:t>regulation</w:t>
      </w:r>
      <w:r w:rsidR="00F840B6">
        <w:rPr>
          <w:rFonts w:ascii="Times New Roman" w:eastAsia="Times New Roman" w:hAnsi="Times New Roman" w:cs="Times New Roman"/>
          <w:b/>
          <w:sz w:val="28"/>
          <w:szCs w:val="24"/>
          <w:lang w:val="en-US" w:eastAsia="nl-NL"/>
        </w:rPr>
        <w:t xml:space="preserve">: </w:t>
      </w:r>
      <w:r>
        <w:rPr>
          <w:rFonts w:ascii="Times New Roman" w:eastAsia="Times New Roman" w:hAnsi="Times New Roman" w:cs="Times New Roman"/>
          <w:b/>
          <w:sz w:val="28"/>
          <w:szCs w:val="24"/>
          <w:lang w:val="en-US" w:eastAsia="nl-NL"/>
        </w:rPr>
        <w:t>some firm level evidence</w:t>
      </w:r>
    </w:p>
    <w:p w14:paraId="1FDC71EA" w14:textId="77777777" w:rsidR="00082024" w:rsidRPr="00082024" w:rsidRDefault="00082024" w:rsidP="00082024">
      <w:pPr>
        <w:spacing w:after="0" w:line="240" w:lineRule="auto"/>
        <w:jc w:val="center"/>
        <w:rPr>
          <w:rFonts w:ascii="Times New Roman" w:eastAsia="Times New Roman" w:hAnsi="Times New Roman" w:cs="Times New Roman"/>
          <w:sz w:val="24"/>
          <w:szCs w:val="24"/>
          <w:lang w:val="en-GB" w:eastAsia="nl-NL"/>
        </w:rPr>
      </w:pPr>
    </w:p>
    <w:p w14:paraId="670ADDFF" w14:textId="495223F3" w:rsidR="00082024" w:rsidRPr="00E10F90" w:rsidRDefault="00E10F90" w:rsidP="00082024">
      <w:pPr>
        <w:spacing w:after="0" w:line="240" w:lineRule="auto"/>
        <w:jc w:val="center"/>
        <w:rPr>
          <w:rFonts w:ascii="Times New Roman" w:eastAsia="Times New Roman" w:hAnsi="Times New Roman" w:cs="Times New Roman"/>
          <w:i/>
          <w:sz w:val="24"/>
          <w:szCs w:val="24"/>
          <w:lang w:val="en-GB" w:eastAsia="nl-NL"/>
        </w:rPr>
      </w:pPr>
      <w:r>
        <w:rPr>
          <w:rFonts w:ascii="Times New Roman" w:eastAsia="Times New Roman" w:hAnsi="Times New Roman" w:cs="Times New Roman"/>
          <w:i/>
          <w:sz w:val="24"/>
          <w:szCs w:val="24"/>
          <w:lang w:val="en-GB" w:eastAsia="nl-NL"/>
        </w:rPr>
        <w:t>Work in progress – please do not quote!</w:t>
      </w:r>
    </w:p>
    <w:p w14:paraId="26F35E20" w14:textId="77777777" w:rsidR="00082024" w:rsidRPr="00082024" w:rsidRDefault="00082024" w:rsidP="00082024">
      <w:pPr>
        <w:spacing w:after="0" w:line="240" w:lineRule="auto"/>
        <w:jc w:val="center"/>
        <w:rPr>
          <w:rFonts w:ascii="Times New Roman" w:eastAsia="Times New Roman" w:hAnsi="Times New Roman" w:cs="Times New Roman"/>
          <w:i/>
          <w:sz w:val="24"/>
          <w:szCs w:val="24"/>
          <w:lang w:val="en-US" w:eastAsia="nl-NL"/>
        </w:rPr>
      </w:pPr>
    </w:p>
    <w:p w14:paraId="616EA6F9" w14:textId="77777777" w:rsidR="00082024" w:rsidRPr="00082024" w:rsidRDefault="00082024" w:rsidP="00082024">
      <w:pPr>
        <w:spacing w:after="0" w:line="240" w:lineRule="auto"/>
        <w:jc w:val="center"/>
        <w:rPr>
          <w:rFonts w:ascii="Times New Roman" w:eastAsia="Times New Roman" w:hAnsi="Times New Roman" w:cs="Times New Roman"/>
          <w:i/>
          <w:sz w:val="24"/>
          <w:szCs w:val="24"/>
          <w:lang w:val="en-US" w:eastAsia="nl-NL"/>
        </w:rPr>
      </w:pPr>
    </w:p>
    <w:p w14:paraId="6D0884E2" w14:textId="76B84CDC" w:rsidR="00082024" w:rsidRPr="00082024" w:rsidRDefault="00082024" w:rsidP="00082024">
      <w:pPr>
        <w:spacing w:after="0" w:line="240" w:lineRule="auto"/>
        <w:jc w:val="center"/>
        <w:rPr>
          <w:rFonts w:ascii="Times New Roman" w:eastAsia="Times New Roman" w:hAnsi="Times New Roman" w:cs="Times New Roman"/>
          <w:b/>
          <w:sz w:val="24"/>
          <w:szCs w:val="24"/>
          <w:lang w:val="pl-PL" w:eastAsia="nl-NL"/>
        </w:rPr>
      </w:pPr>
      <w:r w:rsidRPr="00082024">
        <w:rPr>
          <w:rFonts w:ascii="Times New Roman" w:eastAsia="Times New Roman" w:hAnsi="Times New Roman" w:cs="Times New Roman"/>
          <w:b/>
          <w:sz w:val="24"/>
          <w:szCs w:val="24"/>
          <w:lang w:val="pl-PL" w:eastAsia="nl-NL"/>
        </w:rPr>
        <w:t>Mitja Kovac</w:t>
      </w:r>
      <w:r w:rsidR="000B0029">
        <w:rPr>
          <w:rFonts w:ascii="Times New Roman" w:eastAsia="Times New Roman" w:hAnsi="Times New Roman" w:cs="Times New Roman"/>
          <w:b/>
          <w:sz w:val="24"/>
          <w:szCs w:val="24"/>
          <w:lang w:val="pl-PL" w:eastAsia="nl-NL"/>
        </w:rPr>
        <w:t>, Katarina Jevsjak</w:t>
      </w:r>
      <w:r w:rsidR="00F840B6">
        <w:rPr>
          <w:rFonts w:ascii="Times New Roman" w:eastAsia="Times New Roman" w:hAnsi="Times New Roman" w:cs="Times New Roman"/>
          <w:b/>
          <w:sz w:val="24"/>
          <w:szCs w:val="24"/>
          <w:lang w:val="pl-PL" w:eastAsia="nl-NL"/>
        </w:rPr>
        <w:t xml:space="preserve"> and </w:t>
      </w:r>
      <w:r w:rsidR="000B0029">
        <w:rPr>
          <w:rFonts w:ascii="Times New Roman" w:eastAsia="Times New Roman" w:hAnsi="Times New Roman" w:cs="Times New Roman"/>
          <w:b/>
          <w:sz w:val="24"/>
          <w:szCs w:val="24"/>
          <w:lang w:val="pl-PL" w:eastAsia="nl-NL"/>
        </w:rPr>
        <w:t>Svjetlana Maksimovic</w:t>
      </w:r>
    </w:p>
    <w:p w14:paraId="7ADEB78D" w14:textId="77777777" w:rsidR="00082024" w:rsidRPr="00082024" w:rsidRDefault="00082024" w:rsidP="00082024">
      <w:pPr>
        <w:spacing w:after="0" w:line="240" w:lineRule="auto"/>
        <w:jc w:val="center"/>
        <w:rPr>
          <w:rFonts w:ascii="Times New Roman" w:eastAsia="Times New Roman" w:hAnsi="Times New Roman" w:cs="Times New Roman"/>
          <w:bCs/>
          <w:sz w:val="24"/>
          <w:szCs w:val="24"/>
          <w:lang w:val="pl-PL" w:eastAsia="nl-NL"/>
        </w:rPr>
      </w:pPr>
    </w:p>
    <w:p w14:paraId="4D349A54" w14:textId="176995A0" w:rsidR="00082024" w:rsidRPr="00082024" w:rsidRDefault="00082024" w:rsidP="00082024">
      <w:pPr>
        <w:spacing w:after="0" w:line="240" w:lineRule="auto"/>
        <w:jc w:val="center"/>
        <w:rPr>
          <w:rFonts w:ascii="Times New Roman" w:eastAsia="Times New Roman" w:hAnsi="Times New Roman" w:cs="Times New Roman"/>
          <w:i/>
          <w:iCs/>
          <w:sz w:val="20"/>
          <w:szCs w:val="24"/>
          <w:lang w:val="en-GB" w:eastAsia="nl-NL"/>
        </w:rPr>
      </w:pPr>
      <w:r w:rsidRPr="00082024">
        <w:rPr>
          <w:rFonts w:ascii="Times New Roman" w:eastAsia="Times New Roman" w:hAnsi="Times New Roman" w:cs="Times New Roman"/>
          <w:i/>
          <w:iCs/>
          <w:sz w:val="20"/>
          <w:szCs w:val="24"/>
          <w:lang w:val="en-GB" w:eastAsia="nl-NL"/>
        </w:rPr>
        <w:t xml:space="preserve">University of Ljubljana, School of Economics and </w:t>
      </w:r>
      <w:proofErr w:type="gramStart"/>
      <w:r w:rsidRPr="00082024">
        <w:rPr>
          <w:rFonts w:ascii="Times New Roman" w:eastAsia="Times New Roman" w:hAnsi="Times New Roman" w:cs="Times New Roman"/>
          <w:i/>
          <w:iCs/>
          <w:sz w:val="20"/>
          <w:szCs w:val="24"/>
          <w:lang w:val="en-GB" w:eastAsia="nl-NL"/>
        </w:rPr>
        <w:t>Business</w:t>
      </w:r>
      <w:r w:rsidR="00F840B6">
        <w:rPr>
          <w:rFonts w:ascii="Times New Roman" w:eastAsia="Times New Roman" w:hAnsi="Times New Roman" w:cs="Times New Roman"/>
          <w:i/>
          <w:iCs/>
          <w:sz w:val="20"/>
          <w:szCs w:val="24"/>
          <w:lang w:val="en-GB" w:eastAsia="nl-NL"/>
        </w:rPr>
        <w:t>;</w:t>
      </w:r>
      <w:proofErr w:type="gramEnd"/>
      <w:r w:rsidR="00F840B6">
        <w:rPr>
          <w:rFonts w:ascii="Times New Roman" w:eastAsia="Times New Roman" w:hAnsi="Times New Roman" w:cs="Times New Roman"/>
          <w:i/>
          <w:iCs/>
          <w:sz w:val="20"/>
          <w:szCs w:val="24"/>
          <w:lang w:val="en-GB" w:eastAsia="nl-NL"/>
        </w:rPr>
        <w:t xml:space="preserve"> </w:t>
      </w:r>
    </w:p>
    <w:p w14:paraId="761156F6" w14:textId="5A5105DB" w:rsidR="00082024" w:rsidRDefault="00082024" w:rsidP="00082024">
      <w:pPr>
        <w:spacing w:after="0" w:line="240" w:lineRule="auto"/>
        <w:jc w:val="center"/>
        <w:rPr>
          <w:rFonts w:ascii="Times New Roman" w:eastAsia="Times New Roman" w:hAnsi="Times New Roman" w:cs="Times New Roman"/>
          <w:i/>
          <w:iCs/>
          <w:sz w:val="20"/>
          <w:szCs w:val="24"/>
          <w:lang w:val="de-AT" w:eastAsia="nl-NL"/>
        </w:rPr>
      </w:pPr>
      <w:proofErr w:type="spellStart"/>
      <w:r w:rsidRPr="00082024">
        <w:rPr>
          <w:rFonts w:ascii="Times New Roman" w:eastAsia="Times New Roman" w:hAnsi="Times New Roman" w:cs="Times New Roman"/>
          <w:i/>
          <w:iCs/>
          <w:sz w:val="20"/>
          <w:szCs w:val="24"/>
          <w:lang w:val="de-DE" w:eastAsia="nl-NL"/>
        </w:rPr>
        <w:t>e-mail</w:t>
      </w:r>
      <w:proofErr w:type="spellEnd"/>
      <w:r w:rsidRPr="00082024">
        <w:rPr>
          <w:rFonts w:ascii="Times New Roman" w:eastAsia="Times New Roman" w:hAnsi="Times New Roman" w:cs="Times New Roman"/>
          <w:i/>
          <w:iCs/>
          <w:sz w:val="20"/>
          <w:szCs w:val="24"/>
          <w:lang w:val="de-DE" w:eastAsia="nl-NL"/>
        </w:rPr>
        <w:t xml:space="preserve">: </w:t>
      </w:r>
      <w:hyperlink r:id="rId8" w:history="1">
        <w:r w:rsidRPr="00082024">
          <w:rPr>
            <w:rFonts w:ascii="Times New Roman" w:eastAsia="Times New Roman" w:hAnsi="Times New Roman" w:cs="Times New Roman"/>
            <w:i/>
            <w:iCs/>
            <w:color w:val="0000FF"/>
            <w:sz w:val="20"/>
            <w:szCs w:val="24"/>
            <w:u w:val="single"/>
            <w:lang w:val="de-DE" w:eastAsia="nl-NL"/>
          </w:rPr>
          <w:t>mitja.kovac@ef.uni-lj.si</w:t>
        </w:r>
      </w:hyperlink>
      <w:r w:rsidRPr="00082024">
        <w:rPr>
          <w:rFonts w:ascii="Times New Roman" w:eastAsia="Times New Roman" w:hAnsi="Times New Roman" w:cs="Times New Roman"/>
          <w:i/>
          <w:iCs/>
          <w:sz w:val="20"/>
          <w:szCs w:val="24"/>
          <w:lang w:val="de-AT" w:eastAsia="nl-NL"/>
        </w:rPr>
        <w:t xml:space="preserve"> </w:t>
      </w:r>
      <w:r w:rsidR="007D523B">
        <w:rPr>
          <w:rFonts w:ascii="Times New Roman" w:eastAsia="Times New Roman" w:hAnsi="Times New Roman" w:cs="Times New Roman"/>
          <w:i/>
          <w:iCs/>
          <w:sz w:val="20"/>
          <w:szCs w:val="24"/>
          <w:lang w:val="de-AT" w:eastAsia="nl-NL"/>
        </w:rPr>
        <w:t>;</w:t>
      </w:r>
      <w:r w:rsidR="007D523B" w:rsidRPr="007D523B">
        <w:t xml:space="preserve"> </w:t>
      </w:r>
      <w:hyperlink r:id="rId9" w:history="1">
        <w:r w:rsidR="007D523B" w:rsidRPr="00C56748">
          <w:rPr>
            <w:rStyle w:val="Hiperpovezava"/>
            <w:rFonts w:ascii="Times New Roman" w:eastAsia="Times New Roman" w:hAnsi="Times New Roman" w:cs="Times New Roman"/>
            <w:i/>
            <w:iCs/>
            <w:sz w:val="20"/>
            <w:szCs w:val="24"/>
            <w:lang w:val="de-AT" w:eastAsia="nl-NL"/>
          </w:rPr>
          <w:t>katarina.jevsjak@gmail.com</w:t>
        </w:r>
      </w:hyperlink>
      <w:r w:rsidR="007D523B">
        <w:rPr>
          <w:rFonts w:ascii="Times New Roman" w:eastAsia="Times New Roman" w:hAnsi="Times New Roman" w:cs="Times New Roman"/>
          <w:i/>
          <w:iCs/>
          <w:sz w:val="20"/>
          <w:szCs w:val="24"/>
          <w:lang w:val="de-AT" w:eastAsia="nl-NL"/>
        </w:rPr>
        <w:t xml:space="preserve"> ; </w:t>
      </w:r>
      <w:hyperlink r:id="rId10" w:history="1">
        <w:r w:rsidR="007D523B" w:rsidRPr="00C56748">
          <w:rPr>
            <w:rStyle w:val="Hiperpovezava"/>
            <w:rFonts w:ascii="Times New Roman" w:eastAsia="Times New Roman" w:hAnsi="Times New Roman" w:cs="Times New Roman"/>
            <w:i/>
            <w:iCs/>
            <w:sz w:val="20"/>
            <w:szCs w:val="24"/>
            <w:lang w:val="de-AT" w:eastAsia="nl-NL"/>
          </w:rPr>
          <w:t>svjetlana.maksimovich@gmail.com</w:t>
        </w:r>
      </w:hyperlink>
    </w:p>
    <w:p w14:paraId="12422264" w14:textId="77777777" w:rsidR="00082024" w:rsidRPr="00082024" w:rsidRDefault="00082024" w:rsidP="00082024">
      <w:pPr>
        <w:spacing w:after="0" w:line="240" w:lineRule="auto"/>
        <w:jc w:val="center"/>
        <w:rPr>
          <w:rFonts w:ascii="Times New Roman" w:eastAsia="Times New Roman" w:hAnsi="Times New Roman" w:cs="Times New Roman"/>
          <w:i/>
          <w:iCs/>
          <w:sz w:val="20"/>
          <w:szCs w:val="24"/>
          <w:lang w:val="de-AT" w:eastAsia="nl-NL"/>
        </w:rPr>
      </w:pPr>
    </w:p>
    <w:p w14:paraId="0E2E1618" w14:textId="77777777" w:rsidR="00082024" w:rsidRPr="00082024" w:rsidRDefault="00082024" w:rsidP="00082024">
      <w:pPr>
        <w:spacing w:after="0" w:line="240" w:lineRule="auto"/>
        <w:jc w:val="center"/>
        <w:rPr>
          <w:rFonts w:ascii="Times New Roman" w:eastAsia="Times New Roman" w:hAnsi="Times New Roman" w:cs="Times New Roman"/>
          <w:i/>
          <w:iCs/>
          <w:sz w:val="20"/>
          <w:szCs w:val="24"/>
          <w:lang w:val="de-AT" w:eastAsia="nl-NL"/>
        </w:rPr>
      </w:pPr>
    </w:p>
    <w:p w14:paraId="1912604D" w14:textId="77777777" w:rsidR="00082024" w:rsidRPr="00082024" w:rsidRDefault="00082024" w:rsidP="00082024">
      <w:pPr>
        <w:pBdr>
          <w:bottom w:val="single" w:sz="6" w:space="1" w:color="auto"/>
        </w:pBdr>
        <w:spacing w:after="0" w:line="240" w:lineRule="auto"/>
        <w:jc w:val="center"/>
        <w:rPr>
          <w:rFonts w:ascii="Times New Roman" w:eastAsia="Times New Roman" w:hAnsi="Times New Roman" w:cs="Times New Roman"/>
          <w:i/>
          <w:iCs/>
          <w:sz w:val="20"/>
          <w:szCs w:val="24"/>
          <w:lang w:val="de-AT" w:eastAsia="nl-NL"/>
        </w:rPr>
      </w:pPr>
    </w:p>
    <w:p w14:paraId="71052BAF" w14:textId="77777777" w:rsidR="00082024" w:rsidRPr="00082024" w:rsidRDefault="00082024" w:rsidP="00082024">
      <w:pPr>
        <w:spacing w:after="0" w:line="240" w:lineRule="auto"/>
        <w:jc w:val="both"/>
        <w:rPr>
          <w:rFonts w:ascii="Times New Roman" w:eastAsia="Times New Roman" w:hAnsi="Times New Roman" w:cs="Times New Roman"/>
          <w:iCs/>
          <w:sz w:val="20"/>
          <w:szCs w:val="24"/>
          <w:lang w:val="de-AT" w:eastAsia="nl-NL"/>
        </w:rPr>
      </w:pPr>
    </w:p>
    <w:p w14:paraId="6E69BDE0" w14:textId="77777777" w:rsidR="00082024" w:rsidRPr="00082024" w:rsidRDefault="00082024" w:rsidP="00082024">
      <w:pPr>
        <w:spacing w:after="0" w:line="240" w:lineRule="auto"/>
        <w:jc w:val="center"/>
        <w:rPr>
          <w:rFonts w:ascii="Times New Roman" w:eastAsia="Times New Roman" w:hAnsi="Times New Roman" w:cs="Times New Roman"/>
          <w:szCs w:val="24"/>
          <w:lang w:val="de-AT" w:eastAsia="nl-NL"/>
        </w:rPr>
      </w:pPr>
    </w:p>
    <w:p w14:paraId="69A62A64" w14:textId="77777777" w:rsidR="00082024" w:rsidRPr="00082024" w:rsidRDefault="00082024" w:rsidP="00082024">
      <w:pPr>
        <w:spacing w:after="0" w:line="240" w:lineRule="auto"/>
        <w:jc w:val="both"/>
        <w:rPr>
          <w:rFonts w:ascii="Times New Roman" w:eastAsia="Times New Roman" w:hAnsi="Times New Roman" w:cs="Times New Roman"/>
          <w:iCs/>
          <w:sz w:val="24"/>
          <w:szCs w:val="24"/>
          <w:lang w:val="en-US" w:eastAsia="nl-NL"/>
        </w:rPr>
      </w:pPr>
      <w:r w:rsidRPr="00082024">
        <w:rPr>
          <w:rFonts w:ascii="Times New Roman" w:eastAsia="Times New Roman" w:hAnsi="Times New Roman" w:cs="Times New Roman"/>
          <w:b/>
          <w:iCs/>
          <w:sz w:val="24"/>
          <w:szCs w:val="24"/>
          <w:lang w:val="en-US" w:eastAsia="nl-NL"/>
        </w:rPr>
        <w:t>Abstract</w:t>
      </w:r>
      <w:r w:rsidRPr="00082024">
        <w:rPr>
          <w:rFonts w:ascii="Times New Roman" w:eastAsia="Times New Roman" w:hAnsi="Times New Roman" w:cs="Times New Roman"/>
          <w:iCs/>
          <w:sz w:val="24"/>
          <w:szCs w:val="24"/>
          <w:lang w:val="en-US" w:eastAsia="nl-NL"/>
        </w:rPr>
        <w:t>:</w:t>
      </w:r>
    </w:p>
    <w:p w14:paraId="0E6BA5B4" w14:textId="4062E31B" w:rsidR="000B0029" w:rsidRDefault="00F840B6" w:rsidP="00082024">
      <w:pPr>
        <w:spacing w:after="0" w:line="240" w:lineRule="auto"/>
        <w:jc w:val="both"/>
        <w:rPr>
          <w:rFonts w:ascii="Times New Roman" w:eastAsia="Times New Roman" w:hAnsi="Times New Roman" w:cs="Times New Roman"/>
          <w:i/>
          <w:sz w:val="24"/>
          <w:szCs w:val="24"/>
          <w:lang w:val="en-US" w:eastAsia="nl-NL"/>
        </w:rPr>
      </w:pPr>
      <w:bookmarkStart w:id="0" w:name="_Hlk136010332"/>
      <w:bookmarkStart w:id="1" w:name="_Hlk73870472"/>
      <w:bookmarkStart w:id="2" w:name="_Hlk135298777"/>
      <w:r w:rsidRPr="00F840B6">
        <w:rPr>
          <w:rFonts w:ascii="Times New Roman" w:eastAsia="Times New Roman" w:hAnsi="Times New Roman" w:cs="Times New Roman"/>
          <w:i/>
          <w:sz w:val="24"/>
          <w:szCs w:val="24"/>
          <w:lang w:val="en-US" w:eastAsia="nl-NL"/>
        </w:rPr>
        <w:t xml:space="preserve">Super-fast economic changes spurred by world-widely integrated markets and related explosive </w:t>
      </w:r>
      <w:r>
        <w:rPr>
          <w:rFonts w:ascii="Times New Roman" w:eastAsia="Times New Roman" w:hAnsi="Times New Roman" w:cs="Times New Roman"/>
          <w:i/>
          <w:sz w:val="24"/>
          <w:szCs w:val="24"/>
          <w:lang w:val="en-US" w:eastAsia="nl-NL"/>
        </w:rPr>
        <w:t xml:space="preserve">growth of </w:t>
      </w:r>
      <w:r w:rsidR="005713E7">
        <w:rPr>
          <w:rFonts w:ascii="Times New Roman" w:eastAsia="Times New Roman" w:hAnsi="Times New Roman" w:cs="Times New Roman"/>
          <w:i/>
          <w:sz w:val="24"/>
          <w:szCs w:val="24"/>
          <w:lang w:val="en-US" w:eastAsia="nl-NL"/>
        </w:rPr>
        <w:t>generative</w:t>
      </w:r>
      <w:r w:rsidR="003B5AFB">
        <w:rPr>
          <w:rFonts w:ascii="Times New Roman" w:eastAsia="Times New Roman" w:hAnsi="Times New Roman" w:cs="Times New Roman"/>
          <w:i/>
          <w:sz w:val="24"/>
          <w:szCs w:val="24"/>
          <w:lang w:val="en-US" w:eastAsia="nl-NL"/>
        </w:rPr>
        <w:t xml:space="preserve"> </w:t>
      </w:r>
      <w:r>
        <w:rPr>
          <w:rFonts w:ascii="Times New Roman" w:eastAsia="Times New Roman" w:hAnsi="Times New Roman" w:cs="Times New Roman"/>
          <w:i/>
          <w:sz w:val="24"/>
          <w:szCs w:val="24"/>
          <w:lang w:val="en-US" w:eastAsia="nl-NL"/>
        </w:rPr>
        <w:t xml:space="preserve">AI </w:t>
      </w:r>
      <w:r w:rsidRPr="00F840B6">
        <w:rPr>
          <w:rFonts w:ascii="Times New Roman" w:eastAsia="Times New Roman" w:hAnsi="Times New Roman" w:cs="Times New Roman"/>
          <w:i/>
          <w:sz w:val="24"/>
          <w:szCs w:val="24"/>
          <w:lang w:val="en-US" w:eastAsia="nl-NL"/>
        </w:rPr>
        <w:t xml:space="preserve">represent one of the most triggering questions of the modern world. </w:t>
      </w:r>
      <w:r w:rsidR="0019047A" w:rsidRPr="0019047A">
        <w:rPr>
          <w:rFonts w:ascii="Times New Roman" w:eastAsia="Times New Roman" w:hAnsi="Times New Roman" w:cs="Times New Roman"/>
          <w:i/>
          <w:sz w:val="24"/>
          <w:szCs w:val="24"/>
          <w:lang w:val="en-US" w:eastAsia="nl-NL"/>
        </w:rPr>
        <w:t>The world is on the threshold of the fourth industrial revolution</w:t>
      </w:r>
      <w:r w:rsidR="0019047A">
        <w:rPr>
          <w:rFonts w:ascii="Times New Roman" w:eastAsia="Times New Roman" w:hAnsi="Times New Roman" w:cs="Times New Roman"/>
          <w:i/>
          <w:sz w:val="24"/>
          <w:szCs w:val="24"/>
          <w:lang w:val="en-US" w:eastAsia="nl-NL"/>
        </w:rPr>
        <w:t xml:space="preserve"> that </w:t>
      </w:r>
      <w:r w:rsidR="0019047A" w:rsidRPr="0019047A">
        <w:rPr>
          <w:rFonts w:ascii="Times New Roman" w:eastAsia="Times New Roman" w:hAnsi="Times New Roman" w:cs="Times New Roman"/>
          <w:i/>
          <w:sz w:val="24"/>
          <w:szCs w:val="24"/>
          <w:lang w:val="en-US" w:eastAsia="nl-NL"/>
        </w:rPr>
        <w:t xml:space="preserve">draws its energy from big data combined with algorithms and powerful computers. The current digital revolution is marked by its global scale, rapid </w:t>
      </w:r>
      <w:proofErr w:type="gramStart"/>
      <w:r w:rsidR="0019047A" w:rsidRPr="0019047A">
        <w:rPr>
          <w:rFonts w:ascii="Times New Roman" w:eastAsia="Times New Roman" w:hAnsi="Times New Roman" w:cs="Times New Roman"/>
          <w:i/>
          <w:sz w:val="24"/>
          <w:szCs w:val="24"/>
          <w:lang w:val="en-US" w:eastAsia="nl-NL"/>
        </w:rPr>
        <w:t>convergence</w:t>
      </w:r>
      <w:proofErr w:type="gramEnd"/>
      <w:r w:rsidR="0019047A" w:rsidRPr="0019047A">
        <w:rPr>
          <w:rFonts w:ascii="Times New Roman" w:eastAsia="Times New Roman" w:hAnsi="Times New Roman" w:cs="Times New Roman"/>
          <w:i/>
          <w:sz w:val="24"/>
          <w:szCs w:val="24"/>
          <w:lang w:val="en-US" w:eastAsia="nl-NL"/>
        </w:rPr>
        <w:t xml:space="preserve"> and the enormous impact that breakthroughs in emerging technologies are having on countries, economies, societies, international relations and the environment. </w:t>
      </w:r>
      <w:bookmarkEnd w:id="0"/>
      <w:r w:rsidR="0019047A" w:rsidRPr="0019047A">
        <w:rPr>
          <w:rFonts w:ascii="Times New Roman" w:eastAsia="Times New Roman" w:hAnsi="Times New Roman" w:cs="Times New Roman"/>
          <w:i/>
          <w:sz w:val="24"/>
          <w:szCs w:val="24"/>
          <w:lang w:val="en-US" w:eastAsia="nl-NL"/>
        </w:rPr>
        <w:t xml:space="preserve">Europe, which for centuries has </w:t>
      </w:r>
      <w:r w:rsidR="00D556A8">
        <w:rPr>
          <w:rFonts w:ascii="Times New Roman" w:eastAsia="Times New Roman" w:hAnsi="Times New Roman" w:cs="Times New Roman"/>
          <w:i/>
          <w:sz w:val="24"/>
          <w:szCs w:val="24"/>
          <w:lang w:val="en-US" w:eastAsia="nl-NL"/>
        </w:rPr>
        <w:t xml:space="preserve">been </w:t>
      </w:r>
      <w:r w:rsidR="003B5AFB">
        <w:rPr>
          <w:rFonts w:ascii="Times New Roman" w:eastAsia="Times New Roman" w:hAnsi="Times New Roman" w:cs="Times New Roman"/>
          <w:i/>
          <w:sz w:val="24"/>
          <w:szCs w:val="24"/>
          <w:lang w:val="en-US" w:eastAsia="nl-NL"/>
        </w:rPr>
        <w:t>at the</w:t>
      </w:r>
      <w:r w:rsidR="00D556A8">
        <w:rPr>
          <w:rFonts w:ascii="Times New Roman" w:eastAsia="Times New Roman" w:hAnsi="Times New Roman" w:cs="Times New Roman"/>
          <w:i/>
          <w:sz w:val="24"/>
          <w:szCs w:val="24"/>
          <w:lang w:val="en-US" w:eastAsia="nl-NL"/>
        </w:rPr>
        <w:t xml:space="preserve"> technological frontier</w:t>
      </w:r>
      <w:r w:rsidR="0019047A" w:rsidRPr="0019047A">
        <w:rPr>
          <w:rFonts w:ascii="Times New Roman" w:eastAsia="Times New Roman" w:hAnsi="Times New Roman" w:cs="Times New Roman"/>
          <w:i/>
          <w:sz w:val="24"/>
          <w:szCs w:val="24"/>
          <w:lang w:val="en-US" w:eastAsia="nl-NL"/>
        </w:rPr>
        <w:t>, play</w:t>
      </w:r>
      <w:r w:rsidR="00D556A8">
        <w:rPr>
          <w:rFonts w:ascii="Times New Roman" w:eastAsia="Times New Roman" w:hAnsi="Times New Roman" w:cs="Times New Roman"/>
          <w:i/>
          <w:sz w:val="24"/>
          <w:szCs w:val="24"/>
          <w:lang w:val="en-US" w:eastAsia="nl-NL"/>
        </w:rPr>
        <w:t>ing</w:t>
      </w:r>
      <w:r w:rsidR="0019047A" w:rsidRPr="0019047A">
        <w:rPr>
          <w:rFonts w:ascii="Times New Roman" w:eastAsia="Times New Roman" w:hAnsi="Times New Roman" w:cs="Times New Roman"/>
          <w:i/>
          <w:sz w:val="24"/>
          <w:szCs w:val="24"/>
          <w:lang w:val="en-US" w:eastAsia="nl-NL"/>
        </w:rPr>
        <w:t xml:space="preserve"> a major role in technological advances and been a pioneer in the production and use of cutting-edge products, is</w:t>
      </w:r>
      <w:r w:rsidR="0019047A">
        <w:rPr>
          <w:rFonts w:ascii="Times New Roman" w:eastAsia="Times New Roman" w:hAnsi="Times New Roman" w:cs="Times New Roman"/>
          <w:i/>
          <w:sz w:val="24"/>
          <w:szCs w:val="24"/>
          <w:lang w:val="en-US" w:eastAsia="nl-NL"/>
        </w:rPr>
        <w:t xml:space="preserve"> currently </w:t>
      </w:r>
      <w:r w:rsidR="00D556A8" w:rsidRPr="0019047A">
        <w:rPr>
          <w:rFonts w:ascii="Times New Roman" w:eastAsia="Times New Roman" w:hAnsi="Times New Roman" w:cs="Times New Roman"/>
          <w:i/>
          <w:sz w:val="24"/>
          <w:szCs w:val="24"/>
          <w:lang w:val="en-US" w:eastAsia="nl-NL"/>
        </w:rPr>
        <w:t>lagging</w:t>
      </w:r>
      <w:r w:rsidR="0019047A" w:rsidRPr="0019047A">
        <w:rPr>
          <w:rFonts w:ascii="Times New Roman" w:eastAsia="Times New Roman" w:hAnsi="Times New Roman" w:cs="Times New Roman"/>
          <w:i/>
          <w:sz w:val="24"/>
          <w:szCs w:val="24"/>
          <w:lang w:val="en-US" w:eastAsia="nl-NL"/>
        </w:rPr>
        <w:t xml:space="preserve"> the US </w:t>
      </w:r>
      <w:r w:rsidR="0019047A">
        <w:rPr>
          <w:rFonts w:ascii="Times New Roman" w:eastAsia="Times New Roman" w:hAnsi="Times New Roman" w:cs="Times New Roman"/>
          <w:i/>
          <w:sz w:val="24"/>
          <w:szCs w:val="24"/>
          <w:lang w:val="en-US" w:eastAsia="nl-NL"/>
        </w:rPr>
        <w:t>and</w:t>
      </w:r>
      <w:r w:rsidR="0019047A" w:rsidRPr="0019047A">
        <w:rPr>
          <w:rFonts w:ascii="Times New Roman" w:eastAsia="Times New Roman" w:hAnsi="Times New Roman" w:cs="Times New Roman"/>
          <w:i/>
          <w:sz w:val="24"/>
          <w:szCs w:val="24"/>
          <w:lang w:val="en-US" w:eastAsia="nl-NL"/>
        </w:rPr>
        <w:t xml:space="preserve"> China. </w:t>
      </w:r>
      <w:r w:rsidR="0019047A">
        <w:rPr>
          <w:rFonts w:ascii="Times New Roman" w:eastAsia="Times New Roman" w:hAnsi="Times New Roman" w:cs="Times New Roman"/>
          <w:i/>
          <w:sz w:val="24"/>
          <w:szCs w:val="24"/>
          <w:lang w:val="en-US" w:eastAsia="nl-NL"/>
        </w:rPr>
        <w:t xml:space="preserve">It may be even argued that </w:t>
      </w:r>
      <w:r w:rsidR="0019047A" w:rsidRPr="0019047A">
        <w:rPr>
          <w:rFonts w:ascii="Times New Roman" w:eastAsia="Times New Roman" w:hAnsi="Times New Roman" w:cs="Times New Roman"/>
          <w:i/>
          <w:sz w:val="24"/>
          <w:szCs w:val="24"/>
          <w:lang w:val="en-US" w:eastAsia="nl-NL"/>
        </w:rPr>
        <w:t xml:space="preserve">there is a risk that the EU </w:t>
      </w:r>
      <w:r w:rsidR="00D556A8">
        <w:rPr>
          <w:rFonts w:ascii="Times New Roman" w:eastAsia="Times New Roman" w:hAnsi="Times New Roman" w:cs="Times New Roman"/>
          <w:i/>
          <w:sz w:val="24"/>
          <w:szCs w:val="24"/>
          <w:lang w:val="en-US" w:eastAsia="nl-NL"/>
        </w:rPr>
        <w:t>might</w:t>
      </w:r>
      <w:r w:rsidR="0019047A" w:rsidRPr="0019047A">
        <w:rPr>
          <w:rFonts w:ascii="Times New Roman" w:eastAsia="Times New Roman" w:hAnsi="Times New Roman" w:cs="Times New Roman"/>
          <w:i/>
          <w:sz w:val="24"/>
          <w:szCs w:val="24"/>
          <w:lang w:val="en-US" w:eastAsia="nl-NL"/>
        </w:rPr>
        <w:t xml:space="preserve"> fall behind in global standard setting and technology development.</w:t>
      </w:r>
      <w:r w:rsidR="0019047A">
        <w:rPr>
          <w:rFonts w:ascii="Times New Roman" w:eastAsia="Times New Roman" w:hAnsi="Times New Roman" w:cs="Times New Roman"/>
          <w:i/>
          <w:sz w:val="24"/>
          <w:szCs w:val="24"/>
          <w:lang w:val="en-US" w:eastAsia="nl-NL"/>
        </w:rPr>
        <w:t xml:space="preserve"> EU in its recent legislative proposals suggests that </w:t>
      </w:r>
      <w:r w:rsidR="0019047A" w:rsidRPr="0019047A">
        <w:rPr>
          <w:rFonts w:ascii="Times New Roman" w:eastAsia="Times New Roman" w:hAnsi="Times New Roman" w:cs="Times New Roman"/>
          <w:i/>
          <w:sz w:val="24"/>
          <w:szCs w:val="24"/>
          <w:lang w:val="en-US" w:eastAsia="nl-NL"/>
        </w:rPr>
        <w:t>the AI and robotics should be human-centered and developed to complement human activities. The legal requirements should be adapted accordingly in line with the risk-based approach and due regard should be given to the precautionary principle where warranted.</w:t>
      </w:r>
      <w:r w:rsidR="006B751E">
        <w:rPr>
          <w:rFonts w:ascii="Times New Roman" w:eastAsia="Times New Roman" w:hAnsi="Times New Roman" w:cs="Times New Roman"/>
          <w:i/>
          <w:sz w:val="24"/>
          <w:szCs w:val="24"/>
          <w:lang w:val="en-US" w:eastAsia="nl-NL"/>
        </w:rPr>
        <w:t xml:space="preserve"> However, </w:t>
      </w:r>
      <w:r w:rsidR="003B5AFB">
        <w:rPr>
          <w:rFonts w:ascii="Times New Roman" w:eastAsia="Times New Roman" w:hAnsi="Times New Roman" w:cs="Times New Roman"/>
          <w:i/>
          <w:sz w:val="24"/>
          <w:szCs w:val="24"/>
          <w:lang w:val="en-US" w:eastAsia="nl-NL"/>
        </w:rPr>
        <w:t xml:space="preserve">the industry level data shows that the </w:t>
      </w:r>
      <w:r w:rsidR="006B751E">
        <w:rPr>
          <w:rFonts w:ascii="Times New Roman" w:eastAsia="Times New Roman" w:hAnsi="Times New Roman" w:cs="Times New Roman"/>
          <w:i/>
          <w:sz w:val="24"/>
          <w:szCs w:val="24"/>
          <w:lang w:val="en-US" w:eastAsia="nl-NL"/>
        </w:rPr>
        <w:t xml:space="preserve">new EU </w:t>
      </w:r>
      <w:r w:rsidR="006B751E" w:rsidRPr="006B751E">
        <w:rPr>
          <w:rFonts w:ascii="Times New Roman" w:eastAsia="Times New Roman" w:hAnsi="Times New Roman" w:cs="Times New Roman"/>
          <w:i/>
          <w:sz w:val="24"/>
          <w:szCs w:val="24"/>
          <w:lang w:val="en-US" w:eastAsia="nl-NL"/>
        </w:rPr>
        <w:t xml:space="preserve">compliance requirements </w:t>
      </w:r>
      <w:r w:rsidR="006B751E">
        <w:rPr>
          <w:rFonts w:ascii="Times New Roman" w:eastAsia="Times New Roman" w:hAnsi="Times New Roman" w:cs="Times New Roman"/>
          <w:i/>
          <w:sz w:val="24"/>
          <w:szCs w:val="24"/>
          <w:lang w:val="en-US" w:eastAsia="nl-NL"/>
        </w:rPr>
        <w:t xml:space="preserve">might </w:t>
      </w:r>
      <w:r w:rsidR="0016648B">
        <w:rPr>
          <w:rFonts w:ascii="Times New Roman" w:eastAsia="Times New Roman" w:hAnsi="Times New Roman" w:cs="Times New Roman"/>
          <w:i/>
          <w:sz w:val="24"/>
          <w:szCs w:val="24"/>
          <w:lang w:val="en-US" w:eastAsia="nl-NL"/>
        </w:rPr>
        <w:t xml:space="preserve">needlessly </w:t>
      </w:r>
      <w:r w:rsidR="006B751E" w:rsidRPr="006B751E">
        <w:rPr>
          <w:rFonts w:ascii="Times New Roman" w:eastAsia="Times New Roman" w:hAnsi="Times New Roman" w:cs="Times New Roman"/>
          <w:i/>
          <w:sz w:val="24"/>
          <w:szCs w:val="24"/>
          <w:lang w:val="en-US" w:eastAsia="nl-NL"/>
        </w:rPr>
        <w:t>increase the cost of developing and maintaining AI systems, which could make it more difficult for</w:t>
      </w:r>
      <w:r w:rsidR="006B751E">
        <w:rPr>
          <w:rFonts w:ascii="Times New Roman" w:eastAsia="Times New Roman" w:hAnsi="Times New Roman" w:cs="Times New Roman"/>
          <w:i/>
          <w:sz w:val="24"/>
          <w:szCs w:val="24"/>
          <w:lang w:val="en-US" w:eastAsia="nl-NL"/>
        </w:rPr>
        <w:t xml:space="preserve"> EU based</w:t>
      </w:r>
      <w:r w:rsidR="006B751E" w:rsidRPr="006B751E">
        <w:rPr>
          <w:rFonts w:ascii="Times New Roman" w:eastAsia="Times New Roman" w:hAnsi="Times New Roman" w:cs="Times New Roman"/>
          <w:i/>
          <w:sz w:val="24"/>
          <w:szCs w:val="24"/>
          <w:lang w:val="en-US" w:eastAsia="nl-NL"/>
        </w:rPr>
        <w:t xml:space="preserve"> small and medium-sized enterprises to compete in the AI market</w:t>
      </w:r>
      <w:r w:rsidR="00D556A8">
        <w:rPr>
          <w:rFonts w:ascii="Times New Roman" w:eastAsia="Times New Roman" w:hAnsi="Times New Roman" w:cs="Times New Roman"/>
          <w:i/>
          <w:sz w:val="24"/>
          <w:szCs w:val="24"/>
          <w:lang w:val="en-US" w:eastAsia="nl-NL"/>
        </w:rPr>
        <w:t>s</w:t>
      </w:r>
      <w:r w:rsidR="006B751E" w:rsidRPr="006B751E">
        <w:rPr>
          <w:rFonts w:ascii="Times New Roman" w:eastAsia="Times New Roman" w:hAnsi="Times New Roman" w:cs="Times New Roman"/>
          <w:i/>
          <w:sz w:val="24"/>
          <w:szCs w:val="24"/>
          <w:lang w:val="en-US" w:eastAsia="nl-NL"/>
        </w:rPr>
        <w:t xml:space="preserve">. In addition, they could slow down the development of AI systems, as companies would have to devote more resources to ensuring compliance with the </w:t>
      </w:r>
      <w:r w:rsidR="006B751E">
        <w:rPr>
          <w:rFonts w:ascii="Times New Roman" w:eastAsia="Times New Roman" w:hAnsi="Times New Roman" w:cs="Times New Roman"/>
          <w:i/>
          <w:sz w:val="24"/>
          <w:szCs w:val="24"/>
          <w:lang w:val="en-US" w:eastAsia="nl-NL"/>
        </w:rPr>
        <w:t xml:space="preserve">proposed EU AI Act. </w:t>
      </w:r>
    </w:p>
    <w:bookmarkEnd w:id="1"/>
    <w:p w14:paraId="11A5CE0A" w14:textId="1E6CDDE1" w:rsidR="00082024" w:rsidRPr="00082024" w:rsidRDefault="00FF0DE9" w:rsidP="00082024">
      <w:pPr>
        <w:spacing w:after="0" w:line="240" w:lineRule="auto"/>
        <w:jc w:val="both"/>
        <w:rPr>
          <w:rFonts w:ascii="Times New Roman" w:eastAsia="Times New Roman" w:hAnsi="Times New Roman" w:cs="Times New Roman"/>
          <w:i/>
          <w:sz w:val="24"/>
          <w:szCs w:val="24"/>
          <w:lang w:val="en-US" w:eastAsia="nl-NL"/>
        </w:rPr>
      </w:pPr>
      <w:r>
        <w:rPr>
          <w:rFonts w:ascii="Times New Roman" w:eastAsia="Times New Roman" w:hAnsi="Times New Roman" w:cs="Times New Roman"/>
          <w:i/>
          <w:sz w:val="24"/>
          <w:szCs w:val="24"/>
          <w:lang w:val="en-US" w:eastAsia="nl-NL"/>
        </w:rPr>
        <w:t>This p</w:t>
      </w:r>
      <w:r w:rsidR="005D380B" w:rsidRPr="005D380B">
        <w:rPr>
          <w:rFonts w:ascii="Times New Roman" w:eastAsia="Times New Roman" w:hAnsi="Times New Roman" w:cs="Times New Roman"/>
          <w:i/>
          <w:sz w:val="24"/>
          <w:szCs w:val="24"/>
          <w:lang w:val="en-US" w:eastAsia="nl-NL"/>
        </w:rPr>
        <w:t>aper provides a multidisciplinary assessment</w:t>
      </w:r>
      <w:r w:rsidR="00D90907">
        <w:rPr>
          <w:rFonts w:ascii="Times New Roman" w:eastAsia="Times New Roman" w:hAnsi="Times New Roman" w:cs="Times New Roman"/>
          <w:i/>
          <w:sz w:val="24"/>
          <w:szCs w:val="24"/>
          <w:lang w:val="en-US" w:eastAsia="nl-NL"/>
        </w:rPr>
        <w:t xml:space="preserve"> of </w:t>
      </w:r>
      <w:r w:rsidR="006B751E">
        <w:rPr>
          <w:rFonts w:ascii="Times New Roman" w:eastAsia="Times New Roman" w:hAnsi="Times New Roman" w:cs="Times New Roman"/>
          <w:i/>
          <w:sz w:val="24"/>
          <w:szCs w:val="24"/>
          <w:lang w:val="en-US" w:eastAsia="nl-NL"/>
        </w:rPr>
        <w:t xml:space="preserve">the proposed EU </w:t>
      </w:r>
      <w:r w:rsidR="006B751E" w:rsidRPr="006B751E">
        <w:rPr>
          <w:rFonts w:ascii="Times New Roman" w:eastAsia="Times New Roman" w:hAnsi="Times New Roman" w:cs="Times New Roman"/>
          <w:i/>
          <w:sz w:val="24"/>
          <w:szCs w:val="24"/>
          <w:lang w:val="en-US" w:eastAsia="nl-NL"/>
        </w:rPr>
        <w:t>Artificial Intelligence Act</w:t>
      </w:r>
      <w:r w:rsidR="006B751E">
        <w:rPr>
          <w:rFonts w:ascii="Times New Roman" w:eastAsia="Times New Roman" w:hAnsi="Times New Roman" w:cs="Times New Roman"/>
          <w:i/>
          <w:sz w:val="24"/>
          <w:szCs w:val="24"/>
          <w:lang w:val="en-US" w:eastAsia="nl-NL"/>
        </w:rPr>
        <w:t xml:space="preserve"> </w:t>
      </w:r>
      <w:r w:rsidR="003B5AFB" w:rsidRPr="005D380B">
        <w:rPr>
          <w:rFonts w:ascii="Times New Roman" w:eastAsia="Times New Roman" w:hAnsi="Times New Roman" w:cs="Times New Roman"/>
          <w:i/>
          <w:sz w:val="24"/>
          <w:szCs w:val="24"/>
          <w:lang w:val="en-US" w:eastAsia="nl-NL"/>
        </w:rPr>
        <w:t xml:space="preserve">and </w:t>
      </w:r>
      <w:r w:rsidR="003B5AFB">
        <w:rPr>
          <w:rFonts w:ascii="Times New Roman" w:eastAsia="Times New Roman" w:hAnsi="Times New Roman" w:cs="Times New Roman"/>
          <w:i/>
          <w:sz w:val="24"/>
          <w:szCs w:val="24"/>
          <w:lang w:val="en-US" w:eastAsia="nl-NL"/>
        </w:rPr>
        <w:t>seeks</w:t>
      </w:r>
      <w:r w:rsidR="006B751E">
        <w:rPr>
          <w:rFonts w:ascii="Times New Roman" w:eastAsia="Times New Roman" w:hAnsi="Times New Roman" w:cs="Times New Roman"/>
          <w:i/>
          <w:sz w:val="24"/>
          <w:szCs w:val="24"/>
          <w:lang w:val="en-US" w:eastAsia="nl-NL"/>
        </w:rPr>
        <w:t xml:space="preserve"> to assess its impact on </w:t>
      </w:r>
      <w:r w:rsidR="006B751E" w:rsidRPr="006B751E">
        <w:rPr>
          <w:rFonts w:ascii="Times New Roman" w:eastAsia="Times New Roman" w:hAnsi="Times New Roman" w:cs="Times New Roman"/>
          <w:i/>
          <w:sz w:val="24"/>
          <w:szCs w:val="24"/>
          <w:lang w:val="en-US" w:eastAsia="nl-NL"/>
        </w:rPr>
        <w:t xml:space="preserve">the </w:t>
      </w:r>
      <w:r w:rsidR="006B751E">
        <w:rPr>
          <w:rFonts w:ascii="Times New Roman" w:eastAsia="Times New Roman" w:hAnsi="Times New Roman" w:cs="Times New Roman"/>
          <w:i/>
          <w:sz w:val="24"/>
          <w:szCs w:val="24"/>
          <w:lang w:val="en-US" w:eastAsia="nl-NL"/>
        </w:rPr>
        <w:t xml:space="preserve">research &amp; </w:t>
      </w:r>
      <w:r w:rsidR="006B751E" w:rsidRPr="006B751E">
        <w:rPr>
          <w:rFonts w:ascii="Times New Roman" w:eastAsia="Times New Roman" w:hAnsi="Times New Roman" w:cs="Times New Roman"/>
          <w:i/>
          <w:sz w:val="24"/>
          <w:szCs w:val="24"/>
          <w:lang w:val="en-US" w:eastAsia="nl-NL"/>
        </w:rPr>
        <w:t>development processes in companies that develop solutions with AI elements</w:t>
      </w:r>
      <w:r w:rsidR="006B751E">
        <w:rPr>
          <w:rFonts w:ascii="Times New Roman" w:eastAsia="Times New Roman" w:hAnsi="Times New Roman" w:cs="Times New Roman"/>
          <w:i/>
          <w:sz w:val="24"/>
          <w:szCs w:val="24"/>
          <w:lang w:val="en-US" w:eastAsia="nl-NL"/>
        </w:rPr>
        <w:t xml:space="preserve">. </w:t>
      </w:r>
      <w:r w:rsidR="003B5AFB">
        <w:rPr>
          <w:rFonts w:ascii="Times New Roman" w:eastAsia="Times New Roman" w:hAnsi="Times New Roman" w:cs="Times New Roman"/>
          <w:i/>
          <w:sz w:val="24"/>
          <w:szCs w:val="24"/>
          <w:lang w:val="en-US" w:eastAsia="nl-NL"/>
        </w:rPr>
        <w:t>While exploring the unique firm and industry level evidence paper explores t</w:t>
      </w:r>
      <w:r w:rsidR="003B5AFB" w:rsidRPr="003B5AFB">
        <w:rPr>
          <w:rFonts w:ascii="Times New Roman" w:eastAsia="Times New Roman" w:hAnsi="Times New Roman" w:cs="Times New Roman"/>
          <w:i/>
          <w:sz w:val="24"/>
          <w:szCs w:val="24"/>
          <w:lang w:val="en-US" w:eastAsia="nl-NL"/>
        </w:rPr>
        <w:t xml:space="preserve">he role of public and private actors in </w:t>
      </w:r>
      <w:r w:rsidR="003B5AFB">
        <w:rPr>
          <w:rFonts w:ascii="Times New Roman" w:eastAsia="Times New Roman" w:hAnsi="Times New Roman" w:cs="Times New Roman"/>
          <w:i/>
          <w:sz w:val="24"/>
          <w:szCs w:val="24"/>
          <w:lang w:val="en-US" w:eastAsia="nl-NL"/>
        </w:rPr>
        <w:t xml:space="preserve">AI </w:t>
      </w:r>
      <w:r w:rsidR="003B5AFB" w:rsidRPr="003B5AFB">
        <w:rPr>
          <w:rFonts w:ascii="Times New Roman" w:eastAsia="Times New Roman" w:hAnsi="Times New Roman" w:cs="Times New Roman"/>
          <w:i/>
          <w:sz w:val="24"/>
          <w:szCs w:val="24"/>
          <w:lang w:val="en-US" w:eastAsia="nl-NL"/>
        </w:rPr>
        <w:t>regulation</w:t>
      </w:r>
      <w:r w:rsidR="003B5AFB">
        <w:rPr>
          <w:rFonts w:ascii="Times New Roman" w:eastAsia="Times New Roman" w:hAnsi="Times New Roman" w:cs="Times New Roman"/>
          <w:i/>
          <w:sz w:val="24"/>
          <w:szCs w:val="24"/>
          <w:lang w:val="en-US" w:eastAsia="nl-NL"/>
        </w:rPr>
        <w:t>. It</w:t>
      </w:r>
      <w:r w:rsidR="006B751E">
        <w:rPr>
          <w:rFonts w:ascii="Times New Roman" w:eastAsia="Times New Roman" w:hAnsi="Times New Roman" w:cs="Times New Roman"/>
          <w:i/>
          <w:sz w:val="24"/>
          <w:szCs w:val="24"/>
          <w:lang w:val="en-US" w:eastAsia="nl-NL"/>
        </w:rPr>
        <w:t xml:space="preserve"> also investigates </w:t>
      </w:r>
      <w:r w:rsidR="00F43F5C">
        <w:rPr>
          <w:rFonts w:ascii="Times New Roman" w:eastAsia="Times New Roman" w:hAnsi="Times New Roman" w:cs="Times New Roman"/>
          <w:i/>
          <w:sz w:val="24"/>
          <w:szCs w:val="24"/>
          <w:lang w:val="en-US" w:eastAsia="nl-NL"/>
        </w:rPr>
        <w:t xml:space="preserve">hybrid modes of regulation with the focus on </w:t>
      </w:r>
      <w:r w:rsidR="006B751E" w:rsidRPr="006B751E">
        <w:rPr>
          <w:rFonts w:ascii="Times New Roman" w:eastAsia="Times New Roman" w:hAnsi="Times New Roman" w:cs="Times New Roman"/>
          <w:i/>
          <w:sz w:val="24"/>
          <w:szCs w:val="24"/>
          <w:lang w:val="en-US" w:eastAsia="nl-NL"/>
        </w:rPr>
        <w:t>the</w:t>
      </w:r>
      <w:r w:rsidR="00F43F5C">
        <w:rPr>
          <w:rFonts w:ascii="Times New Roman" w:eastAsia="Times New Roman" w:hAnsi="Times New Roman" w:cs="Times New Roman"/>
          <w:i/>
          <w:sz w:val="24"/>
          <w:szCs w:val="24"/>
          <w:lang w:val="en-US" w:eastAsia="nl-NL"/>
        </w:rPr>
        <w:t xml:space="preserve"> inclusive </w:t>
      </w:r>
      <w:r w:rsidR="006B751E" w:rsidRPr="006B751E">
        <w:rPr>
          <w:rFonts w:ascii="Times New Roman" w:eastAsia="Times New Roman" w:hAnsi="Times New Roman" w:cs="Times New Roman"/>
          <w:i/>
          <w:sz w:val="24"/>
          <w:szCs w:val="24"/>
          <w:lang w:val="en-US" w:eastAsia="nl-NL"/>
        </w:rPr>
        <w:t xml:space="preserve">growth of the </w:t>
      </w:r>
      <w:r w:rsidR="006B751E">
        <w:rPr>
          <w:rFonts w:ascii="Times New Roman" w:eastAsia="Times New Roman" w:hAnsi="Times New Roman" w:cs="Times New Roman"/>
          <w:i/>
          <w:sz w:val="24"/>
          <w:szCs w:val="24"/>
          <w:lang w:val="en-US" w:eastAsia="nl-NL"/>
        </w:rPr>
        <w:t xml:space="preserve">AI </w:t>
      </w:r>
      <w:r w:rsidR="006B751E" w:rsidRPr="006B751E">
        <w:rPr>
          <w:rFonts w:ascii="Times New Roman" w:eastAsia="Times New Roman" w:hAnsi="Times New Roman" w:cs="Times New Roman"/>
          <w:i/>
          <w:sz w:val="24"/>
          <w:szCs w:val="24"/>
          <w:lang w:val="en-US" w:eastAsia="nl-NL"/>
        </w:rPr>
        <w:t>industry in the EU</w:t>
      </w:r>
      <w:r w:rsidR="00C037C3">
        <w:rPr>
          <w:rFonts w:ascii="Times New Roman" w:eastAsia="Times New Roman" w:hAnsi="Times New Roman" w:cs="Times New Roman"/>
          <w:i/>
          <w:sz w:val="24"/>
          <w:szCs w:val="24"/>
          <w:lang w:val="en-US" w:eastAsia="nl-NL"/>
        </w:rPr>
        <w:t>.</w:t>
      </w:r>
      <w:r w:rsidR="006B751E">
        <w:rPr>
          <w:rFonts w:ascii="Times New Roman" w:eastAsia="Times New Roman" w:hAnsi="Times New Roman" w:cs="Times New Roman"/>
          <w:i/>
          <w:sz w:val="24"/>
          <w:szCs w:val="24"/>
          <w:lang w:val="en-US" w:eastAsia="nl-NL"/>
        </w:rPr>
        <w:t xml:space="preserve"> Moreover, paper </w:t>
      </w:r>
      <w:r w:rsidR="005D380B" w:rsidRPr="005D380B">
        <w:rPr>
          <w:rFonts w:ascii="Times New Roman" w:eastAsia="Times New Roman" w:hAnsi="Times New Roman" w:cs="Times New Roman"/>
          <w:i/>
          <w:sz w:val="24"/>
          <w:szCs w:val="24"/>
          <w:lang w:val="en-US" w:eastAsia="nl-NL"/>
        </w:rPr>
        <w:t xml:space="preserve">provides a set of normative suggestions for an improved </w:t>
      </w:r>
      <w:r w:rsidR="00F43F5C">
        <w:rPr>
          <w:rFonts w:ascii="Times New Roman" w:eastAsia="Times New Roman" w:hAnsi="Times New Roman" w:cs="Times New Roman"/>
          <w:i/>
          <w:sz w:val="24"/>
          <w:szCs w:val="24"/>
          <w:lang w:val="en-US" w:eastAsia="nl-NL"/>
        </w:rPr>
        <w:t xml:space="preserve">hybrid </w:t>
      </w:r>
      <w:r w:rsidR="005D380B" w:rsidRPr="005D380B">
        <w:rPr>
          <w:rFonts w:ascii="Times New Roman" w:eastAsia="Times New Roman" w:hAnsi="Times New Roman" w:cs="Times New Roman"/>
          <w:i/>
          <w:sz w:val="24"/>
          <w:szCs w:val="24"/>
          <w:lang w:val="en-US" w:eastAsia="nl-NL"/>
        </w:rPr>
        <w:t>regulatory respond</w:t>
      </w:r>
      <w:r w:rsidR="005D380B">
        <w:rPr>
          <w:rFonts w:ascii="Times New Roman" w:eastAsia="Times New Roman" w:hAnsi="Times New Roman" w:cs="Times New Roman"/>
          <w:i/>
          <w:sz w:val="24"/>
          <w:szCs w:val="24"/>
          <w:lang w:val="en-US" w:eastAsia="nl-NL"/>
        </w:rPr>
        <w:t xml:space="preserve"> </w:t>
      </w:r>
      <w:r w:rsidR="00082024" w:rsidRPr="00082024">
        <w:rPr>
          <w:rFonts w:ascii="Times New Roman" w:eastAsia="Times New Roman" w:hAnsi="Times New Roman" w:cs="Times New Roman"/>
          <w:i/>
          <w:sz w:val="24"/>
          <w:szCs w:val="24"/>
          <w:lang w:val="en-US" w:eastAsia="nl-NL"/>
        </w:rPr>
        <w:t xml:space="preserve">which should achieve optimal risk internalization, </w:t>
      </w:r>
      <w:r w:rsidR="00C037C3" w:rsidRPr="00082024">
        <w:rPr>
          <w:rFonts w:ascii="Times New Roman" w:eastAsia="Times New Roman" w:hAnsi="Times New Roman" w:cs="Times New Roman"/>
          <w:i/>
          <w:sz w:val="24"/>
          <w:szCs w:val="24"/>
          <w:lang w:val="en-US" w:eastAsia="nl-NL"/>
        </w:rPr>
        <w:t>precaution,</w:t>
      </w:r>
      <w:r w:rsidR="00082024" w:rsidRPr="00082024">
        <w:rPr>
          <w:rFonts w:ascii="Times New Roman" w:eastAsia="Times New Roman" w:hAnsi="Times New Roman" w:cs="Times New Roman"/>
          <w:i/>
          <w:sz w:val="24"/>
          <w:szCs w:val="24"/>
          <w:lang w:val="en-US" w:eastAsia="nl-NL"/>
        </w:rPr>
        <w:t xml:space="preserve"> and </w:t>
      </w:r>
      <w:r w:rsidR="003B5AFB">
        <w:rPr>
          <w:rFonts w:ascii="Times New Roman" w:eastAsia="Times New Roman" w:hAnsi="Times New Roman" w:cs="Times New Roman"/>
          <w:i/>
          <w:sz w:val="24"/>
          <w:szCs w:val="24"/>
          <w:lang w:val="en-US" w:eastAsia="nl-NL"/>
        </w:rPr>
        <w:t xml:space="preserve">firm level </w:t>
      </w:r>
      <w:r w:rsidR="006B751E">
        <w:rPr>
          <w:rFonts w:ascii="Times New Roman" w:eastAsia="Times New Roman" w:hAnsi="Times New Roman" w:cs="Times New Roman"/>
          <w:i/>
          <w:sz w:val="24"/>
          <w:szCs w:val="24"/>
          <w:lang w:val="en-US" w:eastAsia="nl-NL"/>
        </w:rPr>
        <w:t>innovation.</w:t>
      </w:r>
      <w:r>
        <w:rPr>
          <w:rFonts w:ascii="Times New Roman" w:eastAsia="Times New Roman" w:hAnsi="Times New Roman" w:cs="Times New Roman"/>
          <w:i/>
          <w:sz w:val="24"/>
          <w:szCs w:val="24"/>
          <w:lang w:val="en-US" w:eastAsia="nl-NL"/>
        </w:rPr>
        <w:t xml:space="preserve"> </w:t>
      </w:r>
      <w:r w:rsidR="006B751E">
        <w:rPr>
          <w:rFonts w:ascii="Times New Roman" w:eastAsia="Times New Roman" w:hAnsi="Times New Roman" w:cs="Times New Roman"/>
          <w:i/>
          <w:sz w:val="24"/>
          <w:szCs w:val="24"/>
          <w:lang w:val="en-US" w:eastAsia="nl-NL"/>
        </w:rPr>
        <w:t>Furthermore</w:t>
      </w:r>
      <w:r w:rsidR="00F840B6" w:rsidRPr="00F840B6">
        <w:rPr>
          <w:rFonts w:ascii="Times New Roman" w:eastAsia="Times New Roman" w:hAnsi="Times New Roman" w:cs="Times New Roman"/>
          <w:i/>
          <w:sz w:val="24"/>
          <w:szCs w:val="24"/>
          <w:lang w:val="en-US" w:eastAsia="nl-NL"/>
        </w:rPr>
        <w:t xml:space="preserve">, this paper provides the comparative, </w:t>
      </w:r>
      <w:r w:rsidR="00F43F5C">
        <w:rPr>
          <w:rFonts w:ascii="Times New Roman" w:eastAsia="Times New Roman" w:hAnsi="Times New Roman" w:cs="Times New Roman"/>
          <w:i/>
          <w:sz w:val="24"/>
          <w:szCs w:val="24"/>
          <w:lang w:val="en-US" w:eastAsia="nl-NL"/>
        </w:rPr>
        <w:t xml:space="preserve">industry based </w:t>
      </w:r>
      <w:r w:rsidR="00F840B6" w:rsidRPr="00F840B6">
        <w:rPr>
          <w:rFonts w:ascii="Times New Roman" w:eastAsia="Times New Roman" w:hAnsi="Times New Roman" w:cs="Times New Roman"/>
          <w:i/>
          <w:sz w:val="24"/>
          <w:szCs w:val="24"/>
          <w:lang w:val="en-US" w:eastAsia="nl-NL"/>
        </w:rPr>
        <w:t>economic,</w:t>
      </w:r>
      <w:r w:rsidR="00C037C3">
        <w:rPr>
          <w:rFonts w:ascii="Times New Roman" w:eastAsia="Times New Roman" w:hAnsi="Times New Roman" w:cs="Times New Roman"/>
          <w:i/>
          <w:sz w:val="24"/>
          <w:szCs w:val="24"/>
          <w:lang w:val="en-US" w:eastAsia="nl-NL"/>
        </w:rPr>
        <w:t xml:space="preserve"> </w:t>
      </w:r>
      <w:proofErr w:type="gramStart"/>
      <w:r w:rsidR="006B751E">
        <w:rPr>
          <w:rFonts w:ascii="Times New Roman" w:eastAsia="Times New Roman" w:hAnsi="Times New Roman" w:cs="Times New Roman"/>
          <w:i/>
          <w:sz w:val="24"/>
          <w:szCs w:val="24"/>
          <w:lang w:val="en-US" w:eastAsia="nl-NL"/>
        </w:rPr>
        <w:t>geopolitical</w:t>
      </w:r>
      <w:proofErr w:type="gramEnd"/>
      <w:r w:rsidR="006B751E">
        <w:rPr>
          <w:rFonts w:ascii="Times New Roman" w:eastAsia="Times New Roman" w:hAnsi="Times New Roman" w:cs="Times New Roman"/>
          <w:i/>
          <w:sz w:val="24"/>
          <w:szCs w:val="24"/>
          <w:lang w:val="en-US" w:eastAsia="nl-NL"/>
        </w:rPr>
        <w:t xml:space="preserve"> </w:t>
      </w:r>
      <w:r w:rsidR="00F840B6" w:rsidRPr="00F840B6">
        <w:rPr>
          <w:rFonts w:ascii="Times New Roman" w:eastAsia="Times New Roman" w:hAnsi="Times New Roman" w:cs="Times New Roman"/>
          <w:i/>
          <w:sz w:val="24"/>
          <w:szCs w:val="24"/>
          <w:lang w:val="en-US" w:eastAsia="nl-NL"/>
        </w:rPr>
        <w:t xml:space="preserve">and behavioral analysis of </w:t>
      </w:r>
      <w:r w:rsidR="006B751E">
        <w:rPr>
          <w:rFonts w:ascii="Times New Roman" w:eastAsia="Times New Roman" w:hAnsi="Times New Roman" w:cs="Times New Roman"/>
          <w:i/>
          <w:sz w:val="24"/>
          <w:szCs w:val="24"/>
          <w:lang w:val="en-US" w:eastAsia="nl-NL"/>
        </w:rPr>
        <w:t xml:space="preserve">current regulatory approaches to AI </w:t>
      </w:r>
      <w:r>
        <w:rPr>
          <w:rFonts w:ascii="Times New Roman" w:eastAsia="Times New Roman" w:hAnsi="Times New Roman" w:cs="Times New Roman"/>
          <w:i/>
          <w:sz w:val="24"/>
          <w:szCs w:val="24"/>
          <w:lang w:val="en-US" w:eastAsia="nl-NL"/>
        </w:rPr>
        <w:t xml:space="preserve">in </w:t>
      </w:r>
      <w:r w:rsidR="00F840B6" w:rsidRPr="00F840B6">
        <w:rPr>
          <w:rFonts w:ascii="Times New Roman" w:eastAsia="Times New Roman" w:hAnsi="Times New Roman" w:cs="Times New Roman"/>
          <w:i/>
          <w:sz w:val="24"/>
          <w:szCs w:val="24"/>
          <w:lang w:val="en-US" w:eastAsia="nl-NL"/>
        </w:rPr>
        <w:t xml:space="preserve">the </w:t>
      </w:r>
      <w:r w:rsidR="006B751E">
        <w:rPr>
          <w:rFonts w:ascii="Times New Roman" w:eastAsia="Times New Roman" w:hAnsi="Times New Roman" w:cs="Times New Roman"/>
          <w:i/>
          <w:sz w:val="24"/>
          <w:szCs w:val="24"/>
          <w:lang w:val="en-US" w:eastAsia="nl-NL"/>
        </w:rPr>
        <w:t xml:space="preserve">EU, </w:t>
      </w:r>
      <w:r w:rsidR="00F840B6" w:rsidRPr="00F840B6">
        <w:rPr>
          <w:rFonts w:ascii="Times New Roman" w:eastAsia="Times New Roman" w:hAnsi="Times New Roman" w:cs="Times New Roman"/>
          <w:i/>
          <w:sz w:val="24"/>
          <w:szCs w:val="24"/>
          <w:lang w:val="en-US" w:eastAsia="nl-NL"/>
        </w:rPr>
        <w:t>US</w:t>
      </w:r>
      <w:r w:rsidR="006B751E">
        <w:rPr>
          <w:rFonts w:ascii="Times New Roman" w:eastAsia="Times New Roman" w:hAnsi="Times New Roman" w:cs="Times New Roman"/>
          <w:i/>
          <w:sz w:val="24"/>
          <w:szCs w:val="24"/>
          <w:lang w:val="en-US" w:eastAsia="nl-NL"/>
        </w:rPr>
        <w:t xml:space="preserve"> and Chin</w:t>
      </w:r>
      <w:r w:rsidR="00D556A8">
        <w:rPr>
          <w:rFonts w:ascii="Times New Roman" w:eastAsia="Times New Roman" w:hAnsi="Times New Roman" w:cs="Times New Roman"/>
          <w:i/>
          <w:sz w:val="24"/>
          <w:szCs w:val="24"/>
          <w:lang w:val="en-US" w:eastAsia="nl-NL"/>
        </w:rPr>
        <w:t>a</w:t>
      </w:r>
      <w:r w:rsidR="006B751E">
        <w:rPr>
          <w:rFonts w:ascii="Times New Roman" w:eastAsia="Times New Roman" w:hAnsi="Times New Roman" w:cs="Times New Roman"/>
          <w:i/>
          <w:sz w:val="24"/>
          <w:szCs w:val="24"/>
          <w:lang w:val="en-US" w:eastAsia="nl-NL"/>
        </w:rPr>
        <w:t>.</w:t>
      </w:r>
      <w:r w:rsidR="00F840B6" w:rsidRPr="00F840B6">
        <w:rPr>
          <w:rFonts w:ascii="Times New Roman" w:eastAsia="Times New Roman" w:hAnsi="Times New Roman" w:cs="Times New Roman"/>
          <w:i/>
          <w:sz w:val="24"/>
          <w:szCs w:val="24"/>
          <w:lang w:val="en-US" w:eastAsia="nl-NL"/>
        </w:rPr>
        <w:t xml:space="preserve">  </w:t>
      </w:r>
      <w:r w:rsidR="00F840B6">
        <w:rPr>
          <w:rFonts w:ascii="Times New Roman" w:eastAsia="Times New Roman" w:hAnsi="Times New Roman" w:cs="Times New Roman"/>
          <w:i/>
          <w:sz w:val="24"/>
          <w:szCs w:val="24"/>
          <w:lang w:val="en-US" w:eastAsia="nl-NL"/>
        </w:rPr>
        <w:t xml:space="preserve"> </w:t>
      </w:r>
      <w:r w:rsidR="00082024" w:rsidRPr="00082024">
        <w:rPr>
          <w:rFonts w:ascii="Times New Roman" w:eastAsia="Times New Roman" w:hAnsi="Times New Roman" w:cs="Times New Roman"/>
          <w:i/>
          <w:sz w:val="24"/>
          <w:szCs w:val="24"/>
          <w:lang w:val="en-US" w:eastAsia="nl-NL"/>
        </w:rPr>
        <w:t xml:space="preserve"> </w:t>
      </w:r>
    </w:p>
    <w:bookmarkEnd w:id="2"/>
    <w:p w14:paraId="20DE0BA9" w14:textId="77777777" w:rsidR="00082024" w:rsidRPr="00082024" w:rsidRDefault="00082024" w:rsidP="00082024">
      <w:pPr>
        <w:spacing w:after="0" w:line="240" w:lineRule="auto"/>
        <w:jc w:val="both"/>
        <w:rPr>
          <w:rFonts w:ascii="Times New Roman" w:eastAsia="Times New Roman" w:hAnsi="Times New Roman" w:cs="Times New Roman"/>
          <w:i/>
          <w:sz w:val="24"/>
          <w:szCs w:val="24"/>
          <w:lang w:val="en-GB" w:eastAsia="nl-NL"/>
        </w:rPr>
      </w:pPr>
    </w:p>
    <w:p w14:paraId="0E217025" w14:textId="77777777" w:rsidR="00082024" w:rsidRPr="00082024" w:rsidRDefault="00082024" w:rsidP="00082024">
      <w:pPr>
        <w:widowControl w:val="0"/>
        <w:spacing w:after="0" w:line="240" w:lineRule="auto"/>
        <w:jc w:val="both"/>
        <w:rPr>
          <w:rFonts w:ascii="Times New Roman" w:eastAsia="Times New Roman" w:hAnsi="Times New Roman" w:cs="Times New Roman"/>
          <w:i/>
          <w:sz w:val="20"/>
          <w:szCs w:val="20"/>
          <w:lang w:val="en-US" w:eastAsia="nl-NL"/>
        </w:rPr>
      </w:pPr>
    </w:p>
    <w:p w14:paraId="33D7F00B" w14:textId="77777777" w:rsidR="00082024" w:rsidRPr="00082024" w:rsidRDefault="00082024" w:rsidP="00082024">
      <w:pPr>
        <w:widowControl w:val="0"/>
        <w:spacing w:after="0" w:line="240" w:lineRule="auto"/>
        <w:jc w:val="both"/>
        <w:rPr>
          <w:rFonts w:ascii="Times New Roman" w:eastAsia="Times New Roman" w:hAnsi="Times New Roman" w:cs="Times New Roman"/>
          <w:sz w:val="20"/>
          <w:szCs w:val="20"/>
          <w:lang w:val="en-US" w:eastAsia="nl-NL"/>
        </w:rPr>
      </w:pPr>
      <w:r w:rsidRPr="00082024">
        <w:rPr>
          <w:rFonts w:ascii="Times New Roman" w:eastAsia="Times New Roman" w:hAnsi="Times New Roman" w:cs="Times New Roman"/>
          <w:b/>
          <w:i/>
          <w:sz w:val="20"/>
          <w:szCs w:val="20"/>
          <w:lang w:val="en-US" w:eastAsia="nl-NL"/>
        </w:rPr>
        <w:t>JEL classification</w:t>
      </w:r>
      <w:r w:rsidRPr="00082024">
        <w:rPr>
          <w:rFonts w:ascii="Times New Roman" w:eastAsia="Times New Roman" w:hAnsi="Times New Roman" w:cs="Times New Roman"/>
          <w:sz w:val="20"/>
          <w:szCs w:val="20"/>
          <w:lang w:val="en-US" w:eastAsia="nl-NL"/>
        </w:rPr>
        <w:t>: C23, C26, C51, K42, O43</w:t>
      </w:r>
    </w:p>
    <w:p w14:paraId="7E20A89A" w14:textId="5E1E5524" w:rsidR="00082024" w:rsidRPr="00082024" w:rsidRDefault="00082024" w:rsidP="00082024">
      <w:pPr>
        <w:widowControl w:val="0"/>
        <w:spacing w:after="0" w:line="240" w:lineRule="auto"/>
        <w:jc w:val="both"/>
        <w:rPr>
          <w:rFonts w:ascii="Times New Roman" w:eastAsia="Times New Roman" w:hAnsi="Times New Roman" w:cs="Times New Roman"/>
          <w:sz w:val="20"/>
          <w:szCs w:val="20"/>
          <w:lang w:val="en-US" w:eastAsia="nl-NL"/>
        </w:rPr>
      </w:pPr>
      <w:r w:rsidRPr="00082024">
        <w:rPr>
          <w:rFonts w:ascii="Times New Roman" w:eastAsia="Times New Roman" w:hAnsi="Times New Roman" w:cs="Times New Roman"/>
          <w:b/>
          <w:i/>
          <w:iCs/>
          <w:sz w:val="20"/>
          <w:szCs w:val="20"/>
          <w:lang w:val="en-US" w:eastAsia="nl-NL"/>
        </w:rPr>
        <w:t>Keywords</w:t>
      </w:r>
      <w:r w:rsidRPr="00082024">
        <w:rPr>
          <w:rFonts w:ascii="Times New Roman" w:eastAsia="Times New Roman" w:hAnsi="Times New Roman" w:cs="Times New Roman"/>
          <w:b/>
          <w:sz w:val="20"/>
          <w:szCs w:val="20"/>
          <w:lang w:val="en-US" w:eastAsia="nl-NL"/>
        </w:rPr>
        <w:t>:</w:t>
      </w:r>
      <w:r w:rsidRPr="00082024">
        <w:rPr>
          <w:rFonts w:ascii="Times New Roman" w:eastAsia="Times New Roman" w:hAnsi="Times New Roman" w:cs="Times New Roman"/>
          <w:sz w:val="20"/>
          <w:szCs w:val="20"/>
          <w:lang w:val="en-US" w:eastAsia="nl-NL"/>
        </w:rPr>
        <w:t xml:space="preserve"> </w:t>
      </w:r>
      <w:r w:rsidR="003B5AFB">
        <w:rPr>
          <w:rFonts w:ascii="Times New Roman" w:eastAsia="Times New Roman" w:hAnsi="Times New Roman" w:cs="Times New Roman"/>
          <w:sz w:val="20"/>
          <w:szCs w:val="20"/>
          <w:lang w:val="en-US" w:eastAsia="nl-NL"/>
        </w:rPr>
        <w:t xml:space="preserve">autonomous </w:t>
      </w:r>
      <w:r w:rsidR="001200B8">
        <w:rPr>
          <w:rFonts w:ascii="Times New Roman" w:eastAsia="Times New Roman" w:hAnsi="Times New Roman" w:cs="Times New Roman"/>
          <w:sz w:val="20"/>
          <w:szCs w:val="20"/>
          <w:lang w:val="en-US" w:eastAsia="nl-NL"/>
        </w:rPr>
        <w:t>artificial intelligence, risk,</w:t>
      </w:r>
      <w:r w:rsidR="003B5AFB">
        <w:rPr>
          <w:rFonts w:ascii="Times New Roman" w:eastAsia="Times New Roman" w:hAnsi="Times New Roman" w:cs="Times New Roman"/>
          <w:sz w:val="20"/>
          <w:szCs w:val="20"/>
          <w:lang w:val="en-US" w:eastAsia="nl-NL"/>
        </w:rPr>
        <w:t xml:space="preserve"> geopolitics, innovation,</w:t>
      </w:r>
      <w:r w:rsidR="001200B8">
        <w:rPr>
          <w:rFonts w:ascii="Times New Roman" w:eastAsia="Times New Roman" w:hAnsi="Times New Roman" w:cs="Times New Roman"/>
          <w:sz w:val="20"/>
          <w:szCs w:val="20"/>
          <w:lang w:val="en-US" w:eastAsia="nl-NL"/>
        </w:rPr>
        <w:t xml:space="preserve"> </w:t>
      </w:r>
      <w:r w:rsidR="003B5AFB">
        <w:rPr>
          <w:rFonts w:ascii="Times New Roman" w:eastAsia="Times New Roman" w:hAnsi="Times New Roman" w:cs="Times New Roman"/>
          <w:sz w:val="20"/>
          <w:szCs w:val="20"/>
          <w:lang w:val="en-US" w:eastAsia="nl-NL"/>
        </w:rPr>
        <w:t>hybrid modes</w:t>
      </w:r>
      <w:r w:rsidR="001200B8">
        <w:rPr>
          <w:rFonts w:ascii="Times New Roman" w:eastAsia="Times New Roman" w:hAnsi="Times New Roman" w:cs="Times New Roman"/>
          <w:sz w:val="20"/>
          <w:szCs w:val="20"/>
          <w:lang w:val="en-US" w:eastAsia="nl-NL"/>
        </w:rPr>
        <w:t xml:space="preserve">, </w:t>
      </w:r>
      <w:r w:rsidR="003B5AFB">
        <w:rPr>
          <w:rFonts w:ascii="Times New Roman" w:eastAsia="Times New Roman" w:hAnsi="Times New Roman" w:cs="Times New Roman"/>
          <w:sz w:val="20"/>
          <w:szCs w:val="20"/>
          <w:lang w:val="en-US" w:eastAsia="nl-NL"/>
        </w:rPr>
        <w:t>private actors, technology regulation</w:t>
      </w:r>
      <w:r w:rsidRPr="00082024">
        <w:rPr>
          <w:rFonts w:ascii="Times New Roman" w:eastAsia="Times New Roman" w:hAnsi="Times New Roman" w:cs="Times New Roman"/>
          <w:sz w:val="20"/>
          <w:szCs w:val="20"/>
          <w:lang w:val="en-US" w:eastAsia="nl-NL"/>
        </w:rPr>
        <w:t>.</w:t>
      </w:r>
    </w:p>
    <w:p w14:paraId="7F14154A" w14:textId="2ED683FA" w:rsidR="00191B73" w:rsidRDefault="00191B73">
      <w:pPr>
        <w:rPr>
          <w:lang w:val="en-US"/>
        </w:rPr>
      </w:pPr>
    </w:p>
    <w:p w14:paraId="05566DB5" w14:textId="0F283C21" w:rsidR="00771392" w:rsidRPr="00771392" w:rsidRDefault="00771392" w:rsidP="00771392">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1.Introduction</w:t>
      </w:r>
    </w:p>
    <w:p w14:paraId="317F2446" w14:textId="77777777" w:rsidR="00771392" w:rsidRDefault="00771392" w:rsidP="00C06DB3">
      <w:pPr>
        <w:jc w:val="both"/>
        <w:rPr>
          <w:rFonts w:ascii="Times New Roman" w:hAnsi="Times New Roman" w:cs="Times New Roman"/>
          <w:b/>
          <w:bCs/>
          <w:sz w:val="24"/>
          <w:szCs w:val="24"/>
          <w:lang w:val="en-GB"/>
        </w:rPr>
      </w:pPr>
    </w:p>
    <w:p w14:paraId="60A54BB5" w14:textId="74BD171C" w:rsidR="00771392" w:rsidRPr="00771392" w:rsidRDefault="00771392" w:rsidP="00771392">
      <w:pPr>
        <w:spacing w:line="276" w:lineRule="auto"/>
        <w:jc w:val="both"/>
        <w:rPr>
          <w:rFonts w:ascii="Times New Roman" w:hAnsi="Times New Roman" w:cs="Times New Roman"/>
          <w:sz w:val="24"/>
          <w:szCs w:val="24"/>
          <w:lang w:val="en-GB"/>
        </w:rPr>
      </w:pPr>
      <w:r w:rsidRPr="00771392">
        <w:rPr>
          <w:rFonts w:ascii="Times New Roman" w:hAnsi="Times New Roman" w:cs="Times New Roman"/>
          <w:sz w:val="24"/>
          <w:szCs w:val="24"/>
          <w:lang w:val="en-GB"/>
        </w:rPr>
        <w:t xml:space="preserve">Super-fast economic changes spurred by world-widely integrated markets and related explosive growth of autonomous AI represent one of the most triggering questions of the modern world. The world is on the threshold of the fourth industrial revolution that draws its energy from big data combined with algorithms and powerful computers. The current digital revolution is marked by its global scale, rapid </w:t>
      </w:r>
      <w:proofErr w:type="gramStart"/>
      <w:r w:rsidRPr="00771392">
        <w:rPr>
          <w:rFonts w:ascii="Times New Roman" w:hAnsi="Times New Roman" w:cs="Times New Roman"/>
          <w:sz w:val="24"/>
          <w:szCs w:val="24"/>
          <w:lang w:val="en-GB"/>
        </w:rPr>
        <w:t>convergence</w:t>
      </w:r>
      <w:proofErr w:type="gramEnd"/>
      <w:r w:rsidRPr="00771392">
        <w:rPr>
          <w:rFonts w:ascii="Times New Roman" w:hAnsi="Times New Roman" w:cs="Times New Roman"/>
          <w:sz w:val="24"/>
          <w:szCs w:val="24"/>
          <w:lang w:val="en-GB"/>
        </w:rPr>
        <w:t xml:space="preserve"> and the enormous impact that breakthroughs in emerging technologies are having on countries, economies, societies, international relations and the environment. Europe, which for centuries has been at the technological frontier, playing a major role in technological advances and been a pioneer in the production and use of cutting-edge products, is currently lagging the US and China. It may be even argued that there is a risk that the EU might fall behind in global standard setting and technology development. EU in its recent legislative proposals suggests that the AI and robotics should be human-</w:t>
      </w:r>
      <w:r w:rsidR="00971A99" w:rsidRPr="00771392">
        <w:rPr>
          <w:rFonts w:ascii="Times New Roman" w:hAnsi="Times New Roman" w:cs="Times New Roman"/>
          <w:sz w:val="24"/>
          <w:szCs w:val="24"/>
          <w:lang w:val="en-GB"/>
        </w:rPr>
        <w:t>centred</w:t>
      </w:r>
      <w:r w:rsidRPr="00771392">
        <w:rPr>
          <w:rFonts w:ascii="Times New Roman" w:hAnsi="Times New Roman" w:cs="Times New Roman"/>
          <w:sz w:val="24"/>
          <w:szCs w:val="24"/>
          <w:lang w:val="en-GB"/>
        </w:rPr>
        <w:t xml:space="preserve"> and developed to complement human activities. The legal requirements should be adapted accordingly in line with the risk-based approach and due regard should be given to the precautionary principle where warranted. However, the industry level data shows that the new EU compliance requirements might needlessly increase the cost of developing and maintaining AI systems, which could make it more difficult for EU based small and medium-sized enterprises to compete in the AI markets. In addition, </w:t>
      </w:r>
      <w:r w:rsidR="003E12F7">
        <w:rPr>
          <w:rFonts w:ascii="Times New Roman" w:hAnsi="Times New Roman" w:cs="Times New Roman"/>
          <w:sz w:val="24"/>
          <w:szCs w:val="24"/>
          <w:lang w:val="en-GB"/>
        </w:rPr>
        <w:t xml:space="preserve">in the light of recent geopolitical changes </w:t>
      </w:r>
      <w:r w:rsidRPr="00771392">
        <w:rPr>
          <w:rFonts w:ascii="Times New Roman" w:hAnsi="Times New Roman" w:cs="Times New Roman"/>
          <w:sz w:val="24"/>
          <w:szCs w:val="24"/>
          <w:lang w:val="en-GB"/>
        </w:rPr>
        <w:t xml:space="preserve">they could slow down the development of </w:t>
      </w:r>
      <w:r w:rsidR="003E12F7">
        <w:rPr>
          <w:rFonts w:ascii="Times New Roman" w:hAnsi="Times New Roman" w:cs="Times New Roman"/>
          <w:sz w:val="24"/>
          <w:szCs w:val="24"/>
          <w:lang w:val="en-GB"/>
        </w:rPr>
        <w:t xml:space="preserve">generative </w:t>
      </w:r>
      <w:r w:rsidRPr="00771392">
        <w:rPr>
          <w:rFonts w:ascii="Times New Roman" w:hAnsi="Times New Roman" w:cs="Times New Roman"/>
          <w:sz w:val="24"/>
          <w:szCs w:val="24"/>
          <w:lang w:val="en-GB"/>
        </w:rPr>
        <w:t>AI systems, as companies would have to devote more resources to ensuring compliance with the proposed EU AI Act</w:t>
      </w:r>
      <w:r w:rsidR="003E12F7">
        <w:rPr>
          <w:rFonts w:ascii="Times New Roman" w:hAnsi="Times New Roman" w:cs="Times New Roman"/>
          <w:sz w:val="24"/>
          <w:szCs w:val="24"/>
          <w:lang w:val="en-GB"/>
        </w:rPr>
        <w:t xml:space="preserve"> and consequently undermine the EU’s ambition on remaining on the frontier of technological progress.</w:t>
      </w:r>
    </w:p>
    <w:p w14:paraId="18BCA5DA" w14:textId="4DD5974A" w:rsidR="003D2D52" w:rsidRPr="003D2D52" w:rsidRDefault="00315275" w:rsidP="003D2D52">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D2D52" w:rsidRPr="003D2D52">
        <w:rPr>
          <w:rFonts w:ascii="Times New Roman" w:hAnsi="Times New Roman" w:cs="Times New Roman"/>
          <w:sz w:val="24"/>
          <w:szCs w:val="24"/>
          <w:lang w:val="en-GB"/>
        </w:rPr>
        <w:t xml:space="preserve">Autonomous artificial intelligence (‘AI’) and recent breakthroughs in machine–human interactions and machine learning technology are increasingly affecting almost every sphere of our lives. Such intelligence is on an exponential curve, with </w:t>
      </w:r>
      <w:proofErr w:type="gramStart"/>
      <w:r w:rsidR="003D2D52" w:rsidRPr="003D2D52">
        <w:rPr>
          <w:rFonts w:ascii="Times New Roman" w:hAnsi="Times New Roman" w:cs="Times New Roman"/>
          <w:sz w:val="24"/>
          <w:szCs w:val="24"/>
          <w:lang w:val="en-GB"/>
        </w:rPr>
        <w:t>particular materialisations</w:t>
      </w:r>
      <w:proofErr w:type="gramEnd"/>
      <w:r w:rsidR="003D2D52" w:rsidRPr="003D2D52">
        <w:rPr>
          <w:rFonts w:ascii="Times New Roman" w:hAnsi="Times New Roman" w:cs="Times New Roman"/>
          <w:sz w:val="24"/>
          <w:szCs w:val="24"/>
          <w:lang w:val="en-GB"/>
        </w:rPr>
        <w:t xml:space="preserve"> of it representing ever greater threats to privacy, possibly being ethically questionable, and even potentially dangerous, risky, and harmful.</w:t>
      </w:r>
      <w:r w:rsidR="003D2D52" w:rsidRPr="003D2D52">
        <w:rPr>
          <w:rFonts w:ascii="Times New Roman" w:hAnsi="Times New Roman" w:cs="Times New Roman"/>
          <w:sz w:val="24"/>
          <w:szCs w:val="24"/>
          <w:vertAlign w:val="superscript"/>
          <w:lang w:val="en-GB"/>
        </w:rPr>
        <w:footnoteReference w:id="1"/>
      </w:r>
      <w:r w:rsidR="003D2D52" w:rsidRPr="003D2D52">
        <w:rPr>
          <w:rFonts w:ascii="Times New Roman" w:hAnsi="Times New Roman" w:cs="Times New Roman"/>
          <w:sz w:val="24"/>
          <w:szCs w:val="24"/>
          <w:lang w:val="en-GB"/>
        </w:rPr>
        <w:t xml:space="preserve"> The creation of </w:t>
      </w:r>
      <w:r w:rsidR="003D2D52">
        <w:rPr>
          <w:rFonts w:ascii="Times New Roman" w:hAnsi="Times New Roman" w:cs="Times New Roman"/>
          <w:sz w:val="24"/>
          <w:szCs w:val="24"/>
          <w:lang w:val="en-GB"/>
        </w:rPr>
        <w:t xml:space="preserve">generative </w:t>
      </w:r>
      <w:r w:rsidR="003D2D52" w:rsidRPr="003D2D52">
        <w:rPr>
          <w:rFonts w:ascii="Times New Roman" w:hAnsi="Times New Roman" w:cs="Times New Roman"/>
          <w:sz w:val="24"/>
          <w:szCs w:val="24"/>
          <w:lang w:val="en-GB"/>
        </w:rPr>
        <w:t>artificial</w:t>
      </w:r>
      <w:r w:rsidR="0013343E">
        <w:rPr>
          <w:rFonts w:ascii="Times New Roman" w:hAnsi="Times New Roman" w:cs="Times New Roman"/>
          <w:sz w:val="24"/>
          <w:szCs w:val="24"/>
          <w:lang w:val="en-GB"/>
        </w:rPr>
        <w:t xml:space="preserve"> intelligence</w:t>
      </w:r>
      <w:r w:rsidR="003D2D52" w:rsidRPr="003D2D52">
        <w:rPr>
          <w:rFonts w:ascii="Times New Roman" w:hAnsi="Times New Roman" w:cs="Times New Roman"/>
          <w:sz w:val="24"/>
          <w:szCs w:val="24"/>
          <w:lang w:val="en-GB"/>
        </w:rPr>
        <w:t xml:space="preserve"> that makes its own choices following an evaluative process raises one of the most debate-provoking questions facing the modern world. AI </w:t>
      </w:r>
      <w:bookmarkStart w:id="3" w:name="_Hlk279399"/>
      <w:r w:rsidR="003D2D52" w:rsidRPr="003D2D52">
        <w:rPr>
          <w:rFonts w:ascii="Times New Roman" w:hAnsi="Times New Roman" w:cs="Times New Roman"/>
          <w:sz w:val="24"/>
          <w:szCs w:val="24"/>
          <w:lang w:val="en-GB"/>
        </w:rPr>
        <w:t xml:space="preserve">is unleashing a new industrial revolution where it is vital that lawmakers address the systemic challenges it brings and regulate its economic and social effects without stifling innovation. </w:t>
      </w:r>
      <w:bookmarkStart w:id="4" w:name="_Hlk109158396"/>
      <w:r w:rsidR="003D2D52" w:rsidRPr="003D2D52">
        <w:rPr>
          <w:rFonts w:ascii="Times New Roman" w:hAnsi="Times New Roman" w:cs="Times New Roman"/>
          <w:sz w:val="24"/>
          <w:szCs w:val="24"/>
          <w:lang w:val="en-GB"/>
        </w:rPr>
        <w:t>Current trends in favour of developing autonomous machines able to interact, learn, and make autonomous decisions (and hypothetically even develop personhood) also point to several different concerns regarding their direct and indirect potentially harmful effects, which call for a substantive legal and economic response.</w:t>
      </w:r>
      <w:bookmarkEnd w:id="4"/>
    </w:p>
    <w:p w14:paraId="18334CC0" w14:textId="35A1153C" w:rsidR="003D2D52" w:rsidRPr="003D2D52" w:rsidRDefault="00315275" w:rsidP="006F7830">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D2D52" w:rsidRPr="003D2D52">
        <w:rPr>
          <w:rFonts w:ascii="Times New Roman" w:hAnsi="Times New Roman" w:cs="Times New Roman"/>
          <w:sz w:val="24"/>
          <w:szCs w:val="24"/>
          <w:lang w:val="en-GB"/>
        </w:rPr>
        <w:t xml:space="preserve">Russell, for example, argues that no one can predict exactly how the new AI technology will develop, but if autonomous machines far exceed human capacity and if we leave the mentioned concerns unaddressed, then autonomous AI could prove to be the last phenomenon </w:t>
      </w:r>
      <w:r w:rsidR="003D2D52" w:rsidRPr="003D2D52">
        <w:rPr>
          <w:rFonts w:ascii="Times New Roman" w:hAnsi="Times New Roman" w:cs="Times New Roman"/>
          <w:sz w:val="24"/>
          <w:szCs w:val="24"/>
          <w:lang w:val="en-GB"/>
        </w:rPr>
        <w:lastRenderedPageBreak/>
        <w:t>in human history.</w:t>
      </w:r>
      <w:r w:rsidR="003D2D52" w:rsidRPr="003D2D52">
        <w:rPr>
          <w:rFonts w:ascii="Times New Roman" w:hAnsi="Times New Roman" w:cs="Times New Roman"/>
          <w:sz w:val="24"/>
          <w:szCs w:val="24"/>
          <w:vertAlign w:val="superscript"/>
          <w:lang w:val="en-GB"/>
        </w:rPr>
        <w:footnoteReference w:id="2"/>
      </w:r>
      <w:r w:rsidR="003D2D52" w:rsidRPr="003D2D52">
        <w:rPr>
          <w:rFonts w:ascii="Times New Roman" w:hAnsi="Times New Roman" w:cs="Times New Roman"/>
          <w:sz w:val="24"/>
          <w:szCs w:val="24"/>
          <w:lang w:val="en-GB"/>
        </w:rPr>
        <w:t xml:space="preserve"> Moreover, Turner argues that Europeans have not come to grips with what is ethical, let alone with what the law should be, thus creating a growing legal vacuum in almost every domain affected by this unprecedented technological development.</w:t>
      </w:r>
      <w:r w:rsidR="003D2D52" w:rsidRPr="003D2D52">
        <w:rPr>
          <w:rFonts w:ascii="Times New Roman" w:hAnsi="Times New Roman" w:cs="Times New Roman"/>
          <w:sz w:val="24"/>
          <w:szCs w:val="24"/>
          <w:vertAlign w:val="superscript"/>
          <w:lang w:val="en-GB"/>
        </w:rPr>
        <w:footnoteReference w:id="3"/>
      </w:r>
      <w:r w:rsidR="003D2D52" w:rsidRPr="003D2D52">
        <w:rPr>
          <w:rFonts w:ascii="Times New Roman" w:hAnsi="Times New Roman" w:cs="Times New Roman"/>
          <w:sz w:val="24"/>
          <w:szCs w:val="24"/>
          <w:lang w:val="en-GB"/>
        </w:rPr>
        <w:t xml:space="preserve"> </w:t>
      </w:r>
      <w:r w:rsidR="00916B6A">
        <w:rPr>
          <w:rFonts w:ascii="Times New Roman" w:hAnsi="Times New Roman" w:cs="Times New Roman"/>
          <w:sz w:val="24"/>
          <w:szCs w:val="24"/>
          <w:lang w:val="en-GB"/>
        </w:rPr>
        <w:t xml:space="preserve">Acemoglu, for example, argues that </w:t>
      </w:r>
      <w:r w:rsidR="00916B6A" w:rsidRPr="00916B6A">
        <w:rPr>
          <w:rFonts w:ascii="Times New Roman" w:hAnsi="Times New Roman" w:cs="Times New Roman"/>
          <w:sz w:val="24"/>
          <w:szCs w:val="24"/>
          <w:lang w:val="en-GB"/>
        </w:rPr>
        <w:t>that if AI continues to be deployed along its current trajectory and remains unregulated, it may produce various social, economic and political harms.</w:t>
      </w:r>
      <w:r w:rsidR="00916B6A">
        <w:rPr>
          <w:rStyle w:val="Sprotnaopomba-sklic"/>
          <w:rFonts w:ascii="Times New Roman" w:hAnsi="Times New Roman" w:cs="Times New Roman"/>
          <w:sz w:val="24"/>
          <w:szCs w:val="24"/>
          <w:lang w:val="en-GB"/>
        </w:rPr>
        <w:footnoteReference w:id="4"/>
      </w:r>
      <w:r w:rsidR="002523AB">
        <w:rPr>
          <w:rFonts w:ascii="Times New Roman" w:hAnsi="Times New Roman" w:cs="Times New Roman"/>
          <w:sz w:val="24"/>
          <w:szCs w:val="24"/>
          <w:lang w:val="en-GB"/>
        </w:rPr>
        <w:t xml:space="preserve"> In addition, </w:t>
      </w:r>
      <w:r w:rsidR="002523AB" w:rsidRPr="002523AB">
        <w:rPr>
          <w:rFonts w:ascii="Times New Roman" w:hAnsi="Times New Roman" w:cs="Times New Roman"/>
          <w:sz w:val="24"/>
          <w:szCs w:val="24"/>
          <w:lang w:val="en-GB"/>
        </w:rPr>
        <w:t xml:space="preserve">G7 leaders have </w:t>
      </w:r>
      <w:r w:rsidR="002523AB">
        <w:rPr>
          <w:rFonts w:ascii="Times New Roman" w:hAnsi="Times New Roman" w:cs="Times New Roman"/>
          <w:sz w:val="24"/>
          <w:szCs w:val="24"/>
          <w:lang w:val="en-GB"/>
        </w:rPr>
        <w:t xml:space="preserve">at its recent summit </w:t>
      </w:r>
      <w:r w:rsidR="002523AB" w:rsidRPr="002523AB">
        <w:rPr>
          <w:rFonts w:ascii="Times New Roman" w:hAnsi="Times New Roman" w:cs="Times New Roman"/>
          <w:sz w:val="24"/>
          <w:szCs w:val="24"/>
          <w:lang w:val="en-GB"/>
        </w:rPr>
        <w:t>called for the formulation of “guardrails” around the development of artificial intelligence</w:t>
      </w:r>
      <w:r w:rsidR="002523AB">
        <w:rPr>
          <w:rFonts w:ascii="Times New Roman" w:hAnsi="Times New Roman" w:cs="Times New Roman"/>
          <w:sz w:val="24"/>
          <w:szCs w:val="24"/>
          <w:lang w:val="en-GB"/>
        </w:rPr>
        <w:t xml:space="preserve"> which should r</w:t>
      </w:r>
      <w:r w:rsidR="002523AB" w:rsidRPr="002523AB">
        <w:rPr>
          <w:rFonts w:ascii="Times New Roman" w:hAnsi="Times New Roman" w:cs="Times New Roman"/>
          <w:sz w:val="24"/>
          <w:szCs w:val="24"/>
          <w:lang w:val="en-GB"/>
        </w:rPr>
        <w:t>eflect our democratic values</w:t>
      </w:r>
      <w:r w:rsidR="002523AB">
        <w:rPr>
          <w:rFonts w:ascii="Times New Roman" w:hAnsi="Times New Roman" w:cs="Times New Roman"/>
          <w:sz w:val="24"/>
          <w:szCs w:val="24"/>
          <w:lang w:val="en-GB"/>
        </w:rPr>
        <w:t xml:space="preserve"> and such systems should </w:t>
      </w:r>
      <w:r w:rsidR="002523AB" w:rsidRPr="002523AB">
        <w:rPr>
          <w:rFonts w:ascii="Times New Roman" w:hAnsi="Times New Roman" w:cs="Times New Roman"/>
          <w:sz w:val="24"/>
          <w:szCs w:val="24"/>
          <w:lang w:val="en-GB"/>
        </w:rPr>
        <w:t>be accurate, reliable, safe and non-discriminatory, regardless of their origin</w:t>
      </w:r>
      <w:r w:rsidR="002523AB">
        <w:rPr>
          <w:rFonts w:ascii="Times New Roman" w:hAnsi="Times New Roman" w:cs="Times New Roman"/>
          <w:sz w:val="24"/>
          <w:szCs w:val="24"/>
          <w:lang w:val="en-GB"/>
        </w:rPr>
        <w:t>.</w:t>
      </w:r>
      <w:r w:rsidR="002523AB">
        <w:rPr>
          <w:rStyle w:val="Sprotnaopomba-sklic"/>
          <w:rFonts w:ascii="Times New Roman" w:hAnsi="Times New Roman" w:cs="Times New Roman"/>
          <w:sz w:val="24"/>
          <w:szCs w:val="24"/>
          <w:lang w:val="en-GB"/>
        </w:rPr>
        <w:footnoteReference w:id="5"/>
      </w:r>
      <w:r w:rsidR="00227AF6">
        <w:rPr>
          <w:rFonts w:ascii="Times New Roman" w:hAnsi="Times New Roman" w:cs="Times New Roman"/>
          <w:sz w:val="24"/>
          <w:szCs w:val="24"/>
          <w:lang w:val="en-GB"/>
        </w:rPr>
        <w:t xml:space="preserve"> Finally,</w:t>
      </w:r>
      <w:r w:rsidR="006F7830">
        <w:rPr>
          <w:rFonts w:ascii="Times New Roman" w:hAnsi="Times New Roman" w:cs="Times New Roman"/>
          <w:sz w:val="24"/>
          <w:szCs w:val="24"/>
          <w:lang w:val="en-GB"/>
        </w:rPr>
        <w:t xml:space="preserve"> </w:t>
      </w:r>
      <w:r w:rsidR="006F7830" w:rsidRPr="006F7830">
        <w:rPr>
          <w:rFonts w:ascii="Times New Roman" w:hAnsi="Times New Roman" w:cs="Times New Roman"/>
          <w:sz w:val="24"/>
          <w:szCs w:val="24"/>
          <w:lang w:val="en-GB"/>
        </w:rPr>
        <w:t>EU lawmakers have</w:t>
      </w:r>
      <w:r w:rsidR="006F7830">
        <w:rPr>
          <w:rFonts w:ascii="Times New Roman" w:hAnsi="Times New Roman" w:cs="Times New Roman"/>
          <w:sz w:val="24"/>
          <w:szCs w:val="24"/>
          <w:lang w:val="en-GB"/>
        </w:rPr>
        <w:t xml:space="preserve"> recently</w:t>
      </w:r>
      <w:r w:rsidR="006F7830" w:rsidRPr="006F7830">
        <w:rPr>
          <w:rFonts w:ascii="Times New Roman" w:hAnsi="Times New Roman" w:cs="Times New Roman"/>
          <w:sz w:val="24"/>
          <w:szCs w:val="24"/>
          <w:lang w:val="en-GB"/>
        </w:rPr>
        <w:t xml:space="preserve"> agreed </w:t>
      </w:r>
      <w:r w:rsidR="006F7830">
        <w:rPr>
          <w:rFonts w:ascii="Times New Roman" w:hAnsi="Times New Roman" w:cs="Times New Roman"/>
          <w:sz w:val="24"/>
          <w:szCs w:val="24"/>
          <w:lang w:val="en-GB"/>
        </w:rPr>
        <w:t xml:space="preserve">on </w:t>
      </w:r>
      <w:r w:rsidR="006F7830" w:rsidRPr="006F7830">
        <w:rPr>
          <w:rFonts w:ascii="Times New Roman" w:hAnsi="Times New Roman" w:cs="Times New Roman"/>
          <w:sz w:val="24"/>
          <w:szCs w:val="24"/>
          <w:lang w:val="en-GB"/>
        </w:rPr>
        <w:t xml:space="preserve">a tough set of rules over the use of AI, including restrictions on chatbots such as ChatGPT, as </w:t>
      </w:r>
      <w:r w:rsidR="006F7830">
        <w:rPr>
          <w:rFonts w:ascii="Times New Roman" w:hAnsi="Times New Roman" w:cs="Times New Roman"/>
          <w:sz w:val="24"/>
          <w:szCs w:val="24"/>
          <w:lang w:val="en-GB"/>
        </w:rPr>
        <w:t xml:space="preserve">EU </w:t>
      </w:r>
      <w:r w:rsidR="006F7830" w:rsidRPr="006F7830">
        <w:rPr>
          <w:rFonts w:ascii="Times New Roman" w:hAnsi="Times New Roman" w:cs="Times New Roman"/>
          <w:sz w:val="24"/>
          <w:szCs w:val="24"/>
          <w:lang w:val="en-GB"/>
        </w:rPr>
        <w:t>pushes forward in enacting the world’s most restrictive regime on the development of the technology.</w:t>
      </w:r>
      <w:r w:rsidR="006F7830">
        <w:rPr>
          <w:rStyle w:val="Sprotnaopomba-sklic"/>
          <w:rFonts w:ascii="Times New Roman" w:hAnsi="Times New Roman" w:cs="Times New Roman"/>
          <w:sz w:val="24"/>
          <w:szCs w:val="24"/>
          <w:lang w:val="en-GB"/>
        </w:rPr>
        <w:footnoteReference w:id="6"/>
      </w:r>
    </w:p>
    <w:p w14:paraId="03143034" w14:textId="3D14910B" w:rsidR="003D2D52" w:rsidRPr="003D2D52" w:rsidRDefault="00315275" w:rsidP="003D2D52">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D2D52" w:rsidRPr="003D2D52">
        <w:rPr>
          <w:rFonts w:ascii="Times New Roman" w:hAnsi="Times New Roman" w:cs="Times New Roman"/>
          <w:sz w:val="24"/>
          <w:szCs w:val="24"/>
          <w:lang w:val="en-GB"/>
        </w:rPr>
        <w:t xml:space="preserve">Having regard to such developments, the European </w:t>
      </w:r>
      <w:proofErr w:type="gramStart"/>
      <w:r w:rsidR="003D2D52" w:rsidRPr="003D2D52">
        <w:rPr>
          <w:rFonts w:ascii="Times New Roman" w:hAnsi="Times New Roman" w:cs="Times New Roman"/>
          <w:sz w:val="24"/>
          <w:szCs w:val="24"/>
          <w:lang w:val="en-GB"/>
        </w:rPr>
        <w:t>Parliament</w:t>
      </w:r>
      <w:proofErr w:type="gramEnd"/>
      <w:r w:rsidR="003D2D52" w:rsidRPr="003D2D52">
        <w:rPr>
          <w:rFonts w:ascii="Times New Roman" w:hAnsi="Times New Roman" w:cs="Times New Roman"/>
          <w:sz w:val="24"/>
          <w:szCs w:val="24"/>
          <w:lang w:val="en-GB"/>
        </w:rPr>
        <w:t xml:space="preserve"> and the European Commission together with many other lawmakers around the globe launched an intensive activity</w:t>
      </w:r>
      <w:r w:rsidR="003D2D52" w:rsidRPr="003D2D52">
        <w:rPr>
          <w:rFonts w:ascii="Times New Roman" w:hAnsi="Times New Roman" w:cs="Times New Roman"/>
          <w:sz w:val="24"/>
          <w:szCs w:val="24"/>
          <w:vertAlign w:val="superscript"/>
          <w:lang w:val="en-GB"/>
        </w:rPr>
        <w:footnoteReference w:id="7"/>
      </w:r>
      <w:r w:rsidR="003D2D52" w:rsidRPr="003D2D52">
        <w:rPr>
          <w:rFonts w:ascii="Times New Roman" w:hAnsi="Times New Roman" w:cs="Times New Roman"/>
          <w:sz w:val="24"/>
          <w:szCs w:val="24"/>
          <w:lang w:val="en-GB"/>
        </w:rPr>
        <w:t xml:space="preserve"> to consider the issue of liability and other broader challenges posed by emerging digital technologies. The E</w:t>
      </w:r>
      <w:r w:rsidR="003D2D52">
        <w:rPr>
          <w:rFonts w:ascii="Times New Roman" w:hAnsi="Times New Roman" w:cs="Times New Roman"/>
          <w:sz w:val="24"/>
          <w:szCs w:val="24"/>
          <w:lang w:val="en-GB"/>
        </w:rPr>
        <w:t xml:space="preserve">U legislator </w:t>
      </w:r>
      <w:r w:rsidR="00532A92">
        <w:rPr>
          <w:rFonts w:ascii="Times New Roman" w:hAnsi="Times New Roman" w:cs="Times New Roman"/>
          <w:sz w:val="24"/>
          <w:szCs w:val="24"/>
          <w:lang w:val="en-GB"/>
        </w:rPr>
        <w:t>drafted the new EU Artificial Intelligence Act</w:t>
      </w:r>
      <w:r w:rsidR="00532A92">
        <w:rPr>
          <w:rStyle w:val="Sprotnaopomba-sklic"/>
          <w:rFonts w:ascii="Times New Roman" w:hAnsi="Times New Roman" w:cs="Times New Roman"/>
          <w:sz w:val="24"/>
          <w:szCs w:val="24"/>
          <w:lang w:val="en-GB"/>
        </w:rPr>
        <w:footnoteReference w:id="8"/>
      </w:r>
      <w:r w:rsidR="003D2D52" w:rsidRPr="003D2D52">
        <w:rPr>
          <w:rFonts w:ascii="Times New Roman" w:hAnsi="Times New Roman" w:cs="Times New Roman"/>
          <w:sz w:val="24"/>
          <w:szCs w:val="24"/>
          <w:lang w:val="en-GB"/>
        </w:rPr>
        <w:t xml:space="preserve"> </w:t>
      </w:r>
      <w:r w:rsidR="00532A92">
        <w:rPr>
          <w:rFonts w:ascii="Times New Roman" w:hAnsi="Times New Roman" w:cs="Times New Roman"/>
          <w:sz w:val="24"/>
          <w:szCs w:val="24"/>
          <w:lang w:val="en-GB"/>
        </w:rPr>
        <w:t xml:space="preserve">and (among several others) </w:t>
      </w:r>
      <w:r w:rsidR="003D2D52" w:rsidRPr="003D2D52">
        <w:rPr>
          <w:rFonts w:ascii="Times New Roman" w:hAnsi="Times New Roman" w:cs="Times New Roman"/>
          <w:sz w:val="24"/>
          <w:szCs w:val="24"/>
          <w:lang w:val="en-GB"/>
        </w:rPr>
        <w:t>the ‘new technologies’ formation.</w:t>
      </w:r>
      <w:bookmarkEnd w:id="3"/>
      <w:r w:rsidR="003D2D52" w:rsidRPr="003D2D52">
        <w:rPr>
          <w:rFonts w:ascii="Times New Roman" w:hAnsi="Times New Roman" w:cs="Times New Roman"/>
          <w:sz w:val="24"/>
          <w:szCs w:val="24"/>
          <w:vertAlign w:val="superscript"/>
          <w:lang w:val="en-GB"/>
        </w:rPr>
        <w:footnoteReference w:id="9"/>
      </w:r>
      <w:r w:rsidR="003D2D52" w:rsidRPr="003D2D52">
        <w:rPr>
          <w:rFonts w:ascii="Times New Roman" w:hAnsi="Times New Roman" w:cs="Times New Roman"/>
          <w:sz w:val="24"/>
          <w:szCs w:val="24"/>
          <w:lang w:val="en-GB"/>
        </w:rPr>
        <w:t xml:space="preserve"> Another task </w:t>
      </w:r>
      <w:r w:rsidR="00532A92">
        <w:rPr>
          <w:rFonts w:ascii="Times New Roman" w:hAnsi="Times New Roman" w:cs="Times New Roman"/>
          <w:sz w:val="24"/>
          <w:szCs w:val="24"/>
          <w:lang w:val="en-GB"/>
        </w:rPr>
        <w:t xml:space="preserve">that EU lawmaker </w:t>
      </w:r>
      <w:r w:rsidR="003D2D52" w:rsidRPr="003D2D52">
        <w:rPr>
          <w:rFonts w:ascii="Times New Roman" w:hAnsi="Times New Roman" w:cs="Times New Roman"/>
          <w:sz w:val="24"/>
          <w:szCs w:val="24"/>
          <w:lang w:val="en-GB"/>
        </w:rPr>
        <w:t xml:space="preserve">faced is the issue of whether a) it is appropriate and necessary to intervene regulatorily in AI technologies; b) such intervention should be developed in a horizontal or sectoral way; and </w:t>
      </w:r>
      <w:r w:rsidR="00532A92">
        <w:rPr>
          <w:rFonts w:ascii="Times New Roman" w:hAnsi="Times New Roman" w:cs="Times New Roman"/>
          <w:sz w:val="24"/>
          <w:szCs w:val="24"/>
          <w:lang w:val="en-GB"/>
        </w:rPr>
        <w:t xml:space="preserve">whether </w:t>
      </w:r>
      <w:r w:rsidR="003D2D52" w:rsidRPr="003D2D52">
        <w:rPr>
          <w:rFonts w:ascii="Times New Roman" w:hAnsi="Times New Roman" w:cs="Times New Roman"/>
          <w:sz w:val="24"/>
          <w:szCs w:val="24"/>
          <w:lang w:val="en-GB"/>
        </w:rPr>
        <w:t>c) new legislation should be introduced on the EU level.</w:t>
      </w:r>
      <w:r w:rsidR="003D2D52" w:rsidRPr="003D2D52">
        <w:rPr>
          <w:rFonts w:ascii="Times New Roman" w:hAnsi="Times New Roman" w:cs="Times New Roman"/>
          <w:sz w:val="24"/>
          <w:szCs w:val="24"/>
          <w:vertAlign w:val="superscript"/>
          <w:lang w:val="en-GB"/>
        </w:rPr>
        <w:footnoteReference w:id="10"/>
      </w:r>
      <w:r w:rsidR="002D238C">
        <w:rPr>
          <w:rFonts w:ascii="Times New Roman" w:hAnsi="Times New Roman" w:cs="Times New Roman"/>
          <w:sz w:val="24"/>
          <w:szCs w:val="24"/>
          <w:lang w:val="en-GB"/>
        </w:rPr>
        <w:t xml:space="preserve"> However, as commentators argue, </w:t>
      </w:r>
      <w:r w:rsidR="002D238C" w:rsidRPr="002D238C">
        <w:rPr>
          <w:rFonts w:ascii="Times New Roman" w:hAnsi="Times New Roman" w:cs="Times New Roman"/>
          <w:sz w:val="24"/>
          <w:szCs w:val="24"/>
          <w:lang w:val="en-GB"/>
        </w:rPr>
        <w:t xml:space="preserve">Europe’s original plan to bring AI under control is no match for the technology’s new, </w:t>
      </w:r>
      <w:r w:rsidR="002D238C" w:rsidRPr="002D238C">
        <w:rPr>
          <w:rFonts w:ascii="Times New Roman" w:hAnsi="Times New Roman" w:cs="Times New Roman"/>
          <w:sz w:val="24"/>
          <w:szCs w:val="24"/>
          <w:lang w:val="en-GB"/>
        </w:rPr>
        <w:lastRenderedPageBreak/>
        <w:t>shiny chatbot application</w:t>
      </w:r>
      <w:r w:rsidR="002D238C">
        <w:rPr>
          <w:rFonts w:ascii="Times New Roman" w:hAnsi="Times New Roman" w:cs="Times New Roman"/>
          <w:sz w:val="24"/>
          <w:szCs w:val="24"/>
          <w:lang w:val="en-GB"/>
        </w:rPr>
        <w:t xml:space="preserve"> and other generative AI</w:t>
      </w:r>
      <w:r w:rsidR="002D238C" w:rsidRPr="002D238C">
        <w:rPr>
          <w:rFonts w:ascii="Times New Roman" w:hAnsi="Times New Roman" w:cs="Times New Roman"/>
          <w:sz w:val="24"/>
          <w:szCs w:val="24"/>
          <w:lang w:val="en-GB"/>
        </w:rPr>
        <w:t>.</w:t>
      </w:r>
      <w:r w:rsidR="00327D8E">
        <w:rPr>
          <w:rStyle w:val="Sprotnaopomba-sklic"/>
          <w:rFonts w:ascii="Times New Roman" w:hAnsi="Times New Roman" w:cs="Times New Roman"/>
          <w:sz w:val="24"/>
          <w:szCs w:val="24"/>
          <w:lang w:val="en-GB"/>
        </w:rPr>
        <w:footnoteReference w:id="11"/>
      </w:r>
      <w:r w:rsidR="0013343E">
        <w:rPr>
          <w:rFonts w:ascii="Times New Roman" w:hAnsi="Times New Roman" w:cs="Times New Roman"/>
          <w:sz w:val="24"/>
          <w:szCs w:val="24"/>
          <w:lang w:val="en-GB"/>
        </w:rPr>
        <w:t xml:space="preserve"> Joshua </w:t>
      </w:r>
      <w:proofErr w:type="spellStart"/>
      <w:r w:rsidR="0013343E">
        <w:rPr>
          <w:rFonts w:ascii="Times New Roman" w:hAnsi="Times New Roman" w:cs="Times New Roman"/>
          <w:sz w:val="24"/>
          <w:szCs w:val="24"/>
          <w:lang w:val="en-GB"/>
        </w:rPr>
        <w:t>Bengio</w:t>
      </w:r>
      <w:proofErr w:type="spellEnd"/>
      <w:r w:rsidR="0013343E">
        <w:rPr>
          <w:rFonts w:ascii="Times New Roman" w:hAnsi="Times New Roman" w:cs="Times New Roman"/>
          <w:sz w:val="24"/>
          <w:szCs w:val="24"/>
          <w:lang w:val="en-GB"/>
        </w:rPr>
        <w:t xml:space="preserve"> argues that a</w:t>
      </w:r>
      <w:r w:rsidR="0013343E" w:rsidRPr="0013343E">
        <w:rPr>
          <w:rFonts w:ascii="Times New Roman" w:hAnsi="Times New Roman" w:cs="Times New Roman"/>
          <w:sz w:val="24"/>
          <w:szCs w:val="24"/>
          <w:lang w:val="en-GB"/>
        </w:rPr>
        <w:t xml:space="preserve">dvanced </w:t>
      </w:r>
      <w:r w:rsidR="0013343E">
        <w:rPr>
          <w:rFonts w:ascii="Times New Roman" w:hAnsi="Times New Roman" w:cs="Times New Roman"/>
          <w:sz w:val="24"/>
          <w:szCs w:val="24"/>
          <w:lang w:val="en-GB"/>
        </w:rPr>
        <w:t xml:space="preserve">AI </w:t>
      </w:r>
      <w:r w:rsidR="0013343E" w:rsidRPr="0013343E">
        <w:rPr>
          <w:rFonts w:ascii="Times New Roman" w:hAnsi="Times New Roman" w:cs="Times New Roman"/>
          <w:sz w:val="24"/>
          <w:szCs w:val="24"/>
          <w:lang w:val="en-GB"/>
        </w:rPr>
        <w:t>systems such as OpenAI’s GPT could destabilise democracy unless governments take quick action and “protect the public”</w:t>
      </w:r>
      <w:r w:rsidR="0013343E">
        <w:rPr>
          <w:rStyle w:val="Sprotnaopomba-sklic"/>
          <w:rFonts w:ascii="Times New Roman" w:hAnsi="Times New Roman" w:cs="Times New Roman"/>
          <w:sz w:val="24"/>
          <w:szCs w:val="24"/>
          <w:lang w:val="en-GB"/>
        </w:rPr>
        <w:footnoteReference w:id="12"/>
      </w:r>
      <w:r w:rsidR="0013343E">
        <w:rPr>
          <w:rFonts w:ascii="Times New Roman" w:hAnsi="Times New Roman" w:cs="Times New Roman"/>
          <w:sz w:val="24"/>
          <w:szCs w:val="24"/>
          <w:lang w:val="en-GB"/>
        </w:rPr>
        <w:t xml:space="preserve"> and more than </w:t>
      </w:r>
      <w:r w:rsidR="0013343E" w:rsidRPr="0013343E">
        <w:rPr>
          <w:rFonts w:ascii="Times New Roman" w:hAnsi="Times New Roman" w:cs="Times New Roman"/>
          <w:sz w:val="24"/>
          <w:szCs w:val="24"/>
          <w:lang w:val="en-GB"/>
        </w:rPr>
        <w:t>1,000 AI experts and tech executives to sign an open letter last month calling for a six-month pause on the development of advanced AI systems.</w:t>
      </w:r>
      <w:r w:rsidR="0013343E">
        <w:rPr>
          <w:rStyle w:val="Sprotnaopomba-sklic"/>
          <w:rFonts w:ascii="Times New Roman" w:hAnsi="Times New Roman" w:cs="Times New Roman"/>
          <w:sz w:val="24"/>
          <w:szCs w:val="24"/>
          <w:lang w:val="en-GB"/>
        </w:rPr>
        <w:footnoteReference w:id="13"/>
      </w:r>
      <w:r w:rsidR="00756D8B">
        <w:rPr>
          <w:rFonts w:ascii="Times New Roman" w:hAnsi="Times New Roman" w:cs="Times New Roman"/>
          <w:sz w:val="24"/>
          <w:szCs w:val="24"/>
          <w:lang w:val="en-GB"/>
        </w:rPr>
        <w:t xml:space="preserve"> Moreover, </w:t>
      </w:r>
      <w:r w:rsidR="00756D8B" w:rsidRPr="00756D8B">
        <w:rPr>
          <w:rFonts w:ascii="Times New Roman" w:hAnsi="Times New Roman" w:cs="Times New Roman"/>
          <w:sz w:val="24"/>
          <w:szCs w:val="24"/>
          <w:lang w:val="en-GB"/>
        </w:rPr>
        <w:t>Yuval Noah Harari argues that AI has hacked the operating system of human civilisation</w:t>
      </w:r>
      <w:r w:rsidR="00756D8B">
        <w:rPr>
          <w:rFonts w:ascii="Times New Roman" w:hAnsi="Times New Roman" w:cs="Times New Roman"/>
          <w:sz w:val="24"/>
          <w:szCs w:val="24"/>
          <w:lang w:val="en-GB"/>
        </w:rPr>
        <w:t xml:space="preserve"> and that t</w:t>
      </w:r>
      <w:r w:rsidR="00756D8B" w:rsidRPr="00756D8B">
        <w:rPr>
          <w:rFonts w:ascii="Times New Roman" w:hAnsi="Times New Roman" w:cs="Times New Roman"/>
          <w:sz w:val="24"/>
          <w:szCs w:val="24"/>
          <w:lang w:val="en-GB"/>
        </w:rPr>
        <w:t>hrough its mastery of language, ai could even form intimate relationships with people, and use the power of intimacy to change our opinions and worldviews.</w:t>
      </w:r>
      <w:r w:rsidR="00756D8B">
        <w:rPr>
          <w:rStyle w:val="Sprotnaopomba-sklic"/>
          <w:rFonts w:ascii="Times New Roman" w:hAnsi="Times New Roman" w:cs="Times New Roman"/>
          <w:sz w:val="24"/>
          <w:szCs w:val="24"/>
          <w:lang w:val="en-GB"/>
        </w:rPr>
        <w:footnoteReference w:id="14"/>
      </w:r>
    </w:p>
    <w:p w14:paraId="3889F530" w14:textId="60444835" w:rsidR="003D2D52" w:rsidRPr="003D2D52" w:rsidRDefault="00315275" w:rsidP="003D2D52">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D2D52" w:rsidRPr="003D2D52">
        <w:rPr>
          <w:rFonts w:ascii="Times New Roman" w:hAnsi="Times New Roman" w:cs="Times New Roman"/>
          <w:sz w:val="24"/>
          <w:szCs w:val="24"/>
          <w:lang w:val="en-GB"/>
        </w:rPr>
        <w:t xml:space="preserve">Both the European Commission and the European Parliament consider the </w:t>
      </w:r>
      <w:proofErr w:type="gramStart"/>
      <w:r w:rsidR="00532A92">
        <w:rPr>
          <w:rFonts w:ascii="Times New Roman" w:hAnsi="Times New Roman" w:cs="Times New Roman"/>
          <w:sz w:val="24"/>
          <w:szCs w:val="24"/>
          <w:lang w:val="en-GB"/>
        </w:rPr>
        <w:t>risk based</w:t>
      </w:r>
      <w:proofErr w:type="gramEnd"/>
      <w:r w:rsidR="00532A92">
        <w:rPr>
          <w:rFonts w:ascii="Times New Roman" w:hAnsi="Times New Roman" w:cs="Times New Roman"/>
          <w:sz w:val="24"/>
          <w:szCs w:val="24"/>
          <w:lang w:val="en-GB"/>
        </w:rPr>
        <w:t xml:space="preserve"> approach (</w:t>
      </w:r>
      <w:r w:rsidR="00F14E46">
        <w:rPr>
          <w:rFonts w:ascii="Times New Roman" w:hAnsi="Times New Roman" w:cs="Times New Roman"/>
          <w:sz w:val="24"/>
          <w:szCs w:val="24"/>
          <w:lang w:val="en-GB"/>
        </w:rPr>
        <w:t xml:space="preserve">with </w:t>
      </w:r>
      <w:r w:rsidR="003D2D52" w:rsidRPr="003D2D52">
        <w:rPr>
          <w:rFonts w:ascii="Times New Roman" w:hAnsi="Times New Roman" w:cs="Times New Roman"/>
          <w:sz w:val="24"/>
          <w:szCs w:val="24"/>
          <w:lang w:val="en-GB"/>
        </w:rPr>
        <w:t>civil liability for damage caused by any form of artificial intelligence</w:t>
      </w:r>
      <w:r w:rsidR="00F14E46">
        <w:rPr>
          <w:rFonts w:ascii="Times New Roman" w:hAnsi="Times New Roman" w:cs="Times New Roman"/>
          <w:sz w:val="24"/>
          <w:szCs w:val="24"/>
          <w:lang w:val="en-GB"/>
        </w:rPr>
        <w:t>)</w:t>
      </w:r>
      <w:r w:rsidR="003D2D52" w:rsidRPr="003D2D52">
        <w:rPr>
          <w:rFonts w:ascii="Times New Roman" w:hAnsi="Times New Roman" w:cs="Times New Roman"/>
          <w:sz w:val="24"/>
          <w:szCs w:val="24"/>
          <w:lang w:val="en-GB"/>
        </w:rPr>
        <w:t xml:space="preserve"> to be a crucial issue that must also be analysed and addressed on the EU level in order to ensure efficiency, transparency and consistency while ensuring optimal risk prevention by establishing legal certainty across the EU. </w:t>
      </w:r>
      <w:bookmarkStart w:id="6" w:name="_Hlk109160362"/>
      <w:r w:rsidR="003D2D52" w:rsidRPr="003D2D52">
        <w:rPr>
          <w:rFonts w:ascii="Times New Roman" w:hAnsi="Times New Roman" w:cs="Times New Roman"/>
          <w:sz w:val="24"/>
          <w:szCs w:val="24"/>
          <w:lang w:val="en-GB"/>
        </w:rPr>
        <w:t xml:space="preserve">From the law and economics perspective, the role of such a civil liability system is to deter people and firms from injuring others, discourage and prevent risks, internalise the costs of risky events, and compensate those who are injured. In addition, one may wonder whether society’s aims would be better served by reformulating our relationship with </w:t>
      </w:r>
      <w:r w:rsidR="00747AFD">
        <w:rPr>
          <w:rFonts w:ascii="Times New Roman" w:hAnsi="Times New Roman" w:cs="Times New Roman"/>
          <w:sz w:val="24"/>
          <w:szCs w:val="24"/>
          <w:lang w:val="en-GB"/>
        </w:rPr>
        <w:t>a generative</w:t>
      </w:r>
      <w:r w:rsidR="003D2D52" w:rsidRPr="003D2D52">
        <w:rPr>
          <w:rFonts w:ascii="Times New Roman" w:hAnsi="Times New Roman" w:cs="Times New Roman"/>
          <w:sz w:val="24"/>
          <w:szCs w:val="24"/>
          <w:lang w:val="en-GB"/>
        </w:rPr>
        <w:t xml:space="preserve"> AI in a more radical fashion and whether the current rules indeed cover </w:t>
      </w:r>
      <w:proofErr w:type="gramStart"/>
      <w:r w:rsidR="003D2D52" w:rsidRPr="003D2D52">
        <w:rPr>
          <w:rFonts w:ascii="Times New Roman" w:hAnsi="Times New Roman" w:cs="Times New Roman"/>
          <w:sz w:val="24"/>
          <w:szCs w:val="24"/>
          <w:lang w:val="en-GB"/>
        </w:rPr>
        <w:t>all of</w:t>
      </w:r>
      <w:proofErr w:type="gramEnd"/>
      <w:r w:rsidR="003D2D52" w:rsidRPr="003D2D52">
        <w:rPr>
          <w:rFonts w:ascii="Times New Roman" w:hAnsi="Times New Roman" w:cs="Times New Roman"/>
          <w:sz w:val="24"/>
          <w:szCs w:val="24"/>
          <w:lang w:val="en-GB"/>
        </w:rPr>
        <w:t xml:space="preserve"> the potential risks generated by </w:t>
      </w:r>
      <w:r w:rsidR="00747AFD">
        <w:rPr>
          <w:rFonts w:ascii="Times New Roman" w:hAnsi="Times New Roman" w:cs="Times New Roman"/>
          <w:sz w:val="24"/>
          <w:szCs w:val="24"/>
          <w:lang w:val="en-GB"/>
        </w:rPr>
        <w:t>generative</w:t>
      </w:r>
      <w:r w:rsidR="003D2D52" w:rsidRPr="003D2D52">
        <w:rPr>
          <w:rFonts w:ascii="Times New Roman" w:hAnsi="Times New Roman" w:cs="Times New Roman"/>
          <w:sz w:val="24"/>
          <w:szCs w:val="24"/>
          <w:lang w:val="en-GB"/>
        </w:rPr>
        <w:t xml:space="preserve"> AI. </w:t>
      </w:r>
      <w:bookmarkStart w:id="7" w:name="_Hlk279589"/>
      <w:bookmarkEnd w:id="6"/>
    </w:p>
    <w:p w14:paraId="233E71BE" w14:textId="66BA9B41" w:rsidR="00F14E46" w:rsidRDefault="00315275" w:rsidP="003D2D52">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D2D52" w:rsidRPr="003D2D52">
        <w:rPr>
          <w:rFonts w:ascii="Times New Roman" w:hAnsi="Times New Roman" w:cs="Times New Roman"/>
          <w:sz w:val="24"/>
          <w:szCs w:val="24"/>
          <w:lang w:val="en-GB"/>
        </w:rPr>
        <w:t>Incorporating the main insights from the law and economics literature,</w:t>
      </w:r>
      <w:r w:rsidR="003D2D52" w:rsidRPr="003D2D52">
        <w:rPr>
          <w:rFonts w:ascii="Times New Roman" w:hAnsi="Times New Roman" w:cs="Times New Roman"/>
          <w:sz w:val="24"/>
          <w:szCs w:val="24"/>
          <w:vertAlign w:val="superscript"/>
          <w:lang w:val="en-GB"/>
        </w:rPr>
        <w:footnoteReference w:id="15"/>
      </w:r>
      <w:r w:rsidR="003D2D52" w:rsidRPr="003D2D52">
        <w:rPr>
          <w:rFonts w:ascii="Times New Roman" w:hAnsi="Times New Roman" w:cs="Times New Roman"/>
          <w:sz w:val="24"/>
          <w:szCs w:val="24"/>
          <w:lang w:val="en-GB"/>
        </w:rPr>
        <w:t xml:space="preserve"> this </w:t>
      </w:r>
      <w:r w:rsidR="00F14E46">
        <w:rPr>
          <w:rFonts w:ascii="Times New Roman" w:hAnsi="Times New Roman" w:cs="Times New Roman"/>
          <w:sz w:val="24"/>
          <w:szCs w:val="24"/>
          <w:lang w:val="en-GB"/>
        </w:rPr>
        <w:t>paper</w:t>
      </w:r>
      <w:r w:rsidR="003D2D52" w:rsidRPr="003D2D52">
        <w:rPr>
          <w:rFonts w:ascii="Times New Roman" w:hAnsi="Times New Roman" w:cs="Times New Roman"/>
          <w:sz w:val="24"/>
          <w:szCs w:val="24"/>
          <w:lang w:val="en-GB"/>
        </w:rPr>
        <w:t xml:space="preserve"> seeks to address the role played by public policy in regulating </w:t>
      </w:r>
      <w:r w:rsidR="00F14E46">
        <w:rPr>
          <w:rFonts w:ascii="Times New Roman" w:hAnsi="Times New Roman" w:cs="Times New Roman"/>
          <w:sz w:val="24"/>
          <w:szCs w:val="24"/>
          <w:lang w:val="en-GB"/>
        </w:rPr>
        <w:t xml:space="preserve">generative </w:t>
      </w:r>
      <w:r w:rsidR="003D2D52" w:rsidRPr="003D2D52">
        <w:rPr>
          <w:rFonts w:ascii="Times New Roman" w:hAnsi="Times New Roman" w:cs="Times New Roman"/>
          <w:sz w:val="24"/>
          <w:szCs w:val="24"/>
          <w:lang w:val="en-GB"/>
        </w:rPr>
        <w:t xml:space="preserve">AI, the associated risks, and </w:t>
      </w:r>
      <w:r w:rsidR="00F14E46">
        <w:rPr>
          <w:rFonts w:ascii="Times New Roman" w:hAnsi="Times New Roman" w:cs="Times New Roman"/>
          <w:sz w:val="24"/>
          <w:szCs w:val="24"/>
          <w:lang w:val="en-GB"/>
        </w:rPr>
        <w:lastRenderedPageBreak/>
        <w:t xml:space="preserve">innovation opportunities </w:t>
      </w:r>
      <w:r w:rsidR="003D2D52" w:rsidRPr="003D2D52">
        <w:rPr>
          <w:rFonts w:ascii="Times New Roman" w:hAnsi="Times New Roman" w:cs="Times New Roman"/>
          <w:sz w:val="24"/>
          <w:szCs w:val="24"/>
          <w:lang w:val="en-GB"/>
        </w:rPr>
        <w:t xml:space="preserve">caused by such AI. </w:t>
      </w:r>
      <w:r w:rsidR="00F14E46">
        <w:rPr>
          <w:rFonts w:ascii="Times New Roman" w:hAnsi="Times New Roman" w:cs="Times New Roman"/>
          <w:sz w:val="24"/>
          <w:szCs w:val="24"/>
          <w:lang w:val="en-GB"/>
        </w:rPr>
        <w:t xml:space="preserve">In other words, </w:t>
      </w:r>
      <w:bookmarkStart w:id="11" w:name="_Hlk109160639"/>
      <w:r w:rsidR="00F14E46">
        <w:rPr>
          <w:rFonts w:ascii="Times New Roman" w:hAnsi="Times New Roman" w:cs="Times New Roman"/>
          <w:sz w:val="24"/>
          <w:szCs w:val="24"/>
          <w:lang w:val="en-GB"/>
        </w:rPr>
        <w:t>t</w:t>
      </w:r>
      <w:r w:rsidR="00F14E46" w:rsidRPr="00F14E46">
        <w:rPr>
          <w:rFonts w:ascii="Times New Roman" w:hAnsi="Times New Roman" w:cs="Times New Roman"/>
          <w:sz w:val="24"/>
          <w:szCs w:val="24"/>
          <w:lang w:val="en-GB"/>
        </w:rPr>
        <w:t xml:space="preserve">his paper provides a multidisciplinary assessment of the proposed EU Artificial Intelligence Act and seeks to assess its impact on the research &amp; development processes in companies that develop solutions with AI elements. While exploring the unique firm and industry level evidence paper explores the role of public and private actors in AI regulation. It also investigates hybrid modes of regulation with the focus on the inclusive growth of the AI industry in the EU. Moreover, paper provides a set of </w:t>
      </w:r>
      <w:bookmarkStart w:id="12" w:name="_Hlk135304049"/>
      <w:r w:rsidR="00F14E46" w:rsidRPr="00F14E46">
        <w:rPr>
          <w:rFonts w:ascii="Times New Roman" w:hAnsi="Times New Roman" w:cs="Times New Roman"/>
          <w:sz w:val="24"/>
          <w:szCs w:val="24"/>
          <w:lang w:val="en-GB"/>
        </w:rPr>
        <w:t xml:space="preserve">normative suggestions for an improved hybrid regulatory respond which should achieve optimal risk internalization, precaution, and firm level innovation. </w:t>
      </w:r>
      <w:bookmarkEnd w:id="12"/>
      <w:r w:rsidR="00F14E46" w:rsidRPr="00F14E46">
        <w:rPr>
          <w:rFonts w:ascii="Times New Roman" w:hAnsi="Times New Roman" w:cs="Times New Roman"/>
          <w:sz w:val="24"/>
          <w:szCs w:val="24"/>
          <w:lang w:val="en-GB"/>
        </w:rPr>
        <w:t xml:space="preserve">Furthermore, this paper provides the comparative, industry based economic, </w:t>
      </w:r>
      <w:proofErr w:type="gramStart"/>
      <w:r w:rsidR="00F14E46" w:rsidRPr="00F14E46">
        <w:rPr>
          <w:rFonts w:ascii="Times New Roman" w:hAnsi="Times New Roman" w:cs="Times New Roman"/>
          <w:sz w:val="24"/>
          <w:szCs w:val="24"/>
          <w:lang w:val="en-GB"/>
        </w:rPr>
        <w:t>geopolitical</w:t>
      </w:r>
      <w:proofErr w:type="gramEnd"/>
      <w:r w:rsidR="00F14E46" w:rsidRPr="00F14E46">
        <w:rPr>
          <w:rFonts w:ascii="Times New Roman" w:hAnsi="Times New Roman" w:cs="Times New Roman"/>
          <w:sz w:val="24"/>
          <w:szCs w:val="24"/>
          <w:lang w:val="en-GB"/>
        </w:rPr>
        <w:t xml:space="preserve"> and </w:t>
      </w:r>
      <w:r w:rsidR="00056DF7" w:rsidRPr="00F14E46">
        <w:rPr>
          <w:rFonts w:ascii="Times New Roman" w:hAnsi="Times New Roman" w:cs="Times New Roman"/>
          <w:sz w:val="24"/>
          <w:szCs w:val="24"/>
          <w:lang w:val="en-GB"/>
        </w:rPr>
        <w:t>behavioural</w:t>
      </w:r>
      <w:r w:rsidR="00F14E46" w:rsidRPr="00F14E46">
        <w:rPr>
          <w:rFonts w:ascii="Times New Roman" w:hAnsi="Times New Roman" w:cs="Times New Roman"/>
          <w:sz w:val="24"/>
          <w:szCs w:val="24"/>
          <w:lang w:val="en-GB"/>
        </w:rPr>
        <w:t xml:space="preserve"> analysis of current regulatory approaches to AI in the EU, US and China.    </w:t>
      </w:r>
    </w:p>
    <w:p w14:paraId="42254E2F" w14:textId="42A80C66" w:rsidR="003D2D52" w:rsidRPr="003D2D52" w:rsidRDefault="00315275" w:rsidP="003D2D52">
      <w:pPr>
        <w:spacing w:line="276" w:lineRule="auto"/>
        <w:jc w:val="both"/>
        <w:rPr>
          <w:rFonts w:ascii="Times New Roman" w:hAnsi="Times New Roman" w:cs="Times New Roman"/>
          <w:bCs/>
          <w:iCs/>
          <w:sz w:val="24"/>
          <w:szCs w:val="24"/>
          <w:lang w:val="en-GB"/>
        </w:rPr>
      </w:pPr>
      <w:bookmarkStart w:id="13" w:name="_Hlk531502204"/>
      <w:bookmarkEnd w:id="7"/>
      <w:bookmarkEnd w:id="11"/>
      <w:r>
        <w:rPr>
          <w:rFonts w:ascii="Times New Roman" w:hAnsi="Times New Roman" w:cs="Times New Roman"/>
          <w:sz w:val="24"/>
          <w:szCs w:val="24"/>
          <w:lang w:val="en-GB"/>
        </w:rPr>
        <w:t xml:space="preserve">     </w:t>
      </w:r>
      <w:r w:rsidR="003D2D52" w:rsidRPr="003D2D52">
        <w:rPr>
          <w:rFonts w:ascii="Times New Roman" w:hAnsi="Times New Roman" w:cs="Times New Roman"/>
          <w:sz w:val="24"/>
          <w:szCs w:val="24"/>
          <w:lang w:val="en-GB"/>
        </w:rPr>
        <w:t>The analysis presented here is both positive and normative. The analytical approach engages in interdisciplinary analysis and enriches it with concepts used in the economic analysis of law.</w:t>
      </w:r>
      <w:r w:rsidR="003D2D52" w:rsidRPr="003D2D52">
        <w:rPr>
          <w:rFonts w:ascii="Times New Roman" w:hAnsi="Times New Roman" w:cs="Times New Roman"/>
          <w:sz w:val="24"/>
          <w:szCs w:val="24"/>
          <w:vertAlign w:val="superscript"/>
          <w:lang w:val="en-GB"/>
        </w:rPr>
        <w:footnoteReference w:id="16"/>
      </w:r>
      <w:r w:rsidR="003D2D52" w:rsidRPr="003D2D52">
        <w:rPr>
          <w:rFonts w:ascii="Times New Roman" w:hAnsi="Times New Roman" w:cs="Times New Roman"/>
          <w:sz w:val="24"/>
          <w:szCs w:val="24"/>
          <w:lang w:val="en-GB"/>
        </w:rPr>
        <w:t xml:space="preserve"> To make the economic analysis accessible to readers not acquainted with sophisticated mathematical reasoning, the law and economics toolkit relied upon follows the traditional comparative law and economics approach.</w:t>
      </w:r>
      <w:r w:rsidR="003D2D52" w:rsidRPr="003D2D52">
        <w:rPr>
          <w:rFonts w:ascii="Times New Roman" w:hAnsi="Times New Roman" w:cs="Times New Roman"/>
          <w:sz w:val="24"/>
          <w:szCs w:val="24"/>
          <w:vertAlign w:val="superscript"/>
          <w:lang w:val="en-GB"/>
        </w:rPr>
        <w:footnoteReference w:id="17"/>
      </w:r>
      <w:r w:rsidR="003D2D52" w:rsidRPr="003D2D52">
        <w:rPr>
          <w:rFonts w:ascii="Times New Roman" w:hAnsi="Times New Roman" w:cs="Times New Roman"/>
          <w:sz w:val="24"/>
          <w:szCs w:val="24"/>
          <w:lang w:val="en-GB"/>
        </w:rPr>
        <w:t xml:space="preserve"> </w:t>
      </w:r>
      <w:bookmarkEnd w:id="13"/>
    </w:p>
    <w:p w14:paraId="2C35469B" w14:textId="4AB9C971" w:rsidR="003D2D52" w:rsidRPr="003D2D52" w:rsidRDefault="00315275" w:rsidP="003D2D52">
      <w:pPr>
        <w:spacing w:line="276" w:lineRule="auto"/>
        <w:jc w:val="both"/>
        <w:rPr>
          <w:rFonts w:ascii="Times New Roman" w:hAnsi="Times New Roman" w:cs="Times New Roman"/>
          <w:sz w:val="24"/>
          <w:szCs w:val="24"/>
          <w:lang w:val="en-GB"/>
        </w:rPr>
      </w:pPr>
      <w:r>
        <w:rPr>
          <w:rFonts w:ascii="Times New Roman" w:hAnsi="Times New Roman" w:cs="Times New Roman"/>
          <w:bCs/>
          <w:iCs/>
          <w:sz w:val="24"/>
          <w:szCs w:val="24"/>
          <w:lang w:val="en-GB"/>
        </w:rPr>
        <w:t xml:space="preserve">     </w:t>
      </w:r>
      <w:r w:rsidR="003D2D52" w:rsidRPr="003D2D52">
        <w:rPr>
          <w:rFonts w:ascii="Times New Roman" w:hAnsi="Times New Roman" w:cs="Times New Roman"/>
          <w:bCs/>
          <w:iCs/>
          <w:sz w:val="24"/>
          <w:szCs w:val="24"/>
          <w:lang w:val="en-GB"/>
        </w:rPr>
        <w:t xml:space="preserve">This </w:t>
      </w:r>
      <w:r>
        <w:rPr>
          <w:rFonts w:ascii="Times New Roman" w:hAnsi="Times New Roman" w:cs="Times New Roman"/>
          <w:bCs/>
          <w:iCs/>
          <w:sz w:val="24"/>
          <w:szCs w:val="24"/>
          <w:lang w:val="en-GB"/>
        </w:rPr>
        <w:t>paper</w:t>
      </w:r>
      <w:r w:rsidR="003D2D52" w:rsidRPr="003D2D52">
        <w:rPr>
          <w:rFonts w:ascii="Times New Roman" w:hAnsi="Times New Roman" w:cs="Times New Roman"/>
          <w:bCs/>
          <w:iCs/>
          <w:sz w:val="24"/>
          <w:szCs w:val="24"/>
          <w:lang w:val="en-GB"/>
        </w:rPr>
        <w:t xml:space="preserve"> is structured as follows. The first part offers the general background</w:t>
      </w:r>
      <w:r w:rsidR="00F14E46">
        <w:rPr>
          <w:rFonts w:ascii="Times New Roman" w:hAnsi="Times New Roman" w:cs="Times New Roman"/>
          <w:bCs/>
          <w:iCs/>
          <w:sz w:val="24"/>
          <w:szCs w:val="24"/>
          <w:lang w:val="en-GB"/>
        </w:rPr>
        <w:t xml:space="preserve"> and</w:t>
      </w:r>
      <w:r w:rsidR="003D2D52" w:rsidRPr="003D2D52">
        <w:rPr>
          <w:rFonts w:ascii="Times New Roman" w:hAnsi="Times New Roman" w:cs="Times New Roman"/>
          <w:bCs/>
          <w:iCs/>
          <w:sz w:val="24"/>
          <w:szCs w:val="24"/>
          <w:lang w:val="en-GB"/>
        </w:rPr>
        <w:t xml:space="preserve"> recapitulates </w:t>
      </w:r>
      <w:r w:rsidR="00F14E46">
        <w:rPr>
          <w:rFonts w:ascii="Times New Roman" w:hAnsi="Times New Roman" w:cs="Times New Roman"/>
          <w:bCs/>
          <w:iCs/>
          <w:sz w:val="24"/>
          <w:szCs w:val="24"/>
          <w:lang w:val="en-GB"/>
        </w:rPr>
        <w:t xml:space="preserve">literature on the main regulatory approaches. </w:t>
      </w:r>
      <w:bookmarkStart w:id="14" w:name="_Hlk135757240"/>
      <w:r w:rsidR="00F14E46">
        <w:rPr>
          <w:rFonts w:ascii="Times New Roman" w:hAnsi="Times New Roman" w:cs="Times New Roman"/>
          <w:bCs/>
          <w:iCs/>
          <w:sz w:val="24"/>
          <w:szCs w:val="24"/>
          <w:lang w:val="en-GB"/>
        </w:rPr>
        <w:t>S</w:t>
      </w:r>
      <w:r w:rsidR="003D2D52" w:rsidRPr="003D2D52">
        <w:rPr>
          <w:rFonts w:ascii="Times New Roman" w:hAnsi="Times New Roman" w:cs="Times New Roman"/>
          <w:bCs/>
          <w:iCs/>
          <w:sz w:val="24"/>
          <w:szCs w:val="24"/>
          <w:lang w:val="en-GB"/>
        </w:rPr>
        <w:t>econd part</w:t>
      </w:r>
      <w:r w:rsidR="00F14E46">
        <w:rPr>
          <w:rFonts w:ascii="Times New Roman" w:hAnsi="Times New Roman" w:cs="Times New Roman"/>
          <w:bCs/>
          <w:iCs/>
          <w:sz w:val="24"/>
          <w:szCs w:val="24"/>
          <w:lang w:val="en-GB"/>
        </w:rPr>
        <w:t xml:space="preserve"> provides</w:t>
      </w:r>
      <w:r w:rsidR="003D2D52" w:rsidRPr="003D2D52">
        <w:rPr>
          <w:rFonts w:ascii="Times New Roman" w:hAnsi="Times New Roman" w:cs="Times New Roman"/>
          <w:bCs/>
          <w:iCs/>
          <w:sz w:val="24"/>
          <w:szCs w:val="24"/>
          <w:lang w:val="en-GB"/>
        </w:rPr>
        <w:t xml:space="preserve"> </w:t>
      </w:r>
      <w:bookmarkStart w:id="15" w:name="_Hlk508893797"/>
      <w:r w:rsidR="00F14E46">
        <w:rPr>
          <w:rFonts w:ascii="Times New Roman" w:hAnsi="Times New Roman" w:cs="Times New Roman"/>
          <w:bCs/>
          <w:iCs/>
          <w:sz w:val="24"/>
          <w:szCs w:val="24"/>
          <w:lang w:val="en-GB"/>
        </w:rPr>
        <w:t xml:space="preserve">a set of </w:t>
      </w:r>
      <w:r w:rsidR="00F14E46" w:rsidRPr="00F14E46">
        <w:rPr>
          <w:rFonts w:ascii="Times New Roman" w:hAnsi="Times New Roman" w:cs="Times New Roman"/>
          <w:bCs/>
          <w:iCs/>
          <w:sz w:val="24"/>
          <w:szCs w:val="24"/>
          <w:lang w:val="en-GB"/>
        </w:rPr>
        <w:t>normative suggestions for an improved hybrid regulatory respond which should achieve optimal risk internalization, precaution, and firm level innovation</w:t>
      </w:r>
      <w:r w:rsidR="00F14E46">
        <w:rPr>
          <w:rFonts w:ascii="Times New Roman" w:hAnsi="Times New Roman" w:cs="Times New Roman"/>
          <w:bCs/>
          <w:iCs/>
          <w:sz w:val="24"/>
          <w:szCs w:val="24"/>
          <w:lang w:val="en-GB"/>
        </w:rPr>
        <w:t>.</w:t>
      </w:r>
      <w:r w:rsidR="003D2D52" w:rsidRPr="003D2D52">
        <w:rPr>
          <w:rFonts w:ascii="Times New Roman" w:hAnsi="Times New Roman" w:cs="Times New Roman"/>
          <w:bCs/>
          <w:iCs/>
          <w:sz w:val="24"/>
          <w:szCs w:val="24"/>
          <w:lang w:val="en-GB"/>
        </w:rPr>
        <w:t xml:space="preserve"> </w:t>
      </w:r>
      <w:bookmarkEnd w:id="14"/>
      <w:r w:rsidR="003D2D52" w:rsidRPr="003D2D52">
        <w:rPr>
          <w:rFonts w:ascii="Times New Roman" w:hAnsi="Times New Roman" w:cs="Times New Roman"/>
          <w:bCs/>
          <w:iCs/>
          <w:sz w:val="24"/>
          <w:szCs w:val="24"/>
          <w:lang w:val="en-GB"/>
        </w:rPr>
        <w:t>The third part briefly comments on recent EU</w:t>
      </w:r>
      <w:r w:rsidR="00F14E46">
        <w:rPr>
          <w:rFonts w:ascii="Times New Roman" w:hAnsi="Times New Roman" w:cs="Times New Roman"/>
          <w:bCs/>
          <w:iCs/>
          <w:sz w:val="24"/>
          <w:szCs w:val="24"/>
          <w:lang w:val="en-GB"/>
        </w:rPr>
        <w:t xml:space="preserve"> Artificial Intelligence Act</w:t>
      </w:r>
      <w:r w:rsidR="003D2D52" w:rsidRPr="003D2D52">
        <w:rPr>
          <w:rFonts w:ascii="Times New Roman" w:hAnsi="Times New Roman" w:cs="Times New Roman"/>
          <w:bCs/>
          <w:iCs/>
          <w:sz w:val="24"/>
          <w:szCs w:val="24"/>
          <w:lang w:val="en-GB"/>
        </w:rPr>
        <w:t>.</w:t>
      </w:r>
      <w:r w:rsidR="00F14E46">
        <w:rPr>
          <w:rFonts w:ascii="Times New Roman" w:hAnsi="Times New Roman" w:cs="Times New Roman"/>
          <w:bCs/>
          <w:iCs/>
          <w:sz w:val="24"/>
          <w:szCs w:val="24"/>
          <w:lang w:val="en-GB"/>
        </w:rPr>
        <w:t xml:space="preserve"> </w:t>
      </w:r>
      <w:r w:rsidR="003D2D52" w:rsidRPr="003D2D52">
        <w:rPr>
          <w:rFonts w:ascii="Times New Roman" w:hAnsi="Times New Roman" w:cs="Times New Roman"/>
          <w:bCs/>
          <w:iCs/>
          <w:sz w:val="24"/>
          <w:szCs w:val="24"/>
          <w:lang w:val="en-GB"/>
        </w:rPr>
        <w:t xml:space="preserve"> </w:t>
      </w:r>
      <w:bookmarkEnd w:id="15"/>
      <w:r w:rsidR="003D2D52" w:rsidRPr="003D2D52">
        <w:rPr>
          <w:rFonts w:ascii="Times New Roman" w:hAnsi="Times New Roman" w:cs="Times New Roman"/>
          <w:bCs/>
          <w:iCs/>
          <w:sz w:val="24"/>
          <w:szCs w:val="24"/>
          <w:lang w:val="en-GB"/>
        </w:rPr>
        <w:t>Finally, some conclusions are presented.</w:t>
      </w:r>
    </w:p>
    <w:p w14:paraId="3801FC57" w14:textId="77777777" w:rsidR="003D2D52" w:rsidRDefault="003D2D52" w:rsidP="00771392">
      <w:pPr>
        <w:spacing w:line="276" w:lineRule="auto"/>
        <w:jc w:val="both"/>
        <w:rPr>
          <w:rFonts w:ascii="Times New Roman" w:hAnsi="Times New Roman" w:cs="Times New Roman"/>
          <w:sz w:val="24"/>
          <w:szCs w:val="24"/>
          <w:lang w:val="en-GB"/>
        </w:rPr>
      </w:pPr>
    </w:p>
    <w:p w14:paraId="3D9BF390" w14:textId="2C867F81" w:rsidR="003D2D52" w:rsidRPr="00916B6A" w:rsidRDefault="00916B6A" w:rsidP="00916B6A">
      <w:pPr>
        <w:spacing w:line="276" w:lineRule="auto"/>
        <w:jc w:val="both"/>
        <w:rPr>
          <w:rFonts w:ascii="Times New Roman" w:hAnsi="Times New Roman" w:cs="Times New Roman"/>
          <w:b/>
          <w:bCs/>
          <w:sz w:val="24"/>
          <w:szCs w:val="24"/>
          <w:lang w:val="en-GB"/>
        </w:rPr>
      </w:pPr>
      <w:r w:rsidRPr="00916B6A">
        <w:rPr>
          <w:rFonts w:ascii="Times New Roman" w:hAnsi="Times New Roman" w:cs="Times New Roman"/>
          <w:b/>
          <w:bCs/>
          <w:sz w:val="24"/>
          <w:szCs w:val="24"/>
          <w:lang w:val="en-GB"/>
        </w:rPr>
        <w:t>2.</w:t>
      </w:r>
      <w:r w:rsidR="00734DD5">
        <w:rPr>
          <w:rFonts w:ascii="Times New Roman" w:hAnsi="Times New Roman" w:cs="Times New Roman"/>
          <w:b/>
          <w:bCs/>
          <w:sz w:val="24"/>
          <w:szCs w:val="24"/>
          <w:lang w:val="en-GB"/>
        </w:rPr>
        <w:t>Literature review: c</w:t>
      </w:r>
      <w:r w:rsidRPr="00916B6A">
        <w:rPr>
          <w:rFonts w:ascii="Times New Roman" w:hAnsi="Times New Roman" w:cs="Times New Roman"/>
          <w:b/>
          <w:bCs/>
          <w:sz w:val="24"/>
          <w:szCs w:val="24"/>
          <w:lang w:val="en-GB"/>
        </w:rPr>
        <w:t>onceptual and theoretical framework</w:t>
      </w:r>
    </w:p>
    <w:p w14:paraId="7195D28C" w14:textId="7CE55210" w:rsidR="00290F7C" w:rsidRPr="00290F7C" w:rsidRDefault="00290F7C" w:rsidP="00290F7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GB"/>
        </w:rPr>
        <w:t>This section surveys</w:t>
      </w:r>
      <w:r w:rsidRPr="00290F7C">
        <w:rPr>
          <w:rFonts w:ascii="Times New Roman" w:hAnsi="Times New Roman" w:cs="Times New Roman"/>
          <w:sz w:val="24"/>
          <w:szCs w:val="24"/>
          <w:lang w:val="en-US"/>
        </w:rPr>
        <w:t xml:space="preserve"> a crucial debate in law and economics </w:t>
      </w:r>
      <w:proofErr w:type="gramStart"/>
      <w:r w:rsidRPr="00290F7C">
        <w:rPr>
          <w:rFonts w:ascii="Times New Roman" w:hAnsi="Times New Roman" w:cs="Times New Roman"/>
          <w:sz w:val="24"/>
          <w:szCs w:val="24"/>
          <w:lang w:val="en-US"/>
        </w:rPr>
        <w:t>and also</w:t>
      </w:r>
      <w:proofErr w:type="gramEnd"/>
      <w:r w:rsidRPr="00290F7C">
        <w:rPr>
          <w:rFonts w:ascii="Times New Roman" w:hAnsi="Times New Roman" w:cs="Times New Roman"/>
          <w:sz w:val="24"/>
          <w:szCs w:val="24"/>
          <w:lang w:val="en-US"/>
        </w:rPr>
        <w:t xml:space="preserve"> in other social sciences concerning the balance between the state and the market. Which activities should be left to markets and which others should be the purview of the state? Classic law and economics textbook suggest that such intervention is warranted only under clearly delineated circumstances. Among others, these </w:t>
      </w:r>
      <w:proofErr w:type="gramStart"/>
      <w:r w:rsidRPr="00290F7C">
        <w:rPr>
          <w:rFonts w:ascii="Times New Roman" w:hAnsi="Times New Roman" w:cs="Times New Roman"/>
          <w:sz w:val="24"/>
          <w:szCs w:val="24"/>
          <w:lang w:val="en-US"/>
        </w:rPr>
        <w:t>include also</w:t>
      </w:r>
      <w:proofErr w:type="gramEnd"/>
      <w:r w:rsidRPr="00290F7C">
        <w:rPr>
          <w:rFonts w:ascii="Times New Roman" w:hAnsi="Times New Roman" w:cs="Times New Roman"/>
          <w:sz w:val="24"/>
          <w:szCs w:val="24"/>
          <w:lang w:val="en-US"/>
        </w:rPr>
        <w:t xml:space="preserve"> the presence of “negative externalities,” which materialize when actions by individual actors have major negative consequences for others that are not mediated via markets, paving the way for excessive level of some activities.</w:t>
      </w:r>
      <w:r w:rsidR="00315275">
        <w:rPr>
          <w:rStyle w:val="Sprotnaopomba-sklic"/>
          <w:rFonts w:ascii="Times New Roman" w:hAnsi="Times New Roman" w:cs="Times New Roman"/>
          <w:sz w:val="24"/>
          <w:szCs w:val="24"/>
          <w:lang w:val="en-US"/>
        </w:rPr>
        <w:footnoteReference w:id="18"/>
      </w:r>
      <w:r w:rsidRPr="00290F7C">
        <w:rPr>
          <w:rFonts w:ascii="Times New Roman" w:hAnsi="Times New Roman" w:cs="Times New Roman"/>
          <w:sz w:val="24"/>
          <w:szCs w:val="24"/>
          <w:lang w:val="en-US"/>
        </w:rPr>
        <w:t xml:space="preserve"> Economically speaking the potential hazards and damages caused by the uncontemplated activity of autonomous AI are a classic example of negative externalities and asymmetric information problem. Namely, the problem of positive transaction costs and asymmetric information results in the so-called market failures which cause suboptimal (inefficient) </w:t>
      </w:r>
      <w:r w:rsidRPr="00290F7C">
        <w:rPr>
          <w:rFonts w:ascii="Times New Roman" w:hAnsi="Times New Roman" w:cs="Times New Roman"/>
          <w:sz w:val="24"/>
          <w:szCs w:val="24"/>
          <w:lang w:val="en-US"/>
        </w:rPr>
        <w:lastRenderedPageBreak/>
        <w:t>amount of economic activity and inefficient allocation of resources.</w:t>
      </w:r>
      <w:r w:rsidR="00060BCE">
        <w:rPr>
          <w:rStyle w:val="Sprotnaopomba-sklic"/>
          <w:rFonts w:ascii="Times New Roman" w:hAnsi="Times New Roman" w:cs="Times New Roman"/>
          <w:sz w:val="24"/>
          <w:szCs w:val="24"/>
          <w:lang w:val="en-US"/>
        </w:rPr>
        <w:footnoteReference w:id="19"/>
      </w:r>
      <w:r w:rsidRPr="00290F7C">
        <w:rPr>
          <w:rFonts w:ascii="Times New Roman" w:hAnsi="Times New Roman" w:cs="Times New Roman"/>
          <w:sz w:val="24"/>
          <w:szCs w:val="24"/>
          <w:lang w:val="en-US"/>
        </w:rPr>
        <w:t xml:space="preserve"> Collective-action problem, agency problem, tragedy of commons and game theoretical prisoner’s dilemma phenomena are the notorious embodiment of positive transaction costs and asymmetric information problems that generate negative externalities. The materialization of these negative externalities accompanied by the “private law failure” prima facie warrants the employment of the regulatory intervention in the public interest.</w:t>
      </w:r>
      <w:r w:rsidR="00060BCE">
        <w:rPr>
          <w:rStyle w:val="Sprotnaopomba-sklic"/>
          <w:rFonts w:ascii="Times New Roman" w:hAnsi="Times New Roman" w:cs="Times New Roman"/>
          <w:sz w:val="24"/>
          <w:szCs w:val="24"/>
          <w:lang w:val="en-US"/>
        </w:rPr>
        <w:footnoteReference w:id="20"/>
      </w:r>
      <w:r w:rsidRPr="00290F7C">
        <w:rPr>
          <w:rFonts w:ascii="Times New Roman" w:hAnsi="Times New Roman" w:cs="Times New Roman"/>
          <w:sz w:val="24"/>
          <w:szCs w:val="24"/>
          <w:lang w:val="en-US"/>
        </w:rPr>
        <w:t xml:space="preserve"> In other words, allocative efficiency and optimal human </w:t>
      </w:r>
      <w:proofErr w:type="spellStart"/>
      <w:r w:rsidRPr="00290F7C">
        <w:rPr>
          <w:rFonts w:ascii="Times New Roman" w:hAnsi="Times New Roman" w:cs="Times New Roman"/>
          <w:sz w:val="24"/>
          <w:szCs w:val="24"/>
          <w:lang w:val="en-US"/>
        </w:rPr>
        <w:t>behaviour</w:t>
      </w:r>
      <w:proofErr w:type="spellEnd"/>
      <w:r w:rsidRPr="00290F7C">
        <w:rPr>
          <w:rFonts w:ascii="Times New Roman" w:hAnsi="Times New Roman" w:cs="Times New Roman"/>
          <w:sz w:val="24"/>
          <w:szCs w:val="24"/>
          <w:lang w:val="en-US"/>
        </w:rPr>
        <w:t xml:space="preserve"> will result only if decision-making process achieves 100% internalization of all external costs and benefits. </w:t>
      </w:r>
    </w:p>
    <w:p w14:paraId="78E5591C" w14:textId="4FFFD940" w:rsidR="00290F7C" w:rsidRDefault="00290F7C" w:rsidP="00290F7C">
      <w:pPr>
        <w:spacing w:line="276" w:lineRule="auto"/>
        <w:jc w:val="both"/>
        <w:rPr>
          <w:rFonts w:ascii="Times New Roman" w:hAnsi="Times New Roman" w:cs="Times New Roman"/>
          <w:sz w:val="24"/>
          <w:szCs w:val="24"/>
          <w:lang w:val="en-US"/>
        </w:rPr>
      </w:pPr>
      <w:r w:rsidRPr="00290F7C">
        <w:rPr>
          <w:rFonts w:ascii="Times New Roman" w:hAnsi="Times New Roman" w:cs="Times New Roman"/>
          <w:sz w:val="24"/>
          <w:szCs w:val="24"/>
          <w:lang w:val="en-US"/>
        </w:rPr>
        <w:t xml:space="preserve">     However, it </w:t>
      </w:r>
      <w:proofErr w:type="gramStart"/>
      <w:r w:rsidRPr="00290F7C">
        <w:rPr>
          <w:rFonts w:ascii="Times New Roman" w:hAnsi="Times New Roman" w:cs="Times New Roman"/>
          <w:sz w:val="24"/>
          <w:szCs w:val="24"/>
          <w:lang w:val="en-US"/>
        </w:rPr>
        <w:t>has to</w:t>
      </w:r>
      <w:proofErr w:type="gramEnd"/>
      <w:r w:rsidRPr="00290F7C">
        <w:rPr>
          <w:rFonts w:ascii="Times New Roman" w:hAnsi="Times New Roman" w:cs="Times New Roman"/>
          <w:sz w:val="24"/>
          <w:szCs w:val="24"/>
          <w:lang w:val="en-US"/>
        </w:rPr>
        <w:t xml:space="preserve"> be emphasized that the mere existence of market failures </w:t>
      </w:r>
      <w:r w:rsidRPr="00290F7C">
        <w:rPr>
          <w:rFonts w:ascii="Times New Roman" w:hAnsi="Times New Roman" w:cs="Times New Roman"/>
          <w:i/>
          <w:iCs/>
          <w:sz w:val="24"/>
          <w:szCs w:val="24"/>
          <w:lang w:val="en-US"/>
        </w:rPr>
        <w:t>per se</w:t>
      </w:r>
      <w:r w:rsidRPr="00290F7C">
        <w:rPr>
          <w:rFonts w:ascii="Times New Roman" w:hAnsi="Times New Roman" w:cs="Times New Roman"/>
          <w:sz w:val="24"/>
          <w:szCs w:val="24"/>
          <w:lang w:val="en-US"/>
        </w:rPr>
        <w:t xml:space="preserve"> is not an adequate ground for the regulatory intervention. Such a regulatory intervention should take place if and only if the costs of such an intervention do not exceed the benefits of such an intervention. Namely, efficiency gains of such an intervention may be outweighed by market distortions, increased transaction cost and other misallocations in other sectors of the economy fueled by such a regulatory intervention.</w:t>
      </w:r>
      <w:r w:rsidR="00060BCE">
        <w:rPr>
          <w:rStyle w:val="Sprotnaopomba-sklic"/>
          <w:rFonts w:ascii="Times New Roman" w:hAnsi="Times New Roman" w:cs="Times New Roman"/>
          <w:sz w:val="24"/>
          <w:szCs w:val="24"/>
          <w:lang w:val="en-US"/>
        </w:rPr>
        <w:footnoteReference w:id="21"/>
      </w:r>
      <w:r>
        <w:rPr>
          <w:rFonts w:ascii="Times New Roman" w:hAnsi="Times New Roman" w:cs="Times New Roman"/>
          <w:sz w:val="24"/>
          <w:szCs w:val="24"/>
          <w:lang w:val="en-US"/>
        </w:rPr>
        <w:t xml:space="preserve"> Moreover, as Tinbergen suggests </w:t>
      </w:r>
      <w:r w:rsidR="00B3181C" w:rsidRPr="00B3181C">
        <w:rPr>
          <w:rFonts w:ascii="Times New Roman" w:hAnsi="Times New Roman" w:cs="Times New Roman"/>
          <w:sz w:val="24"/>
          <w:szCs w:val="24"/>
          <w:lang w:val="en-US"/>
        </w:rPr>
        <w:t>th</w:t>
      </w:r>
      <w:r w:rsidR="00B3181C">
        <w:rPr>
          <w:rFonts w:ascii="Times New Roman" w:hAnsi="Times New Roman" w:cs="Times New Roman"/>
          <w:sz w:val="24"/>
          <w:szCs w:val="24"/>
          <w:lang w:val="en-US"/>
        </w:rPr>
        <w:t>at in</w:t>
      </w:r>
      <w:r w:rsidR="00B3181C" w:rsidRPr="00B3181C">
        <w:rPr>
          <w:rFonts w:ascii="Times New Roman" w:hAnsi="Times New Roman" w:cs="Times New Roman"/>
          <w:sz w:val="24"/>
          <w:szCs w:val="24"/>
          <w:lang w:val="en-US"/>
        </w:rPr>
        <w:t xml:space="preserve"> principle that </w:t>
      </w:r>
      <w:r w:rsidR="00B3181C">
        <w:rPr>
          <w:rFonts w:ascii="Times New Roman" w:hAnsi="Times New Roman" w:cs="Times New Roman"/>
          <w:sz w:val="24"/>
          <w:szCs w:val="24"/>
          <w:lang w:val="en-US"/>
        </w:rPr>
        <w:t>N</w:t>
      </w:r>
      <w:r w:rsidR="00B3181C" w:rsidRPr="00B3181C">
        <w:rPr>
          <w:rFonts w:ascii="Times New Roman" w:hAnsi="Times New Roman" w:cs="Times New Roman"/>
          <w:sz w:val="24"/>
          <w:szCs w:val="24"/>
          <w:lang w:val="en-US"/>
        </w:rPr>
        <w:t xml:space="preserve"> problems require </w:t>
      </w:r>
      <w:r w:rsidR="00B3181C">
        <w:rPr>
          <w:rFonts w:ascii="Times New Roman" w:hAnsi="Times New Roman" w:cs="Times New Roman"/>
          <w:sz w:val="24"/>
          <w:szCs w:val="24"/>
          <w:lang w:val="en-US"/>
        </w:rPr>
        <w:t>N</w:t>
      </w:r>
      <w:r w:rsidR="00B3181C" w:rsidRPr="00B3181C">
        <w:rPr>
          <w:rFonts w:ascii="Times New Roman" w:hAnsi="Times New Roman" w:cs="Times New Roman"/>
          <w:sz w:val="24"/>
          <w:szCs w:val="24"/>
          <w:lang w:val="en-US"/>
        </w:rPr>
        <w:t xml:space="preserve"> legal rules</w:t>
      </w:r>
      <w:r w:rsidR="00B3181C">
        <w:rPr>
          <w:rFonts w:ascii="Times New Roman" w:hAnsi="Times New Roman" w:cs="Times New Roman"/>
          <w:sz w:val="24"/>
          <w:szCs w:val="24"/>
          <w:lang w:val="en-US"/>
        </w:rPr>
        <w:t xml:space="preserve"> – One Instrument Per Problem Rule</w:t>
      </w:r>
      <w:r w:rsidR="00B3181C" w:rsidRPr="00B3181C">
        <w:rPr>
          <w:rFonts w:ascii="Times New Roman" w:hAnsi="Times New Roman" w:cs="Times New Roman"/>
          <w:sz w:val="24"/>
          <w:szCs w:val="24"/>
          <w:lang w:val="en-US"/>
        </w:rPr>
        <w:t>.</w:t>
      </w:r>
      <w:r w:rsidR="00B3181C">
        <w:rPr>
          <w:rStyle w:val="Sprotnaopomba-sklic"/>
          <w:rFonts w:ascii="Times New Roman" w:hAnsi="Times New Roman" w:cs="Times New Roman"/>
          <w:sz w:val="24"/>
          <w:szCs w:val="24"/>
          <w:lang w:val="en-US"/>
        </w:rPr>
        <w:footnoteReference w:id="22"/>
      </w:r>
      <w:r w:rsidR="00060BCE">
        <w:rPr>
          <w:rFonts w:ascii="Times New Roman" w:hAnsi="Times New Roman" w:cs="Times New Roman"/>
          <w:sz w:val="24"/>
          <w:szCs w:val="24"/>
          <w:lang w:val="en-US"/>
        </w:rPr>
        <w:t xml:space="preserve"> </w:t>
      </w:r>
      <w:r w:rsidRPr="00290F7C">
        <w:rPr>
          <w:rFonts w:ascii="Times New Roman" w:hAnsi="Times New Roman" w:cs="Times New Roman"/>
          <w:sz w:val="24"/>
          <w:szCs w:val="24"/>
          <w:lang w:val="en-US"/>
        </w:rPr>
        <w:t>Moreover, the notorious “tragedy of commons” concept suggests that individuals and/or firms might not see themselves as responsible for common resources such as public safety and might eventually destroy such common resource.</w:t>
      </w:r>
      <w:r w:rsidR="00060BCE">
        <w:rPr>
          <w:rStyle w:val="Sprotnaopomba-sklic"/>
          <w:rFonts w:ascii="Times New Roman" w:hAnsi="Times New Roman" w:cs="Times New Roman"/>
          <w:sz w:val="24"/>
          <w:szCs w:val="24"/>
          <w:lang w:val="en-US"/>
        </w:rPr>
        <w:footnoteReference w:id="23"/>
      </w:r>
    </w:p>
    <w:p w14:paraId="603DC4E5" w14:textId="038AF856" w:rsidR="00664C6B" w:rsidRPr="00664C6B" w:rsidRDefault="00664C6B" w:rsidP="00664C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64C6B">
        <w:rPr>
          <w:rFonts w:ascii="Times New Roman" w:hAnsi="Times New Roman" w:cs="Times New Roman"/>
          <w:sz w:val="24"/>
          <w:szCs w:val="24"/>
          <w:lang w:val="en-US"/>
        </w:rPr>
        <w:t xml:space="preserve">Where </w:t>
      </w:r>
      <w:bookmarkStart w:id="16" w:name="_Hlk39591075"/>
      <w:r w:rsidRPr="00664C6B">
        <w:rPr>
          <w:rFonts w:ascii="Times New Roman" w:hAnsi="Times New Roman" w:cs="Times New Roman"/>
          <w:sz w:val="24"/>
          <w:szCs w:val="24"/>
          <w:lang w:val="en-US"/>
        </w:rPr>
        <w:t>market failures are accompanied by private law failures there is the prima facie case for regulatory intervention</w:t>
      </w:r>
      <w:bookmarkEnd w:id="16"/>
      <w:r w:rsidRPr="00664C6B">
        <w:rPr>
          <w:rFonts w:ascii="Times New Roman" w:hAnsi="Times New Roman" w:cs="Times New Roman"/>
          <w:sz w:val="24"/>
          <w:szCs w:val="24"/>
          <w:lang w:val="en-US"/>
        </w:rPr>
        <w:t>. However, does the mere existence of any market failures justify corrective government intervention? Many instances of market failures are remediable “by private law and thus by instruments which are compatible with the market system in the sense that collective action is not required.</w:t>
      </w:r>
      <w:r w:rsidR="00C27EB7">
        <w:rPr>
          <w:rStyle w:val="Sprotnaopomba-sklic"/>
          <w:rFonts w:ascii="Times New Roman" w:hAnsi="Times New Roman" w:cs="Times New Roman"/>
          <w:sz w:val="24"/>
          <w:szCs w:val="24"/>
          <w:lang w:val="en-US"/>
        </w:rPr>
        <w:footnoteReference w:id="24"/>
      </w:r>
      <w:r w:rsidRPr="00664C6B">
        <w:rPr>
          <w:rFonts w:ascii="Times New Roman" w:hAnsi="Times New Roman" w:cs="Times New Roman"/>
          <w:sz w:val="24"/>
          <w:szCs w:val="24"/>
          <w:lang w:val="en-US"/>
        </w:rPr>
        <w:t xml:space="preserve"> Yet, as Professor Ogus convincingly shows private law cannot always provide an effective solution.</w:t>
      </w:r>
      <w:r w:rsidR="00C27EB7">
        <w:rPr>
          <w:rStyle w:val="Sprotnaopomba-sklic"/>
          <w:rFonts w:ascii="Times New Roman" w:hAnsi="Times New Roman" w:cs="Times New Roman"/>
          <w:sz w:val="24"/>
          <w:szCs w:val="24"/>
          <w:lang w:val="en-US"/>
        </w:rPr>
        <w:footnoteReference w:id="25"/>
      </w:r>
      <w:r w:rsidRPr="00664C6B">
        <w:rPr>
          <w:rFonts w:ascii="Times New Roman" w:hAnsi="Times New Roman" w:cs="Times New Roman"/>
          <w:sz w:val="24"/>
          <w:szCs w:val="24"/>
          <w:lang w:val="en-US"/>
        </w:rPr>
        <w:t xml:space="preserve"> Thus, where the “market failure” is accompanied with the “private law failure” there is, at least in theory, a </w:t>
      </w:r>
      <w:r w:rsidRPr="00664C6B">
        <w:rPr>
          <w:rFonts w:ascii="Times New Roman" w:hAnsi="Times New Roman" w:cs="Times New Roman"/>
          <w:i/>
          <w:iCs/>
          <w:sz w:val="24"/>
          <w:szCs w:val="24"/>
          <w:lang w:val="en-US"/>
        </w:rPr>
        <w:t>prima facie</w:t>
      </w:r>
      <w:r w:rsidRPr="00664C6B">
        <w:rPr>
          <w:rFonts w:ascii="Times New Roman" w:hAnsi="Times New Roman" w:cs="Times New Roman"/>
          <w:sz w:val="24"/>
          <w:szCs w:val="24"/>
          <w:lang w:val="en-US"/>
        </w:rPr>
        <w:t xml:space="preserve"> (though not a conclusive) case for regulatory intervention.  Namely, series of empirical studies have shown that the mere presence of suspected market imperfections does not by itself warrant government corrective </w:t>
      </w:r>
      <w:r w:rsidRPr="00664C6B">
        <w:rPr>
          <w:rFonts w:ascii="Times New Roman" w:hAnsi="Times New Roman" w:cs="Times New Roman"/>
          <w:sz w:val="24"/>
          <w:szCs w:val="24"/>
          <w:lang w:val="en-US"/>
        </w:rPr>
        <w:lastRenderedPageBreak/>
        <w:t>action and regulatory intervention.</w:t>
      </w:r>
      <w:r w:rsidR="00C27EB7">
        <w:rPr>
          <w:rStyle w:val="Sprotnaopomba-sklic"/>
          <w:rFonts w:ascii="Times New Roman" w:hAnsi="Times New Roman" w:cs="Times New Roman"/>
          <w:sz w:val="24"/>
          <w:szCs w:val="24"/>
          <w:lang w:val="en-US"/>
        </w:rPr>
        <w:footnoteReference w:id="26"/>
      </w:r>
      <w:r w:rsidRPr="00664C6B">
        <w:rPr>
          <w:rFonts w:ascii="Times New Roman" w:hAnsi="Times New Roman" w:cs="Times New Roman"/>
          <w:sz w:val="24"/>
          <w:szCs w:val="24"/>
          <w:lang w:val="en-US"/>
        </w:rPr>
        <w:t xml:space="preserve"> Namely, once the government steps in, it might often exclude private initiative that might, in good entrepreneurial fashion, have invented ways of alleviating the suspected market imperfection.</w:t>
      </w:r>
      <w:r w:rsidR="00C27EB7">
        <w:rPr>
          <w:rStyle w:val="Sprotnaopomba-sklic"/>
          <w:rFonts w:ascii="Times New Roman" w:hAnsi="Times New Roman" w:cs="Times New Roman"/>
          <w:sz w:val="24"/>
          <w:szCs w:val="24"/>
          <w:lang w:val="en-US"/>
        </w:rPr>
        <w:footnoteReference w:id="27"/>
      </w:r>
      <w:r w:rsidRPr="00664C6B">
        <w:rPr>
          <w:rFonts w:ascii="Times New Roman" w:hAnsi="Times New Roman" w:cs="Times New Roman"/>
          <w:sz w:val="24"/>
          <w:szCs w:val="24"/>
          <w:lang w:val="en-US"/>
        </w:rPr>
        <w:t xml:space="preserve"> “Government intervention tends to foreclose such demonstration and thereby to become a self-perpetuating process</w:t>
      </w:r>
      <w:r w:rsidR="00C27EB7">
        <w:rPr>
          <w:rFonts w:ascii="Times New Roman" w:hAnsi="Times New Roman" w:cs="Times New Roman"/>
          <w:sz w:val="24"/>
          <w:szCs w:val="24"/>
          <w:lang w:val="en-US"/>
        </w:rPr>
        <w:t>.</w:t>
      </w:r>
      <w:r w:rsidRPr="00664C6B">
        <w:rPr>
          <w:rFonts w:ascii="Times New Roman" w:hAnsi="Times New Roman" w:cs="Times New Roman"/>
          <w:sz w:val="24"/>
          <w:szCs w:val="24"/>
          <w:lang w:val="en-US"/>
        </w:rPr>
        <w:t>”</w:t>
      </w:r>
      <w:r w:rsidR="00C27EB7">
        <w:rPr>
          <w:rStyle w:val="Sprotnaopomba-sklic"/>
          <w:rFonts w:ascii="Times New Roman" w:hAnsi="Times New Roman" w:cs="Times New Roman"/>
          <w:sz w:val="24"/>
          <w:szCs w:val="24"/>
          <w:lang w:val="en-US"/>
        </w:rPr>
        <w:footnoteReference w:id="28"/>
      </w:r>
      <w:r w:rsidRPr="00664C6B">
        <w:rPr>
          <w:rFonts w:ascii="Times New Roman" w:hAnsi="Times New Roman" w:cs="Times New Roman"/>
          <w:sz w:val="24"/>
          <w:szCs w:val="24"/>
          <w:lang w:val="en-US"/>
        </w:rPr>
        <w:t xml:space="preserve"> Literature also suggest that even in instances of repeated market failures, the costs stemming from such imperfections should be weighed against those which government interventions itself generates.</w:t>
      </w:r>
      <w:r w:rsidR="00C27EB7">
        <w:rPr>
          <w:rStyle w:val="Sprotnaopomba-sklic"/>
          <w:rFonts w:ascii="Times New Roman" w:hAnsi="Times New Roman" w:cs="Times New Roman"/>
          <w:sz w:val="24"/>
          <w:szCs w:val="24"/>
          <w:lang w:val="en-US"/>
        </w:rPr>
        <w:footnoteReference w:id="29"/>
      </w:r>
      <w:r w:rsidRPr="00664C6B">
        <w:rPr>
          <w:rFonts w:ascii="Times New Roman" w:hAnsi="Times New Roman" w:cs="Times New Roman"/>
          <w:sz w:val="24"/>
          <w:szCs w:val="24"/>
          <w:lang w:val="en-US"/>
        </w:rPr>
        <w:t xml:space="preserve"> Namely, for such optimal governmental intervention one assumes perfect functioning of such public administration that merely maximizes social benefits. </w:t>
      </w:r>
    </w:p>
    <w:p w14:paraId="3CB77A61" w14:textId="3952613D" w:rsidR="00664C6B" w:rsidRPr="00664C6B" w:rsidRDefault="00664C6B" w:rsidP="00664C6B">
      <w:pPr>
        <w:spacing w:line="276" w:lineRule="auto"/>
        <w:jc w:val="both"/>
        <w:rPr>
          <w:rFonts w:ascii="Times New Roman" w:hAnsi="Times New Roman" w:cs="Times New Roman"/>
          <w:sz w:val="24"/>
          <w:szCs w:val="24"/>
          <w:lang w:val="en-US"/>
        </w:rPr>
      </w:pPr>
      <w:r w:rsidRPr="00664C6B">
        <w:rPr>
          <w:rFonts w:ascii="Times New Roman" w:hAnsi="Times New Roman" w:cs="Times New Roman"/>
          <w:sz w:val="24"/>
          <w:szCs w:val="24"/>
          <w:lang w:val="en-US"/>
        </w:rPr>
        <w:t xml:space="preserve">     However, governmental intervention, while seeking to address certain market failure (and maybe even effectively curing particular, individual market failure), may unintentionally while distorting the rests of the markets imposed even higher cost upon society and its citizens.</w:t>
      </w:r>
      <w:r w:rsidR="00070C6A">
        <w:rPr>
          <w:rStyle w:val="Sprotnaopomba-sklic"/>
          <w:rFonts w:ascii="Times New Roman" w:hAnsi="Times New Roman" w:cs="Times New Roman"/>
          <w:sz w:val="24"/>
          <w:szCs w:val="24"/>
          <w:lang w:val="en-US"/>
        </w:rPr>
        <w:footnoteReference w:id="30"/>
      </w:r>
      <w:r w:rsidRPr="00664C6B">
        <w:rPr>
          <w:rFonts w:ascii="Times New Roman" w:hAnsi="Times New Roman" w:cs="Times New Roman"/>
          <w:sz w:val="24"/>
          <w:szCs w:val="24"/>
          <w:lang w:val="en-US"/>
        </w:rPr>
        <w:t xml:space="preserve"> In other words, </w:t>
      </w:r>
      <w:bookmarkStart w:id="17" w:name="_Hlk39591288"/>
      <w:r w:rsidRPr="00664C6B">
        <w:rPr>
          <w:rFonts w:ascii="Times New Roman" w:hAnsi="Times New Roman" w:cs="Times New Roman"/>
          <w:sz w:val="24"/>
          <w:szCs w:val="24"/>
          <w:lang w:val="en-US"/>
        </w:rPr>
        <w:t xml:space="preserve">as a rule of thumb, regulatory intervention is warranted if, and only if the costs of such intervention do not exceed </w:t>
      </w:r>
      <w:proofErr w:type="gramStart"/>
      <w:r w:rsidRPr="00664C6B">
        <w:rPr>
          <w:rFonts w:ascii="Times New Roman" w:hAnsi="Times New Roman" w:cs="Times New Roman"/>
          <w:sz w:val="24"/>
          <w:szCs w:val="24"/>
          <w:lang w:val="en-US"/>
        </w:rPr>
        <w:t>the its</w:t>
      </w:r>
      <w:proofErr w:type="gramEnd"/>
      <w:r w:rsidRPr="00664C6B">
        <w:rPr>
          <w:rFonts w:ascii="Times New Roman" w:hAnsi="Times New Roman" w:cs="Times New Roman"/>
          <w:sz w:val="24"/>
          <w:szCs w:val="24"/>
          <w:lang w:val="en-US"/>
        </w:rPr>
        <w:t xml:space="preserve"> benefits. </w:t>
      </w:r>
      <w:bookmarkEnd w:id="17"/>
      <w:r w:rsidRPr="00664C6B">
        <w:rPr>
          <w:rFonts w:ascii="Times New Roman" w:hAnsi="Times New Roman" w:cs="Times New Roman"/>
          <w:sz w:val="24"/>
          <w:szCs w:val="24"/>
          <w:lang w:val="en-US"/>
        </w:rPr>
        <w:t>The argument for such a rule of thumb is that either regulatory solution may be no more successful in correcting the inefficiencies than the market or private law, or that any efficiency gains to which it does give rise may be outweighed by increased transaction costs or misallocations created in other sectors of economy.</w:t>
      </w:r>
      <w:r w:rsidR="00070C6A">
        <w:rPr>
          <w:rStyle w:val="Sprotnaopomba-sklic"/>
          <w:rFonts w:ascii="Times New Roman" w:hAnsi="Times New Roman" w:cs="Times New Roman"/>
          <w:sz w:val="24"/>
          <w:szCs w:val="24"/>
          <w:lang w:val="en-US"/>
        </w:rPr>
        <w:footnoteReference w:id="31"/>
      </w:r>
    </w:p>
    <w:p w14:paraId="65DEB85F" w14:textId="77777777" w:rsidR="00664C6B" w:rsidRPr="00664C6B" w:rsidRDefault="00664C6B" w:rsidP="00664C6B">
      <w:pPr>
        <w:spacing w:line="276" w:lineRule="auto"/>
        <w:jc w:val="both"/>
        <w:rPr>
          <w:rFonts w:ascii="Times New Roman" w:hAnsi="Times New Roman" w:cs="Times New Roman"/>
          <w:sz w:val="24"/>
          <w:szCs w:val="24"/>
          <w:lang w:val="en-US"/>
        </w:rPr>
      </w:pPr>
      <w:r w:rsidRPr="00664C6B">
        <w:rPr>
          <w:rFonts w:ascii="Times New Roman" w:hAnsi="Times New Roman" w:cs="Times New Roman"/>
          <w:sz w:val="24"/>
          <w:szCs w:val="24"/>
          <w:lang w:val="en-US"/>
        </w:rPr>
        <w:t xml:space="preserve">     The costs of government failure should be carefully compared and weighed against those of market failure. For example, such distortions may, besides government’s tendency to perpetuate, materialize in rent seeking activities of particular interest groups under the guise of the general interest. </w:t>
      </w:r>
    </w:p>
    <w:p w14:paraId="2C540C40" w14:textId="408EB90E" w:rsidR="00664C6B" w:rsidRPr="00664C6B" w:rsidRDefault="00664C6B" w:rsidP="00664C6B">
      <w:pPr>
        <w:spacing w:line="276" w:lineRule="auto"/>
        <w:jc w:val="both"/>
        <w:rPr>
          <w:rFonts w:ascii="Times New Roman" w:hAnsi="Times New Roman" w:cs="Times New Roman"/>
          <w:sz w:val="24"/>
          <w:szCs w:val="24"/>
          <w:lang w:val="en-US"/>
        </w:rPr>
      </w:pPr>
      <w:r w:rsidRPr="00664C6B">
        <w:rPr>
          <w:rFonts w:ascii="Times New Roman" w:hAnsi="Times New Roman" w:cs="Times New Roman"/>
          <w:sz w:val="24"/>
          <w:szCs w:val="24"/>
          <w:lang w:val="en-US"/>
        </w:rPr>
        <w:t xml:space="preserve">     Moreover, a traditional approach of political economy believed that that it was the main function of government to correct market failures.</w:t>
      </w:r>
      <w:r w:rsidR="00070C6A">
        <w:rPr>
          <w:rStyle w:val="Sprotnaopomba-sklic"/>
          <w:rFonts w:ascii="Times New Roman" w:hAnsi="Times New Roman" w:cs="Times New Roman"/>
          <w:sz w:val="24"/>
          <w:szCs w:val="24"/>
          <w:lang w:val="en-US"/>
        </w:rPr>
        <w:footnoteReference w:id="32"/>
      </w:r>
      <w:r w:rsidRPr="00664C6B">
        <w:rPr>
          <w:rFonts w:ascii="Times New Roman" w:hAnsi="Times New Roman" w:cs="Times New Roman"/>
          <w:sz w:val="24"/>
          <w:szCs w:val="24"/>
          <w:lang w:val="en-US"/>
        </w:rPr>
        <w:t xml:space="preserve"> However, these justifications of governmental regulatory functions have one common weakness – they assume a perfectly functioning government. Yet, </w:t>
      </w:r>
      <w:bookmarkStart w:id="18" w:name="_Hlk38703351"/>
      <w:r w:rsidRPr="00664C6B">
        <w:rPr>
          <w:rFonts w:ascii="Times New Roman" w:hAnsi="Times New Roman" w:cs="Times New Roman"/>
          <w:sz w:val="24"/>
          <w:szCs w:val="24"/>
          <w:lang w:val="en-US"/>
        </w:rPr>
        <w:t>if there is a market failure, it cannot be excluded that there is also “government failure</w:t>
      </w:r>
      <w:r w:rsidR="00070C6A">
        <w:rPr>
          <w:rFonts w:ascii="Times New Roman" w:hAnsi="Times New Roman" w:cs="Times New Roman"/>
          <w:sz w:val="24"/>
          <w:szCs w:val="24"/>
          <w:lang w:val="en-US"/>
        </w:rPr>
        <w:t>.</w:t>
      </w:r>
      <w:r w:rsidRPr="00664C6B">
        <w:rPr>
          <w:rFonts w:ascii="Times New Roman" w:hAnsi="Times New Roman" w:cs="Times New Roman"/>
          <w:sz w:val="24"/>
          <w:szCs w:val="24"/>
          <w:lang w:val="en-US"/>
        </w:rPr>
        <w:t>”</w:t>
      </w:r>
      <w:bookmarkEnd w:id="18"/>
      <w:r w:rsidR="00070C6A">
        <w:rPr>
          <w:rStyle w:val="Sprotnaopomba-sklic"/>
          <w:rFonts w:ascii="Times New Roman" w:hAnsi="Times New Roman" w:cs="Times New Roman"/>
          <w:sz w:val="24"/>
          <w:szCs w:val="24"/>
          <w:lang w:val="en-US"/>
        </w:rPr>
        <w:footnoteReference w:id="33"/>
      </w:r>
      <w:r w:rsidRPr="00664C6B">
        <w:rPr>
          <w:rFonts w:ascii="Times New Roman" w:hAnsi="Times New Roman" w:cs="Times New Roman"/>
          <w:sz w:val="24"/>
          <w:szCs w:val="24"/>
          <w:lang w:val="en-US"/>
        </w:rPr>
        <w:t xml:space="preserve"> According to public choice theory one may assume that the main motivation of politicians is to maximize their individual utility and in principle seek to maximize the votes they get in general election.</w:t>
      </w:r>
      <w:r w:rsidR="00070C6A">
        <w:rPr>
          <w:rStyle w:val="Sprotnaopomba-sklic"/>
          <w:rFonts w:ascii="Times New Roman" w:hAnsi="Times New Roman" w:cs="Times New Roman"/>
          <w:sz w:val="24"/>
          <w:szCs w:val="24"/>
          <w:lang w:val="en-US"/>
        </w:rPr>
        <w:footnoteReference w:id="34"/>
      </w:r>
      <w:r w:rsidRPr="00664C6B">
        <w:rPr>
          <w:rFonts w:ascii="Times New Roman" w:hAnsi="Times New Roman" w:cs="Times New Roman"/>
          <w:sz w:val="24"/>
          <w:szCs w:val="24"/>
          <w:lang w:val="en-US"/>
        </w:rPr>
        <w:t xml:space="preserve"> However, the regulatory intervention, enforcement of policies and correction of market failures is in reality executed by the public administration (bureaucrats). Public choice theory suggests that also the bureaucrats’ principal </w:t>
      </w:r>
      <w:r w:rsidRPr="00664C6B">
        <w:rPr>
          <w:rFonts w:ascii="Times New Roman" w:hAnsi="Times New Roman" w:cs="Times New Roman"/>
          <w:sz w:val="24"/>
          <w:szCs w:val="24"/>
          <w:lang w:val="en-US"/>
        </w:rPr>
        <w:lastRenderedPageBreak/>
        <w:t>motivation is to maximize their utility.</w:t>
      </w:r>
      <w:r w:rsidR="00070C6A">
        <w:rPr>
          <w:rStyle w:val="Sprotnaopomba-sklic"/>
          <w:rFonts w:ascii="Times New Roman" w:hAnsi="Times New Roman" w:cs="Times New Roman"/>
          <w:sz w:val="24"/>
          <w:szCs w:val="24"/>
          <w:lang w:val="en-US"/>
        </w:rPr>
        <w:footnoteReference w:id="35"/>
      </w:r>
      <w:r w:rsidRPr="00664C6B">
        <w:rPr>
          <w:rFonts w:ascii="Times New Roman" w:hAnsi="Times New Roman" w:cs="Times New Roman"/>
          <w:sz w:val="24"/>
          <w:szCs w:val="24"/>
          <w:lang w:val="en-US"/>
        </w:rPr>
        <w:t xml:space="preserve"> Their preferences often diverge, depending on function that they exercise within the organization.</w:t>
      </w:r>
      <w:r w:rsidR="00070C6A">
        <w:rPr>
          <w:rStyle w:val="Sprotnaopomba-sklic"/>
          <w:rFonts w:ascii="Times New Roman" w:hAnsi="Times New Roman" w:cs="Times New Roman"/>
          <w:sz w:val="24"/>
          <w:szCs w:val="24"/>
          <w:lang w:val="en-US"/>
        </w:rPr>
        <w:footnoteReference w:id="36"/>
      </w:r>
      <w:r w:rsidRPr="00664C6B">
        <w:rPr>
          <w:rFonts w:ascii="Times New Roman" w:hAnsi="Times New Roman" w:cs="Times New Roman"/>
          <w:sz w:val="24"/>
          <w:szCs w:val="24"/>
          <w:lang w:val="en-US"/>
        </w:rPr>
        <w:t xml:space="preserve"> Literature argues that they may be interested in job security, a higher salary, more attractive employment terms, an increase in power, public appreciation and status or in decreasing their workload.</w:t>
      </w:r>
      <w:r w:rsidR="00070C6A">
        <w:rPr>
          <w:rStyle w:val="Sprotnaopomba-sklic"/>
          <w:rFonts w:ascii="Times New Roman" w:hAnsi="Times New Roman" w:cs="Times New Roman"/>
          <w:sz w:val="24"/>
          <w:szCs w:val="24"/>
          <w:lang w:val="en-US"/>
        </w:rPr>
        <w:footnoteReference w:id="37"/>
      </w:r>
      <w:r w:rsidRPr="00664C6B">
        <w:rPr>
          <w:rFonts w:ascii="Times New Roman" w:hAnsi="Times New Roman" w:cs="Times New Roman"/>
          <w:sz w:val="24"/>
          <w:szCs w:val="24"/>
          <w:lang w:val="en-US"/>
        </w:rPr>
        <w:t xml:space="preserve"> Public choice theory hence suggest that bureaucrats are mainly motivated by maximizing their budget and might not be motivated, as assumed idealistically until the 1950s, by a romantic drive to correct market failures and other sources of inefficiencies. </w:t>
      </w:r>
    </w:p>
    <w:p w14:paraId="2F66B0C4" w14:textId="4CD73CC4" w:rsidR="00664C6B" w:rsidRDefault="00664C6B" w:rsidP="00664C6B">
      <w:pPr>
        <w:spacing w:line="276" w:lineRule="auto"/>
        <w:jc w:val="both"/>
        <w:rPr>
          <w:rFonts w:ascii="Times New Roman" w:hAnsi="Times New Roman" w:cs="Times New Roman"/>
          <w:sz w:val="24"/>
          <w:szCs w:val="24"/>
          <w:lang w:val="en-US"/>
        </w:rPr>
      </w:pPr>
      <w:r w:rsidRPr="00664C6B">
        <w:rPr>
          <w:rFonts w:ascii="Times New Roman" w:hAnsi="Times New Roman" w:cs="Times New Roman"/>
          <w:sz w:val="24"/>
          <w:szCs w:val="24"/>
          <w:lang w:val="en-US"/>
        </w:rPr>
        <w:t xml:space="preserve">     In addition, poor policy may result from inadequate information, failure to anticipate significant side-effects of certain behavior, phenomena (like </w:t>
      </w:r>
      <w:r w:rsidR="007B2C85">
        <w:rPr>
          <w:rFonts w:ascii="Times New Roman" w:hAnsi="Times New Roman" w:cs="Times New Roman"/>
          <w:sz w:val="24"/>
          <w:szCs w:val="24"/>
          <w:lang w:val="en-US"/>
        </w:rPr>
        <w:t>generative</w:t>
      </w:r>
      <w:r w:rsidRPr="00664C6B">
        <w:rPr>
          <w:rFonts w:ascii="Times New Roman" w:hAnsi="Times New Roman" w:cs="Times New Roman"/>
          <w:sz w:val="24"/>
          <w:szCs w:val="24"/>
          <w:lang w:val="en-US"/>
        </w:rPr>
        <w:t xml:space="preserve"> AI) or regulatory instruments.</w:t>
      </w:r>
      <w:r w:rsidR="007B2C85">
        <w:rPr>
          <w:rStyle w:val="Sprotnaopomba-sklic"/>
          <w:rFonts w:ascii="Times New Roman" w:hAnsi="Times New Roman" w:cs="Times New Roman"/>
          <w:sz w:val="24"/>
          <w:szCs w:val="24"/>
          <w:lang w:val="en-US"/>
        </w:rPr>
        <w:footnoteReference w:id="38"/>
      </w:r>
      <w:r w:rsidRPr="00664C6B">
        <w:rPr>
          <w:rFonts w:ascii="Times New Roman" w:hAnsi="Times New Roman" w:cs="Times New Roman"/>
          <w:sz w:val="24"/>
          <w:szCs w:val="24"/>
          <w:lang w:val="en-US"/>
        </w:rPr>
        <w:t xml:space="preserve"> Such poor regulatory intervention may occur where the government had to be seen to respond rapidly to widespread calls for action, following a disaster which had captured the public attention,</w:t>
      </w:r>
      <w:r w:rsidR="007B2C85">
        <w:rPr>
          <w:rStyle w:val="Sprotnaopomba-sklic"/>
          <w:rFonts w:ascii="Times New Roman" w:hAnsi="Times New Roman" w:cs="Times New Roman"/>
          <w:sz w:val="24"/>
          <w:szCs w:val="24"/>
          <w:lang w:val="en-US"/>
        </w:rPr>
        <w:footnoteReference w:id="39"/>
      </w:r>
      <w:r w:rsidRPr="00664C6B">
        <w:rPr>
          <w:rFonts w:ascii="Times New Roman" w:hAnsi="Times New Roman" w:cs="Times New Roman"/>
          <w:sz w:val="24"/>
          <w:szCs w:val="24"/>
          <w:lang w:val="en-US"/>
        </w:rPr>
        <w:t xml:space="preserve"> or when it lacks resources or adapting a passive, compromising approach to contraventions.</w:t>
      </w:r>
      <w:r w:rsidR="007B2C85">
        <w:rPr>
          <w:rStyle w:val="Sprotnaopomba-sklic"/>
          <w:rFonts w:ascii="Times New Roman" w:hAnsi="Times New Roman" w:cs="Times New Roman"/>
          <w:sz w:val="24"/>
          <w:szCs w:val="24"/>
          <w:lang w:val="en-US"/>
        </w:rPr>
        <w:footnoteReference w:id="40"/>
      </w:r>
      <w:r w:rsidRPr="00664C6B">
        <w:rPr>
          <w:rFonts w:ascii="Times New Roman" w:hAnsi="Times New Roman" w:cs="Times New Roman"/>
          <w:sz w:val="24"/>
          <w:szCs w:val="24"/>
          <w:lang w:val="en-US"/>
        </w:rPr>
        <w:t xml:space="preserve"> Therefore, public choice theory offers an additional support to our rule of thumb stating that </w:t>
      </w:r>
      <w:bookmarkStart w:id="20" w:name="_Hlk38702357"/>
      <w:r w:rsidRPr="00664C6B">
        <w:rPr>
          <w:rFonts w:ascii="Times New Roman" w:hAnsi="Times New Roman" w:cs="Times New Roman"/>
          <w:sz w:val="24"/>
          <w:szCs w:val="24"/>
          <w:lang w:val="en-US"/>
        </w:rPr>
        <w:t>“state interventions are only justified if they produce less harm than market inefficiencies.”</w:t>
      </w:r>
    </w:p>
    <w:p w14:paraId="4278312F" w14:textId="2306F056" w:rsidR="00315275" w:rsidRDefault="00315275" w:rsidP="00664C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23EE0">
        <w:rPr>
          <w:rFonts w:ascii="Times New Roman" w:hAnsi="Times New Roman" w:cs="Times New Roman"/>
          <w:sz w:val="24"/>
          <w:szCs w:val="24"/>
          <w:lang w:val="en-US"/>
        </w:rPr>
        <w:t>In recent years study of regulation has become a multi-disciplinary field, with substantial contributions to regulatory debates being made by lawyers, political scientists, psychologists, behavioral economists, and others.</w:t>
      </w:r>
      <w:r w:rsidR="00123EE0">
        <w:rPr>
          <w:rStyle w:val="Sprotnaopomba-sklic"/>
          <w:rFonts w:ascii="Times New Roman" w:hAnsi="Times New Roman" w:cs="Times New Roman"/>
          <w:sz w:val="24"/>
          <w:szCs w:val="24"/>
          <w:lang w:val="en-US"/>
        </w:rPr>
        <w:footnoteReference w:id="41"/>
      </w:r>
      <w:r w:rsidR="00123EE0">
        <w:rPr>
          <w:rFonts w:ascii="Times New Roman" w:hAnsi="Times New Roman" w:cs="Times New Roman"/>
          <w:sz w:val="24"/>
          <w:szCs w:val="24"/>
          <w:lang w:val="en-US"/>
        </w:rPr>
        <w:t xml:space="preserve"> Regulation actually </w:t>
      </w:r>
      <w:proofErr w:type="gramStart"/>
      <w:r w:rsidR="00123EE0">
        <w:rPr>
          <w:rFonts w:ascii="Times New Roman" w:hAnsi="Times New Roman" w:cs="Times New Roman"/>
          <w:sz w:val="24"/>
          <w:szCs w:val="24"/>
          <w:lang w:val="en-US"/>
        </w:rPr>
        <w:t>become</w:t>
      </w:r>
      <w:proofErr w:type="gramEnd"/>
      <w:r w:rsidR="00123EE0">
        <w:rPr>
          <w:rFonts w:ascii="Times New Roman" w:hAnsi="Times New Roman" w:cs="Times New Roman"/>
          <w:sz w:val="24"/>
          <w:szCs w:val="24"/>
          <w:lang w:val="en-US"/>
        </w:rPr>
        <w:t xml:space="preserve"> central to the interaction between economic, legal, political, entrepreneurial and innovation spheres. The rise of a better regulation agenda was then designed to encompass consistency between “red-tape” and “regulatory quality” developments.</w:t>
      </w:r>
      <w:r w:rsidR="00123EE0">
        <w:rPr>
          <w:rStyle w:val="Sprotnaopomba-sklic"/>
          <w:rFonts w:ascii="Times New Roman" w:hAnsi="Times New Roman" w:cs="Times New Roman"/>
          <w:sz w:val="24"/>
          <w:szCs w:val="24"/>
          <w:lang w:val="en-US"/>
        </w:rPr>
        <w:footnoteReference w:id="42"/>
      </w:r>
      <w:r w:rsidR="00CE1FD4">
        <w:rPr>
          <w:rFonts w:ascii="Times New Roman" w:hAnsi="Times New Roman" w:cs="Times New Roman"/>
          <w:sz w:val="24"/>
          <w:szCs w:val="24"/>
          <w:lang w:val="en-US"/>
        </w:rPr>
        <w:t xml:space="preserve"> The so-called command-and-control (top-down approach) was the initial starting of regulators which subsequently evolved into the less-restrictive and incentive-based regulatory policies.</w:t>
      </w:r>
      <w:r w:rsidR="00CE1FD4">
        <w:rPr>
          <w:rStyle w:val="Sprotnaopomba-sklic"/>
          <w:rFonts w:ascii="Times New Roman" w:hAnsi="Times New Roman" w:cs="Times New Roman"/>
          <w:sz w:val="24"/>
          <w:szCs w:val="24"/>
          <w:lang w:val="en-US"/>
        </w:rPr>
        <w:footnoteReference w:id="43"/>
      </w:r>
      <w:r w:rsidR="00CE1FD4">
        <w:rPr>
          <w:rFonts w:ascii="Times New Roman" w:hAnsi="Times New Roman" w:cs="Times New Roman"/>
          <w:sz w:val="24"/>
          <w:szCs w:val="24"/>
          <w:lang w:val="en-US"/>
        </w:rPr>
        <w:t xml:space="preserve"> This approach then evolved into the regulating by auditing the control regimes being operated within firms and hence relying on schemes of “meta-regulation.”</w:t>
      </w:r>
      <w:r w:rsidR="00CE1FD4">
        <w:rPr>
          <w:rStyle w:val="Sprotnaopomba-sklic"/>
          <w:rFonts w:ascii="Times New Roman" w:hAnsi="Times New Roman" w:cs="Times New Roman"/>
          <w:sz w:val="24"/>
          <w:szCs w:val="24"/>
          <w:lang w:val="en-US"/>
        </w:rPr>
        <w:footnoteReference w:id="44"/>
      </w:r>
      <w:r w:rsidR="00CE1FD4">
        <w:rPr>
          <w:rFonts w:ascii="Times New Roman" w:hAnsi="Times New Roman" w:cs="Times New Roman"/>
          <w:sz w:val="24"/>
          <w:szCs w:val="24"/>
          <w:lang w:val="en-US"/>
        </w:rPr>
        <w:t xml:space="preserve"> Next step was then to see the regulatory issues in terms of </w:t>
      </w:r>
      <w:r w:rsidR="00CE1FD4">
        <w:rPr>
          <w:rFonts w:ascii="Times New Roman" w:hAnsi="Times New Roman" w:cs="Times New Roman"/>
          <w:sz w:val="24"/>
          <w:szCs w:val="24"/>
          <w:lang w:val="en-US"/>
        </w:rPr>
        <w:lastRenderedPageBreak/>
        <w:t>risk</w:t>
      </w:r>
      <w:r w:rsidR="00C840E7">
        <w:rPr>
          <w:rFonts w:ascii="Times New Roman" w:hAnsi="Times New Roman" w:cs="Times New Roman"/>
          <w:sz w:val="24"/>
          <w:szCs w:val="24"/>
          <w:lang w:val="en-US"/>
        </w:rPr>
        <w:t>-based</w:t>
      </w:r>
      <w:r w:rsidR="00CE1FD4">
        <w:rPr>
          <w:rFonts w:ascii="Times New Roman" w:hAnsi="Times New Roman" w:cs="Times New Roman"/>
          <w:sz w:val="24"/>
          <w:szCs w:val="24"/>
          <w:lang w:val="en-US"/>
        </w:rPr>
        <w:t>,</w:t>
      </w:r>
      <w:r w:rsidR="00C840E7">
        <w:rPr>
          <w:rFonts w:ascii="Times New Roman" w:hAnsi="Times New Roman" w:cs="Times New Roman"/>
          <w:sz w:val="24"/>
          <w:szCs w:val="24"/>
          <w:lang w:val="en-US"/>
        </w:rPr>
        <w:t xml:space="preserve"> principle-based,</w:t>
      </w:r>
      <w:r w:rsidR="00CE1FD4">
        <w:rPr>
          <w:rFonts w:ascii="Times New Roman" w:hAnsi="Times New Roman" w:cs="Times New Roman"/>
          <w:sz w:val="24"/>
          <w:szCs w:val="24"/>
          <w:lang w:val="en-US"/>
        </w:rPr>
        <w:t xml:space="preserve"> control</w:t>
      </w:r>
      <w:r w:rsidR="00C840E7">
        <w:rPr>
          <w:rFonts w:ascii="Times New Roman" w:hAnsi="Times New Roman" w:cs="Times New Roman"/>
          <w:sz w:val="24"/>
          <w:szCs w:val="24"/>
          <w:lang w:val="en-US"/>
        </w:rPr>
        <w:t>-based</w:t>
      </w:r>
      <w:r w:rsidR="00CE1FD4">
        <w:rPr>
          <w:rFonts w:ascii="Times New Roman" w:hAnsi="Times New Roman" w:cs="Times New Roman"/>
          <w:sz w:val="24"/>
          <w:szCs w:val="24"/>
          <w:lang w:val="en-US"/>
        </w:rPr>
        <w:t xml:space="preserve"> and risk management.</w:t>
      </w:r>
      <w:r w:rsidR="00CE1FD4">
        <w:rPr>
          <w:rStyle w:val="Sprotnaopomba-sklic"/>
          <w:rFonts w:ascii="Times New Roman" w:hAnsi="Times New Roman" w:cs="Times New Roman"/>
          <w:sz w:val="24"/>
          <w:szCs w:val="24"/>
          <w:lang w:val="en-US"/>
        </w:rPr>
        <w:footnoteReference w:id="45"/>
      </w:r>
      <w:r w:rsidR="00CE1FD4">
        <w:rPr>
          <w:rFonts w:ascii="Times New Roman" w:hAnsi="Times New Roman" w:cs="Times New Roman"/>
          <w:sz w:val="24"/>
          <w:szCs w:val="24"/>
          <w:lang w:val="en-US"/>
        </w:rPr>
        <w:t xml:space="preserve"> In other words, regulation has become a central organizing principle for worlds of practice and research.</w:t>
      </w:r>
      <w:r w:rsidR="00CE1FD4">
        <w:rPr>
          <w:rStyle w:val="Sprotnaopomba-sklic"/>
          <w:rFonts w:ascii="Times New Roman" w:hAnsi="Times New Roman" w:cs="Times New Roman"/>
          <w:sz w:val="24"/>
          <w:szCs w:val="24"/>
          <w:lang w:val="en-US"/>
        </w:rPr>
        <w:footnoteReference w:id="46"/>
      </w:r>
      <w:r w:rsidR="00C840E7">
        <w:rPr>
          <w:rFonts w:ascii="Times New Roman" w:hAnsi="Times New Roman" w:cs="Times New Roman"/>
          <w:sz w:val="24"/>
          <w:szCs w:val="24"/>
          <w:lang w:val="en-US"/>
        </w:rPr>
        <w:t xml:space="preserve"> Scholarly effort also produced insightful literature on compliance and deterrence approaches,</w:t>
      </w:r>
      <w:r w:rsidR="00C840E7">
        <w:rPr>
          <w:rStyle w:val="Sprotnaopomba-sklic"/>
          <w:rFonts w:ascii="Times New Roman" w:hAnsi="Times New Roman" w:cs="Times New Roman"/>
          <w:sz w:val="24"/>
          <w:szCs w:val="24"/>
          <w:lang w:val="en-US"/>
        </w:rPr>
        <w:footnoteReference w:id="47"/>
      </w:r>
      <w:r w:rsidR="00C840E7">
        <w:rPr>
          <w:rFonts w:ascii="Times New Roman" w:hAnsi="Times New Roman" w:cs="Times New Roman"/>
          <w:sz w:val="24"/>
          <w:szCs w:val="24"/>
          <w:lang w:val="en-US"/>
        </w:rPr>
        <w:t xml:space="preserve"> smart regulation,</w:t>
      </w:r>
      <w:r w:rsidR="00C840E7">
        <w:rPr>
          <w:rStyle w:val="Sprotnaopomba-sklic"/>
          <w:rFonts w:ascii="Times New Roman" w:hAnsi="Times New Roman" w:cs="Times New Roman"/>
          <w:sz w:val="24"/>
          <w:szCs w:val="24"/>
          <w:lang w:val="en-US"/>
        </w:rPr>
        <w:footnoteReference w:id="48"/>
      </w:r>
      <w:r w:rsidR="00C840E7">
        <w:rPr>
          <w:rFonts w:ascii="Times New Roman" w:hAnsi="Times New Roman" w:cs="Times New Roman"/>
          <w:sz w:val="24"/>
          <w:szCs w:val="24"/>
          <w:lang w:val="en-US"/>
        </w:rPr>
        <w:t xml:space="preserve"> problem-centered regulation,</w:t>
      </w:r>
      <w:r w:rsidR="00C840E7">
        <w:rPr>
          <w:rStyle w:val="Sprotnaopomba-sklic"/>
          <w:rFonts w:ascii="Times New Roman" w:hAnsi="Times New Roman" w:cs="Times New Roman"/>
          <w:sz w:val="24"/>
          <w:szCs w:val="24"/>
          <w:lang w:val="en-US"/>
        </w:rPr>
        <w:footnoteReference w:id="49"/>
      </w:r>
      <w:r w:rsidR="00C840E7">
        <w:rPr>
          <w:rFonts w:ascii="Times New Roman" w:hAnsi="Times New Roman" w:cs="Times New Roman"/>
          <w:sz w:val="24"/>
          <w:szCs w:val="24"/>
          <w:lang w:val="en-US"/>
        </w:rPr>
        <w:t xml:space="preserve"> and behaviorally informed regulation (nudging).</w:t>
      </w:r>
      <w:r w:rsidR="00C840E7">
        <w:rPr>
          <w:rStyle w:val="Sprotnaopomba-sklic"/>
          <w:rFonts w:ascii="Times New Roman" w:hAnsi="Times New Roman" w:cs="Times New Roman"/>
          <w:sz w:val="24"/>
          <w:szCs w:val="24"/>
          <w:lang w:val="en-US"/>
        </w:rPr>
        <w:footnoteReference w:id="50"/>
      </w:r>
      <w:r w:rsidR="00C840E7">
        <w:rPr>
          <w:rFonts w:ascii="Times New Roman" w:hAnsi="Times New Roman" w:cs="Times New Roman"/>
          <w:sz w:val="24"/>
          <w:szCs w:val="24"/>
          <w:lang w:val="en-US"/>
        </w:rPr>
        <w:t xml:space="preserve"> Hence regulatory literature operates on the fruitful trajectory between “trans-disciplinary” and “inter-disciplinary” explorations.</w:t>
      </w:r>
      <w:r w:rsidR="00C840E7">
        <w:rPr>
          <w:rStyle w:val="Sprotnaopomba-sklic"/>
          <w:rFonts w:ascii="Times New Roman" w:hAnsi="Times New Roman" w:cs="Times New Roman"/>
          <w:sz w:val="24"/>
          <w:szCs w:val="24"/>
          <w:lang w:val="en-US"/>
        </w:rPr>
        <w:footnoteReference w:id="51"/>
      </w:r>
    </w:p>
    <w:p w14:paraId="521EFD6B" w14:textId="736570FE" w:rsidR="00BC1726" w:rsidRDefault="00BC1726" w:rsidP="00664C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relation to direct regulation of generative AI</w:t>
      </w:r>
      <w:r w:rsidR="00A532AB">
        <w:rPr>
          <w:rStyle w:val="Sprotnaopomba-sklic"/>
          <w:rFonts w:ascii="Times New Roman" w:hAnsi="Times New Roman" w:cs="Times New Roman"/>
          <w:sz w:val="24"/>
          <w:szCs w:val="24"/>
          <w:lang w:val="en-US"/>
        </w:rPr>
        <w:footnoteReference w:id="52"/>
      </w:r>
      <w:r>
        <w:rPr>
          <w:rFonts w:ascii="Times New Roman" w:hAnsi="Times New Roman" w:cs="Times New Roman"/>
          <w:sz w:val="24"/>
          <w:szCs w:val="24"/>
          <w:lang w:val="en-US"/>
        </w:rPr>
        <w:t xml:space="preserve"> Hacker et al. offer </w:t>
      </w:r>
      <w:r w:rsidRPr="00BC1726">
        <w:rPr>
          <w:rFonts w:ascii="Times New Roman" w:hAnsi="Times New Roman" w:cs="Times New Roman"/>
          <w:sz w:val="24"/>
          <w:szCs w:val="24"/>
          <w:lang w:val="en-US"/>
        </w:rPr>
        <w:t>a novel terminology to capture the AI value chain in LGAIM settings by differentiating between LGAIM developers, deployers, professional and non-professional users, as well as recipients of LGAIM output.</w:t>
      </w:r>
      <w:r>
        <w:rPr>
          <w:rStyle w:val="Sprotnaopomba-sklic"/>
          <w:rFonts w:ascii="Times New Roman" w:hAnsi="Times New Roman" w:cs="Times New Roman"/>
          <w:sz w:val="24"/>
          <w:szCs w:val="24"/>
          <w:lang w:val="en-US"/>
        </w:rPr>
        <w:footnoteReference w:id="53"/>
      </w:r>
      <w:r w:rsidRPr="00BC172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They also suggest a </w:t>
      </w:r>
      <w:r w:rsidRPr="00BC1726">
        <w:rPr>
          <w:rFonts w:ascii="Times New Roman" w:hAnsi="Times New Roman" w:cs="Times New Roman"/>
          <w:sz w:val="24"/>
          <w:szCs w:val="24"/>
          <w:lang w:val="en-US"/>
        </w:rPr>
        <w:t>tailor</w:t>
      </w:r>
      <w:r>
        <w:rPr>
          <w:rFonts w:ascii="Times New Roman" w:hAnsi="Times New Roman" w:cs="Times New Roman"/>
          <w:sz w:val="24"/>
          <w:szCs w:val="24"/>
          <w:lang w:val="en-US"/>
        </w:rPr>
        <w:t>-made</w:t>
      </w:r>
      <w:r w:rsidRPr="00BC1726">
        <w:rPr>
          <w:rFonts w:ascii="Times New Roman" w:hAnsi="Times New Roman" w:cs="Times New Roman"/>
          <w:sz w:val="24"/>
          <w:szCs w:val="24"/>
          <w:lang w:val="en-US"/>
        </w:rPr>
        <w:t xml:space="preserve"> regulatory duties to these different actors along the value chain and suggest strategies to ensure that LGAIMs are trustworthy and deployed for the benefit of society at large</w:t>
      </w:r>
      <w:r>
        <w:rPr>
          <w:rFonts w:ascii="Times New Roman" w:hAnsi="Times New Roman" w:cs="Times New Roman"/>
          <w:sz w:val="24"/>
          <w:szCs w:val="24"/>
          <w:lang w:val="en-US"/>
        </w:rPr>
        <w:t xml:space="preserve"> where r</w:t>
      </w:r>
      <w:r w:rsidRPr="00BC1726">
        <w:rPr>
          <w:rFonts w:ascii="Times New Roman" w:hAnsi="Times New Roman" w:cs="Times New Roman"/>
          <w:sz w:val="24"/>
          <w:szCs w:val="24"/>
          <w:lang w:val="en-US"/>
        </w:rPr>
        <w:t>ules in the AI Act and other direct regulation must match the specificities of pre-trained models.</w:t>
      </w:r>
      <w:r>
        <w:rPr>
          <w:rStyle w:val="Sprotnaopomba-sklic"/>
          <w:rFonts w:ascii="Times New Roman" w:hAnsi="Times New Roman" w:cs="Times New Roman"/>
          <w:sz w:val="24"/>
          <w:szCs w:val="24"/>
          <w:lang w:val="en-US"/>
        </w:rPr>
        <w:footnoteReference w:id="54"/>
      </w:r>
      <w:r w:rsidRPr="00BC1726">
        <w:rPr>
          <w:rFonts w:ascii="Times New Roman" w:hAnsi="Times New Roman" w:cs="Times New Roman"/>
          <w:sz w:val="24"/>
          <w:szCs w:val="24"/>
          <w:lang w:val="en-US"/>
        </w:rPr>
        <w:t xml:space="preserve"> </w:t>
      </w:r>
      <w:bookmarkStart w:id="22" w:name="_Hlk135663180"/>
      <w:r w:rsidR="00377A6F">
        <w:rPr>
          <w:rFonts w:ascii="Times New Roman" w:hAnsi="Times New Roman" w:cs="Times New Roman"/>
          <w:sz w:val="24"/>
          <w:szCs w:val="24"/>
          <w:lang w:val="en-US"/>
        </w:rPr>
        <w:t xml:space="preserve">Dwivedi et al. argue that generative AI </w:t>
      </w:r>
      <w:r w:rsidR="00377A6F" w:rsidRPr="00377A6F">
        <w:rPr>
          <w:rFonts w:ascii="Times New Roman" w:hAnsi="Times New Roman" w:cs="Times New Roman"/>
          <w:sz w:val="24"/>
          <w:szCs w:val="24"/>
          <w:lang w:val="en-US"/>
        </w:rPr>
        <w:t>offer</w:t>
      </w:r>
      <w:r w:rsidR="00377A6F">
        <w:rPr>
          <w:rFonts w:ascii="Times New Roman" w:hAnsi="Times New Roman" w:cs="Times New Roman"/>
          <w:sz w:val="24"/>
          <w:szCs w:val="24"/>
          <w:lang w:val="en-US"/>
        </w:rPr>
        <w:t>s</w:t>
      </w:r>
      <w:r w:rsidR="00377A6F" w:rsidRPr="00377A6F">
        <w:rPr>
          <w:rFonts w:ascii="Times New Roman" w:hAnsi="Times New Roman" w:cs="Times New Roman"/>
          <w:sz w:val="24"/>
          <w:szCs w:val="24"/>
          <w:lang w:val="en-US"/>
        </w:rPr>
        <w:t xml:space="preserve"> significant gains in the banking, hospitality and tourism, and information technology industries, business activities</w:t>
      </w:r>
      <w:r w:rsidR="00377A6F">
        <w:rPr>
          <w:rFonts w:ascii="Times New Roman" w:hAnsi="Times New Roman" w:cs="Times New Roman"/>
          <w:sz w:val="24"/>
          <w:szCs w:val="24"/>
          <w:lang w:val="en-US"/>
        </w:rPr>
        <w:t xml:space="preserve"> (e.g.</w:t>
      </w:r>
      <w:r w:rsidR="00377A6F" w:rsidRPr="00377A6F">
        <w:rPr>
          <w:rFonts w:ascii="Times New Roman" w:hAnsi="Times New Roman" w:cs="Times New Roman"/>
          <w:sz w:val="24"/>
          <w:szCs w:val="24"/>
          <w:lang w:val="en-US"/>
        </w:rPr>
        <w:t xml:space="preserve"> management and marketing</w:t>
      </w:r>
      <w:r w:rsidR="00377A6F">
        <w:rPr>
          <w:rFonts w:ascii="Times New Roman" w:hAnsi="Times New Roman" w:cs="Times New Roman"/>
          <w:sz w:val="24"/>
          <w:szCs w:val="24"/>
          <w:lang w:val="en-US"/>
        </w:rPr>
        <w:t xml:space="preserve">), yet it may also bring </w:t>
      </w:r>
      <w:r w:rsidR="00377A6F" w:rsidRPr="00377A6F">
        <w:rPr>
          <w:rFonts w:ascii="Times New Roman" w:hAnsi="Times New Roman" w:cs="Times New Roman"/>
          <w:sz w:val="24"/>
          <w:szCs w:val="24"/>
          <w:lang w:val="en-US"/>
        </w:rPr>
        <w:t xml:space="preserve">disruptions to practices, </w:t>
      </w:r>
      <w:r w:rsidR="00377A6F" w:rsidRPr="00377A6F">
        <w:rPr>
          <w:rFonts w:ascii="Times New Roman" w:hAnsi="Times New Roman" w:cs="Times New Roman"/>
          <w:sz w:val="24"/>
          <w:szCs w:val="24"/>
          <w:lang w:val="en-US"/>
        </w:rPr>
        <w:lastRenderedPageBreak/>
        <w:t xml:space="preserve">threats to privacy and security, and </w:t>
      </w:r>
      <w:r w:rsidR="00377A6F">
        <w:rPr>
          <w:rFonts w:ascii="Times New Roman" w:hAnsi="Times New Roman" w:cs="Times New Roman"/>
          <w:sz w:val="24"/>
          <w:szCs w:val="24"/>
          <w:lang w:val="en-US"/>
        </w:rPr>
        <w:t xml:space="preserve">uncontemplated </w:t>
      </w:r>
      <w:r w:rsidR="00377A6F" w:rsidRPr="00377A6F">
        <w:rPr>
          <w:rFonts w:ascii="Times New Roman" w:hAnsi="Times New Roman" w:cs="Times New Roman"/>
          <w:sz w:val="24"/>
          <w:szCs w:val="24"/>
          <w:lang w:val="en-US"/>
        </w:rPr>
        <w:t>consequences of biases, misuse, and misinformation.</w:t>
      </w:r>
      <w:r w:rsidR="00377A6F">
        <w:rPr>
          <w:rStyle w:val="Sprotnaopomba-sklic"/>
          <w:rFonts w:ascii="Times New Roman" w:hAnsi="Times New Roman" w:cs="Times New Roman"/>
          <w:sz w:val="24"/>
          <w:szCs w:val="24"/>
          <w:lang w:val="en-US"/>
        </w:rPr>
        <w:footnoteReference w:id="55"/>
      </w:r>
    </w:p>
    <w:p w14:paraId="1CC316EF" w14:textId="1AE3A1A9" w:rsidR="00211F22" w:rsidRDefault="00C840E7" w:rsidP="00211F22">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11F22">
        <w:rPr>
          <w:rFonts w:ascii="Times New Roman" w:hAnsi="Times New Roman" w:cs="Times New Roman"/>
          <w:sz w:val="24"/>
          <w:szCs w:val="24"/>
          <w:lang w:val="en-GB"/>
        </w:rPr>
        <w:t xml:space="preserve">Moreover, Helberger and </w:t>
      </w:r>
      <w:proofErr w:type="spellStart"/>
      <w:r w:rsidR="00211F22">
        <w:rPr>
          <w:rFonts w:ascii="Times New Roman" w:hAnsi="Times New Roman" w:cs="Times New Roman"/>
          <w:sz w:val="24"/>
          <w:szCs w:val="24"/>
          <w:lang w:val="en-GB"/>
        </w:rPr>
        <w:t>Diakopolous</w:t>
      </w:r>
      <w:proofErr w:type="spellEnd"/>
      <w:r w:rsidR="00211F22">
        <w:rPr>
          <w:rFonts w:ascii="Times New Roman" w:hAnsi="Times New Roman" w:cs="Times New Roman"/>
          <w:sz w:val="24"/>
          <w:szCs w:val="24"/>
          <w:lang w:val="en-GB"/>
        </w:rPr>
        <w:t xml:space="preserve"> argue that t</w:t>
      </w:r>
      <w:r w:rsidR="00211F22" w:rsidRPr="00C622D8">
        <w:rPr>
          <w:rFonts w:ascii="Times New Roman" w:hAnsi="Times New Roman" w:cs="Times New Roman"/>
          <w:sz w:val="24"/>
          <w:szCs w:val="24"/>
          <w:lang w:val="en-GB"/>
        </w:rPr>
        <w:t>he European AI Act by its current risk-based approach is too limited for facing ChatGPT &amp; co.</w:t>
      </w:r>
      <w:r w:rsidR="00211F22">
        <w:rPr>
          <w:rStyle w:val="Sprotnaopomba-sklic"/>
          <w:rFonts w:ascii="Times New Roman" w:hAnsi="Times New Roman" w:cs="Times New Roman"/>
          <w:sz w:val="24"/>
          <w:szCs w:val="24"/>
          <w:lang w:val="en-GB"/>
        </w:rPr>
        <w:footnoteReference w:id="56"/>
      </w:r>
      <w:r w:rsidR="00211F22">
        <w:rPr>
          <w:rFonts w:ascii="Times New Roman" w:hAnsi="Times New Roman" w:cs="Times New Roman"/>
          <w:sz w:val="24"/>
          <w:szCs w:val="24"/>
          <w:lang w:val="en-GB"/>
        </w:rPr>
        <w:t xml:space="preserve"> They suggest that </w:t>
      </w:r>
      <w:r w:rsidR="00211F22" w:rsidRPr="00211F22">
        <w:rPr>
          <w:rFonts w:ascii="Times New Roman" w:hAnsi="Times New Roman" w:cs="Times New Roman"/>
          <w:sz w:val="24"/>
          <w:szCs w:val="24"/>
          <w:lang w:val="en-GB"/>
        </w:rPr>
        <w:t>generative AI systems such as ChatGPT differ on at least two important points from the ‘traditional’ AI systems the Act has originally been written for:</w:t>
      </w:r>
      <w:r w:rsidR="00211F22">
        <w:rPr>
          <w:rFonts w:ascii="Times New Roman" w:hAnsi="Times New Roman" w:cs="Times New Roman"/>
          <w:sz w:val="24"/>
          <w:szCs w:val="24"/>
          <w:lang w:val="en-GB"/>
        </w:rPr>
        <w:t xml:space="preserve"> </w:t>
      </w:r>
      <w:r w:rsidR="00211F22" w:rsidRPr="00211F22">
        <w:rPr>
          <w:rFonts w:ascii="Times New Roman" w:hAnsi="Times New Roman" w:cs="Times New Roman"/>
          <w:sz w:val="24"/>
          <w:szCs w:val="24"/>
          <w:lang w:val="en-GB"/>
        </w:rPr>
        <w:t>dynamic context and scale of use. Generative AI systems are not built for a specific</w:t>
      </w:r>
      <w:r w:rsidR="00211F22">
        <w:rPr>
          <w:rFonts w:ascii="Times New Roman" w:hAnsi="Times New Roman" w:cs="Times New Roman"/>
          <w:sz w:val="24"/>
          <w:szCs w:val="24"/>
          <w:lang w:val="en-GB"/>
        </w:rPr>
        <w:t xml:space="preserve"> </w:t>
      </w:r>
      <w:r w:rsidR="00211F22" w:rsidRPr="00211F22">
        <w:rPr>
          <w:rFonts w:ascii="Times New Roman" w:hAnsi="Times New Roman" w:cs="Times New Roman"/>
          <w:sz w:val="24"/>
          <w:szCs w:val="24"/>
          <w:lang w:val="en-GB"/>
        </w:rPr>
        <w:t>context or conditions of use, and their openness and ease of control allow for unprecedented scale of use.</w:t>
      </w:r>
      <w:r w:rsidR="00211F22">
        <w:rPr>
          <w:rStyle w:val="Sprotnaopomba-sklic"/>
          <w:rFonts w:ascii="Times New Roman" w:hAnsi="Times New Roman" w:cs="Times New Roman"/>
          <w:sz w:val="24"/>
          <w:szCs w:val="24"/>
          <w:lang w:val="en-GB"/>
        </w:rPr>
        <w:footnoteReference w:id="57"/>
      </w:r>
    </w:p>
    <w:bookmarkEnd w:id="22"/>
    <w:p w14:paraId="409AC04F" w14:textId="77777777" w:rsidR="00070C6A" w:rsidRPr="00664C6B" w:rsidRDefault="00070C6A" w:rsidP="00664C6B">
      <w:pPr>
        <w:spacing w:line="276" w:lineRule="auto"/>
        <w:jc w:val="both"/>
        <w:rPr>
          <w:rFonts w:ascii="Times New Roman" w:hAnsi="Times New Roman" w:cs="Times New Roman"/>
          <w:sz w:val="24"/>
          <w:szCs w:val="24"/>
          <w:lang w:val="en-US"/>
        </w:rPr>
      </w:pPr>
    </w:p>
    <w:bookmarkEnd w:id="20"/>
    <w:p w14:paraId="1B97F04F" w14:textId="55D80727" w:rsidR="00916B6A" w:rsidRPr="00916B6A" w:rsidRDefault="00916B6A" w:rsidP="00916B6A">
      <w:pPr>
        <w:spacing w:line="276" w:lineRule="auto"/>
        <w:jc w:val="both"/>
        <w:rPr>
          <w:rFonts w:ascii="Times New Roman" w:hAnsi="Times New Roman" w:cs="Times New Roman"/>
          <w:b/>
          <w:bCs/>
          <w:sz w:val="24"/>
          <w:szCs w:val="24"/>
          <w:lang w:val="en-GB"/>
        </w:rPr>
      </w:pPr>
      <w:r w:rsidRPr="00916B6A">
        <w:rPr>
          <w:rFonts w:ascii="Times New Roman" w:hAnsi="Times New Roman" w:cs="Times New Roman"/>
          <w:b/>
          <w:bCs/>
          <w:sz w:val="24"/>
          <w:szCs w:val="24"/>
          <w:lang w:val="en-GB"/>
        </w:rPr>
        <w:t>3.Towards and improved regulatory respond</w:t>
      </w:r>
    </w:p>
    <w:p w14:paraId="0B9049CE" w14:textId="0B05ED92" w:rsidR="00060BCE" w:rsidRDefault="006F6CFE" w:rsidP="00916B6A">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question of what represents a ‘good’ regulation has been extensively discussed in the literature</w:t>
      </w:r>
      <w:r>
        <w:rPr>
          <w:rStyle w:val="Sprotnaopomba-sklic"/>
          <w:rFonts w:ascii="Times New Roman" w:hAnsi="Times New Roman" w:cs="Times New Roman"/>
          <w:sz w:val="24"/>
          <w:szCs w:val="24"/>
          <w:lang w:val="en-GB"/>
        </w:rPr>
        <w:footnoteReference w:id="58"/>
      </w:r>
      <w:r>
        <w:rPr>
          <w:rFonts w:ascii="Times New Roman" w:hAnsi="Times New Roman" w:cs="Times New Roman"/>
          <w:sz w:val="24"/>
          <w:szCs w:val="24"/>
          <w:lang w:val="en-GB"/>
        </w:rPr>
        <w:t xml:space="preserve"> and</w:t>
      </w:r>
      <w:r w:rsidR="00331EE5">
        <w:rPr>
          <w:rFonts w:ascii="Times New Roman" w:hAnsi="Times New Roman" w:cs="Times New Roman"/>
          <w:sz w:val="24"/>
          <w:szCs w:val="24"/>
          <w:lang w:val="en-GB"/>
        </w:rPr>
        <w:t xml:space="preserve">, although what constitutes such a ‘good’ regulation is difficult to </w:t>
      </w:r>
      <w:r w:rsidR="000949BB">
        <w:rPr>
          <w:rFonts w:ascii="Times New Roman" w:hAnsi="Times New Roman" w:cs="Times New Roman"/>
          <w:sz w:val="24"/>
          <w:szCs w:val="24"/>
          <w:lang w:val="en-GB"/>
        </w:rPr>
        <w:t>establish, generally</w:t>
      </w:r>
      <w:r>
        <w:rPr>
          <w:rFonts w:ascii="Times New Roman" w:hAnsi="Times New Roman" w:cs="Times New Roman"/>
          <w:sz w:val="24"/>
          <w:szCs w:val="24"/>
          <w:lang w:val="en-GB"/>
        </w:rPr>
        <w:t xml:space="preserve"> five criteria should be fulfilled.</w:t>
      </w:r>
      <w:r>
        <w:rPr>
          <w:rStyle w:val="Sprotnaopomba-sklic"/>
          <w:rFonts w:ascii="Times New Roman" w:hAnsi="Times New Roman" w:cs="Times New Roman"/>
          <w:sz w:val="24"/>
          <w:szCs w:val="24"/>
          <w:lang w:val="en-GB"/>
        </w:rPr>
        <w:footnoteReference w:id="59"/>
      </w:r>
      <w:r w:rsidR="000949BB">
        <w:rPr>
          <w:rFonts w:ascii="Times New Roman" w:hAnsi="Times New Roman" w:cs="Times New Roman"/>
          <w:sz w:val="24"/>
          <w:szCs w:val="24"/>
          <w:lang w:val="en-GB"/>
        </w:rPr>
        <w:t xml:space="preserve"> Moreover, regulation can be seen as being inherently about the control of risks, where risk is generally defined as the probability of a particular event (or hazard) occurring and the consequent</w:t>
      </w:r>
      <w:r w:rsidR="007D2DE7">
        <w:rPr>
          <w:rFonts w:ascii="Times New Roman" w:hAnsi="Times New Roman" w:cs="Times New Roman"/>
          <w:sz w:val="24"/>
          <w:szCs w:val="24"/>
          <w:lang w:val="en-GB"/>
        </w:rPr>
        <w:t xml:space="preserve"> severity of the impact of that event.</w:t>
      </w:r>
      <w:r w:rsidR="007D2DE7">
        <w:rPr>
          <w:rStyle w:val="Sprotnaopomba-sklic"/>
          <w:rFonts w:ascii="Times New Roman" w:hAnsi="Times New Roman" w:cs="Times New Roman"/>
          <w:sz w:val="24"/>
          <w:szCs w:val="24"/>
          <w:lang w:val="en-GB"/>
        </w:rPr>
        <w:footnoteReference w:id="60"/>
      </w:r>
      <w:r w:rsidR="007D2DE7">
        <w:rPr>
          <w:rFonts w:ascii="Times New Roman" w:hAnsi="Times New Roman" w:cs="Times New Roman"/>
          <w:sz w:val="24"/>
          <w:szCs w:val="24"/>
          <w:lang w:val="en-GB"/>
        </w:rPr>
        <w:t xml:space="preserve"> The risk regulation is centrally concerned with the highly contested management of Knightian risk and uncertainty, the challenges of dealing with uncertain popular responses to anticipated or materialized risks and the issues presented by communication about risks.</w:t>
      </w:r>
      <w:r w:rsidR="007D2DE7">
        <w:rPr>
          <w:rStyle w:val="Sprotnaopomba-sklic"/>
          <w:rFonts w:ascii="Times New Roman" w:hAnsi="Times New Roman" w:cs="Times New Roman"/>
          <w:sz w:val="24"/>
          <w:szCs w:val="24"/>
          <w:lang w:val="en-GB"/>
        </w:rPr>
        <w:footnoteReference w:id="61"/>
      </w:r>
      <w:r>
        <w:rPr>
          <w:rFonts w:ascii="Times New Roman" w:hAnsi="Times New Roman" w:cs="Times New Roman"/>
          <w:sz w:val="24"/>
          <w:szCs w:val="24"/>
          <w:lang w:val="en-GB"/>
        </w:rPr>
        <w:t xml:space="preserve"> </w:t>
      </w:r>
      <w:r w:rsidR="000E6021">
        <w:rPr>
          <w:rFonts w:ascii="Times New Roman" w:hAnsi="Times New Roman" w:cs="Times New Roman"/>
          <w:sz w:val="24"/>
          <w:szCs w:val="24"/>
          <w:lang w:val="en-GB"/>
        </w:rPr>
        <w:t xml:space="preserve">Literature </w:t>
      </w:r>
      <w:r w:rsidR="00060BCE" w:rsidRPr="00060BCE">
        <w:rPr>
          <w:rFonts w:ascii="Times New Roman" w:hAnsi="Times New Roman" w:cs="Times New Roman"/>
          <w:sz w:val="24"/>
          <w:szCs w:val="24"/>
          <w:lang w:val="en-GB"/>
        </w:rPr>
        <w:t xml:space="preserve">offers a plethora of different legal instruments including rules of civil liability, command and control </w:t>
      </w:r>
      <w:r w:rsidR="00060BCE" w:rsidRPr="00060BCE">
        <w:rPr>
          <w:rFonts w:ascii="Times New Roman" w:hAnsi="Times New Roman" w:cs="Times New Roman"/>
          <w:sz w:val="24"/>
          <w:szCs w:val="24"/>
          <w:lang w:val="en-GB"/>
        </w:rPr>
        <w:lastRenderedPageBreak/>
        <w:t>public regulations, market-based instruments, “suasive” and voluntary instruments</w:t>
      </w:r>
      <w:r w:rsidR="000E6021">
        <w:rPr>
          <w:rFonts w:ascii="Times New Roman" w:hAnsi="Times New Roman" w:cs="Times New Roman"/>
          <w:sz w:val="24"/>
          <w:szCs w:val="24"/>
          <w:lang w:val="en-GB"/>
        </w:rPr>
        <w:t xml:space="preserve">, </w:t>
      </w:r>
      <w:r w:rsidR="00060BCE" w:rsidRPr="00060BCE">
        <w:rPr>
          <w:rFonts w:ascii="Times New Roman" w:hAnsi="Times New Roman" w:cs="Times New Roman"/>
          <w:sz w:val="24"/>
          <w:szCs w:val="24"/>
          <w:lang w:val="en-GB"/>
        </w:rPr>
        <w:t>smart regulatory mixes</w:t>
      </w:r>
      <w:r w:rsidR="000E6021">
        <w:rPr>
          <w:rFonts w:ascii="Times New Roman" w:hAnsi="Times New Roman" w:cs="Times New Roman"/>
          <w:sz w:val="24"/>
          <w:szCs w:val="24"/>
          <w:lang w:val="en-GB"/>
        </w:rPr>
        <w:t xml:space="preserve"> and hybrid regulatory approaches</w:t>
      </w:r>
      <w:r w:rsidR="00060BCE" w:rsidRPr="00060BCE">
        <w:rPr>
          <w:rFonts w:ascii="Times New Roman" w:hAnsi="Times New Roman" w:cs="Times New Roman"/>
          <w:sz w:val="24"/>
          <w:szCs w:val="24"/>
          <w:lang w:val="en-GB"/>
        </w:rPr>
        <w:t xml:space="preserve">.  </w:t>
      </w:r>
    </w:p>
    <w:p w14:paraId="5511DBA1" w14:textId="355FD2C6" w:rsidR="00916B6A" w:rsidRDefault="000E6021" w:rsidP="00211F22">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16B6A">
        <w:rPr>
          <w:rFonts w:ascii="Times New Roman" w:hAnsi="Times New Roman" w:cs="Times New Roman"/>
          <w:sz w:val="24"/>
          <w:szCs w:val="24"/>
          <w:lang w:val="en-GB"/>
        </w:rPr>
        <w:t xml:space="preserve">Acemoglu for example </w:t>
      </w:r>
      <w:r w:rsidR="00916B6A" w:rsidRPr="00916B6A">
        <w:rPr>
          <w:rFonts w:ascii="Times New Roman" w:hAnsi="Times New Roman" w:cs="Times New Roman"/>
          <w:sz w:val="24"/>
          <w:szCs w:val="24"/>
          <w:lang w:val="en-GB"/>
        </w:rPr>
        <w:t xml:space="preserve">argue that if AI continues to be deployed along its current trajectory and remains unregulated, it may produce various social, </w:t>
      </w:r>
      <w:proofErr w:type="gramStart"/>
      <w:r w:rsidR="00916B6A" w:rsidRPr="00916B6A">
        <w:rPr>
          <w:rFonts w:ascii="Times New Roman" w:hAnsi="Times New Roman" w:cs="Times New Roman"/>
          <w:sz w:val="24"/>
          <w:szCs w:val="24"/>
          <w:lang w:val="en-GB"/>
        </w:rPr>
        <w:t>economic</w:t>
      </w:r>
      <w:proofErr w:type="gramEnd"/>
      <w:r w:rsidR="00916B6A" w:rsidRPr="00916B6A">
        <w:rPr>
          <w:rFonts w:ascii="Times New Roman" w:hAnsi="Times New Roman" w:cs="Times New Roman"/>
          <w:sz w:val="24"/>
          <w:szCs w:val="24"/>
          <w:lang w:val="en-GB"/>
        </w:rPr>
        <w:t xml:space="preserve"> and political harms. These include: damaging competition, consumer privacy and consumer choice; excessively automating work, </w:t>
      </w:r>
      <w:r w:rsidR="00725B87" w:rsidRPr="00916B6A">
        <w:rPr>
          <w:rFonts w:ascii="Times New Roman" w:hAnsi="Times New Roman" w:cs="Times New Roman"/>
          <w:sz w:val="24"/>
          <w:szCs w:val="24"/>
          <w:lang w:val="en-GB"/>
        </w:rPr>
        <w:t>fuelling</w:t>
      </w:r>
      <w:r w:rsidR="00916B6A" w:rsidRPr="00916B6A">
        <w:rPr>
          <w:rFonts w:ascii="Times New Roman" w:hAnsi="Times New Roman" w:cs="Times New Roman"/>
          <w:sz w:val="24"/>
          <w:szCs w:val="24"/>
          <w:lang w:val="en-GB"/>
        </w:rPr>
        <w:t xml:space="preserve"> inequality, inefficiently pushing down wages, and failing to improve worker productivity; and damaging political discourse, democracy's most fundamental lifeblood.</w:t>
      </w:r>
      <w:r>
        <w:rPr>
          <w:rStyle w:val="Sprotnaopomba-sklic"/>
          <w:rFonts w:ascii="Times New Roman" w:hAnsi="Times New Roman" w:cs="Times New Roman"/>
          <w:sz w:val="24"/>
          <w:szCs w:val="24"/>
          <w:lang w:val="en-GB"/>
        </w:rPr>
        <w:footnoteReference w:id="62"/>
      </w:r>
      <w:r w:rsidR="00916B6A" w:rsidRPr="00916B6A">
        <w:rPr>
          <w:rFonts w:ascii="Times New Roman" w:hAnsi="Times New Roman" w:cs="Times New Roman"/>
          <w:sz w:val="24"/>
          <w:szCs w:val="24"/>
          <w:lang w:val="en-GB"/>
        </w:rPr>
        <w:t xml:space="preserve"> Although there is no conclusive evidence suggesting that these costs are imminent or substantial, it may be useful to understand them before they are fully realized and become harder or even impossible to reverse, precisely because of AI's promising and wide-reaching potential. </w:t>
      </w:r>
      <w:r>
        <w:rPr>
          <w:rFonts w:ascii="Times New Roman" w:hAnsi="Times New Roman" w:cs="Times New Roman"/>
          <w:sz w:val="24"/>
          <w:szCs w:val="24"/>
          <w:lang w:val="en-GB"/>
        </w:rPr>
        <w:t xml:space="preserve">Acemoglu </w:t>
      </w:r>
      <w:r w:rsidR="00916B6A" w:rsidRPr="00916B6A">
        <w:rPr>
          <w:rFonts w:ascii="Times New Roman" w:hAnsi="Times New Roman" w:cs="Times New Roman"/>
          <w:sz w:val="24"/>
          <w:szCs w:val="24"/>
          <w:lang w:val="en-GB"/>
        </w:rPr>
        <w:t>also suggest that these costs are not inherent to the nature of AI technologies, but are related to how they are being used and developed at the moment - to empower corporations and governments against workers and citizens.</w:t>
      </w:r>
      <w:r>
        <w:rPr>
          <w:rStyle w:val="Sprotnaopomba-sklic"/>
          <w:rFonts w:ascii="Times New Roman" w:hAnsi="Times New Roman" w:cs="Times New Roman"/>
          <w:sz w:val="24"/>
          <w:szCs w:val="24"/>
          <w:lang w:val="en-GB"/>
        </w:rPr>
        <w:footnoteReference w:id="63"/>
      </w:r>
      <w:r w:rsidR="00916B6A" w:rsidRPr="00916B6A">
        <w:rPr>
          <w:rFonts w:ascii="Times New Roman" w:hAnsi="Times New Roman" w:cs="Times New Roman"/>
          <w:sz w:val="24"/>
          <w:szCs w:val="24"/>
          <w:lang w:val="en-GB"/>
        </w:rPr>
        <w:t xml:space="preserve"> As a result, efforts to limit and reverse these costs may need to rely on regulation and policies to redirect AI research.</w:t>
      </w:r>
      <w:r w:rsidR="00916B6A">
        <w:rPr>
          <w:rStyle w:val="Sprotnaopomba-sklic"/>
          <w:rFonts w:ascii="Times New Roman" w:hAnsi="Times New Roman" w:cs="Times New Roman"/>
          <w:sz w:val="24"/>
          <w:szCs w:val="24"/>
          <w:lang w:val="en-GB"/>
        </w:rPr>
        <w:footnoteReference w:id="64"/>
      </w:r>
      <w:r w:rsidR="00C622D8">
        <w:rPr>
          <w:rFonts w:ascii="Times New Roman" w:hAnsi="Times New Roman" w:cs="Times New Roman"/>
          <w:sz w:val="24"/>
          <w:szCs w:val="24"/>
          <w:lang w:val="en-GB"/>
        </w:rPr>
        <w:t xml:space="preserve"> </w:t>
      </w:r>
      <w:bookmarkStart w:id="24" w:name="_Hlk135664698"/>
      <w:r w:rsidR="0072039A" w:rsidRPr="0072039A">
        <w:rPr>
          <w:rFonts w:ascii="Times New Roman" w:hAnsi="Times New Roman" w:cs="Times New Roman"/>
          <w:sz w:val="24"/>
          <w:szCs w:val="24"/>
          <w:lang w:val="en-GB"/>
        </w:rPr>
        <w:t xml:space="preserve">This section offers a set of law and economics recommendations for an </w:t>
      </w:r>
      <w:r w:rsidR="000949BB">
        <w:rPr>
          <w:rFonts w:ascii="Times New Roman" w:hAnsi="Times New Roman" w:cs="Times New Roman"/>
          <w:sz w:val="24"/>
          <w:szCs w:val="24"/>
          <w:lang w:val="en-GB"/>
        </w:rPr>
        <w:t>improved</w:t>
      </w:r>
      <w:r w:rsidR="0072039A" w:rsidRPr="0072039A">
        <w:rPr>
          <w:rFonts w:ascii="Times New Roman" w:hAnsi="Times New Roman" w:cs="Times New Roman"/>
          <w:sz w:val="24"/>
          <w:szCs w:val="24"/>
          <w:lang w:val="en-GB"/>
        </w:rPr>
        <w:t>, EU wide, regulatory intervention which should deter hazards, induce optimal precaution and simultaneously preserve dynamic efficiency – incentives to innovate undistorted.</w:t>
      </w:r>
    </w:p>
    <w:bookmarkEnd w:id="24"/>
    <w:p w14:paraId="6DE7F899" w14:textId="77777777" w:rsidR="0056413E" w:rsidRDefault="0056413E" w:rsidP="0056413E">
      <w:pPr>
        <w:spacing w:line="276" w:lineRule="auto"/>
        <w:jc w:val="both"/>
        <w:rPr>
          <w:rFonts w:ascii="Times New Roman" w:hAnsi="Times New Roman" w:cs="Times New Roman"/>
          <w:sz w:val="24"/>
          <w:szCs w:val="24"/>
          <w:lang w:val="en-GB"/>
        </w:rPr>
      </w:pPr>
    </w:p>
    <w:p w14:paraId="173673F5" w14:textId="7A4291DB" w:rsidR="000E6021" w:rsidRPr="0056413E" w:rsidRDefault="000E6021" w:rsidP="0056413E">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3.1 Generative AI and regulatory problems</w:t>
      </w:r>
    </w:p>
    <w:p w14:paraId="589F65F7" w14:textId="17994DDF" w:rsidR="0056413E" w:rsidRPr="0056413E" w:rsidRDefault="0056413E" w:rsidP="00F47FA7">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G</w:t>
      </w:r>
      <w:r w:rsidRPr="0056413E">
        <w:rPr>
          <w:rFonts w:ascii="Times New Roman" w:hAnsi="Times New Roman" w:cs="Times New Roman"/>
          <w:sz w:val="24"/>
          <w:szCs w:val="24"/>
          <w:lang w:val="en-GB"/>
        </w:rPr>
        <w:t>enerative AI, which produces text or images automatically, has become a potential menace because of its awesome power and its uncontrollability — a noxious combination that presents a unique set of problems for anyone hoping to limit its capacity for harm.</w:t>
      </w:r>
      <w:r w:rsidR="00F47FA7">
        <w:rPr>
          <w:rFonts w:ascii="Times New Roman" w:hAnsi="Times New Roman" w:cs="Times New Roman"/>
          <w:sz w:val="24"/>
          <w:szCs w:val="24"/>
          <w:lang w:val="en-GB"/>
        </w:rPr>
        <w:t xml:space="preserve"> Moreover, Helberger and </w:t>
      </w:r>
      <w:proofErr w:type="spellStart"/>
      <w:r w:rsidR="00F47FA7">
        <w:rPr>
          <w:rFonts w:ascii="Times New Roman" w:hAnsi="Times New Roman" w:cs="Times New Roman"/>
          <w:sz w:val="24"/>
          <w:szCs w:val="24"/>
          <w:lang w:val="en-GB"/>
        </w:rPr>
        <w:t>Diakopolous</w:t>
      </w:r>
      <w:proofErr w:type="spellEnd"/>
      <w:r w:rsidR="00F47FA7">
        <w:rPr>
          <w:rFonts w:ascii="Times New Roman" w:hAnsi="Times New Roman" w:cs="Times New Roman"/>
          <w:sz w:val="24"/>
          <w:szCs w:val="24"/>
          <w:lang w:val="en-GB"/>
        </w:rPr>
        <w:t xml:space="preserve"> argue that current super-fast generative AI development </w:t>
      </w:r>
      <w:r w:rsidR="00F47FA7" w:rsidRPr="00F47FA7">
        <w:rPr>
          <w:rFonts w:ascii="Times New Roman" w:hAnsi="Times New Roman" w:cs="Times New Roman"/>
          <w:sz w:val="24"/>
          <w:szCs w:val="24"/>
          <w:lang w:val="en-GB"/>
        </w:rPr>
        <w:t>challenge</w:t>
      </w:r>
      <w:r w:rsidR="00F47FA7">
        <w:rPr>
          <w:rFonts w:ascii="Times New Roman" w:hAnsi="Times New Roman" w:cs="Times New Roman"/>
          <w:sz w:val="24"/>
          <w:szCs w:val="24"/>
          <w:lang w:val="en-GB"/>
        </w:rPr>
        <w:t xml:space="preserve"> </w:t>
      </w:r>
      <w:r w:rsidR="00F47FA7" w:rsidRPr="00F47FA7">
        <w:rPr>
          <w:rFonts w:ascii="Times New Roman" w:hAnsi="Times New Roman" w:cs="Times New Roman"/>
          <w:sz w:val="24"/>
          <w:szCs w:val="24"/>
          <w:lang w:val="en-GB"/>
        </w:rPr>
        <w:t xml:space="preserve">the current </w:t>
      </w:r>
      <w:r w:rsidR="00F47FA7">
        <w:rPr>
          <w:rFonts w:ascii="Times New Roman" w:hAnsi="Times New Roman" w:cs="Times New Roman"/>
          <w:sz w:val="24"/>
          <w:szCs w:val="24"/>
          <w:lang w:val="en-GB"/>
        </w:rPr>
        <w:t xml:space="preserve">regulatory </w:t>
      </w:r>
      <w:r w:rsidR="00F47FA7" w:rsidRPr="00F47FA7">
        <w:rPr>
          <w:rFonts w:ascii="Times New Roman" w:hAnsi="Times New Roman" w:cs="Times New Roman"/>
          <w:sz w:val="24"/>
          <w:szCs w:val="24"/>
          <w:lang w:val="en-GB"/>
        </w:rPr>
        <w:t xml:space="preserve">approach in the </w:t>
      </w:r>
      <w:r w:rsidR="00F47FA7">
        <w:rPr>
          <w:rFonts w:ascii="Times New Roman" w:hAnsi="Times New Roman" w:cs="Times New Roman"/>
          <w:sz w:val="24"/>
          <w:szCs w:val="24"/>
          <w:lang w:val="en-GB"/>
        </w:rPr>
        <w:t xml:space="preserve">EU </w:t>
      </w:r>
      <w:r w:rsidR="00F47FA7" w:rsidRPr="00F47FA7">
        <w:rPr>
          <w:rFonts w:ascii="Times New Roman" w:hAnsi="Times New Roman" w:cs="Times New Roman"/>
          <w:sz w:val="24"/>
          <w:szCs w:val="24"/>
          <w:lang w:val="en-GB"/>
        </w:rPr>
        <w:t xml:space="preserve">AI Act in at least three important ways: </w:t>
      </w:r>
      <w:r w:rsidR="00F47FA7">
        <w:rPr>
          <w:rFonts w:ascii="Times New Roman" w:hAnsi="Times New Roman" w:cs="Times New Roman"/>
          <w:sz w:val="24"/>
          <w:szCs w:val="24"/>
          <w:lang w:val="en-GB"/>
        </w:rPr>
        <w:t xml:space="preserve">a) </w:t>
      </w:r>
      <w:r w:rsidR="00F47FA7" w:rsidRPr="00F47FA7">
        <w:rPr>
          <w:rFonts w:ascii="Times New Roman" w:hAnsi="Times New Roman" w:cs="Times New Roman"/>
          <w:sz w:val="24"/>
          <w:szCs w:val="24"/>
          <w:lang w:val="en-GB"/>
        </w:rPr>
        <w:t>the feasibility</w:t>
      </w:r>
      <w:r w:rsidR="00F47FA7">
        <w:rPr>
          <w:rFonts w:ascii="Times New Roman" w:hAnsi="Times New Roman" w:cs="Times New Roman"/>
          <w:sz w:val="24"/>
          <w:szCs w:val="24"/>
          <w:lang w:val="en-GB"/>
        </w:rPr>
        <w:t xml:space="preserve"> </w:t>
      </w:r>
      <w:r w:rsidR="00F47FA7" w:rsidRPr="00F47FA7">
        <w:rPr>
          <w:rFonts w:ascii="Times New Roman" w:hAnsi="Times New Roman" w:cs="Times New Roman"/>
          <w:sz w:val="24"/>
          <w:szCs w:val="24"/>
          <w:lang w:val="en-GB"/>
        </w:rPr>
        <w:t xml:space="preserve">of sorting generative AI systems into high/no </w:t>
      </w:r>
      <w:proofErr w:type="gramStart"/>
      <w:r w:rsidR="00F47FA7" w:rsidRPr="00F47FA7">
        <w:rPr>
          <w:rFonts w:ascii="Times New Roman" w:hAnsi="Times New Roman" w:cs="Times New Roman"/>
          <w:sz w:val="24"/>
          <w:szCs w:val="24"/>
          <w:lang w:val="en-GB"/>
        </w:rPr>
        <w:t>high risk</w:t>
      </w:r>
      <w:proofErr w:type="gramEnd"/>
      <w:r w:rsidR="00F47FA7" w:rsidRPr="00F47FA7">
        <w:rPr>
          <w:rFonts w:ascii="Times New Roman" w:hAnsi="Times New Roman" w:cs="Times New Roman"/>
          <w:sz w:val="24"/>
          <w:szCs w:val="24"/>
          <w:lang w:val="en-GB"/>
        </w:rPr>
        <w:t xml:space="preserve"> </w:t>
      </w:r>
      <w:r w:rsidR="000E6021" w:rsidRPr="00F47FA7">
        <w:rPr>
          <w:rFonts w:ascii="Times New Roman" w:hAnsi="Times New Roman" w:cs="Times New Roman"/>
          <w:sz w:val="24"/>
          <w:szCs w:val="24"/>
          <w:lang w:val="en-GB"/>
        </w:rPr>
        <w:t>category</w:t>
      </w:r>
      <w:r w:rsidR="00F47FA7">
        <w:rPr>
          <w:rFonts w:ascii="Times New Roman" w:hAnsi="Times New Roman" w:cs="Times New Roman"/>
          <w:sz w:val="24"/>
          <w:szCs w:val="24"/>
          <w:lang w:val="en-GB"/>
        </w:rPr>
        <w:t>; b)</w:t>
      </w:r>
      <w:r w:rsidR="00F47FA7" w:rsidRPr="00F47FA7">
        <w:rPr>
          <w:rFonts w:ascii="Times New Roman" w:hAnsi="Times New Roman" w:cs="Times New Roman"/>
          <w:sz w:val="24"/>
          <w:szCs w:val="24"/>
          <w:lang w:val="en-GB"/>
        </w:rPr>
        <w:t>, the unpredictability of future risks</w:t>
      </w:r>
      <w:r w:rsidR="00F47FA7">
        <w:rPr>
          <w:rFonts w:ascii="Times New Roman" w:hAnsi="Times New Roman" w:cs="Times New Roman"/>
          <w:sz w:val="24"/>
          <w:szCs w:val="24"/>
          <w:lang w:val="en-GB"/>
        </w:rPr>
        <w:t>;</w:t>
      </w:r>
      <w:r w:rsidR="00F47FA7" w:rsidRPr="00F47FA7">
        <w:rPr>
          <w:rFonts w:ascii="Times New Roman" w:hAnsi="Times New Roman" w:cs="Times New Roman"/>
          <w:sz w:val="24"/>
          <w:szCs w:val="24"/>
          <w:lang w:val="en-GB"/>
        </w:rPr>
        <w:t xml:space="preserve"> and</w:t>
      </w:r>
      <w:r w:rsidR="00F47FA7">
        <w:rPr>
          <w:rFonts w:ascii="Times New Roman" w:hAnsi="Times New Roman" w:cs="Times New Roman"/>
          <w:sz w:val="24"/>
          <w:szCs w:val="24"/>
          <w:lang w:val="en-GB"/>
        </w:rPr>
        <w:t xml:space="preserve"> c)</w:t>
      </w:r>
      <w:r w:rsidR="00F47FA7" w:rsidRPr="00F47FA7">
        <w:rPr>
          <w:rFonts w:ascii="Times New Roman" w:hAnsi="Times New Roman" w:cs="Times New Roman"/>
          <w:sz w:val="24"/>
          <w:szCs w:val="24"/>
          <w:lang w:val="en-GB"/>
        </w:rPr>
        <w:t xml:space="preserve"> concerns around private risk ordering</w:t>
      </w:r>
      <w:r w:rsidR="00F47FA7">
        <w:rPr>
          <w:rFonts w:ascii="Times New Roman" w:hAnsi="Times New Roman" w:cs="Times New Roman"/>
          <w:sz w:val="24"/>
          <w:szCs w:val="24"/>
          <w:lang w:val="en-GB"/>
        </w:rPr>
        <w:t>.</w:t>
      </w:r>
      <w:r w:rsidR="00F47FA7">
        <w:rPr>
          <w:rStyle w:val="Sprotnaopomba-sklic"/>
          <w:rFonts w:ascii="Times New Roman" w:hAnsi="Times New Roman" w:cs="Times New Roman"/>
          <w:sz w:val="24"/>
          <w:szCs w:val="24"/>
          <w:lang w:val="en-GB"/>
        </w:rPr>
        <w:footnoteReference w:id="65"/>
      </w:r>
    </w:p>
    <w:p w14:paraId="020CF9F9" w14:textId="1D413158" w:rsidR="0056413E" w:rsidRPr="0056413E" w:rsidRDefault="00E10F90" w:rsidP="0056413E">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0E6021">
        <w:rPr>
          <w:rFonts w:ascii="Times New Roman" w:hAnsi="Times New Roman" w:cs="Times New Roman"/>
          <w:sz w:val="24"/>
          <w:szCs w:val="24"/>
          <w:lang w:val="en-GB"/>
        </w:rPr>
        <w:t>Namely, b</w:t>
      </w:r>
      <w:r w:rsidR="0056413E" w:rsidRPr="0056413E">
        <w:rPr>
          <w:rFonts w:ascii="Times New Roman" w:hAnsi="Times New Roman" w:cs="Times New Roman"/>
          <w:sz w:val="24"/>
          <w:szCs w:val="24"/>
          <w:lang w:val="en-GB"/>
        </w:rPr>
        <w:t>efore</w:t>
      </w:r>
      <w:r w:rsidR="000E6021">
        <w:rPr>
          <w:rFonts w:ascii="Times New Roman" w:hAnsi="Times New Roman" w:cs="Times New Roman"/>
          <w:sz w:val="24"/>
          <w:szCs w:val="24"/>
          <w:lang w:val="en-GB"/>
        </w:rPr>
        <w:t xml:space="preserve"> recent unprecedented and super-fast evolvement of the </w:t>
      </w:r>
      <w:r w:rsidR="0056413E" w:rsidRPr="0056413E">
        <w:rPr>
          <w:rFonts w:ascii="Times New Roman" w:hAnsi="Times New Roman" w:cs="Times New Roman"/>
          <w:sz w:val="24"/>
          <w:szCs w:val="24"/>
          <w:lang w:val="en-GB"/>
        </w:rPr>
        <w:t>ChatGPT, a consensus had largely formed around the objectives of AI regulation.</w:t>
      </w:r>
      <w:r w:rsidR="00994C12">
        <w:rPr>
          <w:rStyle w:val="Sprotnaopomba-sklic"/>
          <w:rFonts w:ascii="Times New Roman" w:hAnsi="Times New Roman" w:cs="Times New Roman"/>
          <w:sz w:val="24"/>
          <w:szCs w:val="24"/>
          <w:lang w:val="en-GB"/>
        </w:rPr>
        <w:footnoteReference w:id="66"/>
      </w:r>
      <w:r w:rsidR="0056413E" w:rsidRPr="0056413E">
        <w:rPr>
          <w:rFonts w:ascii="Times New Roman" w:hAnsi="Times New Roman" w:cs="Times New Roman"/>
          <w:sz w:val="24"/>
          <w:szCs w:val="24"/>
          <w:lang w:val="en-GB"/>
        </w:rPr>
        <w:t xml:space="preserve"> All the attention was on trying to control the applications of the technology, with a particular focus on its use in high-risk situations such as healthcare. Now, an altogether different question has presented itself. When a smart, all-purpose chatbot </w:t>
      </w:r>
      <w:proofErr w:type="gramStart"/>
      <w:r w:rsidR="0056413E" w:rsidRPr="0056413E">
        <w:rPr>
          <w:rFonts w:ascii="Times New Roman" w:hAnsi="Times New Roman" w:cs="Times New Roman"/>
          <w:sz w:val="24"/>
          <w:szCs w:val="24"/>
          <w:lang w:val="en-GB"/>
        </w:rPr>
        <w:t>has the ability to</w:t>
      </w:r>
      <w:proofErr w:type="gramEnd"/>
      <w:r w:rsidR="0056413E" w:rsidRPr="0056413E">
        <w:rPr>
          <w:rFonts w:ascii="Times New Roman" w:hAnsi="Times New Roman" w:cs="Times New Roman"/>
          <w:sz w:val="24"/>
          <w:szCs w:val="24"/>
          <w:lang w:val="en-GB"/>
        </w:rPr>
        <w:t xml:space="preserve"> cause upheaval across a wide range of human activity, is it time to regulate the AI models themselves?</w:t>
      </w:r>
    </w:p>
    <w:p w14:paraId="5E56CB91" w14:textId="5556D3DA" w:rsidR="0056413E" w:rsidRPr="0056413E" w:rsidRDefault="0072039A" w:rsidP="0056413E">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0E6021">
        <w:rPr>
          <w:rFonts w:ascii="Times New Roman" w:hAnsi="Times New Roman" w:cs="Times New Roman"/>
          <w:sz w:val="24"/>
          <w:szCs w:val="24"/>
          <w:lang w:val="en-GB"/>
        </w:rPr>
        <w:t>Moreover, the s</w:t>
      </w:r>
      <w:r w:rsidR="0056413E" w:rsidRPr="0056413E">
        <w:rPr>
          <w:rFonts w:ascii="Times New Roman" w:hAnsi="Times New Roman" w:cs="Times New Roman"/>
          <w:sz w:val="24"/>
          <w:szCs w:val="24"/>
          <w:lang w:val="en-GB"/>
        </w:rPr>
        <w:t xml:space="preserve">o-called </w:t>
      </w:r>
      <w:r w:rsidR="009D32E0" w:rsidRPr="0056413E">
        <w:rPr>
          <w:rFonts w:ascii="Times New Roman" w:hAnsi="Times New Roman" w:cs="Times New Roman"/>
          <w:sz w:val="24"/>
          <w:szCs w:val="24"/>
          <w:lang w:val="en-GB"/>
        </w:rPr>
        <w:t>general-purpose</w:t>
      </w:r>
      <w:r w:rsidR="0056413E" w:rsidRPr="0056413E">
        <w:rPr>
          <w:rFonts w:ascii="Times New Roman" w:hAnsi="Times New Roman" w:cs="Times New Roman"/>
          <w:sz w:val="24"/>
          <w:szCs w:val="24"/>
          <w:lang w:val="en-GB"/>
        </w:rPr>
        <w:t xml:space="preserve"> technologies such as</w:t>
      </w:r>
      <w:r w:rsidR="000E6021">
        <w:rPr>
          <w:rFonts w:ascii="Times New Roman" w:hAnsi="Times New Roman" w:cs="Times New Roman"/>
          <w:sz w:val="24"/>
          <w:szCs w:val="24"/>
          <w:lang w:val="en-GB"/>
        </w:rPr>
        <w:t xml:space="preserve"> generative</w:t>
      </w:r>
      <w:r w:rsidR="0056413E" w:rsidRPr="0056413E">
        <w:rPr>
          <w:rFonts w:ascii="Times New Roman" w:hAnsi="Times New Roman" w:cs="Times New Roman"/>
          <w:sz w:val="24"/>
          <w:szCs w:val="24"/>
          <w:lang w:val="en-GB"/>
        </w:rPr>
        <w:t xml:space="preserve"> AI, which can be used for many different things, present a particular problem for regulators. With AI, it is difficult to separate benign uses from the more sinister. And AI makers admit they cannot </w:t>
      </w:r>
      <w:r w:rsidR="0056413E" w:rsidRPr="0056413E">
        <w:rPr>
          <w:rFonts w:ascii="Times New Roman" w:hAnsi="Times New Roman" w:cs="Times New Roman"/>
          <w:sz w:val="24"/>
          <w:szCs w:val="24"/>
          <w:lang w:val="en-GB"/>
        </w:rPr>
        <w:lastRenderedPageBreak/>
        <w:t xml:space="preserve">explain exactly how the technology </w:t>
      </w:r>
      <w:r w:rsidR="009D32E0" w:rsidRPr="0056413E">
        <w:rPr>
          <w:rFonts w:ascii="Times New Roman" w:hAnsi="Times New Roman" w:cs="Times New Roman"/>
          <w:sz w:val="24"/>
          <w:szCs w:val="24"/>
          <w:lang w:val="en-GB"/>
        </w:rPr>
        <w:t>works or</w:t>
      </w:r>
      <w:r w:rsidR="0056413E" w:rsidRPr="0056413E">
        <w:rPr>
          <w:rFonts w:ascii="Times New Roman" w:hAnsi="Times New Roman" w:cs="Times New Roman"/>
          <w:sz w:val="24"/>
          <w:szCs w:val="24"/>
          <w:lang w:val="en-GB"/>
        </w:rPr>
        <w:t xml:space="preserve"> predict when a particular input in the form of a prompt will lead to a particular output.</w:t>
      </w:r>
      <w:r w:rsidR="000E6021">
        <w:rPr>
          <w:rStyle w:val="Sprotnaopomba-sklic"/>
          <w:rFonts w:ascii="Times New Roman" w:hAnsi="Times New Roman" w:cs="Times New Roman"/>
          <w:sz w:val="24"/>
          <w:szCs w:val="24"/>
          <w:lang w:val="en-GB"/>
        </w:rPr>
        <w:footnoteReference w:id="67"/>
      </w:r>
    </w:p>
    <w:p w14:paraId="662BD481" w14:textId="79E8BD97" w:rsidR="0072039A" w:rsidRPr="0072039A" w:rsidRDefault="0072039A" w:rsidP="0072039A">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Furthermore, generative AI is not a simple, ex-ante programmed algorithm but a neural network where researchers can only control its inputs and can observe the outcomes – yet the process and mechanisms inside of the neural network itself on how certain outcomes have been reached remains out of our comprehension. Hence, regulatory </w:t>
      </w:r>
      <w:r w:rsidRPr="0072039A">
        <w:rPr>
          <w:rFonts w:ascii="Times New Roman" w:hAnsi="Times New Roman" w:cs="Times New Roman"/>
          <w:sz w:val="24"/>
          <w:szCs w:val="24"/>
          <w:lang w:val="en-GB"/>
        </w:rPr>
        <w:t>push for transparency, potentially making it easier to subject the models to a greater degree of outside scrutiny</w:t>
      </w:r>
      <w:r>
        <w:rPr>
          <w:rFonts w:ascii="Times New Roman" w:hAnsi="Times New Roman" w:cs="Times New Roman"/>
          <w:sz w:val="24"/>
          <w:szCs w:val="24"/>
          <w:lang w:val="en-GB"/>
        </w:rPr>
        <w:t xml:space="preserve">, might be due to our inability to understand </w:t>
      </w:r>
      <w:r w:rsidRPr="0072039A">
        <w:rPr>
          <w:rFonts w:ascii="Times New Roman" w:hAnsi="Times New Roman" w:cs="Times New Roman"/>
          <w:sz w:val="24"/>
          <w:szCs w:val="24"/>
          <w:lang w:val="en-GB"/>
        </w:rPr>
        <w:t xml:space="preserve">what is happening inside </w:t>
      </w:r>
      <w:r w:rsidR="00A0250C">
        <w:rPr>
          <w:rFonts w:ascii="Times New Roman" w:hAnsi="Times New Roman" w:cs="Times New Roman"/>
          <w:sz w:val="24"/>
          <w:szCs w:val="24"/>
          <w:lang w:val="en-GB"/>
        </w:rPr>
        <w:t xml:space="preserve">of </w:t>
      </w:r>
      <w:r w:rsidRPr="0072039A">
        <w:rPr>
          <w:rFonts w:ascii="Times New Roman" w:hAnsi="Times New Roman" w:cs="Times New Roman"/>
          <w:sz w:val="24"/>
          <w:szCs w:val="24"/>
          <w:lang w:val="en-GB"/>
        </w:rPr>
        <w:t xml:space="preserve">a learning system such as </w:t>
      </w:r>
      <w:r>
        <w:rPr>
          <w:rFonts w:ascii="Times New Roman" w:hAnsi="Times New Roman" w:cs="Times New Roman"/>
          <w:sz w:val="24"/>
          <w:szCs w:val="24"/>
          <w:lang w:val="en-GB"/>
        </w:rPr>
        <w:t xml:space="preserve">generative AI </w:t>
      </w:r>
      <w:r w:rsidRPr="0072039A">
        <w:rPr>
          <w:rFonts w:ascii="Times New Roman" w:hAnsi="Times New Roman" w:cs="Times New Roman"/>
          <w:sz w:val="24"/>
          <w:szCs w:val="24"/>
          <w:lang w:val="en-GB"/>
        </w:rPr>
        <w:t>not as straightforward</w:t>
      </w:r>
      <w:r>
        <w:rPr>
          <w:rFonts w:ascii="Times New Roman" w:hAnsi="Times New Roman" w:cs="Times New Roman"/>
          <w:sz w:val="24"/>
          <w:szCs w:val="24"/>
          <w:lang w:val="en-GB"/>
        </w:rPr>
        <w:t xml:space="preserve"> or effective</w:t>
      </w:r>
      <w:r w:rsidRPr="0072039A">
        <w:rPr>
          <w:rFonts w:ascii="Times New Roman" w:hAnsi="Times New Roman" w:cs="Times New Roman"/>
          <w:sz w:val="24"/>
          <w:szCs w:val="24"/>
          <w:lang w:val="en-GB"/>
        </w:rPr>
        <w:t xml:space="preserve"> as exposing the code in traditional software.</w:t>
      </w:r>
    </w:p>
    <w:p w14:paraId="42CC70F6" w14:textId="3715A25E" w:rsidR="0056413E" w:rsidRDefault="0072039A" w:rsidP="0072039A">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72039A">
        <w:rPr>
          <w:rFonts w:ascii="Times New Roman" w:hAnsi="Times New Roman" w:cs="Times New Roman"/>
          <w:sz w:val="24"/>
          <w:szCs w:val="24"/>
          <w:lang w:val="en-GB"/>
        </w:rPr>
        <w:t xml:space="preserve">Setting standards for safety processes, increasing transparency about the models’ </w:t>
      </w:r>
      <w:proofErr w:type="gramStart"/>
      <w:r w:rsidRPr="0072039A">
        <w:rPr>
          <w:rFonts w:ascii="Times New Roman" w:hAnsi="Times New Roman" w:cs="Times New Roman"/>
          <w:sz w:val="24"/>
          <w:szCs w:val="24"/>
          <w:lang w:val="en-GB"/>
        </w:rPr>
        <w:t>workings</w:t>
      </w:r>
      <w:proofErr w:type="gramEnd"/>
      <w:r w:rsidRPr="0072039A">
        <w:rPr>
          <w:rFonts w:ascii="Times New Roman" w:hAnsi="Times New Roman" w:cs="Times New Roman"/>
          <w:sz w:val="24"/>
          <w:szCs w:val="24"/>
          <w:lang w:val="en-GB"/>
        </w:rPr>
        <w:t xml:space="preserve"> and giving outside experts a chance to kick the tyres are all ways to increase assurances about </w:t>
      </w:r>
      <w:r>
        <w:rPr>
          <w:rFonts w:ascii="Times New Roman" w:hAnsi="Times New Roman" w:cs="Times New Roman"/>
          <w:sz w:val="24"/>
          <w:szCs w:val="24"/>
          <w:lang w:val="en-GB"/>
        </w:rPr>
        <w:t>generative AI</w:t>
      </w:r>
      <w:r w:rsidRPr="0072039A">
        <w:rPr>
          <w:rFonts w:ascii="Times New Roman" w:hAnsi="Times New Roman" w:cs="Times New Roman"/>
          <w:sz w:val="24"/>
          <w:szCs w:val="24"/>
          <w:lang w:val="en-GB"/>
        </w:rPr>
        <w:t>. The question is what formal regulation</w:t>
      </w:r>
      <w:r>
        <w:rPr>
          <w:rFonts w:ascii="Times New Roman" w:hAnsi="Times New Roman" w:cs="Times New Roman"/>
          <w:sz w:val="24"/>
          <w:szCs w:val="24"/>
          <w:lang w:val="en-GB"/>
        </w:rPr>
        <w:t xml:space="preserve">, if any, </w:t>
      </w:r>
      <w:r w:rsidRPr="0072039A">
        <w:rPr>
          <w:rFonts w:ascii="Times New Roman" w:hAnsi="Times New Roman" w:cs="Times New Roman"/>
          <w:sz w:val="24"/>
          <w:szCs w:val="24"/>
          <w:lang w:val="en-GB"/>
        </w:rPr>
        <w:t>is needed — and what restrictions should be placed on models deemed a</w:t>
      </w:r>
      <w:r>
        <w:rPr>
          <w:rFonts w:ascii="Times New Roman" w:hAnsi="Times New Roman" w:cs="Times New Roman"/>
          <w:sz w:val="24"/>
          <w:szCs w:val="24"/>
          <w:lang w:val="en-GB"/>
        </w:rPr>
        <w:t>s super-risky?</w:t>
      </w:r>
      <w:r>
        <w:rPr>
          <w:rStyle w:val="Sprotnaopomba-sklic"/>
          <w:rFonts w:ascii="Times New Roman" w:hAnsi="Times New Roman" w:cs="Times New Roman"/>
          <w:sz w:val="24"/>
          <w:szCs w:val="24"/>
          <w:lang w:val="en-GB"/>
        </w:rPr>
        <w:footnoteReference w:id="68"/>
      </w:r>
    </w:p>
    <w:p w14:paraId="3C639253" w14:textId="08CE396E" w:rsidR="0056413E" w:rsidRDefault="009D32E0" w:rsidP="0056413E">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72039A">
        <w:rPr>
          <w:rFonts w:ascii="Times New Roman" w:hAnsi="Times New Roman" w:cs="Times New Roman"/>
          <w:sz w:val="24"/>
          <w:szCs w:val="24"/>
          <w:lang w:val="en-GB"/>
        </w:rPr>
        <w:t>In addition, t</w:t>
      </w:r>
      <w:r w:rsidR="0056413E" w:rsidRPr="0056413E">
        <w:rPr>
          <w:rFonts w:ascii="Times New Roman" w:hAnsi="Times New Roman" w:cs="Times New Roman"/>
          <w:sz w:val="24"/>
          <w:szCs w:val="24"/>
          <w:lang w:val="en-GB"/>
        </w:rPr>
        <w:t xml:space="preserve">he current breakneck pace of development in AI would also cause </w:t>
      </w:r>
      <w:proofErr w:type="gramStart"/>
      <w:r w:rsidR="0056413E" w:rsidRPr="0056413E">
        <w:rPr>
          <w:rFonts w:ascii="Times New Roman" w:hAnsi="Times New Roman" w:cs="Times New Roman"/>
          <w:sz w:val="24"/>
          <w:szCs w:val="24"/>
          <w:lang w:val="en-GB"/>
        </w:rPr>
        <w:t>problems</w:t>
      </w:r>
      <w:r w:rsidR="0072039A">
        <w:rPr>
          <w:rFonts w:ascii="Times New Roman" w:hAnsi="Times New Roman" w:cs="Times New Roman"/>
          <w:sz w:val="24"/>
          <w:szCs w:val="24"/>
          <w:lang w:val="en-GB"/>
        </w:rPr>
        <w:t>, since</w:t>
      </w:r>
      <w:proofErr w:type="gramEnd"/>
      <w:r w:rsidR="0072039A">
        <w:rPr>
          <w:rFonts w:ascii="Times New Roman" w:hAnsi="Times New Roman" w:cs="Times New Roman"/>
          <w:sz w:val="24"/>
          <w:szCs w:val="24"/>
          <w:lang w:val="en-GB"/>
        </w:rPr>
        <w:t xml:space="preserve"> </w:t>
      </w:r>
      <w:r w:rsidR="0056413E" w:rsidRPr="0056413E">
        <w:rPr>
          <w:rFonts w:ascii="Times New Roman" w:hAnsi="Times New Roman" w:cs="Times New Roman"/>
          <w:sz w:val="24"/>
          <w:szCs w:val="24"/>
          <w:lang w:val="en-GB"/>
        </w:rPr>
        <w:t>today’s most advanced models quickly become tomorrow’s routine pieces of software. At the same time, some of the capabilities currently available only in large, all-purpose models such as ChatGPT may soon also come from much smaller systems trained to handle narrower tasks.</w:t>
      </w:r>
    </w:p>
    <w:p w14:paraId="711D5AC2" w14:textId="5C074C96" w:rsidR="00290F7C" w:rsidRPr="00290F7C" w:rsidRDefault="009D32E0" w:rsidP="00290F7C">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90F7C" w:rsidRPr="00290F7C">
        <w:rPr>
          <w:rFonts w:ascii="Times New Roman" w:hAnsi="Times New Roman" w:cs="Times New Roman"/>
          <w:sz w:val="24"/>
          <w:szCs w:val="24"/>
          <w:lang w:val="en-GB"/>
        </w:rPr>
        <w:t xml:space="preserve">As the proceeding sections demonstrate, </w:t>
      </w:r>
      <w:r w:rsidR="0072039A">
        <w:rPr>
          <w:rFonts w:ascii="Times New Roman" w:hAnsi="Times New Roman" w:cs="Times New Roman"/>
          <w:sz w:val="24"/>
          <w:szCs w:val="24"/>
          <w:lang w:val="en-GB"/>
        </w:rPr>
        <w:t xml:space="preserve">generative </w:t>
      </w:r>
      <w:r w:rsidR="00290F7C" w:rsidRPr="00290F7C">
        <w:rPr>
          <w:rFonts w:ascii="Times New Roman" w:hAnsi="Times New Roman" w:cs="Times New Roman"/>
          <w:sz w:val="24"/>
          <w:szCs w:val="24"/>
          <w:lang w:val="en-GB"/>
        </w:rPr>
        <w:t xml:space="preserve">AI might be able to perform more action than merely process information and will exert direct control over objects in the human environment. Somewhere out there are stock-trading AI, teachers-training AI and economic-balancing AI that might be even self-aware. Such </w:t>
      </w:r>
      <w:r>
        <w:rPr>
          <w:rFonts w:ascii="Times New Roman" w:hAnsi="Times New Roman" w:cs="Times New Roman"/>
          <w:sz w:val="24"/>
          <w:szCs w:val="24"/>
          <w:lang w:val="en-GB"/>
        </w:rPr>
        <w:t>generative</w:t>
      </w:r>
      <w:r w:rsidR="00290F7C" w:rsidRPr="00290F7C">
        <w:rPr>
          <w:rFonts w:ascii="Times New Roman" w:hAnsi="Times New Roman" w:cs="Times New Roman"/>
          <w:sz w:val="24"/>
          <w:szCs w:val="24"/>
          <w:lang w:val="en-GB"/>
        </w:rPr>
        <w:t xml:space="preserve"> AI might than cause serious indirect or direct harm.</w:t>
      </w:r>
      <w:r w:rsidR="00290F7C" w:rsidRPr="00290F7C">
        <w:rPr>
          <w:rFonts w:ascii="Times New Roman" w:hAnsi="Times New Roman" w:cs="Times New Roman"/>
          <w:sz w:val="24"/>
          <w:szCs w:val="24"/>
          <w:vertAlign w:val="superscript"/>
          <w:lang w:val="en-GB"/>
        </w:rPr>
        <w:footnoteReference w:id="69"/>
      </w:r>
      <w:r w:rsidR="00290F7C" w:rsidRPr="00290F7C">
        <w:rPr>
          <w:rFonts w:ascii="Times New Roman" w:hAnsi="Times New Roman" w:cs="Times New Roman"/>
          <w:sz w:val="24"/>
          <w:szCs w:val="24"/>
          <w:lang w:val="en-GB"/>
        </w:rPr>
        <w:t xml:space="preserve"> In order to mitigate this potentially serious hazards and damages the combination of the </w:t>
      </w:r>
      <w:proofErr w:type="spellStart"/>
      <w:r w:rsidR="00290F7C" w:rsidRPr="00290F7C">
        <w:rPr>
          <w:rFonts w:ascii="Times New Roman" w:hAnsi="Times New Roman" w:cs="Times New Roman"/>
          <w:i/>
          <w:sz w:val="24"/>
          <w:szCs w:val="24"/>
          <w:lang w:val="en-GB"/>
        </w:rPr>
        <w:t>ex ante</w:t>
      </w:r>
      <w:proofErr w:type="spellEnd"/>
      <w:r w:rsidR="00290F7C" w:rsidRPr="00290F7C">
        <w:rPr>
          <w:rFonts w:ascii="Times New Roman" w:hAnsi="Times New Roman" w:cs="Times New Roman"/>
          <w:sz w:val="24"/>
          <w:szCs w:val="24"/>
          <w:lang w:val="en-GB"/>
        </w:rPr>
        <w:t xml:space="preserve"> regulatory intervention (regulatory standards) and </w:t>
      </w:r>
      <w:r w:rsidR="00290F7C" w:rsidRPr="00290F7C">
        <w:rPr>
          <w:rFonts w:ascii="Times New Roman" w:hAnsi="Times New Roman" w:cs="Times New Roman"/>
          <w:i/>
          <w:sz w:val="24"/>
          <w:szCs w:val="24"/>
          <w:lang w:val="en-GB"/>
        </w:rPr>
        <w:t>ex post</w:t>
      </w:r>
      <w:r w:rsidR="00290F7C" w:rsidRPr="00290F7C">
        <w:rPr>
          <w:rFonts w:ascii="Times New Roman" w:hAnsi="Times New Roman" w:cs="Times New Roman"/>
          <w:sz w:val="24"/>
          <w:szCs w:val="24"/>
          <w:lang w:val="en-GB"/>
        </w:rPr>
        <w:t xml:space="preserve"> imposition of liability via tortious liability is at law-maker’s disposal. In other words, this system of </w:t>
      </w:r>
      <w:r w:rsidR="00290F7C" w:rsidRPr="00290F7C">
        <w:rPr>
          <w:rFonts w:ascii="Times New Roman" w:hAnsi="Times New Roman" w:cs="Times New Roman"/>
          <w:i/>
          <w:sz w:val="24"/>
          <w:szCs w:val="24"/>
          <w:lang w:val="en-GB"/>
        </w:rPr>
        <w:t>ex ante</w:t>
      </w:r>
      <w:r w:rsidR="00290F7C" w:rsidRPr="00290F7C">
        <w:rPr>
          <w:rFonts w:ascii="Times New Roman" w:hAnsi="Times New Roman" w:cs="Times New Roman"/>
          <w:sz w:val="24"/>
          <w:szCs w:val="24"/>
          <w:lang w:val="en-GB"/>
        </w:rPr>
        <w:t xml:space="preserve"> regulation and </w:t>
      </w:r>
      <w:r w:rsidR="00290F7C" w:rsidRPr="00290F7C">
        <w:rPr>
          <w:rFonts w:ascii="Times New Roman" w:hAnsi="Times New Roman" w:cs="Times New Roman"/>
          <w:i/>
          <w:sz w:val="24"/>
          <w:szCs w:val="24"/>
          <w:lang w:val="en-GB"/>
        </w:rPr>
        <w:t>ex post</w:t>
      </w:r>
      <w:r w:rsidR="00290F7C" w:rsidRPr="00290F7C">
        <w:rPr>
          <w:rFonts w:ascii="Times New Roman" w:hAnsi="Times New Roman" w:cs="Times New Roman"/>
          <w:sz w:val="24"/>
          <w:szCs w:val="24"/>
          <w:lang w:val="en-GB"/>
        </w:rPr>
        <w:t xml:space="preserve"> sanctioning is designed to deter a future harmful behaviour. However, the triggering question is how would a </w:t>
      </w:r>
      <w:proofErr w:type="gramStart"/>
      <w:r w:rsidR="00290F7C" w:rsidRPr="00290F7C">
        <w:rPr>
          <w:rFonts w:ascii="Times New Roman" w:hAnsi="Times New Roman" w:cs="Times New Roman"/>
          <w:sz w:val="24"/>
          <w:szCs w:val="24"/>
          <w:lang w:val="en-GB"/>
        </w:rPr>
        <w:t>law-maker</w:t>
      </w:r>
      <w:proofErr w:type="gramEnd"/>
      <w:r w:rsidR="00290F7C" w:rsidRPr="00290F7C">
        <w:rPr>
          <w:rFonts w:ascii="Times New Roman" w:hAnsi="Times New Roman" w:cs="Times New Roman"/>
          <w:sz w:val="24"/>
          <w:szCs w:val="24"/>
          <w:lang w:val="en-GB"/>
        </w:rPr>
        <w:t xml:space="preserve"> modify the </w:t>
      </w:r>
      <w:r>
        <w:rPr>
          <w:rFonts w:ascii="Times New Roman" w:hAnsi="Times New Roman" w:cs="Times New Roman"/>
          <w:sz w:val="24"/>
          <w:szCs w:val="24"/>
          <w:lang w:val="en-GB"/>
        </w:rPr>
        <w:t xml:space="preserve">generative </w:t>
      </w:r>
      <w:r w:rsidR="00290F7C" w:rsidRPr="00290F7C">
        <w:rPr>
          <w:rFonts w:ascii="Times New Roman" w:hAnsi="Times New Roman" w:cs="Times New Roman"/>
          <w:sz w:val="24"/>
          <w:szCs w:val="24"/>
          <w:lang w:val="en-GB"/>
        </w:rPr>
        <w:t xml:space="preserve">AI’s behaviour? Moreover, the prospect that AI might behave in ways designers or manufacturers did not expect challenges the prevailing assumption within tort law that courts only compensate for foreseeable injuries. </w:t>
      </w:r>
    </w:p>
    <w:p w14:paraId="5917BEDA" w14:textId="65465F54" w:rsidR="00290F7C" w:rsidRPr="00290F7C" w:rsidRDefault="00290F7C" w:rsidP="00290F7C">
      <w:pPr>
        <w:spacing w:line="276" w:lineRule="auto"/>
        <w:jc w:val="both"/>
        <w:rPr>
          <w:rFonts w:ascii="Times New Roman" w:hAnsi="Times New Roman" w:cs="Times New Roman"/>
          <w:sz w:val="24"/>
          <w:szCs w:val="24"/>
          <w:lang w:val="en-GB"/>
        </w:rPr>
      </w:pPr>
      <w:r w:rsidRPr="00290F7C">
        <w:rPr>
          <w:rFonts w:ascii="Times New Roman" w:hAnsi="Times New Roman" w:cs="Times New Roman"/>
          <w:sz w:val="24"/>
          <w:szCs w:val="24"/>
          <w:lang w:val="en-GB"/>
        </w:rPr>
        <w:lastRenderedPageBreak/>
        <w:t>3.</w:t>
      </w:r>
      <w:r w:rsidR="009D32E0">
        <w:rPr>
          <w:rFonts w:ascii="Times New Roman" w:hAnsi="Times New Roman" w:cs="Times New Roman"/>
          <w:sz w:val="24"/>
          <w:szCs w:val="24"/>
          <w:lang w:val="en-GB"/>
        </w:rPr>
        <w:t>2</w:t>
      </w:r>
      <w:r w:rsidRPr="00290F7C">
        <w:rPr>
          <w:rFonts w:ascii="Times New Roman" w:hAnsi="Times New Roman" w:cs="Times New Roman"/>
          <w:sz w:val="24"/>
          <w:szCs w:val="24"/>
          <w:lang w:val="en-GB"/>
        </w:rPr>
        <w:t>. Law and economics of torts</w:t>
      </w:r>
    </w:p>
    <w:p w14:paraId="7F019226" w14:textId="3B8C6779" w:rsidR="00290F7C" w:rsidRPr="00290F7C" w:rsidRDefault="00290F7C" w:rsidP="00290F7C">
      <w:pPr>
        <w:spacing w:line="276" w:lineRule="auto"/>
        <w:jc w:val="both"/>
        <w:rPr>
          <w:rFonts w:ascii="Times New Roman" w:hAnsi="Times New Roman" w:cs="Times New Roman"/>
          <w:sz w:val="24"/>
          <w:szCs w:val="24"/>
          <w:lang w:val="en-GB"/>
        </w:rPr>
      </w:pPr>
      <w:r w:rsidRPr="00290F7C">
        <w:rPr>
          <w:rFonts w:ascii="Times New Roman" w:hAnsi="Times New Roman" w:cs="Times New Roman"/>
          <w:sz w:val="24"/>
          <w:szCs w:val="24"/>
          <w:lang w:val="en-US"/>
        </w:rPr>
        <w:t xml:space="preserve">Tort law (the law of compensatory damages) defines the conditions under which a person is entitled to damage compensation if her claim is not based on a contractual obligation </w:t>
      </w:r>
      <w:r w:rsidR="00E10F90" w:rsidRPr="00290F7C">
        <w:rPr>
          <w:rFonts w:ascii="Times New Roman" w:hAnsi="Times New Roman" w:cs="Times New Roman"/>
          <w:sz w:val="24"/>
          <w:szCs w:val="24"/>
          <w:lang w:val="en-US"/>
        </w:rPr>
        <w:t xml:space="preserve">and </w:t>
      </w:r>
      <w:r w:rsidR="00E10F90" w:rsidRPr="00290F7C">
        <w:rPr>
          <w:rFonts w:ascii="Times New Roman" w:hAnsi="Times New Roman" w:cs="Times New Roman"/>
          <w:sz w:val="24"/>
          <w:szCs w:val="24"/>
          <w:lang w:val="en-GB"/>
        </w:rPr>
        <w:t>encompasses</w:t>
      </w:r>
      <w:r w:rsidRPr="00290F7C">
        <w:rPr>
          <w:rFonts w:ascii="Times New Roman" w:hAnsi="Times New Roman" w:cs="Times New Roman"/>
          <w:sz w:val="24"/>
          <w:szCs w:val="24"/>
          <w:lang w:val="en-GB"/>
        </w:rPr>
        <w:t xml:space="preserve"> all legal norms that concern the claim made be injured party against the tortfeasor.</w:t>
      </w:r>
      <w:r w:rsidRPr="00290F7C">
        <w:rPr>
          <w:rFonts w:ascii="Times New Roman" w:hAnsi="Times New Roman" w:cs="Times New Roman"/>
          <w:sz w:val="24"/>
          <w:szCs w:val="24"/>
          <w:lang w:val="en-US"/>
        </w:rPr>
        <w:t xml:space="preserve"> </w:t>
      </w:r>
      <w:r w:rsidRPr="00290F7C">
        <w:rPr>
          <w:rFonts w:ascii="Times New Roman" w:hAnsi="Times New Roman" w:cs="Times New Roman"/>
          <w:sz w:val="24"/>
          <w:szCs w:val="24"/>
          <w:lang w:val="en-GB"/>
        </w:rPr>
        <w:t>Economically speaking every reduction of an individual’s utility level caused by a tortious act can be regarded as a damage.</w:t>
      </w:r>
      <w:r w:rsidRPr="00290F7C">
        <w:rPr>
          <w:rFonts w:ascii="Times New Roman" w:hAnsi="Times New Roman" w:cs="Times New Roman"/>
          <w:sz w:val="24"/>
          <w:szCs w:val="24"/>
          <w:vertAlign w:val="superscript"/>
          <w:lang w:val="en-GB"/>
        </w:rPr>
        <w:footnoteReference w:id="70"/>
      </w:r>
      <w:r w:rsidRPr="00290F7C">
        <w:rPr>
          <w:rFonts w:ascii="Times New Roman" w:hAnsi="Times New Roman" w:cs="Times New Roman"/>
          <w:sz w:val="24"/>
          <w:szCs w:val="24"/>
          <w:lang w:val="en-GB"/>
        </w:rPr>
        <w:t xml:space="preserve"> Tort law rules aim at drawing a just and fair line between those noxious events that should lead to damage compensation and others for which the damage should lie where it falls. A thorough overview of tort law and economics literature exceeds the limitations of this paper and can be found elsewhere.</w:t>
      </w:r>
      <w:r w:rsidRPr="00290F7C">
        <w:rPr>
          <w:rFonts w:ascii="Times New Roman" w:hAnsi="Times New Roman" w:cs="Times New Roman"/>
          <w:sz w:val="24"/>
          <w:szCs w:val="24"/>
          <w:vertAlign w:val="superscript"/>
          <w:lang w:val="en-GB"/>
        </w:rPr>
        <w:footnoteReference w:id="71"/>
      </w:r>
      <w:r w:rsidRPr="00290F7C">
        <w:rPr>
          <w:rFonts w:ascii="Times New Roman" w:hAnsi="Times New Roman" w:cs="Times New Roman"/>
          <w:sz w:val="24"/>
          <w:szCs w:val="24"/>
          <w:lang w:val="en-GB"/>
        </w:rPr>
        <w:t xml:space="preserve"> However, </w:t>
      </w:r>
      <w:proofErr w:type="gramStart"/>
      <w:r w:rsidRPr="00290F7C">
        <w:rPr>
          <w:rFonts w:ascii="Times New Roman" w:hAnsi="Times New Roman" w:cs="Times New Roman"/>
          <w:sz w:val="24"/>
          <w:szCs w:val="24"/>
          <w:lang w:val="en-GB"/>
        </w:rPr>
        <w:t>is should be</w:t>
      </w:r>
      <w:proofErr w:type="gramEnd"/>
      <w:r w:rsidRPr="00290F7C">
        <w:rPr>
          <w:rFonts w:ascii="Times New Roman" w:hAnsi="Times New Roman" w:cs="Times New Roman"/>
          <w:sz w:val="24"/>
          <w:szCs w:val="24"/>
          <w:lang w:val="en-GB"/>
        </w:rPr>
        <w:t xml:space="preserve"> emphasized that tort law and economics literature traditionally addresses three broad aspects of tortious liability. The first is the assessment of its effects on incentives (both whether to engage in activities and how much care to exercise to reduce the risk when so doing) – analytically speaking tort law is thus an instrument that improves incentives;</w:t>
      </w:r>
      <w:r w:rsidRPr="00290F7C">
        <w:rPr>
          <w:rFonts w:ascii="Times New Roman" w:hAnsi="Times New Roman" w:cs="Times New Roman"/>
          <w:sz w:val="24"/>
          <w:szCs w:val="24"/>
          <w:vertAlign w:val="superscript"/>
          <w:lang w:val="en-GB"/>
        </w:rPr>
        <w:footnoteReference w:id="72"/>
      </w:r>
      <w:r w:rsidRPr="00290F7C">
        <w:rPr>
          <w:rFonts w:ascii="Times New Roman" w:hAnsi="Times New Roman" w:cs="Times New Roman"/>
          <w:sz w:val="24"/>
          <w:szCs w:val="24"/>
          <w:lang w:val="en-GB"/>
        </w:rPr>
        <w:t xml:space="preserve"> second concerns risk-bearing capacity and insurance and the third is its administrative expense comprising the costs of legal services, the value of litigants’ time and the operating costs of the courts.</w:t>
      </w:r>
      <w:r w:rsidRPr="00290F7C">
        <w:rPr>
          <w:rFonts w:ascii="Times New Roman" w:hAnsi="Times New Roman" w:cs="Times New Roman"/>
          <w:sz w:val="24"/>
          <w:szCs w:val="24"/>
          <w:vertAlign w:val="superscript"/>
          <w:lang w:val="en-GB"/>
        </w:rPr>
        <w:footnoteReference w:id="73"/>
      </w:r>
      <w:r w:rsidRPr="00290F7C">
        <w:rPr>
          <w:rFonts w:ascii="Times New Roman" w:hAnsi="Times New Roman" w:cs="Times New Roman"/>
          <w:sz w:val="24"/>
          <w:szCs w:val="24"/>
          <w:lang w:val="en-GB"/>
        </w:rPr>
        <w:t xml:space="preserve"> These three categories are than subjected to rigorous cost-benefit analysis that should yield the marginal conditions for an efficient outcome. Wittman for example argues that the key is to find liability rule where the equilibrium levels of prevention undertaken by the injurer and the victim coincide with the optimal levels.</w:t>
      </w:r>
      <w:r w:rsidRPr="00290F7C">
        <w:rPr>
          <w:rFonts w:ascii="Times New Roman" w:hAnsi="Times New Roman" w:cs="Times New Roman"/>
          <w:sz w:val="24"/>
          <w:szCs w:val="24"/>
          <w:vertAlign w:val="superscript"/>
          <w:lang w:val="en-GB"/>
        </w:rPr>
        <w:footnoteReference w:id="74"/>
      </w:r>
    </w:p>
    <w:p w14:paraId="7A50BDA7" w14:textId="77777777" w:rsidR="00290F7C" w:rsidRPr="00290F7C" w:rsidRDefault="00290F7C" w:rsidP="00290F7C">
      <w:pPr>
        <w:spacing w:line="276" w:lineRule="auto"/>
        <w:jc w:val="both"/>
        <w:rPr>
          <w:rFonts w:ascii="Times New Roman" w:hAnsi="Times New Roman" w:cs="Times New Roman"/>
          <w:sz w:val="24"/>
          <w:szCs w:val="24"/>
          <w:lang w:val="en-US"/>
        </w:rPr>
      </w:pPr>
      <w:r w:rsidRPr="00290F7C">
        <w:rPr>
          <w:rFonts w:ascii="Times New Roman" w:hAnsi="Times New Roman" w:cs="Times New Roman"/>
          <w:sz w:val="24"/>
          <w:szCs w:val="24"/>
          <w:lang w:val="en-GB"/>
        </w:rPr>
        <w:t xml:space="preserve">     However, it should be emphasized that even after a </w:t>
      </w:r>
      <w:r w:rsidRPr="00290F7C">
        <w:rPr>
          <w:rFonts w:ascii="Times New Roman" w:hAnsi="Times New Roman" w:cs="Times New Roman"/>
          <w:sz w:val="24"/>
          <w:szCs w:val="24"/>
          <w:lang w:val="en-US"/>
        </w:rPr>
        <w:t xml:space="preserve">long debate on the economic effects of tort law there is still much disagreement as to the legitimate place of tort law in modern society. Should tort law be a comprehensive and expanding deterrence system, regulating </w:t>
      </w:r>
      <w:proofErr w:type="gramStart"/>
      <w:r w:rsidRPr="00290F7C">
        <w:rPr>
          <w:rFonts w:ascii="Times New Roman" w:hAnsi="Times New Roman" w:cs="Times New Roman"/>
          <w:sz w:val="24"/>
          <w:szCs w:val="24"/>
          <w:lang w:val="en-US"/>
        </w:rPr>
        <w:t>securities’</w:t>
      </w:r>
      <w:proofErr w:type="gramEnd"/>
      <w:r w:rsidRPr="00290F7C">
        <w:rPr>
          <w:rFonts w:ascii="Times New Roman" w:hAnsi="Times New Roman" w:cs="Times New Roman"/>
          <w:sz w:val="24"/>
          <w:szCs w:val="24"/>
          <w:lang w:val="en-US"/>
        </w:rPr>
        <w:t xml:space="preserve"> and other markets, old and new hazards and then be open to all kinds of legal innovations necessary for optimal deterrence? Or should its domain be more restricted to the classical cases and leave complicated risks and hazards to other social institutions – safety regulations.</w:t>
      </w:r>
      <w:r w:rsidRPr="00290F7C">
        <w:rPr>
          <w:rFonts w:ascii="Times New Roman" w:hAnsi="Times New Roman" w:cs="Times New Roman"/>
          <w:sz w:val="24"/>
          <w:szCs w:val="24"/>
          <w:vertAlign w:val="superscript"/>
          <w:lang w:val="en-US"/>
        </w:rPr>
        <w:footnoteReference w:id="75"/>
      </w:r>
      <w:r w:rsidRPr="00290F7C">
        <w:rPr>
          <w:rFonts w:ascii="Times New Roman" w:hAnsi="Times New Roman" w:cs="Times New Roman"/>
          <w:sz w:val="24"/>
          <w:szCs w:val="24"/>
          <w:lang w:val="en-US"/>
        </w:rPr>
        <w:t xml:space="preserve"> This depends to a great extent on two factors, the availability of private insurance against hazards and the capacity of civil courts to obtain and process information.</w:t>
      </w:r>
      <w:r w:rsidRPr="00290F7C">
        <w:rPr>
          <w:rFonts w:ascii="Times New Roman" w:hAnsi="Times New Roman" w:cs="Times New Roman"/>
          <w:sz w:val="24"/>
          <w:szCs w:val="24"/>
          <w:vertAlign w:val="superscript"/>
          <w:lang w:val="en-US"/>
        </w:rPr>
        <w:footnoteReference w:id="76"/>
      </w:r>
      <w:r w:rsidRPr="00290F7C">
        <w:rPr>
          <w:rFonts w:ascii="Times New Roman" w:hAnsi="Times New Roman" w:cs="Times New Roman"/>
          <w:sz w:val="24"/>
          <w:szCs w:val="24"/>
          <w:lang w:val="en-US"/>
        </w:rPr>
        <w:t xml:space="preserve"> Yet, Schaefer also emphasizes that independent from potential informational constraints the tort system cannot be an efficient institution as long as reducing the scope of liability results in distortive incentive </w:t>
      </w:r>
      <w:r w:rsidRPr="00290F7C">
        <w:rPr>
          <w:rFonts w:ascii="Times New Roman" w:hAnsi="Times New Roman" w:cs="Times New Roman"/>
          <w:sz w:val="24"/>
          <w:szCs w:val="24"/>
          <w:lang w:val="en-US"/>
        </w:rPr>
        <w:lastRenderedPageBreak/>
        <w:t>effects which are less costly than the resulting savings of costs of the judicial system and easier insurance coverage.</w:t>
      </w:r>
      <w:r w:rsidRPr="00290F7C">
        <w:rPr>
          <w:rFonts w:ascii="Times New Roman" w:hAnsi="Times New Roman" w:cs="Times New Roman"/>
          <w:sz w:val="24"/>
          <w:szCs w:val="24"/>
          <w:vertAlign w:val="superscript"/>
          <w:lang w:val="en-US"/>
        </w:rPr>
        <w:footnoteReference w:id="77"/>
      </w:r>
      <w:r w:rsidRPr="00290F7C">
        <w:rPr>
          <w:rFonts w:ascii="Times New Roman" w:hAnsi="Times New Roman" w:cs="Times New Roman"/>
          <w:sz w:val="24"/>
          <w:szCs w:val="24"/>
          <w:lang w:val="en-US"/>
        </w:rPr>
        <w:t xml:space="preserve"> As the costs per case filed are very high in the tort system, alternative institutions like no-fault insurance schemes or </w:t>
      </w:r>
      <w:r w:rsidRPr="00290F7C">
        <w:rPr>
          <w:rFonts w:ascii="Times New Roman" w:hAnsi="Times New Roman" w:cs="Times New Roman"/>
          <w:i/>
          <w:sz w:val="24"/>
          <w:szCs w:val="24"/>
          <w:lang w:val="en-US"/>
        </w:rPr>
        <w:t>ex ante</w:t>
      </w:r>
      <w:r w:rsidRPr="00290F7C">
        <w:rPr>
          <w:rFonts w:ascii="Times New Roman" w:hAnsi="Times New Roman" w:cs="Times New Roman"/>
          <w:sz w:val="24"/>
          <w:szCs w:val="24"/>
          <w:lang w:val="en-US"/>
        </w:rPr>
        <w:t xml:space="preserve"> safety regulation might be better suited to reduce the overall costs of accidents than tort liability.</w:t>
      </w:r>
      <w:r w:rsidRPr="00290F7C">
        <w:rPr>
          <w:rFonts w:ascii="Times New Roman" w:hAnsi="Times New Roman" w:cs="Times New Roman"/>
          <w:sz w:val="24"/>
          <w:szCs w:val="24"/>
          <w:vertAlign w:val="superscript"/>
          <w:lang w:val="en-US"/>
        </w:rPr>
        <w:footnoteReference w:id="78"/>
      </w:r>
    </w:p>
    <w:p w14:paraId="0F31657C" w14:textId="77777777" w:rsidR="009D32E0" w:rsidRDefault="009D32E0" w:rsidP="00290F7C">
      <w:pPr>
        <w:spacing w:line="276" w:lineRule="auto"/>
        <w:jc w:val="both"/>
        <w:rPr>
          <w:rFonts w:ascii="Times New Roman" w:hAnsi="Times New Roman" w:cs="Times New Roman"/>
          <w:sz w:val="24"/>
          <w:szCs w:val="24"/>
          <w:lang w:val="en-US"/>
        </w:rPr>
      </w:pPr>
    </w:p>
    <w:p w14:paraId="0688A7A2" w14:textId="5C30C836" w:rsidR="00290F7C" w:rsidRPr="00290F7C" w:rsidRDefault="00290F7C" w:rsidP="00290F7C">
      <w:pPr>
        <w:spacing w:line="276" w:lineRule="auto"/>
        <w:jc w:val="both"/>
        <w:rPr>
          <w:rFonts w:ascii="Times New Roman" w:hAnsi="Times New Roman" w:cs="Times New Roman"/>
          <w:sz w:val="24"/>
          <w:szCs w:val="24"/>
          <w:lang w:val="en-GB"/>
        </w:rPr>
      </w:pPr>
      <w:r w:rsidRPr="00290F7C">
        <w:rPr>
          <w:rFonts w:ascii="Times New Roman" w:hAnsi="Times New Roman" w:cs="Times New Roman"/>
          <w:sz w:val="24"/>
          <w:szCs w:val="24"/>
          <w:lang w:val="en-US"/>
        </w:rPr>
        <w:t>3.</w:t>
      </w:r>
      <w:r w:rsidR="009D32E0">
        <w:rPr>
          <w:rFonts w:ascii="Times New Roman" w:hAnsi="Times New Roman" w:cs="Times New Roman"/>
          <w:sz w:val="24"/>
          <w:szCs w:val="24"/>
          <w:lang w:val="en-US"/>
        </w:rPr>
        <w:t>3</w:t>
      </w:r>
      <w:r w:rsidRPr="00290F7C">
        <w:rPr>
          <w:rFonts w:ascii="Times New Roman" w:hAnsi="Times New Roman" w:cs="Times New Roman"/>
          <w:sz w:val="24"/>
          <w:szCs w:val="24"/>
          <w:lang w:val="en-US"/>
        </w:rPr>
        <w:t xml:space="preserve"> Liability for harm versus safety regulation</w:t>
      </w:r>
    </w:p>
    <w:p w14:paraId="43939DFC" w14:textId="77777777" w:rsidR="00290F7C" w:rsidRPr="00290F7C" w:rsidRDefault="00290F7C" w:rsidP="00290F7C">
      <w:pPr>
        <w:spacing w:line="276" w:lineRule="auto"/>
        <w:jc w:val="both"/>
        <w:rPr>
          <w:rFonts w:ascii="Times New Roman" w:hAnsi="Times New Roman" w:cs="Times New Roman"/>
          <w:sz w:val="24"/>
          <w:szCs w:val="24"/>
          <w:lang w:val="en-GB"/>
        </w:rPr>
      </w:pPr>
      <w:r w:rsidRPr="00290F7C">
        <w:rPr>
          <w:rFonts w:ascii="Times New Roman" w:hAnsi="Times New Roman" w:cs="Times New Roman"/>
          <w:sz w:val="24"/>
          <w:szCs w:val="24"/>
          <w:lang w:val="en-GB"/>
        </w:rPr>
        <w:t>In his seminal paper on liability for harm versus regulation of safety professor Shavell paved the way towards analytical understanding of the optimal employment of tort liability and/or regulatory standards. Shavell instrumentally addressed the effects of liability rules and direct regulation upon the rational self-interested party’s decision-making process.</w:t>
      </w:r>
      <w:r w:rsidRPr="00290F7C">
        <w:rPr>
          <w:rFonts w:ascii="Times New Roman" w:hAnsi="Times New Roman" w:cs="Times New Roman"/>
          <w:sz w:val="24"/>
          <w:szCs w:val="24"/>
          <w:vertAlign w:val="superscript"/>
          <w:lang w:val="en-GB"/>
        </w:rPr>
        <w:footnoteReference w:id="79"/>
      </w:r>
      <w:r w:rsidRPr="00290F7C">
        <w:rPr>
          <w:rFonts w:ascii="Times New Roman" w:hAnsi="Times New Roman" w:cs="Times New Roman"/>
          <w:sz w:val="24"/>
          <w:szCs w:val="24"/>
          <w:lang w:val="en-GB"/>
        </w:rPr>
        <w:t xml:space="preserve"> Namely, liability in tort and the safety regulation represent two different approaches for controlling activities that create risks of harm and that induce the optimal amount of precaution.</w:t>
      </w:r>
      <w:r w:rsidRPr="00290F7C">
        <w:rPr>
          <w:rFonts w:ascii="Times New Roman" w:hAnsi="Times New Roman" w:cs="Times New Roman"/>
          <w:sz w:val="24"/>
          <w:szCs w:val="24"/>
          <w:vertAlign w:val="superscript"/>
          <w:lang w:val="en-GB"/>
        </w:rPr>
        <w:footnoteReference w:id="80"/>
      </w:r>
      <w:r w:rsidRPr="00290F7C">
        <w:rPr>
          <w:rFonts w:ascii="Times New Roman" w:hAnsi="Times New Roman" w:cs="Times New Roman"/>
          <w:sz w:val="24"/>
          <w:szCs w:val="24"/>
          <w:lang w:val="en-GB"/>
        </w:rPr>
        <w:t xml:space="preserve"> However, as Shavell emphasizes there have been major mistakes made in the use of liability and safety regulation.</w:t>
      </w:r>
      <w:r w:rsidRPr="00290F7C">
        <w:rPr>
          <w:rFonts w:ascii="Times New Roman" w:hAnsi="Times New Roman" w:cs="Times New Roman"/>
          <w:sz w:val="24"/>
          <w:szCs w:val="24"/>
          <w:vertAlign w:val="superscript"/>
          <w:lang w:val="en-GB"/>
        </w:rPr>
        <w:footnoteReference w:id="81"/>
      </w:r>
      <w:r w:rsidRPr="00290F7C">
        <w:rPr>
          <w:rFonts w:ascii="Times New Roman" w:hAnsi="Times New Roman" w:cs="Times New Roman"/>
          <w:sz w:val="24"/>
          <w:szCs w:val="24"/>
          <w:lang w:val="en-GB"/>
        </w:rPr>
        <w:t xml:space="preserve"> Regulation, when applied exclusively, had often, due to manifold problems, proved to be inadequate, whereas also tort liability might provide, due to causation problems, sub-optimal deterrence incentives.</w:t>
      </w:r>
      <w:r w:rsidRPr="00290F7C">
        <w:rPr>
          <w:rFonts w:ascii="Times New Roman" w:hAnsi="Times New Roman" w:cs="Times New Roman"/>
          <w:sz w:val="24"/>
          <w:szCs w:val="24"/>
          <w:vertAlign w:val="superscript"/>
          <w:lang w:val="en-GB"/>
        </w:rPr>
        <w:footnoteReference w:id="82"/>
      </w:r>
      <w:r w:rsidRPr="00290F7C">
        <w:rPr>
          <w:rFonts w:ascii="Times New Roman" w:hAnsi="Times New Roman" w:cs="Times New Roman"/>
          <w:sz w:val="24"/>
          <w:szCs w:val="24"/>
          <w:lang w:val="en-GB"/>
        </w:rPr>
        <w:t xml:space="preserve"> Shavell also argues that regulatory fines are identical to tortious liability in that they create incentives to reduce risks by making parties pay for the harm they cause.</w:t>
      </w:r>
      <w:r w:rsidRPr="00290F7C">
        <w:rPr>
          <w:rFonts w:ascii="Times New Roman" w:hAnsi="Times New Roman" w:cs="Times New Roman"/>
          <w:sz w:val="24"/>
          <w:szCs w:val="24"/>
          <w:vertAlign w:val="superscript"/>
          <w:lang w:val="en-GB"/>
        </w:rPr>
        <w:footnoteReference w:id="83"/>
      </w:r>
      <w:r w:rsidRPr="00290F7C">
        <w:rPr>
          <w:rFonts w:ascii="Times New Roman" w:hAnsi="Times New Roman" w:cs="Times New Roman"/>
          <w:sz w:val="24"/>
          <w:szCs w:val="24"/>
          <w:lang w:val="en-GB"/>
        </w:rPr>
        <w:t xml:space="preserve"> Yet fines also suffer from the inability to pay for harm and from possibility that violators would escape public agency.</w:t>
      </w:r>
      <w:r w:rsidRPr="00290F7C">
        <w:rPr>
          <w:rFonts w:ascii="Times New Roman" w:hAnsi="Times New Roman" w:cs="Times New Roman"/>
          <w:sz w:val="24"/>
          <w:szCs w:val="24"/>
          <w:vertAlign w:val="superscript"/>
          <w:lang w:val="en-GB"/>
        </w:rPr>
        <w:footnoteReference w:id="84"/>
      </w:r>
      <w:r w:rsidRPr="00290F7C">
        <w:rPr>
          <w:rFonts w:ascii="Times New Roman" w:hAnsi="Times New Roman" w:cs="Times New Roman"/>
          <w:sz w:val="24"/>
          <w:szCs w:val="24"/>
          <w:lang w:val="en-GB"/>
        </w:rPr>
        <w:t xml:space="preserve"> Nevertheless, as Shavell emphasizes, regulatory fines have advantage in instances where private suits (and related tortious liability) would not be brought due to difficulty in establishing causation or where harms are widely dispersed.</w:t>
      </w:r>
      <w:r w:rsidRPr="00290F7C">
        <w:rPr>
          <w:rFonts w:ascii="Times New Roman" w:hAnsi="Times New Roman" w:cs="Times New Roman"/>
          <w:sz w:val="24"/>
          <w:szCs w:val="24"/>
          <w:vertAlign w:val="superscript"/>
          <w:lang w:val="en-GB"/>
        </w:rPr>
        <w:footnoteReference w:id="85"/>
      </w:r>
    </w:p>
    <w:p w14:paraId="1120A5DD" w14:textId="6B304225" w:rsidR="00290F7C" w:rsidRPr="00290F7C" w:rsidRDefault="00E10F90" w:rsidP="00290F7C">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90F7C" w:rsidRPr="00290F7C">
        <w:rPr>
          <w:rFonts w:ascii="Times New Roman" w:hAnsi="Times New Roman" w:cs="Times New Roman"/>
          <w:sz w:val="24"/>
          <w:szCs w:val="24"/>
          <w:lang w:val="en-GB"/>
        </w:rPr>
        <w:t>Rose-Ackerman suggests that regulation (statues) should generally dominate so long as agencies can employ rule-making to shape policy.</w:t>
      </w:r>
      <w:r w:rsidR="00290F7C" w:rsidRPr="00290F7C">
        <w:rPr>
          <w:rFonts w:ascii="Times New Roman" w:hAnsi="Times New Roman" w:cs="Times New Roman"/>
          <w:sz w:val="24"/>
          <w:szCs w:val="24"/>
          <w:vertAlign w:val="superscript"/>
          <w:lang w:val="en-GB"/>
        </w:rPr>
        <w:footnoteReference w:id="86"/>
      </w:r>
      <w:r w:rsidR="00290F7C" w:rsidRPr="00290F7C">
        <w:rPr>
          <w:rFonts w:ascii="Times New Roman" w:hAnsi="Times New Roman" w:cs="Times New Roman"/>
          <w:sz w:val="24"/>
          <w:szCs w:val="24"/>
          <w:lang w:val="en-GB"/>
        </w:rPr>
        <w:t xml:space="preserve"> The tort rules should </w:t>
      </w:r>
      <w:proofErr w:type="gramStart"/>
      <w:r w:rsidR="00290F7C" w:rsidRPr="00290F7C">
        <w:rPr>
          <w:rFonts w:ascii="Times New Roman" w:hAnsi="Times New Roman" w:cs="Times New Roman"/>
          <w:sz w:val="24"/>
          <w:szCs w:val="24"/>
          <w:lang w:val="en-GB"/>
        </w:rPr>
        <w:t>consequently  be</w:t>
      </w:r>
      <w:proofErr w:type="gramEnd"/>
      <w:r w:rsidR="00290F7C" w:rsidRPr="00290F7C">
        <w:rPr>
          <w:rFonts w:ascii="Times New Roman" w:hAnsi="Times New Roman" w:cs="Times New Roman"/>
          <w:sz w:val="24"/>
          <w:szCs w:val="24"/>
          <w:lang w:val="en-GB"/>
        </w:rPr>
        <w:t xml:space="preserve"> limited to areas of activity not covered by regulation and to situations in which courts can </w:t>
      </w:r>
      <w:r w:rsidR="00290F7C" w:rsidRPr="00290F7C">
        <w:rPr>
          <w:rFonts w:ascii="Times New Roman" w:hAnsi="Times New Roman" w:cs="Times New Roman"/>
          <w:sz w:val="24"/>
          <w:szCs w:val="24"/>
          <w:lang w:val="en-GB"/>
        </w:rPr>
        <w:lastRenderedPageBreak/>
        <w:t>complement the regulatory (statutory) scheme with a supplementary enforcement and compensation mechanism.</w:t>
      </w:r>
      <w:r w:rsidR="00290F7C" w:rsidRPr="00290F7C">
        <w:rPr>
          <w:rFonts w:ascii="Times New Roman" w:hAnsi="Times New Roman" w:cs="Times New Roman"/>
          <w:sz w:val="24"/>
          <w:szCs w:val="24"/>
          <w:vertAlign w:val="superscript"/>
          <w:lang w:val="en-GB"/>
        </w:rPr>
        <w:footnoteReference w:id="87"/>
      </w:r>
    </w:p>
    <w:p w14:paraId="5E50A21D" w14:textId="0D3246E4" w:rsidR="00290F7C" w:rsidRPr="00290F7C" w:rsidRDefault="00E10F90" w:rsidP="00290F7C">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addition, a</w:t>
      </w:r>
      <w:r w:rsidR="00290F7C" w:rsidRPr="00290F7C">
        <w:rPr>
          <w:rFonts w:ascii="Times New Roman" w:hAnsi="Times New Roman" w:cs="Times New Roman"/>
          <w:sz w:val="24"/>
          <w:szCs w:val="24"/>
          <w:lang w:val="en-GB"/>
        </w:rPr>
        <w:t xml:space="preserve"> tortfeasor who cannot fully pay for the harms that is causes and for which she has been found legally liable is said to be “judgement proof.” Shavell coined the term “judgement proof” in his path-breaking article on the judgement-proof problem where he showed that the existence of the judgement-proof problem seriously undermines the deterrence and insurance goals of tort law.</w:t>
      </w:r>
      <w:r w:rsidR="00290F7C" w:rsidRPr="00290F7C">
        <w:rPr>
          <w:rFonts w:ascii="Times New Roman" w:hAnsi="Times New Roman" w:cs="Times New Roman"/>
          <w:sz w:val="24"/>
          <w:szCs w:val="24"/>
          <w:vertAlign w:val="superscript"/>
          <w:lang w:val="en-GB"/>
        </w:rPr>
        <w:footnoteReference w:id="88"/>
      </w:r>
      <w:r w:rsidR="00290F7C" w:rsidRPr="00290F7C">
        <w:rPr>
          <w:rFonts w:ascii="Times New Roman" w:hAnsi="Times New Roman" w:cs="Times New Roman"/>
          <w:sz w:val="24"/>
          <w:szCs w:val="24"/>
          <w:lang w:val="en-GB"/>
        </w:rPr>
        <w:t xml:space="preserve"> He notes that judgement-proof parties do not have the appropriate incentive either to prevent accidents or to purchase liability insurance.</w:t>
      </w:r>
      <w:r w:rsidR="00290F7C" w:rsidRPr="00290F7C">
        <w:rPr>
          <w:rFonts w:ascii="Times New Roman" w:hAnsi="Times New Roman" w:cs="Times New Roman"/>
          <w:sz w:val="24"/>
          <w:szCs w:val="24"/>
          <w:vertAlign w:val="superscript"/>
          <w:lang w:val="en-GB"/>
        </w:rPr>
        <w:footnoteReference w:id="89"/>
      </w:r>
      <w:bookmarkStart w:id="26" w:name="_Hlk367972"/>
      <w:r w:rsidR="00290F7C" w:rsidRPr="00290F7C">
        <w:rPr>
          <w:rFonts w:ascii="Times New Roman" w:hAnsi="Times New Roman" w:cs="Times New Roman"/>
          <w:sz w:val="24"/>
          <w:szCs w:val="24"/>
          <w:lang w:val="en-GB"/>
        </w:rPr>
        <w:t xml:space="preserve"> In other words, the judgement-proof problem is of substantial importance, since if the injurers are unable to pay fully for the harm they may cause, their incentives to engage in risky activities will be greater than otherwise. Summers also shows that the judgement proof injurers tend to take too little precaution under strict liability, since the accident costs are only partially internalized.</w:t>
      </w:r>
      <w:r w:rsidR="00290F7C" w:rsidRPr="00290F7C">
        <w:rPr>
          <w:rFonts w:ascii="Times New Roman" w:hAnsi="Times New Roman" w:cs="Times New Roman"/>
          <w:sz w:val="24"/>
          <w:szCs w:val="24"/>
          <w:vertAlign w:val="superscript"/>
          <w:lang w:val="en-GB"/>
        </w:rPr>
        <w:footnoteReference w:id="90"/>
      </w:r>
    </w:p>
    <w:p w14:paraId="56681703" w14:textId="77777777" w:rsidR="00290F7C" w:rsidRPr="00290F7C" w:rsidRDefault="00290F7C" w:rsidP="00290F7C">
      <w:pPr>
        <w:spacing w:line="276" w:lineRule="auto"/>
        <w:jc w:val="both"/>
        <w:rPr>
          <w:rFonts w:ascii="Times New Roman" w:hAnsi="Times New Roman" w:cs="Times New Roman"/>
          <w:sz w:val="24"/>
          <w:szCs w:val="24"/>
          <w:lang w:val="en-GB"/>
        </w:rPr>
      </w:pPr>
      <w:r w:rsidRPr="00290F7C">
        <w:rPr>
          <w:rFonts w:ascii="Times New Roman" w:hAnsi="Times New Roman" w:cs="Times New Roman"/>
          <w:sz w:val="24"/>
          <w:szCs w:val="24"/>
          <w:lang w:val="en-GB"/>
        </w:rPr>
        <w:t xml:space="preserve">      Moreover, one should that strict liability provides incentives for an optimal engagement in an activity if parties assets are enough to cover the harm they might cause, but their incentives will be inadequate if they are unable to pay for the harm.</w:t>
      </w:r>
      <w:r w:rsidRPr="00290F7C">
        <w:rPr>
          <w:rFonts w:ascii="Times New Roman" w:hAnsi="Times New Roman" w:cs="Times New Roman"/>
          <w:sz w:val="24"/>
          <w:szCs w:val="24"/>
          <w:vertAlign w:val="superscript"/>
          <w:lang w:val="en-GB"/>
        </w:rPr>
        <w:footnoteReference w:id="91"/>
      </w:r>
      <w:r w:rsidRPr="00290F7C">
        <w:rPr>
          <w:rFonts w:ascii="Times New Roman" w:hAnsi="Times New Roman" w:cs="Times New Roman"/>
          <w:sz w:val="24"/>
          <w:szCs w:val="24"/>
          <w:lang w:val="en-GB"/>
        </w:rPr>
        <w:t xml:space="preserve"> Furthermore, Shavell argues that also under the negligence rule in situations that injurers are not induced to take optimal care, or there are errors in the negligence determinations that sometimes result in findings of negligence, then the existence of judgement-proof problem induce injurers to engage more frequently (sub-optimally) in the activity than they normally would.</w:t>
      </w:r>
      <w:r w:rsidRPr="00290F7C">
        <w:rPr>
          <w:rFonts w:ascii="Times New Roman" w:hAnsi="Times New Roman" w:cs="Times New Roman"/>
          <w:sz w:val="24"/>
          <w:szCs w:val="24"/>
          <w:vertAlign w:val="superscript"/>
          <w:lang w:val="en-GB"/>
        </w:rPr>
        <w:footnoteReference w:id="92"/>
      </w:r>
    </w:p>
    <w:p w14:paraId="7247BE2E" w14:textId="77777777" w:rsidR="00290F7C" w:rsidRPr="00290F7C" w:rsidRDefault="00290F7C" w:rsidP="00290F7C">
      <w:pPr>
        <w:spacing w:line="276" w:lineRule="auto"/>
        <w:jc w:val="both"/>
        <w:rPr>
          <w:rFonts w:ascii="Times New Roman" w:hAnsi="Times New Roman" w:cs="Times New Roman"/>
          <w:sz w:val="24"/>
          <w:szCs w:val="24"/>
          <w:lang w:val="en-GB"/>
        </w:rPr>
      </w:pPr>
      <w:r w:rsidRPr="00290F7C">
        <w:rPr>
          <w:rFonts w:ascii="Times New Roman" w:hAnsi="Times New Roman" w:cs="Times New Roman"/>
          <w:sz w:val="24"/>
          <w:szCs w:val="24"/>
          <w:lang w:val="en-GB"/>
        </w:rPr>
        <w:t xml:space="preserve">     Furthermore, when injurers are unable to pay all the harm, they might cause than also their incentives to take care tend to be suboptimal and the motive to purchase liability insurance is diminished too.</w:t>
      </w:r>
      <w:r w:rsidRPr="00290F7C">
        <w:rPr>
          <w:rFonts w:ascii="Times New Roman" w:hAnsi="Times New Roman" w:cs="Times New Roman"/>
          <w:sz w:val="24"/>
          <w:szCs w:val="24"/>
          <w:vertAlign w:val="superscript"/>
          <w:lang w:val="en-GB"/>
        </w:rPr>
        <w:footnoteReference w:id="93"/>
      </w:r>
      <w:r w:rsidRPr="00290F7C">
        <w:rPr>
          <w:rFonts w:ascii="Times New Roman" w:hAnsi="Times New Roman" w:cs="Times New Roman"/>
          <w:sz w:val="24"/>
          <w:szCs w:val="24"/>
          <w:lang w:val="en-GB"/>
        </w:rPr>
        <w:t xml:space="preserve"> Namely, Shavell shows that risk-averse injurers who may not be able to pay for the entire harm they cause will tend not to purchase full liability insurance or any at all.</w:t>
      </w:r>
      <w:r w:rsidRPr="00290F7C">
        <w:rPr>
          <w:rFonts w:ascii="Times New Roman" w:hAnsi="Times New Roman" w:cs="Times New Roman"/>
          <w:sz w:val="24"/>
          <w:szCs w:val="24"/>
          <w:vertAlign w:val="superscript"/>
          <w:lang w:val="en-GB"/>
        </w:rPr>
        <w:footnoteReference w:id="94"/>
      </w:r>
      <w:r w:rsidRPr="00290F7C">
        <w:rPr>
          <w:rFonts w:ascii="Times New Roman" w:hAnsi="Times New Roman" w:cs="Times New Roman"/>
          <w:sz w:val="24"/>
          <w:szCs w:val="24"/>
          <w:lang w:val="en-GB"/>
        </w:rPr>
        <w:t xml:space="preserve"> Particularly, the nature and consequences of this judgement-proof’s effect depend on whether liability insurers have information about the risk and hence link premiums to that risk.</w:t>
      </w:r>
      <w:r w:rsidRPr="00290F7C">
        <w:rPr>
          <w:rFonts w:ascii="Times New Roman" w:hAnsi="Times New Roman" w:cs="Times New Roman"/>
          <w:sz w:val="24"/>
          <w:szCs w:val="24"/>
          <w:vertAlign w:val="superscript"/>
          <w:lang w:val="en-GB"/>
        </w:rPr>
        <w:footnoteReference w:id="95"/>
      </w:r>
      <w:r w:rsidRPr="00290F7C">
        <w:rPr>
          <w:rFonts w:ascii="Times New Roman" w:hAnsi="Times New Roman" w:cs="Times New Roman"/>
          <w:sz w:val="24"/>
          <w:szCs w:val="24"/>
          <w:lang w:val="en-GB"/>
        </w:rPr>
        <w:t xml:space="preserve"> </w:t>
      </w:r>
      <w:r w:rsidRPr="00290F7C">
        <w:rPr>
          <w:rFonts w:ascii="Times New Roman" w:hAnsi="Times New Roman" w:cs="Times New Roman"/>
          <w:sz w:val="24"/>
          <w:szCs w:val="24"/>
          <w:lang w:val="en-GB"/>
        </w:rPr>
        <w:lastRenderedPageBreak/>
        <w:t>Consequently, reduction in the purchase of liability insurance tends to undesirably increase incentives to engage in the harmful activity.</w:t>
      </w:r>
      <w:r w:rsidRPr="00290F7C">
        <w:rPr>
          <w:rFonts w:ascii="Times New Roman" w:hAnsi="Times New Roman" w:cs="Times New Roman"/>
          <w:sz w:val="24"/>
          <w:szCs w:val="24"/>
          <w:vertAlign w:val="superscript"/>
          <w:lang w:val="en-GB"/>
        </w:rPr>
        <w:footnoteReference w:id="96"/>
      </w:r>
      <w:r w:rsidRPr="00290F7C">
        <w:rPr>
          <w:rFonts w:ascii="Times New Roman" w:hAnsi="Times New Roman" w:cs="Times New Roman"/>
          <w:sz w:val="24"/>
          <w:szCs w:val="24"/>
          <w:lang w:val="en-GB"/>
        </w:rPr>
        <w:t xml:space="preserve">  In addition, to the extent that liability insurance is purchased, the problem of excessive engagement in risky activities is mitigated; but the problem of inadequate levels of care could be exacerbated if insurers’ ability to monitor care is imperfect.</w:t>
      </w:r>
      <w:r w:rsidRPr="00290F7C">
        <w:rPr>
          <w:rFonts w:ascii="Times New Roman" w:hAnsi="Times New Roman" w:cs="Times New Roman"/>
          <w:sz w:val="24"/>
          <w:szCs w:val="24"/>
          <w:vertAlign w:val="superscript"/>
          <w:lang w:val="en-GB"/>
        </w:rPr>
        <w:footnoteReference w:id="97"/>
      </w:r>
    </w:p>
    <w:p w14:paraId="4557E0B9" w14:textId="77777777" w:rsidR="00290F7C" w:rsidRPr="00290F7C" w:rsidRDefault="00290F7C" w:rsidP="00290F7C">
      <w:pPr>
        <w:spacing w:line="276" w:lineRule="auto"/>
        <w:jc w:val="both"/>
        <w:rPr>
          <w:rFonts w:ascii="Times New Roman" w:hAnsi="Times New Roman" w:cs="Times New Roman"/>
          <w:sz w:val="24"/>
          <w:szCs w:val="24"/>
          <w:lang w:val="en-GB"/>
        </w:rPr>
      </w:pPr>
      <w:r w:rsidRPr="00290F7C">
        <w:rPr>
          <w:rFonts w:ascii="Times New Roman" w:hAnsi="Times New Roman" w:cs="Times New Roman"/>
          <w:sz w:val="24"/>
          <w:szCs w:val="24"/>
          <w:lang w:val="en-GB"/>
        </w:rPr>
        <w:t xml:space="preserve">     Boyd and </w:t>
      </w:r>
      <w:proofErr w:type="spellStart"/>
      <w:r w:rsidRPr="00290F7C">
        <w:rPr>
          <w:rFonts w:ascii="Times New Roman" w:hAnsi="Times New Roman" w:cs="Times New Roman"/>
          <w:sz w:val="24"/>
          <w:szCs w:val="24"/>
          <w:lang w:val="en-GB"/>
        </w:rPr>
        <w:t>Ingberman</w:t>
      </w:r>
      <w:proofErr w:type="spellEnd"/>
      <w:r w:rsidRPr="00290F7C">
        <w:rPr>
          <w:rFonts w:ascii="Times New Roman" w:hAnsi="Times New Roman" w:cs="Times New Roman"/>
          <w:sz w:val="24"/>
          <w:szCs w:val="24"/>
          <w:lang w:val="en-GB"/>
        </w:rPr>
        <w:t xml:space="preserve"> extend this analysis to alternative precaution and accident technologies (pure probability, pure magnitude and joint probability-magnitude technology) and suggest </w:t>
      </w:r>
      <w:proofErr w:type="spellStart"/>
      <w:r w:rsidRPr="00290F7C">
        <w:rPr>
          <w:rFonts w:ascii="Times New Roman" w:hAnsi="Times New Roman" w:cs="Times New Roman"/>
          <w:sz w:val="24"/>
          <w:szCs w:val="24"/>
          <w:lang w:val="en-GB"/>
        </w:rPr>
        <w:t>supracompensatory</w:t>
      </w:r>
      <w:proofErr w:type="spellEnd"/>
      <w:r w:rsidRPr="00290F7C">
        <w:rPr>
          <w:rFonts w:ascii="Times New Roman" w:hAnsi="Times New Roman" w:cs="Times New Roman"/>
          <w:sz w:val="24"/>
          <w:szCs w:val="24"/>
          <w:lang w:val="en-GB"/>
        </w:rPr>
        <w:t>-punitive-damages as a potential remedy for the inefficiently low incentives to adopt precaution.</w:t>
      </w:r>
      <w:r w:rsidRPr="00290F7C">
        <w:rPr>
          <w:rFonts w:ascii="Times New Roman" w:hAnsi="Times New Roman" w:cs="Times New Roman"/>
          <w:sz w:val="24"/>
          <w:szCs w:val="24"/>
          <w:vertAlign w:val="superscript"/>
          <w:lang w:val="en-GB"/>
        </w:rPr>
        <w:footnoteReference w:id="98"/>
      </w:r>
      <w:r w:rsidRPr="00290F7C">
        <w:rPr>
          <w:rFonts w:ascii="Times New Roman" w:hAnsi="Times New Roman" w:cs="Times New Roman"/>
          <w:sz w:val="24"/>
          <w:szCs w:val="24"/>
          <w:lang w:val="en-GB"/>
        </w:rPr>
        <w:t xml:space="preserve"> They also conclude that extending liability to lenders of capital to an risky undertaking is increasing the probability of environmental accidents.</w:t>
      </w:r>
      <w:r w:rsidRPr="00290F7C">
        <w:rPr>
          <w:rFonts w:ascii="Times New Roman" w:hAnsi="Times New Roman" w:cs="Times New Roman"/>
          <w:sz w:val="24"/>
          <w:szCs w:val="24"/>
          <w:vertAlign w:val="superscript"/>
          <w:lang w:val="en-GB"/>
        </w:rPr>
        <w:footnoteReference w:id="99"/>
      </w:r>
      <w:r w:rsidRPr="00290F7C">
        <w:rPr>
          <w:rFonts w:ascii="Times New Roman" w:hAnsi="Times New Roman" w:cs="Times New Roman"/>
          <w:sz w:val="24"/>
          <w:szCs w:val="24"/>
          <w:lang w:val="en-GB"/>
        </w:rPr>
        <w:t xml:space="preserve"> De </w:t>
      </w:r>
      <w:proofErr w:type="spellStart"/>
      <w:r w:rsidRPr="00290F7C">
        <w:rPr>
          <w:rFonts w:ascii="Times New Roman" w:hAnsi="Times New Roman" w:cs="Times New Roman"/>
          <w:sz w:val="24"/>
          <w:szCs w:val="24"/>
          <w:lang w:val="en-GB"/>
        </w:rPr>
        <w:t>Geest</w:t>
      </w:r>
      <w:proofErr w:type="spellEnd"/>
      <w:r w:rsidRPr="00290F7C">
        <w:rPr>
          <w:rFonts w:ascii="Times New Roman" w:hAnsi="Times New Roman" w:cs="Times New Roman"/>
          <w:sz w:val="24"/>
          <w:szCs w:val="24"/>
          <w:lang w:val="en-GB"/>
        </w:rPr>
        <w:t xml:space="preserve"> and Dari-</w:t>
      </w:r>
      <w:proofErr w:type="spellStart"/>
      <w:r w:rsidRPr="00290F7C">
        <w:rPr>
          <w:rFonts w:ascii="Times New Roman" w:hAnsi="Times New Roman" w:cs="Times New Roman"/>
          <w:sz w:val="24"/>
          <w:szCs w:val="24"/>
          <w:lang w:val="en-GB"/>
        </w:rPr>
        <w:t>Mattiachi</w:t>
      </w:r>
      <w:proofErr w:type="spellEnd"/>
      <w:r w:rsidRPr="00290F7C">
        <w:rPr>
          <w:rFonts w:ascii="Times New Roman" w:hAnsi="Times New Roman" w:cs="Times New Roman"/>
          <w:sz w:val="24"/>
          <w:szCs w:val="24"/>
          <w:lang w:val="en-GB"/>
        </w:rPr>
        <w:t xml:space="preserve"> revisit the use of negligence rules, punitive damages and under-compensation and show the superiority of average damages over punitive damages in the pure probability technology.</w:t>
      </w:r>
      <w:r w:rsidRPr="00290F7C">
        <w:rPr>
          <w:rFonts w:ascii="Times New Roman" w:hAnsi="Times New Roman" w:cs="Times New Roman"/>
          <w:sz w:val="24"/>
          <w:szCs w:val="24"/>
          <w:vertAlign w:val="superscript"/>
          <w:lang w:val="en-GB"/>
        </w:rPr>
        <w:footnoteReference w:id="100"/>
      </w:r>
      <w:r w:rsidRPr="00290F7C">
        <w:rPr>
          <w:rFonts w:ascii="Times New Roman" w:hAnsi="Times New Roman" w:cs="Times New Roman"/>
          <w:sz w:val="24"/>
          <w:szCs w:val="24"/>
          <w:lang w:val="en-GB"/>
        </w:rPr>
        <w:t xml:space="preserve"> They also show that strict liability induces optimal precaution above a high and intermediate threshold of assets and zero-magnitude-reducing (or sub-optimal) precaution otherwise.</w:t>
      </w:r>
      <w:r w:rsidRPr="00290F7C">
        <w:rPr>
          <w:rFonts w:ascii="Times New Roman" w:hAnsi="Times New Roman" w:cs="Times New Roman"/>
          <w:sz w:val="24"/>
          <w:szCs w:val="24"/>
          <w:vertAlign w:val="superscript"/>
          <w:lang w:val="en-GB"/>
        </w:rPr>
        <w:footnoteReference w:id="101"/>
      </w:r>
    </w:p>
    <w:p w14:paraId="5754F658" w14:textId="77777777" w:rsidR="00290F7C" w:rsidRPr="00290F7C" w:rsidRDefault="00290F7C" w:rsidP="00290F7C">
      <w:pPr>
        <w:spacing w:line="276" w:lineRule="auto"/>
        <w:jc w:val="both"/>
        <w:rPr>
          <w:rFonts w:ascii="Times New Roman" w:hAnsi="Times New Roman" w:cs="Times New Roman"/>
          <w:sz w:val="24"/>
          <w:szCs w:val="24"/>
          <w:lang w:val="en-GB"/>
        </w:rPr>
      </w:pPr>
      <w:r w:rsidRPr="00290F7C">
        <w:rPr>
          <w:rFonts w:ascii="Times New Roman" w:hAnsi="Times New Roman" w:cs="Times New Roman"/>
          <w:sz w:val="24"/>
          <w:szCs w:val="24"/>
          <w:lang w:val="en-GB"/>
        </w:rPr>
        <w:t xml:space="preserve">     Others have extended initial analysis on legal policy regarding liability insurance</w:t>
      </w:r>
      <w:r w:rsidRPr="00290F7C">
        <w:rPr>
          <w:rFonts w:ascii="Times New Roman" w:hAnsi="Times New Roman" w:cs="Times New Roman"/>
          <w:sz w:val="24"/>
          <w:szCs w:val="24"/>
          <w:vertAlign w:val="superscript"/>
          <w:lang w:val="en-GB"/>
        </w:rPr>
        <w:footnoteReference w:id="102"/>
      </w:r>
      <w:r w:rsidRPr="00290F7C">
        <w:rPr>
          <w:rFonts w:ascii="Times New Roman" w:hAnsi="Times New Roman" w:cs="Times New Roman"/>
          <w:sz w:val="24"/>
          <w:szCs w:val="24"/>
          <w:lang w:val="en-GB"/>
        </w:rPr>
        <w:t xml:space="preserve"> and provided the optimal conditions for the combined use of liability insurance</w:t>
      </w:r>
      <w:r w:rsidRPr="00290F7C">
        <w:rPr>
          <w:rFonts w:ascii="Times New Roman" w:hAnsi="Times New Roman" w:cs="Times New Roman"/>
          <w:sz w:val="24"/>
          <w:szCs w:val="24"/>
          <w:vertAlign w:val="superscript"/>
          <w:lang w:val="en-GB"/>
        </w:rPr>
        <w:footnoteReference w:id="103"/>
      </w:r>
      <w:r w:rsidRPr="00290F7C">
        <w:rPr>
          <w:rFonts w:ascii="Times New Roman" w:hAnsi="Times New Roman" w:cs="Times New Roman"/>
          <w:sz w:val="24"/>
          <w:szCs w:val="24"/>
          <w:lang w:val="en-GB"/>
        </w:rPr>
        <w:t xml:space="preserve"> and a minimum amount of assets to undertake a given activity.</w:t>
      </w:r>
      <w:r w:rsidRPr="00290F7C">
        <w:rPr>
          <w:rFonts w:ascii="Times New Roman" w:hAnsi="Times New Roman" w:cs="Times New Roman"/>
          <w:sz w:val="24"/>
          <w:szCs w:val="24"/>
          <w:vertAlign w:val="superscript"/>
          <w:lang w:val="en-GB"/>
        </w:rPr>
        <w:footnoteReference w:id="104"/>
      </w:r>
      <w:r w:rsidRPr="00290F7C">
        <w:rPr>
          <w:rFonts w:ascii="Times New Roman" w:hAnsi="Times New Roman" w:cs="Times New Roman"/>
          <w:sz w:val="24"/>
          <w:szCs w:val="24"/>
          <w:lang w:val="en-GB"/>
        </w:rPr>
        <w:t xml:space="preserve"> Picker on the other hand explored the extension of liability to lenders who contributes capital to activity resulting in external harm and concluded that such extension is actually increasing the probability of accidents.</w:t>
      </w:r>
      <w:r w:rsidRPr="00290F7C">
        <w:rPr>
          <w:rFonts w:ascii="Times New Roman" w:hAnsi="Times New Roman" w:cs="Times New Roman"/>
          <w:sz w:val="24"/>
          <w:szCs w:val="24"/>
          <w:vertAlign w:val="superscript"/>
          <w:lang w:val="en-GB"/>
        </w:rPr>
        <w:footnoteReference w:id="105"/>
      </w:r>
      <w:r w:rsidRPr="00290F7C">
        <w:rPr>
          <w:rFonts w:ascii="Times New Roman" w:hAnsi="Times New Roman" w:cs="Times New Roman"/>
          <w:sz w:val="24"/>
          <w:szCs w:val="24"/>
          <w:lang w:val="en-GB"/>
        </w:rPr>
        <w:t xml:space="preserve"> Whereas </w:t>
      </w:r>
      <w:proofErr w:type="spellStart"/>
      <w:r w:rsidRPr="00290F7C">
        <w:rPr>
          <w:rFonts w:ascii="Times New Roman" w:hAnsi="Times New Roman" w:cs="Times New Roman"/>
          <w:sz w:val="24"/>
          <w:szCs w:val="24"/>
          <w:lang w:val="en-GB"/>
        </w:rPr>
        <w:t>Hiriart</w:t>
      </w:r>
      <w:proofErr w:type="spellEnd"/>
      <w:r w:rsidRPr="00290F7C">
        <w:rPr>
          <w:rFonts w:ascii="Times New Roman" w:hAnsi="Times New Roman" w:cs="Times New Roman"/>
          <w:sz w:val="24"/>
          <w:szCs w:val="24"/>
          <w:lang w:val="en-GB"/>
        </w:rPr>
        <w:t xml:space="preserve"> and </w:t>
      </w:r>
      <w:proofErr w:type="spellStart"/>
      <w:r w:rsidRPr="00290F7C">
        <w:rPr>
          <w:rFonts w:ascii="Times New Roman" w:hAnsi="Times New Roman" w:cs="Times New Roman"/>
          <w:sz w:val="24"/>
          <w:szCs w:val="24"/>
          <w:lang w:val="en-GB"/>
        </w:rPr>
        <w:t>Martimort</w:t>
      </w:r>
      <w:proofErr w:type="spellEnd"/>
      <w:r w:rsidRPr="00290F7C">
        <w:rPr>
          <w:rFonts w:ascii="Times New Roman" w:hAnsi="Times New Roman" w:cs="Times New Roman"/>
          <w:sz w:val="24"/>
          <w:szCs w:val="24"/>
          <w:lang w:val="en-GB"/>
        </w:rPr>
        <w:t xml:space="preserve"> analysed the extension of liability in a principal-agent setting and suggest that the extension of liability towards deep-pocket related third parties might have a beneficial effect.</w:t>
      </w:r>
      <w:r w:rsidRPr="00290F7C">
        <w:rPr>
          <w:rFonts w:ascii="Times New Roman" w:hAnsi="Times New Roman" w:cs="Times New Roman"/>
          <w:sz w:val="24"/>
          <w:szCs w:val="24"/>
          <w:vertAlign w:val="superscript"/>
          <w:lang w:val="en-GB"/>
        </w:rPr>
        <w:footnoteReference w:id="106"/>
      </w:r>
    </w:p>
    <w:bookmarkEnd w:id="26"/>
    <w:p w14:paraId="717B5F57" w14:textId="77777777" w:rsidR="00290F7C" w:rsidRPr="00290F7C" w:rsidRDefault="00290F7C" w:rsidP="00290F7C">
      <w:pPr>
        <w:spacing w:line="276" w:lineRule="auto"/>
        <w:jc w:val="both"/>
        <w:rPr>
          <w:rFonts w:ascii="Times New Roman" w:hAnsi="Times New Roman" w:cs="Times New Roman"/>
          <w:sz w:val="24"/>
          <w:szCs w:val="24"/>
          <w:lang w:val="en-US"/>
        </w:rPr>
      </w:pPr>
    </w:p>
    <w:p w14:paraId="2505707D" w14:textId="6D00800D" w:rsidR="00290F7C" w:rsidRPr="00290F7C" w:rsidRDefault="00290F7C" w:rsidP="00290F7C">
      <w:pPr>
        <w:spacing w:line="276" w:lineRule="auto"/>
        <w:jc w:val="both"/>
        <w:rPr>
          <w:rFonts w:ascii="Times New Roman" w:hAnsi="Times New Roman" w:cs="Times New Roman"/>
          <w:sz w:val="24"/>
          <w:szCs w:val="24"/>
          <w:lang w:val="en-US"/>
        </w:rPr>
      </w:pPr>
      <w:r w:rsidRPr="00290F7C">
        <w:rPr>
          <w:rFonts w:ascii="Times New Roman" w:hAnsi="Times New Roman" w:cs="Times New Roman"/>
          <w:sz w:val="24"/>
          <w:szCs w:val="24"/>
          <w:lang w:val="en-US"/>
        </w:rPr>
        <w:lastRenderedPageBreak/>
        <w:t>3.</w:t>
      </w:r>
      <w:r w:rsidR="00E10F90">
        <w:rPr>
          <w:rFonts w:ascii="Times New Roman" w:hAnsi="Times New Roman" w:cs="Times New Roman"/>
          <w:sz w:val="24"/>
          <w:szCs w:val="24"/>
          <w:lang w:val="en-US"/>
        </w:rPr>
        <w:t>3</w:t>
      </w:r>
      <w:r w:rsidRPr="00290F7C">
        <w:rPr>
          <w:rFonts w:ascii="Times New Roman" w:hAnsi="Times New Roman" w:cs="Times New Roman"/>
          <w:sz w:val="24"/>
          <w:szCs w:val="24"/>
          <w:lang w:val="en-US"/>
        </w:rPr>
        <w:t>. Liability for harm and innovation</w:t>
      </w:r>
    </w:p>
    <w:p w14:paraId="5CB923D4" w14:textId="77777777" w:rsidR="00290F7C" w:rsidRPr="00290F7C" w:rsidRDefault="00290F7C" w:rsidP="00290F7C">
      <w:pPr>
        <w:spacing w:line="276" w:lineRule="auto"/>
        <w:jc w:val="both"/>
        <w:rPr>
          <w:rFonts w:ascii="Times New Roman" w:hAnsi="Times New Roman" w:cs="Times New Roman"/>
          <w:sz w:val="24"/>
          <w:szCs w:val="24"/>
          <w:lang w:val="en-GB"/>
        </w:rPr>
      </w:pPr>
      <w:r w:rsidRPr="00290F7C">
        <w:rPr>
          <w:rFonts w:ascii="Times New Roman" w:hAnsi="Times New Roman" w:cs="Times New Roman"/>
          <w:sz w:val="24"/>
          <w:szCs w:val="24"/>
          <w:lang w:val="en-GB"/>
        </w:rPr>
        <w:t xml:space="preserve">The essence of product liability is the appointment of the risks inherent in the modern mass production of goods. In last decades law and economics scholarship shifted its attention towards the potential detrimental effects of different tort law regimes and product liability on the innovative activity (Manning, 1997). Over the last 40 years, the core of liability law world widely has traversed from simple negligence to the far more complex concept of strict product liability. This change has been triumphed by many as a victory for consumers and safer products. In theory, enhanced quality, safety, and innovation should have resulted from this liability revolution. However, scholars found that the reverse occurred (Herbig and Golden, 1994; Malott 1988; McGuire, 1988). They show that product liability costs in US have prompted some manufacturers to abandon valuable new technologies, life-saving drugs, and innovative product designs (Herbig and Golden 1994; Malott 1988; McGuire 1988).  </w:t>
      </w:r>
    </w:p>
    <w:p w14:paraId="377FB0E4" w14:textId="4DE1F7BD" w:rsidR="00290F7C" w:rsidRPr="00290F7C" w:rsidRDefault="00290F7C" w:rsidP="00290F7C">
      <w:pPr>
        <w:spacing w:line="276" w:lineRule="auto"/>
        <w:jc w:val="both"/>
        <w:rPr>
          <w:rFonts w:ascii="Times New Roman" w:hAnsi="Times New Roman" w:cs="Times New Roman"/>
          <w:sz w:val="24"/>
          <w:szCs w:val="24"/>
          <w:lang w:val="en-GB"/>
        </w:rPr>
      </w:pPr>
      <w:r w:rsidRPr="00290F7C">
        <w:rPr>
          <w:rFonts w:ascii="Times New Roman" w:hAnsi="Times New Roman" w:cs="Times New Roman"/>
          <w:sz w:val="24"/>
          <w:szCs w:val="24"/>
          <w:lang w:val="en-GB"/>
        </w:rPr>
        <w:t xml:space="preserve">     Viscusi and Moore in their seminal article examined these competing effects of liability costs on product R &amp; D intensity and new product introductions by manufacturing firms.</w:t>
      </w:r>
      <w:r w:rsidR="00242D58">
        <w:rPr>
          <w:rStyle w:val="Sprotnaopomba-sklic"/>
          <w:rFonts w:ascii="Times New Roman" w:hAnsi="Times New Roman" w:cs="Times New Roman"/>
          <w:sz w:val="24"/>
          <w:szCs w:val="24"/>
          <w:lang w:val="en-GB"/>
        </w:rPr>
        <w:footnoteReference w:id="107"/>
      </w:r>
      <w:r w:rsidRPr="00290F7C">
        <w:rPr>
          <w:rFonts w:ascii="Times New Roman" w:hAnsi="Times New Roman" w:cs="Times New Roman"/>
          <w:sz w:val="24"/>
          <w:szCs w:val="24"/>
          <w:lang w:val="en-GB"/>
        </w:rPr>
        <w:t xml:space="preserve"> They convincingly show that at low to moderate levels of expected liability costs, there is a positive effect of liability costs on product innovation</w:t>
      </w:r>
      <w:r w:rsidR="00242D58">
        <w:rPr>
          <w:rFonts w:ascii="Times New Roman" w:hAnsi="Times New Roman" w:cs="Times New Roman"/>
          <w:sz w:val="24"/>
          <w:szCs w:val="24"/>
          <w:lang w:val="en-GB"/>
        </w:rPr>
        <w:t>.</w:t>
      </w:r>
      <w:r w:rsidR="00242D58">
        <w:rPr>
          <w:rStyle w:val="Sprotnaopomba-sklic"/>
          <w:rFonts w:ascii="Times New Roman" w:hAnsi="Times New Roman" w:cs="Times New Roman"/>
          <w:sz w:val="24"/>
          <w:szCs w:val="24"/>
          <w:lang w:val="en-GB"/>
        </w:rPr>
        <w:footnoteReference w:id="108"/>
      </w:r>
      <w:r w:rsidR="007E001C">
        <w:rPr>
          <w:rFonts w:ascii="Times New Roman" w:hAnsi="Times New Roman" w:cs="Times New Roman"/>
          <w:sz w:val="24"/>
          <w:szCs w:val="24"/>
          <w:lang w:val="en-GB"/>
        </w:rPr>
        <w:t xml:space="preserve"> </w:t>
      </w:r>
      <w:r w:rsidRPr="00290F7C">
        <w:rPr>
          <w:rFonts w:ascii="Times New Roman" w:hAnsi="Times New Roman" w:cs="Times New Roman"/>
          <w:sz w:val="24"/>
          <w:szCs w:val="24"/>
          <w:lang w:val="en-GB"/>
        </w:rPr>
        <w:t>However, Kovac</w:t>
      </w:r>
      <w:r w:rsidR="00E10F90">
        <w:rPr>
          <w:rFonts w:ascii="Times New Roman" w:hAnsi="Times New Roman" w:cs="Times New Roman"/>
          <w:sz w:val="24"/>
          <w:szCs w:val="24"/>
          <w:lang w:val="en-GB"/>
        </w:rPr>
        <w:t xml:space="preserve"> et al. i</w:t>
      </w:r>
      <w:r w:rsidRPr="00290F7C">
        <w:rPr>
          <w:rFonts w:ascii="Times New Roman" w:hAnsi="Times New Roman" w:cs="Times New Roman"/>
          <w:sz w:val="24"/>
          <w:szCs w:val="24"/>
          <w:lang w:val="en-GB"/>
        </w:rPr>
        <w:t>n their recent study on the interrelationships between propensity to patent, innovative activity and litigation and liability costs generated by different legal systems show that product liability and related litigation costs across firms and countries do not account for the failure of pharmaceutical firms to acquire a valid patent.</w:t>
      </w:r>
      <w:r w:rsidR="00E10F90">
        <w:rPr>
          <w:rStyle w:val="Sprotnaopomba-sklic"/>
          <w:rFonts w:ascii="Times New Roman" w:hAnsi="Times New Roman" w:cs="Times New Roman"/>
          <w:sz w:val="24"/>
          <w:szCs w:val="24"/>
          <w:lang w:val="en-GB"/>
        </w:rPr>
        <w:footnoteReference w:id="109"/>
      </w:r>
      <w:r w:rsidRPr="00290F7C">
        <w:rPr>
          <w:rFonts w:ascii="Times New Roman" w:hAnsi="Times New Roman" w:cs="Times New Roman"/>
          <w:sz w:val="24"/>
          <w:szCs w:val="24"/>
          <w:lang w:val="en-GB"/>
        </w:rPr>
        <w:t xml:space="preserve"> Thus, </w:t>
      </w:r>
      <w:bookmarkStart w:id="29" w:name="_Hlk535233382"/>
      <w:r w:rsidRPr="00290F7C">
        <w:rPr>
          <w:rFonts w:ascii="Times New Roman" w:hAnsi="Times New Roman" w:cs="Times New Roman"/>
          <w:sz w:val="24"/>
          <w:szCs w:val="24"/>
          <w:lang w:val="en-GB"/>
        </w:rPr>
        <w:t>product liability and related litigation might be perceived as a filter that screens hazardous innovation in the pharmaceutical field and provides incentive for an efficient, productive and safe innovations and simultaneously also deter opportunistic litigants</w:t>
      </w:r>
      <w:bookmarkEnd w:id="29"/>
      <w:r w:rsidRPr="00290F7C">
        <w:rPr>
          <w:rFonts w:ascii="Times New Roman" w:hAnsi="Times New Roman" w:cs="Times New Roman"/>
          <w:sz w:val="24"/>
          <w:szCs w:val="24"/>
          <w:lang w:val="en-GB"/>
        </w:rPr>
        <w:t>.</w:t>
      </w:r>
    </w:p>
    <w:p w14:paraId="24D8CE2D" w14:textId="77777777" w:rsidR="00916B6A" w:rsidRDefault="00916B6A" w:rsidP="00916B6A">
      <w:pPr>
        <w:spacing w:line="276" w:lineRule="auto"/>
        <w:jc w:val="both"/>
        <w:rPr>
          <w:rFonts w:ascii="Times New Roman" w:hAnsi="Times New Roman" w:cs="Times New Roman"/>
          <w:sz w:val="24"/>
          <w:szCs w:val="24"/>
          <w:lang w:val="en-GB"/>
        </w:rPr>
      </w:pPr>
    </w:p>
    <w:p w14:paraId="45C71025" w14:textId="1E6CA599" w:rsidR="00E10F90" w:rsidRDefault="00E10F90" w:rsidP="00916B6A">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3.4 Regulatory strategies: self-regulation, meta-</w:t>
      </w:r>
      <w:proofErr w:type="gramStart"/>
      <w:r>
        <w:rPr>
          <w:rFonts w:ascii="Times New Roman" w:hAnsi="Times New Roman" w:cs="Times New Roman"/>
          <w:sz w:val="24"/>
          <w:szCs w:val="24"/>
          <w:lang w:val="en-GB"/>
        </w:rPr>
        <w:t>regulation</w:t>
      </w:r>
      <w:proofErr w:type="gramEnd"/>
      <w:r>
        <w:rPr>
          <w:rFonts w:ascii="Times New Roman" w:hAnsi="Times New Roman" w:cs="Times New Roman"/>
          <w:sz w:val="24"/>
          <w:szCs w:val="24"/>
          <w:lang w:val="en-GB"/>
        </w:rPr>
        <w:t xml:space="preserve"> and regulatory networks</w:t>
      </w:r>
    </w:p>
    <w:p w14:paraId="7533190D" w14:textId="1C12CD13" w:rsidR="00E10F90" w:rsidRDefault="00A8071C" w:rsidP="00916B6A">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Sparrow suggests that for some risks responsibilities (regulatory advantages) might be held close by the regulator (classic top-down approach) whereas for others where regulated entities have appropriate motivations and competences the regulator may delegate certain aspects of the control task to industry (information advantage and accountability).</w:t>
      </w:r>
      <w:r>
        <w:rPr>
          <w:rStyle w:val="Sprotnaopomba-sklic"/>
          <w:rFonts w:ascii="Times New Roman" w:hAnsi="Times New Roman" w:cs="Times New Roman"/>
          <w:sz w:val="24"/>
          <w:szCs w:val="24"/>
          <w:lang w:val="en-GB"/>
        </w:rPr>
        <w:footnoteReference w:id="110"/>
      </w:r>
      <w:r>
        <w:rPr>
          <w:rFonts w:ascii="Times New Roman" w:hAnsi="Times New Roman" w:cs="Times New Roman"/>
          <w:sz w:val="24"/>
          <w:szCs w:val="24"/>
          <w:lang w:val="en-GB"/>
        </w:rPr>
        <w:t xml:space="preserve"> For example, the changes in regulatory strategy around the world have produced new forms of regulation: responsive-regulation, self-regulation, performance-based regulation, command-and-control </w:t>
      </w:r>
      <w:r>
        <w:rPr>
          <w:rFonts w:ascii="Times New Roman" w:hAnsi="Times New Roman" w:cs="Times New Roman"/>
          <w:sz w:val="24"/>
          <w:szCs w:val="24"/>
          <w:lang w:val="en-GB"/>
        </w:rPr>
        <w:lastRenderedPageBreak/>
        <w:t>regulation, right-touch regulation, outcome-based regulation, light-touch regulation, really-responsive-regulation, co-regulation, incentive based</w:t>
      </w:r>
      <w:r w:rsidR="0071177F">
        <w:rPr>
          <w:rFonts w:ascii="Times New Roman" w:hAnsi="Times New Roman" w:cs="Times New Roman"/>
          <w:sz w:val="24"/>
          <w:szCs w:val="24"/>
          <w:lang w:val="en-GB"/>
        </w:rPr>
        <w:t xml:space="preserve"> regulation, market-harnessing control regulation, regulation by contract, disclosure regulation (e.g. naming and shaming), direct action regulation, nudge based regulation, rights and liabilities regulation, public compensation &amp; social insurance model regulation </w:t>
      </w:r>
      <w:proofErr w:type="spellStart"/>
      <w:r w:rsidR="0071177F">
        <w:rPr>
          <w:rFonts w:ascii="Times New Roman" w:hAnsi="Times New Roman" w:cs="Times New Roman"/>
          <w:sz w:val="24"/>
          <w:szCs w:val="24"/>
          <w:lang w:val="en-GB"/>
        </w:rPr>
        <w:t>ect</w:t>
      </w:r>
      <w:proofErr w:type="spellEnd"/>
      <w:r w:rsidR="0071177F">
        <w:rPr>
          <w:rFonts w:ascii="Times New Roman" w:hAnsi="Times New Roman" w:cs="Times New Roman"/>
          <w:sz w:val="24"/>
          <w:szCs w:val="24"/>
          <w:lang w:val="en-GB"/>
        </w:rPr>
        <w:t>.</w:t>
      </w:r>
      <w:r w:rsidR="0071177F">
        <w:rPr>
          <w:rStyle w:val="Sprotnaopomba-sklic"/>
          <w:rFonts w:ascii="Times New Roman" w:hAnsi="Times New Roman" w:cs="Times New Roman"/>
          <w:sz w:val="24"/>
          <w:szCs w:val="24"/>
          <w:lang w:val="en-GB"/>
        </w:rPr>
        <w:footnoteReference w:id="111"/>
      </w:r>
      <w:r w:rsidR="0071177F">
        <w:rPr>
          <w:rFonts w:ascii="Times New Roman" w:hAnsi="Times New Roman" w:cs="Times New Roman"/>
          <w:sz w:val="24"/>
          <w:szCs w:val="24"/>
          <w:lang w:val="en-GB"/>
        </w:rPr>
        <w:t xml:space="preserve"> </w:t>
      </w:r>
    </w:p>
    <w:p w14:paraId="21CB691D" w14:textId="40435103" w:rsidR="0071177F" w:rsidRDefault="0071177F" w:rsidP="00916B6A">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Self-regulation is taking place when a group of firms exerts control over its own membership</w:t>
      </w:r>
      <w:r w:rsidR="0042330C">
        <w:rPr>
          <w:rFonts w:ascii="Times New Roman" w:hAnsi="Times New Roman" w:cs="Times New Roman"/>
          <w:sz w:val="24"/>
          <w:szCs w:val="24"/>
          <w:lang w:val="en-GB"/>
        </w:rPr>
        <w:t xml:space="preserve"> and their behaviour.</w:t>
      </w:r>
      <w:r w:rsidR="0042330C">
        <w:rPr>
          <w:rStyle w:val="Sprotnaopomba-sklic"/>
          <w:rFonts w:ascii="Times New Roman" w:hAnsi="Times New Roman" w:cs="Times New Roman"/>
          <w:sz w:val="24"/>
          <w:szCs w:val="24"/>
          <w:lang w:val="en-GB"/>
        </w:rPr>
        <w:footnoteReference w:id="112"/>
      </w:r>
      <w:r w:rsidR="00993AB6">
        <w:rPr>
          <w:rFonts w:ascii="Times New Roman" w:hAnsi="Times New Roman" w:cs="Times New Roman"/>
          <w:sz w:val="24"/>
          <w:szCs w:val="24"/>
          <w:lang w:val="en-GB"/>
        </w:rPr>
        <w:t xml:space="preserve"> A host of different arrangements of self-regulatory regimes can be identified and the case for such an approach rest principally on considerations of expertise and efficiency.</w:t>
      </w:r>
      <w:r w:rsidR="00993AB6">
        <w:rPr>
          <w:rStyle w:val="Sprotnaopomba-sklic"/>
          <w:rFonts w:ascii="Times New Roman" w:hAnsi="Times New Roman" w:cs="Times New Roman"/>
          <w:sz w:val="24"/>
          <w:szCs w:val="24"/>
          <w:lang w:val="en-GB"/>
        </w:rPr>
        <w:footnoteReference w:id="113"/>
      </w:r>
      <w:r w:rsidR="00993AB6">
        <w:rPr>
          <w:rFonts w:ascii="Times New Roman" w:hAnsi="Times New Roman" w:cs="Times New Roman"/>
          <w:sz w:val="24"/>
          <w:szCs w:val="24"/>
          <w:lang w:val="en-GB"/>
        </w:rPr>
        <w:t xml:space="preserve"> Ayres and Braithwaite also distinguish enforced self-regulation from co-regulation.</w:t>
      </w:r>
      <w:r w:rsidR="00993AB6">
        <w:rPr>
          <w:rStyle w:val="Sprotnaopomba-sklic"/>
          <w:rFonts w:ascii="Times New Roman" w:hAnsi="Times New Roman" w:cs="Times New Roman"/>
          <w:sz w:val="24"/>
          <w:szCs w:val="24"/>
          <w:lang w:val="en-GB"/>
        </w:rPr>
        <w:footnoteReference w:id="114"/>
      </w:r>
      <w:r w:rsidR="00993AB6">
        <w:rPr>
          <w:rFonts w:ascii="Times New Roman" w:hAnsi="Times New Roman" w:cs="Times New Roman"/>
          <w:sz w:val="24"/>
          <w:szCs w:val="24"/>
          <w:lang w:val="en-GB"/>
        </w:rPr>
        <w:t xml:space="preserve"> They characterize co-regulation as the one with industry-association self-regulation with some oversight and/or ratification by government.</w:t>
      </w:r>
      <w:r w:rsidR="00C40AFB">
        <w:rPr>
          <w:rStyle w:val="Sprotnaopomba-sklic"/>
          <w:rFonts w:ascii="Times New Roman" w:hAnsi="Times New Roman" w:cs="Times New Roman"/>
          <w:sz w:val="24"/>
          <w:szCs w:val="24"/>
          <w:lang w:val="en-GB"/>
        </w:rPr>
        <w:footnoteReference w:id="115"/>
      </w:r>
      <w:r w:rsidR="00C40AFB">
        <w:rPr>
          <w:rFonts w:ascii="Times New Roman" w:hAnsi="Times New Roman" w:cs="Times New Roman"/>
          <w:sz w:val="24"/>
          <w:szCs w:val="24"/>
          <w:lang w:val="en-GB"/>
        </w:rPr>
        <w:t xml:space="preserve"> Enforced self-regulation on the other hand involves a subcontracting of regulatory functions to regulated firms.</w:t>
      </w:r>
      <w:r w:rsidR="00C40AFB">
        <w:rPr>
          <w:rStyle w:val="Sprotnaopomba-sklic"/>
          <w:rFonts w:ascii="Times New Roman" w:hAnsi="Times New Roman" w:cs="Times New Roman"/>
          <w:sz w:val="24"/>
          <w:szCs w:val="24"/>
          <w:lang w:val="en-GB"/>
        </w:rPr>
        <w:footnoteReference w:id="116"/>
      </w:r>
      <w:r w:rsidR="00C40AFB">
        <w:rPr>
          <w:rFonts w:ascii="Times New Roman" w:hAnsi="Times New Roman" w:cs="Times New Roman"/>
          <w:sz w:val="24"/>
          <w:szCs w:val="24"/>
          <w:lang w:val="en-GB"/>
        </w:rPr>
        <w:t xml:space="preserve"> Meta-regulation refers to processes in which the regulatory authority oversees a control of risk-management system rather than carries out regulation directly</w:t>
      </w:r>
      <w:r w:rsidR="007C2695">
        <w:rPr>
          <w:rFonts w:ascii="Times New Roman" w:hAnsi="Times New Roman" w:cs="Times New Roman"/>
          <w:sz w:val="24"/>
          <w:szCs w:val="24"/>
          <w:lang w:val="en-GB"/>
        </w:rPr>
        <w:t xml:space="preserve"> - </w:t>
      </w:r>
      <w:r w:rsidR="00C40AFB">
        <w:rPr>
          <w:rFonts w:ascii="Times New Roman" w:hAnsi="Times New Roman" w:cs="Times New Roman"/>
          <w:sz w:val="24"/>
          <w:szCs w:val="24"/>
          <w:lang w:val="en-GB"/>
        </w:rPr>
        <w:t>it steers rather than rows.</w:t>
      </w:r>
      <w:r w:rsidR="00C40AFB">
        <w:rPr>
          <w:rStyle w:val="Sprotnaopomba-sklic"/>
          <w:rFonts w:ascii="Times New Roman" w:hAnsi="Times New Roman" w:cs="Times New Roman"/>
          <w:sz w:val="24"/>
          <w:szCs w:val="24"/>
          <w:lang w:val="en-GB"/>
        </w:rPr>
        <w:footnoteReference w:id="117"/>
      </w:r>
      <w:r w:rsidR="007C2695">
        <w:rPr>
          <w:rFonts w:ascii="Times New Roman" w:hAnsi="Times New Roman" w:cs="Times New Roman"/>
          <w:sz w:val="24"/>
          <w:szCs w:val="24"/>
          <w:lang w:val="en-GB"/>
        </w:rPr>
        <w:t xml:space="preserve"> Literature offers a list of potential advantages of delegating regulation down to firms.</w:t>
      </w:r>
      <w:r w:rsidR="007C2695">
        <w:rPr>
          <w:rStyle w:val="Sprotnaopomba-sklic"/>
          <w:rFonts w:ascii="Times New Roman" w:hAnsi="Times New Roman" w:cs="Times New Roman"/>
          <w:sz w:val="24"/>
          <w:szCs w:val="24"/>
          <w:lang w:val="en-GB"/>
        </w:rPr>
        <w:footnoteReference w:id="118"/>
      </w:r>
      <w:r w:rsidR="007C2695">
        <w:rPr>
          <w:rFonts w:ascii="Times New Roman" w:hAnsi="Times New Roman" w:cs="Times New Roman"/>
          <w:sz w:val="24"/>
          <w:szCs w:val="24"/>
          <w:lang w:val="en-GB"/>
        </w:rPr>
        <w:t xml:space="preserve"> For example, ‘the expenses and strictures of command and control regimes can be replaced by systems that are cheaper and more effective because corporations are given freedom and incentives to work out what, for their mode of operating, is the best way to avoid the given mischief.’</w:t>
      </w:r>
      <w:r w:rsidR="007C2695">
        <w:rPr>
          <w:rStyle w:val="Sprotnaopomba-sklic"/>
          <w:rFonts w:ascii="Times New Roman" w:hAnsi="Times New Roman" w:cs="Times New Roman"/>
          <w:sz w:val="24"/>
          <w:szCs w:val="24"/>
          <w:lang w:val="en-GB"/>
        </w:rPr>
        <w:footnoteReference w:id="119"/>
      </w:r>
      <w:r w:rsidR="005D241C">
        <w:rPr>
          <w:rFonts w:ascii="Times New Roman" w:hAnsi="Times New Roman" w:cs="Times New Roman"/>
          <w:sz w:val="24"/>
          <w:szCs w:val="24"/>
          <w:lang w:val="en-GB"/>
        </w:rPr>
        <w:t xml:space="preserve"> Moreover, such firm specific meta-regulation may be more precise than industry/technology-wide rules, which are by definition highly complex, abstract and vague because they have to deal with a certain  negative externality in all its possible contexts and materializations.</w:t>
      </w:r>
      <w:r w:rsidR="005D241C">
        <w:rPr>
          <w:rStyle w:val="Sprotnaopomba-sklic"/>
          <w:rFonts w:ascii="Times New Roman" w:hAnsi="Times New Roman" w:cs="Times New Roman"/>
          <w:sz w:val="24"/>
          <w:szCs w:val="24"/>
          <w:lang w:val="en-GB"/>
        </w:rPr>
        <w:footnoteReference w:id="120"/>
      </w:r>
      <w:r w:rsidR="005D241C">
        <w:rPr>
          <w:rFonts w:ascii="Times New Roman" w:hAnsi="Times New Roman" w:cs="Times New Roman"/>
          <w:sz w:val="24"/>
          <w:szCs w:val="24"/>
          <w:lang w:val="en-GB"/>
        </w:rPr>
        <w:t xml:space="preserve"> Furthermore, transaction costs argument (introduction easier with firm-</w:t>
      </w:r>
      <w:r w:rsidR="005D241C">
        <w:rPr>
          <w:rFonts w:ascii="Times New Roman" w:hAnsi="Times New Roman" w:cs="Times New Roman"/>
          <w:sz w:val="24"/>
          <w:szCs w:val="24"/>
          <w:lang w:val="en-GB"/>
        </w:rPr>
        <w:lastRenderedPageBreak/>
        <w:t>specific rules, managers more likely to innovate and improve controls and to align their modes of conduct with the expectations of the society, limited enforcement capacity and resources; asymmetric information problem) and the potential to change the general culture of firms and industrial sectors are also invoked in favour of meta-regulation.</w:t>
      </w:r>
      <w:r w:rsidR="005D241C">
        <w:rPr>
          <w:rStyle w:val="Sprotnaopomba-sklic"/>
          <w:rFonts w:ascii="Times New Roman" w:hAnsi="Times New Roman" w:cs="Times New Roman"/>
          <w:sz w:val="24"/>
          <w:szCs w:val="24"/>
          <w:lang w:val="en-GB"/>
        </w:rPr>
        <w:footnoteReference w:id="121"/>
      </w:r>
      <w:r w:rsidR="005D241C">
        <w:rPr>
          <w:rFonts w:ascii="Times New Roman" w:hAnsi="Times New Roman" w:cs="Times New Roman"/>
          <w:sz w:val="24"/>
          <w:szCs w:val="24"/>
          <w:lang w:val="en-GB"/>
        </w:rPr>
        <w:t xml:space="preserve"> </w:t>
      </w:r>
      <w:r w:rsidR="00092648">
        <w:rPr>
          <w:rFonts w:ascii="Times New Roman" w:hAnsi="Times New Roman" w:cs="Times New Roman"/>
          <w:sz w:val="24"/>
          <w:szCs w:val="24"/>
          <w:lang w:val="en-GB"/>
        </w:rPr>
        <w:t>However, meta-regulation system has its own deficiencies, since ill-intentioned, ill-informed or inefficient firms may also fail to devise appropriate rules.</w:t>
      </w:r>
      <w:r w:rsidR="00092648">
        <w:rPr>
          <w:rStyle w:val="Sprotnaopomba-sklic"/>
          <w:rFonts w:ascii="Times New Roman" w:hAnsi="Times New Roman" w:cs="Times New Roman"/>
          <w:sz w:val="24"/>
          <w:szCs w:val="24"/>
          <w:lang w:val="en-GB"/>
        </w:rPr>
        <w:footnoteReference w:id="122"/>
      </w:r>
    </w:p>
    <w:p w14:paraId="5D0F6C65" w14:textId="012ABA6A" w:rsidR="008B71E2" w:rsidRDefault="008B71E2" w:rsidP="00916B6A">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Finally, literature emphasizes that the best regulatory outcomes will generally involve mixtures of institutions and instruments (hybrid types of regulation).</w:t>
      </w:r>
      <w:r>
        <w:rPr>
          <w:rStyle w:val="Sprotnaopomba-sklic"/>
          <w:rFonts w:ascii="Times New Roman" w:hAnsi="Times New Roman" w:cs="Times New Roman"/>
          <w:sz w:val="24"/>
          <w:szCs w:val="24"/>
          <w:lang w:val="en-GB"/>
        </w:rPr>
        <w:footnoteReference w:id="123"/>
      </w:r>
      <w:r>
        <w:rPr>
          <w:rFonts w:ascii="Times New Roman" w:hAnsi="Times New Roman" w:cs="Times New Roman"/>
          <w:sz w:val="24"/>
          <w:szCs w:val="24"/>
          <w:lang w:val="en-GB"/>
        </w:rPr>
        <w:t xml:space="preserve"> However, the problem of how to design the optimal mixes</w:t>
      </w:r>
      <w:r w:rsidR="00D66812">
        <w:rPr>
          <w:rFonts w:ascii="Times New Roman" w:hAnsi="Times New Roman" w:cs="Times New Roman"/>
          <w:sz w:val="24"/>
          <w:szCs w:val="24"/>
          <w:lang w:val="en-GB"/>
        </w:rPr>
        <w:t xml:space="preserve"> or to state in advance which institutions and instruments will work together effectively can hardly be overstated.</w:t>
      </w:r>
      <w:r w:rsidR="00D66812">
        <w:rPr>
          <w:rStyle w:val="Sprotnaopomba-sklic"/>
          <w:rFonts w:ascii="Times New Roman" w:hAnsi="Times New Roman" w:cs="Times New Roman"/>
          <w:sz w:val="24"/>
          <w:szCs w:val="24"/>
          <w:lang w:val="en-GB"/>
        </w:rPr>
        <w:footnoteReference w:id="124"/>
      </w:r>
      <w:r w:rsidR="00D829C6">
        <w:rPr>
          <w:rFonts w:ascii="Times New Roman" w:hAnsi="Times New Roman" w:cs="Times New Roman"/>
          <w:sz w:val="24"/>
          <w:szCs w:val="24"/>
          <w:lang w:val="en-GB"/>
        </w:rPr>
        <w:t xml:space="preserve"> Sparrow for example suggests that risk-based regulation (problem solving) should be placed at the centre of regulatory policymaking and stresses the need to define problems precisely, to monitor and measure performance and to adjust strategy on the basis of performance assessment.</w:t>
      </w:r>
      <w:r w:rsidR="00D829C6">
        <w:rPr>
          <w:rStyle w:val="Sprotnaopomba-sklic"/>
          <w:rFonts w:ascii="Times New Roman" w:hAnsi="Times New Roman" w:cs="Times New Roman"/>
          <w:sz w:val="24"/>
          <w:szCs w:val="24"/>
          <w:lang w:val="en-GB"/>
        </w:rPr>
        <w:footnoteReference w:id="125"/>
      </w:r>
      <w:r w:rsidR="00D829C6">
        <w:rPr>
          <w:rFonts w:ascii="Times New Roman" w:hAnsi="Times New Roman" w:cs="Times New Roman"/>
          <w:sz w:val="24"/>
          <w:szCs w:val="24"/>
          <w:lang w:val="en-GB"/>
        </w:rPr>
        <w:t xml:space="preserve"> The ‘really-responsive’ regulatory approach requires that in designing and developing regulatory systems attention has to be paid to five main matters: the </w:t>
      </w:r>
      <w:r w:rsidR="00DB2B80">
        <w:rPr>
          <w:rFonts w:ascii="Times New Roman" w:hAnsi="Times New Roman" w:cs="Times New Roman"/>
          <w:sz w:val="24"/>
          <w:szCs w:val="24"/>
          <w:lang w:val="en-GB"/>
        </w:rPr>
        <w:t>behaviour</w:t>
      </w:r>
      <w:r w:rsidR="0018181C">
        <w:rPr>
          <w:rFonts w:ascii="Times New Roman" w:hAnsi="Times New Roman" w:cs="Times New Roman"/>
          <w:sz w:val="24"/>
          <w:szCs w:val="24"/>
          <w:lang w:val="en-GB"/>
        </w:rPr>
        <w:t>, attitudes, and cultures of regulatory actors; the institutional settings of the different regulators; the different logics of regulatory tools and strategies (and their interaction); the regime’s own performance over time; and changes in each of these elements.</w:t>
      </w:r>
      <w:r w:rsidR="0018181C">
        <w:rPr>
          <w:rStyle w:val="Sprotnaopomba-sklic"/>
          <w:rFonts w:ascii="Times New Roman" w:hAnsi="Times New Roman" w:cs="Times New Roman"/>
          <w:sz w:val="24"/>
          <w:szCs w:val="24"/>
          <w:lang w:val="en-GB"/>
        </w:rPr>
        <w:footnoteReference w:id="126"/>
      </w:r>
    </w:p>
    <w:p w14:paraId="08EAD137" w14:textId="77777777" w:rsidR="00E10F90" w:rsidRDefault="00E10F90" w:rsidP="00916B6A">
      <w:pPr>
        <w:spacing w:line="276" w:lineRule="auto"/>
        <w:jc w:val="both"/>
        <w:rPr>
          <w:rFonts w:ascii="Times New Roman" w:hAnsi="Times New Roman" w:cs="Times New Roman"/>
          <w:sz w:val="24"/>
          <w:szCs w:val="24"/>
          <w:lang w:val="en-GB"/>
        </w:rPr>
      </w:pPr>
    </w:p>
    <w:p w14:paraId="46A3D8AB" w14:textId="5B27C949" w:rsidR="00F1104D" w:rsidRDefault="00F1104D" w:rsidP="00916B6A">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3.</w:t>
      </w:r>
      <w:r w:rsidR="00E10F90">
        <w:rPr>
          <w:rFonts w:ascii="Times New Roman" w:hAnsi="Times New Roman" w:cs="Times New Roman"/>
          <w:sz w:val="24"/>
          <w:szCs w:val="24"/>
          <w:lang w:val="en-GB"/>
        </w:rPr>
        <w:t>5</w:t>
      </w:r>
      <w:r>
        <w:rPr>
          <w:rFonts w:ascii="Times New Roman" w:hAnsi="Times New Roman" w:cs="Times New Roman"/>
          <w:sz w:val="24"/>
          <w:szCs w:val="24"/>
          <w:lang w:val="en-GB"/>
        </w:rPr>
        <w:t xml:space="preserve"> Current regulatory approaches: a comparative assessment</w:t>
      </w:r>
    </w:p>
    <w:p w14:paraId="6041E717" w14:textId="77777777" w:rsidR="00E14ECC" w:rsidRDefault="00E14ECC" w:rsidP="00F1104D">
      <w:pPr>
        <w:spacing w:line="276" w:lineRule="auto"/>
        <w:jc w:val="both"/>
        <w:rPr>
          <w:rFonts w:ascii="Times New Roman" w:hAnsi="Times New Roman" w:cs="Times New Roman"/>
          <w:sz w:val="24"/>
          <w:szCs w:val="24"/>
          <w:lang w:val="en-GB"/>
        </w:rPr>
      </w:pPr>
    </w:p>
    <w:p w14:paraId="4FA03821" w14:textId="280A988D" w:rsidR="00E14ECC" w:rsidRPr="00E14ECC" w:rsidRDefault="00F1104D" w:rsidP="00E14ECC">
      <w:pPr>
        <w:spacing w:line="276" w:lineRule="auto"/>
        <w:jc w:val="both"/>
        <w:rPr>
          <w:rFonts w:ascii="Times New Roman" w:hAnsi="Times New Roman" w:cs="Times New Roman"/>
          <w:sz w:val="24"/>
          <w:szCs w:val="24"/>
          <w:lang w:val="en-US"/>
        </w:rPr>
      </w:pPr>
      <w:r w:rsidRPr="00E14ECC">
        <w:rPr>
          <w:rFonts w:ascii="Times New Roman" w:hAnsi="Times New Roman" w:cs="Times New Roman"/>
          <w:sz w:val="24"/>
          <w:szCs w:val="24"/>
          <w:lang w:val="en-GB"/>
        </w:rPr>
        <w:t xml:space="preserve">In the US, the National Institute of Standards and Technology has been recently working with experts to try to come up with standards for how these systems should be designed, </w:t>
      </w:r>
      <w:proofErr w:type="gramStart"/>
      <w:r w:rsidRPr="00E14ECC">
        <w:rPr>
          <w:rFonts w:ascii="Times New Roman" w:hAnsi="Times New Roman" w:cs="Times New Roman"/>
          <w:sz w:val="24"/>
          <w:szCs w:val="24"/>
          <w:lang w:val="en-GB"/>
        </w:rPr>
        <w:t>tested</w:t>
      </w:r>
      <w:proofErr w:type="gramEnd"/>
      <w:r w:rsidRPr="00E14ECC">
        <w:rPr>
          <w:rFonts w:ascii="Times New Roman" w:hAnsi="Times New Roman" w:cs="Times New Roman"/>
          <w:sz w:val="24"/>
          <w:szCs w:val="24"/>
          <w:lang w:val="en-GB"/>
        </w:rPr>
        <w:t xml:space="preserve"> and deployed.</w:t>
      </w:r>
      <w:r w:rsidRPr="00E14ECC">
        <w:rPr>
          <w:rFonts w:ascii="Times New Roman" w:hAnsi="Times New Roman" w:cs="Times New Roman"/>
          <w:sz w:val="24"/>
          <w:szCs w:val="24"/>
        </w:rPr>
        <w:t xml:space="preserve"> </w:t>
      </w:r>
      <w:r w:rsidR="00E14ECC">
        <w:rPr>
          <w:rFonts w:ascii="Times New Roman" w:hAnsi="Times New Roman" w:cs="Times New Roman"/>
          <w:sz w:val="24"/>
          <w:szCs w:val="24"/>
          <w:lang w:val="en-US"/>
        </w:rPr>
        <w:t xml:space="preserve">Moreover, the </w:t>
      </w:r>
      <w:r w:rsidR="00E14ECC" w:rsidRPr="00E14ECC">
        <w:rPr>
          <w:rFonts w:ascii="Times New Roman" w:hAnsi="Times New Roman" w:cs="Times New Roman"/>
          <w:sz w:val="24"/>
          <w:szCs w:val="24"/>
          <w:lang w:val="en-US"/>
        </w:rPr>
        <w:t>EU-US governments are implementing policies that will be basis for the democratic governance of AI. On the other side EU-C</w:t>
      </w:r>
      <w:r w:rsidR="00E14ECC">
        <w:rPr>
          <w:rFonts w:ascii="Times New Roman" w:hAnsi="Times New Roman" w:cs="Times New Roman"/>
          <w:sz w:val="24"/>
          <w:szCs w:val="24"/>
          <w:lang w:val="en-US"/>
        </w:rPr>
        <w:t>hina</w:t>
      </w:r>
      <w:r w:rsidR="00E14ECC" w:rsidRPr="00E14ECC">
        <w:rPr>
          <w:rFonts w:ascii="Times New Roman" w:hAnsi="Times New Roman" w:cs="Times New Roman"/>
          <w:sz w:val="24"/>
          <w:szCs w:val="24"/>
          <w:lang w:val="en-US"/>
        </w:rPr>
        <w:t xml:space="preserve"> are implementing two completely different approaches. EU has taken more horizontal approach and China has more vertical approach, meaning that the rest of the world will see what approach is better, and </w:t>
      </w:r>
      <w:r w:rsidR="00E14ECC" w:rsidRPr="00E14ECC">
        <w:rPr>
          <w:rFonts w:ascii="Times New Roman" w:hAnsi="Times New Roman" w:cs="Times New Roman"/>
          <w:sz w:val="24"/>
          <w:szCs w:val="24"/>
          <w:lang w:val="en-US"/>
        </w:rPr>
        <w:lastRenderedPageBreak/>
        <w:t xml:space="preserve">choose the better one, or the one that means it suits the most, or probably the best approach will be mixture of both. </w:t>
      </w:r>
    </w:p>
    <w:p w14:paraId="2E86E40C" w14:textId="3ADF8A52" w:rsidR="00E14ECC" w:rsidRPr="00E14ECC" w:rsidRDefault="00E14ECC" w:rsidP="00E14EC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14ECC">
        <w:rPr>
          <w:rFonts w:ascii="Times New Roman" w:hAnsi="Times New Roman" w:cs="Times New Roman"/>
          <w:sz w:val="24"/>
          <w:szCs w:val="24"/>
          <w:lang w:val="en-US"/>
        </w:rPr>
        <w:t>On side of horizontal approach, the biggest negative consequence is stifling innovations, pure horizontal will not be able to set out meaningfully specific requirements for all applications of AI, as it tries. The AI Act in the EU employs comprehensive horizontal legislation to define the overall scope of AI applications that require regulation. However, it also allows domain-specific entities like courts, standards bodies, and developers to establish specific parameters and strategies for compliance. To enhance its contextual effectiveness, the EU complements the requirements outlined in the AI Act with co-regulatory approaches such as regulatory sandboxes, updated liability policies to address AI challenges, and related legislations pertaining to data, market structures, and online platforms.</w:t>
      </w:r>
      <w:r>
        <w:rPr>
          <w:rStyle w:val="Sprotnaopomba-sklic"/>
          <w:rFonts w:ascii="Times New Roman" w:hAnsi="Times New Roman" w:cs="Times New Roman"/>
          <w:sz w:val="24"/>
          <w:szCs w:val="24"/>
          <w:lang w:val="en-US"/>
        </w:rPr>
        <w:footnoteReference w:id="127"/>
      </w:r>
      <w:r w:rsidRPr="00E14ECC">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Furthermore, </w:t>
      </w:r>
      <w:r w:rsidRPr="00E14ECC">
        <w:rPr>
          <w:rFonts w:ascii="Times New Roman" w:hAnsi="Times New Roman" w:cs="Times New Roman"/>
          <w:sz w:val="24"/>
          <w:szCs w:val="24"/>
          <w:lang w:val="en-US"/>
        </w:rPr>
        <w:t xml:space="preserve"> implementing</w:t>
      </w:r>
      <w:proofErr w:type="gramEnd"/>
      <w:r w:rsidRPr="00E14ECC">
        <w:rPr>
          <w:rFonts w:ascii="Times New Roman" w:hAnsi="Times New Roman" w:cs="Times New Roman"/>
          <w:sz w:val="24"/>
          <w:szCs w:val="24"/>
          <w:lang w:val="en-US"/>
        </w:rPr>
        <w:t xml:space="preserve"> new vertical regulation for each new AI application will most probably create a compliance mess among regulators and companies as well. So most probably in China vertical approach will be used to tighten information controls.</w:t>
      </w:r>
      <w:r>
        <w:rPr>
          <w:rStyle w:val="Sprotnaopomba-sklic"/>
          <w:rFonts w:ascii="Times New Roman" w:hAnsi="Times New Roman" w:cs="Times New Roman"/>
          <w:sz w:val="24"/>
          <w:szCs w:val="24"/>
          <w:lang w:val="en-US"/>
        </w:rPr>
        <w:footnoteReference w:id="128"/>
      </w:r>
      <w:r w:rsidRPr="00E14ECC">
        <w:rPr>
          <w:rFonts w:ascii="Times New Roman" w:hAnsi="Times New Roman" w:cs="Times New Roman"/>
          <w:sz w:val="24"/>
          <w:szCs w:val="24"/>
          <w:lang w:val="en-US"/>
        </w:rPr>
        <w:t xml:space="preserve"> </w:t>
      </w:r>
      <w:r w:rsidRPr="00E14ECC">
        <w:rPr>
          <w:rFonts w:ascii="Times New Roman" w:hAnsi="Times New Roman" w:cs="Times New Roman"/>
          <w:sz w:val="24"/>
          <w:szCs w:val="24"/>
          <w:lang w:val="sl-SI"/>
        </w:rPr>
        <w:fldChar w:fldCharType="begin"/>
      </w:r>
      <w:r w:rsidRPr="00E14ECC">
        <w:rPr>
          <w:rFonts w:ascii="Times New Roman" w:hAnsi="Times New Roman" w:cs="Times New Roman"/>
          <w:sz w:val="24"/>
          <w:szCs w:val="24"/>
          <w:lang w:val="sl-SI"/>
        </w:rPr>
        <w:instrText xml:space="preserve"> CITATION OSh23 \l 1060 </w:instrText>
      </w:r>
      <w:r w:rsidRPr="00E14ECC">
        <w:rPr>
          <w:rFonts w:ascii="Times New Roman" w:hAnsi="Times New Roman" w:cs="Times New Roman"/>
          <w:sz w:val="24"/>
          <w:szCs w:val="24"/>
          <w:lang w:val="sl-SI"/>
        </w:rPr>
        <w:fldChar w:fldCharType="separate"/>
      </w:r>
      <w:r w:rsidRPr="00E14ECC">
        <w:rPr>
          <w:rFonts w:ascii="Times New Roman" w:hAnsi="Times New Roman" w:cs="Times New Roman"/>
          <w:sz w:val="24"/>
          <w:szCs w:val="24"/>
          <w:lang w:val="sl-SI"/>
        </w:rPr>
        <w:t>(O'Shauhnessy &amp; Sheehan, 2023)</w:t>
      </w:r>
      <w:r w:rsidRPr="00E14ECC">
        <w:rPr>
          <w:rFonts w:ascii="Times New Roman" w:hAnsi="Times New Roman" w:cs="Times New Roman"/>
          <w:sz w:val="24"/>
          <w:szCs w:val="24"/>
        </w:rPr>
        <w:fldChar w:fldCharType="end"/>
      </w:r>
    </w:p>
    <w:p w14:paraId="07E76320" w14:textId="02128C47" w:rsidR="00E14ECC" w:rsidRPr="00E14ECC" w:rsidRDefault="00A0250C" w:rsidP="00E14EC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14ECC" w:rsidRPr="00E14ECC">
        <w:rPr>
          <w:rFonts w:ascii="Times New Roman" w:hAnsi="Times New Roman" w:cs="Times New Roman"/>
          <w:sz w:val="24"/>
          <w:szCs w:val="24"/>
          <w:lang w:val="en-US"/>
        </w:rPr>
        <w:t xml:space="preserve">In the last year, China has introduced groundbreaking regulations that are globally unique, focusing on algorithms and AI. Their approach has been primarily vertical, where they select specific algorithm applications and establish regulations that govern their implementation in specific contexts. The initial regulations in this category have concentrated on recommendation algorithms and deep synthesis technology (generative AI). </w:t>
      </w:r>
    </w:p>
    <w:p w14:paraId="52D27008" w14:textId="62B117AA" w:rsidR="00E14ECC" w:rsidRPr="00E14ECC" w:rsidRDefault="00E14ECC" w:rsidP="00E14EC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14ECC">
        <w:rPr>
          <w:rFonts w:ascii="Times New Roman" w:hAnsi="Times New Roman" w:cs="Times New Roman"/>
          <w:sz w:val="24"/>
          <w:szCs w:val="24"/>
          <w:lang w:val="en-US"/>
        </w:rPr>
        <w:t>The differences in regulatory approaches can also create competitive advantages or disadvantages for AI innovation on a global scale. Companies operating in different regions may face varying levels of regulatory hurdles, influencing where they choose to invest in AI research and development.</w:t>
      </w:r>
    </w:p>
    <w:p w14:paraId="6E20BF97" w14:textId="2751CFEA" w:rsidR="00E14ECC" w:rsidRPr="00E14ECC" w:rsidRDefault="00E14ECC" w:rsidP="00E14EC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14ECC">
        <w:rPr>
          <w:rFonts w:ascii="Times New Roman" w:hAnsi="Times New Roman" w:cs="Times New Roman"/>
          <w:sz w:val="24"/>
          <w:szCs w:val="24"/>
          <w:lang w:val="en-US"/>
        </w:rPr>
        <w:t>The initial achievements of the EU-U.S. Trade and Technology Council in the field of AI have been notable, particularly in their efforts to establish shared metrics and methodologies for trustworthy AI. In addition, both the EU and U.S. have reached an agreement to cooperate on international AI standards and conduct joint studies on emerging AI risks and the utilization of new AI technologies.</w:t>
      </w:r>
      <w:r>
        <w:rPr>
          <w:rStyle w:val="Sprotnaopomba-sklic"/>
          <w:rFonts w:ascii="Times New Roman" w:hAnsi="Times New Roman" w:cs="Times New Roman"/>
          <w:sz w:val="24"/>
          <w:szCs w:val="24"/>
          <w:lang w:val="en-US"/>
        </w:rPr>
        <w:footnoteReference w:id="129"/>
      </w:r>
    </w:p>
    <w:p w14:paraId="64D679AF" w14:textId="44330385" w:rsidR="00E14ECC" w:rsidRPr="00E14ECC" w:rsidRDefault="00E14ECC" w:rsidP="00E14EC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14ECC">
        <w:rPr>
          <w:rFonts w:ascii="Times New Roman" w:hAnsi="Times New Roman" w:cs="Times New Roman"/>
          <w:sz w:val="24"/>
          <w:szCs w:val="24"/>
          <w:lang w:val="en-US"/>
        </w:rPr>
        <w:t xml:space="preserve">The management of AI risk in the United States is widely spread across various federal agencies, with many of them adapting to AI without seeking new legal authorities. In the meantime, the U.S. has made investments in non-regulatory infrastructure, including the development of a new framework for AI risk management, evaluations of facial recognition software, and substantial funding for AI research. On the other hand, the European Union (EU) takes a different approach to AI risk management, which involves a more comprehensive set </w:t>
      </w:r>
      <w:r w:rsidRPr="00E14ECC">
        <w:rPr>
          <w:rFonts w:ascii="Times New Roman" w:hAnsi="Times New Roman" w:cs="Times New Roman"/>
          <w:sz w:val="24"/>
          <w:szCs w:val="24"/>
          <w:lang w:val="en-US"/>
        </w:rPr>
        <w:lastRenderedPageBreak/>
        <w:t>of laws specifically tailored to different digital environments. The EU intends to impose fresh requirements on AI systems deemed high-risk in socioeconomic processes, government utilization of AI, and regulated consumer products with AI systems. Additionally, other EU legislation promotes greater transparency and public influence in the design of AI systems used in social media and e-commerce.</w:t>
      </w:r>
      <w:r w:rsidR="00EB5162">
        <w:rPr>
          <w:rStyle w:val="Sprotnaopomba-sklic"/>
          <w:rFonts w:ascii="Times New Roman" w:hAnsi="Times New Roman" w:cs="Times New Roman"/>
          <w:sz w:val="24"/>
          <w:szCs w:val="24"/>
          <w:lang w:val="en-US"/>
        </w:rPr>
        <w:footnoteReference w:id="130"/>
      </w:r>
    </w:p>
    <w:p w14:paraId="528D4E2A" w14:textId="4484074C" w:rsidR="00E14ECC" w:rsidRDefault="00EB5162" w:rsidP="00E14EC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One can also make an anecdotal analysis and compare </w:t>
      </w:r>
      <w:r w:rsidR="00E14ECC" w:rsidRPr="00E14ECC">
        <w:rPr>
          <w:rFonts w:ascii="Times New Roman" w:hAnsi="Times New Roman" w:cs="Times New Roman"/>
          <w:sz w:val="24"/>
          <w:szCs w:val="24"/>
          <w:lang w:val="en-US"/>
        </w:rPr>
        <w:t>the rising number of bills containing “artificial intelligence” with decreased number of in year-over-year private investment in AI. So, when policymaker interest has raised - number of bills containing “AI” from just 1 in 2016 to 37 in 2022 – for the first time in the last decade, year-over-year private investment in AI decreased, for 26,7% less than in 2021.</w:t>
      </w:r>
      <w:r w:rsidR="001A61D4">
        <w:rPr>
          <w:rStyle w:val="Sprotnaopomba-sklic"/>
          <w:rFonts w:ascii="Times New Roman" w:hAnsi="Times New Roman" w:cs="Times New Roman"/>
          <w:sz w:val="24"/>
          <w:szCs w:val="24"/>
          <w:lang w:val="en-US"/>
        </w:rPr>
        <w:footnoteReference w:id="131"/>
      </w:r>
    </w:p>
    <w:p w14:paraId="35A70133" w14:textId="3BD140DB" w:rsidR="00F1104D" w:rsidRPr="00F1104D" w:rsidRDefault="00EB5162" w:rsidP="00F1104D">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     However, UK has embarked on a very different regulatory path then the EU counterpart and on </w:t>
      </w:r>
      <w:r w:rsidR="00F1104D" w:rsidRPr="00F1104D">
        <w:rPr>
          <w:rFonts w:ascii="Times New Roman" w:hAnsi="Times New Roman" w:cs="Times New Roman"/>
          <w:sz w:val="24"/>
          <w:szCs w:val="24"/>
          <w:lang w:val="en-GB"/>
        </w:rPr>
        <w:t>29th March 2023 published a white paper entitled “A pro-innovation approach to AI regulation.” The paper sets out a new “flexible” approach to regulating AI which is intended to build public trust and make it easier for businesses to grow and create jobs. Unlike the EU there will be no new legislation to regulate AI.</w:t>
      </w:r>
      <w:r>
        <w:rPr>
          <w:rStyle w:val="Sprotnaopomba-sklic"/>
          <w:rFonts w:ascii="Times New Roman" w:hAnsi="Times New Roman" w:cs="Times New Roman"/>
          <w:sz w:val="24"/>
          <w:szCs w:val="24"/>
          <w:lang w:val="en-GB"/>
        </w:rPr>
        <w:footnoteReference w:id="132"/>
      </w:r>
      <w:r w:rsidR="00F1104D" w:rsidRPr="00F1104D">
        <w:rPr>
          <w:rFonts w:ascii="Times New Roman" w:hAnsi="Times New Roman" w:cs="Times New Roman"/>
          <w:sz w:val="24"/>
          <w:szCs w:val="24"/>
          <w:lang w:val="en-GB"/>
        </w:rPr>
        <w:t xml:space="preserve"> The white paper outlines the following five principles that regulators are to consider facilitating the safe and innovative use of AI in their industries: </w:t>
      </w:r>
      <w:r>
        <w:rPr>
          <w:rFonts w:ascii="Times New Roman" w:hAnsi="Times New Roman" w:cs="Times New Roman"/>
          <w:sz w:val="24"/>
          <w:szCs w:val="24"/>
          <w:lang w:val="en-GB"/>
        </w:rPr>
        <w:t xml:space="preserve">a) </w:t>
      </w:r>
      <w:r w:rsidR="00F1104D" w:rsidRPr="00F1104D">
        <w:rPr>
          <w:rFonts w:ascii="Times New Roman" w:hAnsi="Times New Roman" w:cs="Times New Roman"/>
          <w:sz w:val="24"/>
          <w:szCs w:val="24"/>
          <w:lang w:val="en-GB"/>
        </w:rPr>
        <w:t>Safety, Security and Robustness</w:t>
      </w:r>
      <w:r>
        <w:rPr>
          <w:rFonts w:ascii="Times New Roman" w:hAnsi="Times New Roman" w:cs="Times New Roman"/>
          <w:sz w:val="24"/>
          <w:szCs w:val="24"/>
          <w:lang w:val="en-GB"/>
        </w:rPr>
        <w:t xml:space="preserve"> (</w:t>
      </w:r>
      <w:r w:rsidR="00F1104D" w:rsidRPr="00F1104D">
        <w:rPr>
          <w:rFonts w:ascii="Times New Roman" w:hAnsi="Times New Roman" w:cs="Times New Roman"/>
          <w:sz w:val="24"/>
          <w:szCs w:val="24"/>
          <w:lang w:val="en-GB"/>
        </w:rPr>
        <w:t>applications of AI should function in a secure, safe and robust way where risks are carefully managed</w:t>
      </w:r>
      <w:r>
        <w:rPr>
          <w:rFonts w:ascii="Times New Roman" w:hAnsi="Times New Roman" w:cs="Times New Roman"/>
          <w:sz w:val="24"/>
          <w:szCs w:val="24"/>
          <w:lang w:val="en-GB"/>
        </w:rPr>
        <w:t>)</w:t>
      </w:r>
      <w:r w:rsidR="00F1104D" w:rsidRPr="00F1104D">
        <w:rPr>
          <w:rFonts w:ascii="Times New Roman" w:hAnsi="Times New Roman" w:cs="Times New Roman"/>
          <w:sz w:val="24"/>
          <w:szCs w:val="24"/>
          <w:lang w:val="en-GB"/>
        </w:rPr>
        <w:t>;</w:t>
      </w:r>
      <w:r>
        <w:rPr>
          <w:rFonts w:ascii="Times New Roman" w:hAnsi="Times New Roman" w:cs="Times New Roman"/>
          <w:sz w:val="24"/>
          <w:szCs w:val="24"/>
          <w:lang w:val="en-GB"/>
        </w:rPr>
        <w:t xml:space="preserve"> b) </w:t>
      </w:r>
      <w:r w:rsidR="00F1104D" w:rsidRPr="00F1104D">
        <w:rPr>
          <w:rFonts w:ascii="Times New Roman" w:hAnsi="Times New Roman" w:cs="Times New Roman"/>
          <w:sz w:val="24"/>
          <w:szCs w:val="24"/>
          <w:lang w:val="en-GB"/>
        </w:rPr>
        <w:t xml:space="preserve">Transparency and </w:t>
      </w:r>
      <w:proofErr w:type="spellStart"/>
      <w:r w:rsidR="00F1104D" w:rsidRPr="00F1104D">
        <w:rPr>
          <w:rFonts w:ascii="Times New Roman" w:hAnsi="Times New Roman" w:cs="Times New Roman"/>
          <w:sz w:val="24"/>
          <w:szCs w:val="24"/>
          <w:lang w:val="en-GB"/>
        </w:rPr>
        <w:t>Explainability</w:t>
      </w:r>
      <w:proofErr w:type="spellEnd"/>
      <w:r>
        <w:rPr>
          <w:rFonts w:ascii="Times New Roman" w:hAnsi="Times New Roman" w:cs="Times New Roman"/>
          <w:sz w:val="24"/>
          <w:szCs w:val="24"/>
          <w:lang w:val="en-GB"/>
        </w:rPr>
        <w:t xml:space="preserve"> (</w:t>
      </w:r>
      <w:r w:rsidR="00F1104D" w:rsidRPr="00F1104D">
        <w:rPr>
          <w:rFonts w:ascii="Times New Roman" w:hAnsi="Times New Roman" w:cs="Times New Roman"/>
          <w:sz w:val="24"/>
          <w:szCs w:val="24"/>
          <w:lang w:val="en-GB"/>
        </w:rPr>
        <w:t>organizations developing and deploying AI should be able to communicate when and how it is used and explain a system’s decision-making process in an appropriate level of detail that matches the risks posed by the use of the AI</w:t>
      </w:r>
      <w:r>
        <w:rPr>
          <w:rFonts w:ascii="Times New Roman" w:hAnsi="Times New Roman" w:cs="Times New Roman"/>
          <w:sz w:val="24"/>
          <w:szCs w:val="24"/>
          <w:lang w:val="en-GB"/>
        </w:rPr>
        <w:t>)</w:t>
      </w:r>
      <w:r w:rsidR="00F1104D" w:rsidRPr="00F1104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 </w:t>
      </w:r>
      <w:r w:rsidR="00F1104D" w:rsidRPr="00F1104D">
        <w:rPr>
          <w:rFonts w:ascii="Times New Roman" w:hAnsi="Times New Roman" w:cs="Times New Roman"/>
          <w:sz w:val="24"/>
          <w:szCs w:val="24"/>
          <w:lang w:val="en-GB"/>
        </w:rPr>
        <w:t>Fairness</w:t>
      </w:r>
      <w:r>
        <w:rPr>
          <w:rFonts w:ascii="Times New Roman" w:hAnsi="Times New Roman" w:cs="Times New Roman"/>
          <w:sz w:val="24"/>
          <w:szCs w:val="24"/>
          <w:lang w:val="en-GB"/>
        </w:rPr>
        <w:t xml:space="preserve"> (</w:t>
      </w:r>
      <w:r w:rsidR="00F1104D" w:rsidRPr="00F1104D">
        <w:rPr>
          <w:rFonts w:ascii="Times New Roman" w:hAnsi="Times New Roman" w:cs="Times New Roman"/>
          <w:sz w:val="24"/>
          <w:szCs w:val="24"/>
          <w:lang w:val="en-GB"/>
        </w:rPr>
        <w:t>AI should be used in a way which complies with the UK’s existing laws (e.g., the UK General Data Protection Regulation), and must not discriminate against individuals or create unfair commercial outcomes</w:t>
      </w:r>
      <w:r>
        <w:rPr>
          <w:rFonts w:ascii="Times New Roman" w:hAnsi="Times New Roman" w:cs="Times New Roman"/>
          <w:sz w:val="24"/>
          <w:szCs w:val="24"/>
          <w:lang w:val="en-GB"/>
        </w:rPr>
        <w:t>)</w:t>
      </w:r>
      <w:r w:rsidR="00F1104D" w:rsidRPr="00F1104D">
        <w:rPr>
          <w:rFonts w:ascii="Times New Roman" w:hAnsi="Times New Roman" w:cs="Times New Roman"/>
          <w:sz w:val="24"/>
          <w:szCs w:val="24"/>
          <w:lang w:val="en-GB"/>
        </w:rPr>
        <w:t>;</w:t>
      </w:r>
      <w:r>
        <w:rPr>
          <w:rFonts w:ascii="Times New Roman" w:hAnsi="Times New Roman" w:cs="Times New Roman"/>
          <w:sz w:val="24"/>
          <w:szCs w:val="24"/>
          <w:lang w:val="en-GB"/>
        </w:rPr>
        <w:t xml:space="preserve"> d) </w:t>
      </w:r>
      <w:r w:rsidR="00F1104D" w:rsidRPr="00F1104D">
        <w:rPr>
          <w:rFonts w:ascii="Times New Roman" w:hAnsi="Times New Roman" w:cs="Times New Roman"/>
          <w:sz w:val="24"/>
          <w:szCs w:val="24"/>
          <w:lang w:val="en-GB"/>
        </w:rPr>
        <w:t>Accountability and Governance</w:t>
      </w:r>
      <w:r>
        <w:rPr>
          <w:rFonts w:ascii="Times New Roman" w:hAnsi="Times New Roman" w:cs="Times New Roman"/>
          <w:sz w:val="24"/>
          <w:szCs w:val="24"/>
          <w:lang w:val="en-GB"/>
        </w:rPr>
        <w:t xml:space="preserve"> (</w:t>
      </w:r>
      <w:r w:rsidR="00F1104D" w:rsidRPr="00F1104D">
        <w:rPr>
          <w:rFonts w:ascii="Times New Roman" w:hAnsi="Times New Roman" w:cs="Times New Roman"/>
          <w:sz w:val="24"/>
          <w:szCs w:val="24"/>
          <w:lang w:val="en-GB"/>
        </w:rPr>
        <w:t>measures are needed to ensure there is appropriate oversight of the way AI is being used and clear accountability for the outcomes</w:t>
      </w:r>
      <w:r>
        <w:rPr>
          <w:rFonts w:ascii="Times New Roman" w:hAnsi="Times New Roman" w:cs="Times New Roman"/>
          <w:sz w:val="24"/>
          <w:szCs w:val="24"/>
          <w:lang w:val="en-GB"/>
        </w:rPr>
        <w:t>)</w:t>
      </w:r>
      <w:r w:rsidR="00F1104D" w:rsidRPr="00F1104D">
        <w:rPr>
          <w:rFonts w:ascii="Times New Roman" w:hAnsi="Times New Roman" w:cs="Times New Roman"/>
          <w:sz w:val="24"/>
          <w:szCs w:val="24"/>
          <w:lang w:val="en-GB"/>
        </w:rPr>
        <w:t>; and</w:t>
      </w:r>
      <w:r>
        <w:rPr>
          <w:rFonts w:ascii="Times New Roman" w:hAnsi="Times New Roman" w:cs="Times New Roman"/>
          <w:sz w:val="24"/>
          <w:szCs w:val="24"/>
          <w:lang w:val="en-GB"/>
        </w:rPr>
        <w:t xml:space="preserve"> e) </w:t>
      </w:r>
      <w:r w:rsidR="00F1104D" w:rsidRPr="00F1104D">
        <w:rPr>
          <w:rFonts w:ascii="Times New Roman" w:hAnsi="Times New Roman" w:cs="Times New Roman"/>
          <w:sz w:val="24"/>
          <w:szCs w:val="24"/>
          <w:lang w:val="en-GB"/>
        </w:rPr>
        <w:t>Contestability and Redress</w:t>
      </w:r>
      <w:r>
        <w:rPr>
          <w:rFonts w:ascii="Times New Roman" w:hAnsi="Times New Roman" w:cs="Times New Roman"/>
          <w:sz w:val="24"/>
          <w:szCs w:val="24"/>
          <w:lang w:val="en-GB"/>
        </w:rPr>
        <w:t xml:space="preserve"> (</w:t>
      </w:r>
      <w:r w:rsidR="00F1104D" w:rsidRPr="00F1104D">
        <w:rPr>
          <w:rFonts w:ascii="Times New Roman" w:hAnsi="Times New Roman" w:cs="Times New Roman"/>
          <w:sz w:val="24"/>
          <w:szCs w:val="24"/>
          <w:lang w:val="en-GB"/>
        </w:rPr>
        <w:t>people need to have clear routes to dispute harmful outcomes or decisions generated by AI</w:t>
      </w:r>
      <w:r>
        <w:rPr>
          <w:rFonts w:ascii="Times New Roman" w:hAnsi="Times New Roman" w:cs="Times New Roman"/>
          <w:sz w:val="24"/>
          <w:szCs w:val="24"/>
          <w:lang w:val="en-GB"/>
        </w:rPr>
        <w:t>).</w:t>
      </w:r>
    </w:p>
    <w:p w14:paraId="62E5CF4D" w14:textId="34824B85" w:rsidR="00F1104D" w:rsidRPr="00F1104D" w:rsidRDefault="00EB5162" w:rsidP="00F1104D">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Moreover, o</w:t>
      </w:r>
      <w:r w:rsidR="00F1104D" w:rsidRPr="00F1104D">
        <w:rPr>
          <w:rFonts w:ascii="Times New Roman" w:hAnsi="Times New Roman" w:cs="Times New Roman"/>
          <w:sz w:val="24"/>
          <w:szCs w:val="24"/>
          <w:lang w:val="en-GB"/>
        </w:rPr>
        <w:t xml:space="preserve">ver the next 12 months, </w:t>
      </w:r>
      <w:r>
        <w:rPr>
          <w:rFonts w:ascii="Times New Roman" w:hAnsi="Times New Roman" w:cs="Times New Roman"/>
          <w:sz w:val="24"/>
          <w:szCs w:val="24"/>
          <w:lang w:val="en-GB"/>
        </w:rPr>
        <w:t xml:space="preserve">UK </w:t>
      </w:r>
      <w:r w:rsidR="00F1104D" w:rsidRPr="00F1104D">
        <w:rPr>
          <w:rFonts w:ascii="Times New Roman" w:hAnsi="Times New Roman" w:cs="Times New Roman"/>
          <w:sz w:val="24"/>
          <w:szCs w:val="24"/>
          <w:lang w:val="en-GB"/>
        </w:rPr>
        <w:t>regulators will be tasked with issuing practical guidance to organisations, as well as other tools and resources such as risk assessment templates, that set out how the above five principles should be implemented in their sectors.</w:t>
      </w:r>
      <w:r w:rsidR="008F62E6">
        <w:rPr>
          <w:rStyle w:val="Sprotnaopomba-sklic"/>
          <w:rFonts w:ascii="Times New Roman" w:hAnsi="Times New Roman" w:cs="Times New Roman"/>
          <w:sz w:val="24"/>
          <w:szCs w:val="24"/>
          <w:lang w:val="en-GB"/>
        </w:rPr>
        <w:footnoteReference w:id="133"/>
      </w:r>
    </w:p>
    <w:p w14:paraId="390B9F1E" w14:textId="2346DF94" w:rsidR="00926E51" w:rsidRDefault="00F1104D" w:rsidP="00F1104D">
      <w:pPr>
        <w:spacing w:line="276" w:lineRule="auto"/>
        <w:jc w:val="both"/>
        <w:rPr>
          <w:rFonts w:ascii="Times New Roman" w:hAnsi="Times New Roman" w:cs="Times New Roman"/>
          <w:sz w:val="24"/>
          <w:szCs w:val="24"/>
          <w:lang w:val="en-GB"/>
        </w:rPr>
      </w:pPr>
      <w:r w:rsidRPr="00F1104D">
        <w:rPr>
          <w:rFonts w:ascii="Times New Roman" w:hAnsi="Times New Roman" w:cs="Times New Roman"/>
          <w:sz w:val="24"/>
          <w:szCs w:val="24"/>
          <w:lang w:val="en-GB"/>
        </w:rPr>
        <w:lastRenderedPageBreak/>
        <w:t xml:space="preserve">However, </w:t>
      </w:r>
      <w:r w:rsidR="008F62E6">
        <w:rPr>
          <w:rFonts w:ascii="Times New Roman" w:hAnsi="Times New Roman" w:cs="Times New Roman"/>
          <w:sz w:val="24"/>
          <w:szCs w:val="24"/>
          <w:lang w:val="en-GB"/>
        </w:rPr>
        <w:t xml:space="preserve">on should note that </w:t>
      </w:r>
      <w:r w:rsidRPr="00F1104D">
        <w:rPr>
          <w:rFonts w:ascii="Times New Roman" w:hAnsi="Times New Roman" w:cs="Times New Roman"/>
          <w:sz w:val="24"/>
          <w:szCs w:val="24"/>
          <w:lang w:val="en-GB"/>
        </w:rPr>
        <w:t>this approach does make the UK an outlier in comparison to global</w:t>
      </w:r>
      <w:r w:rsidR="008F62E6">
        <w:rPr>
          <w:rFonts w:ascii="Times New Roman" w:hAnsi="Times New Roman" w:cs="Times New Roman"/>
          <w:sz w:val="24"/>
          <w:szCs w:val="24"/>
          <w:lang w:val="en-GB"/>
        </w:rPr>
        <w:t xml:space="preserve"> regulatory trends</w:t>
      </w:r>
      <w:r w:rsidRPr="00F1104D">
        <w:rPr>
          <w:rFonts w:ascii="Times New Roman" w:hAnsi="Times New Roman" w:cs="Times New Roman"/>
          <w:sz w:val="24"/>
          <w:szCs w:val="24"/>
          <w:lang w:val="en-GB"/>
        </w:rPr>
        <w:t xml:space="preserve">. </w:t>
      </w:r>
      <w:r w:rsidR="008F62E6">
        <w:rPr>
          <w:rFonts w:ascii="Times New Roman" w:hAnsi="Times New Roman" w:cs="Times New Roman"/>
          <w:sz w:val="24"/>
          <w:szCs w:val="24"/>
          <w:lang w:val="en-GB"/>
        </w:rPr>
        <w:t xml:space="preserve">As already </w:t>
      </w:r>
      <w:proofErr w:type="gramStart"/>
      <w:r w:rsidR="008F62E6">
        <w:rPr>
          <w:rFonts w:ascii="Times New Roman" w:hAnsi="Times New Roman" w:cs="Times New Roman"/>
          <w:sz w:val="24"/>
          <w:szCs w:val="24"/>
          <w:lang w:val="en-GB"/>
        </w:rPr>
        <w:t>stated</w:t>
      </w:r>
      <w:proofErr w:type="gramEnd"/>
      <w:r w:rsidR="008F62E6">
        <w:rPr>
          <w:rFonts w:ascii="Times New Roman" w:hAnsi="Times New Roman" w:cs="Times New Roman"/>
          <w:sz w:val="24"/>
          <w:szCs w:val="24"/>
          <w:lang w:val="en-GB"/>
        </w:rPr>
        <w:t xml:space="preserve"> US and EU </w:t>
      </w:r>
      <w:r w:rsidRPr="00F1104D">
        <w:rPr>
          <w:rFonts w:ascii="Times New Roman" w:hAnsi="Times New Roman" w:cs="Times New Roman"/>
          <w:sz w:val="24"/>
          <w:szCs w:val="24"/>
          <w:lang w:val="en-GB"/>
        </w:rPr>
        <w:t>are developing or passing special laws to address alleged AI dangers, such as algorithmic rules imposed in</w:t>
      </w:r>
      <w:r w:rsidR="008F62E6">
        <w:rPr>
          <w:rFonts w:ascii="Times New Roman" w:hAnsi="Times New Roman" w:cs="Times New Roman"/>
          <w:sz w:val="24"/>
          <w:szCs w:val="24"/>
          <w:lang w:val="en-GB"/>
        </w:rPr>
        <w:t xml:space="preserve"> EU,</w:t>
      </w:r>
      <w:r w:rsidRPr="00F1104D">
        <w:rPr>
          <w:rFonts w:ascii="Times New Roman" w:hAnsi="Times New Roman" w:cs="Times New Roman"/>
          <w:sz w:val="24"/>
          <w:szCs w:val="24"/>
          <w:lang w:val="en-GB"/>
        </w:rPr>
        <w:t xml:space="preserve"> China or the United States. </w:t>
      </w:r>
    </w:p>
    <w:p w14:paraId="4D24ED6C" w14:textId="4E29EA3A" w:rsidR="00F1104D" w:rsidRPr="00F1104D" w:rsidRDefault="00F1104D" w:rsidP="00F1104D">
      <w:pPr>
        <w:spacing w:line="276" w:lineRule="auto"/>
        <w:jc w:val="both"/>
        <w:rPr>
          <w:rFonts w:ascii="Times New Roman" w:hAnsi="Times New Roman" w:cs="Times New Roman"/>
          <w:sz w:val="24"/>
          <w:szCs w:val="24"/>
          <w:lang w:val="en-GB"/>
        </w:rPr>
      </w:pPr>
      <w:r w:rsidRPr="00F1104D">
        <w:rPr>
          <w:rFonts w:ascii="Times New Roman" w:hAnsi="Times New Roman" w:cs="Times New Roman"/>
          <w:sz w:val="24"/>
          <w:szCs w:val="24"/>
          <w:lang w:val="en-GB"/>
        </w:rPr>
        <w:t xml:space="preserve"> </w:t>
      </w:r>
    </w:p>
    <w:p w14:paraId="54917F17" w14:textId="730ACB12" w:rsidR="00916B6A" w:rsidRPr="00916B6A" w:rsidRDefault="00916B6A" w:rsidP="00916B6A">
      <w:pPr>
        <w:spacing w:line="276" w:lineRule="auto"/>
        <w:jc w:val="both"/>
        <w:rPr>
          <w:rFonts w:ascii="Times New Roman" w:hAnsi="Times New Roman" w:cs="Times New Roman"/>
          <w:b/>
          <w:bCs/>
          <w:sz w:val="24"/>
          <w:szCs w:val="24"/>
          <w:lang w:val="en-GB"/>
        </w:rPr>
      </w:pPr>
      <w:r w:rsidRPr="00916B6A">
        <w:rPr>
          <w:rFonts w:ascii="Times New Roman" w:hAnsi="Times New Roman" w:cs="Times New Roman"/>
          <w:b/>
          <w:bCs/>
          <w:sz w:val="24"/>
          <w:szCs w:val="24"/>
          <w:lang w:val="en-GB"/>
        </w:rPr>
        <w:t>4.Comment on the EU Artificial Intelligence Act</w:t>
      </w:r>
    </w:p>
    <w:p w14:paraId="325C8E3C" w14:textId="77777777" w:rsidR="00315275" w:rsidRPr="00315275" w:rsidRDefault="00315275" w:rsidP="00315275">
      <w:pPr>
        <w:spacing w:line="276" w:lineRule="auto"/>
        <w:jc w:val="both"/>
        <w:rPr>
          <w:rFonts w:ascii="Times New Roman" w:hAnsi="Times New Roman" w:cs="Times New Roman"/>
          <w:sz w:val="24"/>
          <w:szCs w:val="24"/>
          <w:lang w:val="en-GB"/>
        </w:rPr>
      </w:pPr>
    </w:p>
    <w:p w14:paraId="1EC6DB2E" w14:textId="034BA58D" w:rsidR="00916B6A" w:rsidRDefault="00315275" w:rsidP="00315275">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Generative </w:t>
      </w:r>
      <w:r w:rsidRPr="00315275">
        <w:rPr>
          <w:rFonts w:ascii="Times New Roman" w:hAnsi="Times New Roman" w:cs="Times New Roman"/>
          <w:sz w:val="24"/>
          <w:szCs w:val="24"/>
          <w:lang w:val="en-GB"/>
        </w:rPr>
        <w:t>AI needs to be regulated in a way that balances innovation</w:t>
      </w:r>
      <w:r w:rsidR="00A0250C">
        <w:rPr>
          <w:rFonts w:ascii="Times New Roman" w:hAnsi="Times New Roman" w:cs="Times New Roman"/>
          <w:sz w:val="24"/>
          <w:szCs w:val="24"/>
          <w:lang w:val="en-GB"/>
        </w:rPr>
        <w:t xml:space="preserve"> (enabling EU to be on the frontier of technological progress), geopolitical </w:t>
      </w:r>
      <w:proofErr w:type="spellStart"/>
      <w:r w:rsidR="00A0250C">
        <w:rPr>
          <w:rFonts w:ascii="Times New Roman" w:hAnsi="Times New Roman" w:cs="Times New Roman"/>
          <w:sz w:val="24"/>
          <w:szCs w:val="24"/>
          <w:lang w:val="en-GB"/>
        </w:rPr>
        <w:t>equlibrium</w:t>
      </w:r>
      <w:proofErr w:type="spellEnd"/>
      <w:r w:rsidRPr="00315275">
        <w:rPr>
          <w:rFonts w:ascii="Times New Roman" w:hAnsi="Times New Roman" w:cs="Times New Roman"/>
          <w:sz w:val="24"/>
          <w:szCs w:val="24"/>
          <w:lang w:val="en-GB"/>
        </w:rPr>
        <w:t xml:space="preserve"> and potential harms. With the technology now at an inflection point</w:t>
      </w:r>
      <w:r>
        <w:rPr>
          <w:rFonts w:ascii="Times New Roman" w:hAnsi="Times New Roman" w:cs="Times New Roman"/>
          <w:sz w:val="24"/>
          <w:szCs w:val="24"/>
          <w:lang w:val="en-GB"/>
        </w:rPr>
        <w:t xml:space="preserve"> it is important to regulate it well. </w:t>
      </w:r>
      <w:r w:rsidRPr="00315275">
        <w:rPr>
          <w:rFonts w:ascii="Times New Roman" w:hAnsi="Times New Roman" w:cs="Times New Roman"/>
          <w:sz w:val="24"/>
          <w:szCs w:val="24"/>
          <w:lang w:val="en-GB"/>
        </w:rPr>
        <w:t>Developing policy frameworks that anticipate potential harms and unlock benefits require</w:t>
      </w:r>
      <w:r>
        <w:rPr>
          <w:rFonts w:ascii="Times New Roman" w:hAnsi="Times New Roman" w:cs="Times New Roman"/>
          <w:sz w:val="24"/>
          <w:szCs w:val="24"/>
          <w:lang w:val="en-GB"/>
        </w:rPr>
        <w:t>s, as we argue,</w:t>
      </w:r>
      <w:r w:rsidRPr="00315275">
        <w:rPr>
          <w:rFonts w:ascii="Times New Roman" w:hAnsi="Times New Roman" w:cs="Times New Roman"/>
          <w:sz w:val="24"/>
          <w:szCs w:val="24"/>
          <w:lang w:val="en-GB"/>
        </w:rPr>
        <w:t xml:space="preserve"> deep discussions between governments, industry experts, publishers, </w:t>
      </w:r>
      <w:proofErr w:type="gramStart"/>
      <w:r w:rsidRPr="00315275">
        <w:rPr>
          <w:rFonts w:ascii="Times New Roman" w:hAnsi="Times New Roman" w:cs="Times New Roman"/>
          <w:sz w:val="24"/>
          <w:szCs w:val="24"/>
          <w:lang w:val="en-GB"/>
        </w:rPr>
        <w:t>academia</w:t>
      </w:r>
      <w:proofErr w:type="gramEnd"/>
      <w:r w:rsidRPr="00315275">
        <w:rPr>
          <w:rFonts w:ascii="Times New Roman" w:hAnsi="Times New Roman" w:cs="Times New Roman"/>
          <w:sz w:val="24"/>
          <w:szCs w:val="24"/>
          <w:lang w:val="en-GB"/>
        </w:rPr>
        <w:t xml:space="preserve"> and civil society.</w:t>
      </w:r>
      <w:r>
        <w:rPr>
          <w:rFonts w:ascii="Times New Roman" w:hAnsi="Times New Roman" w:cs="Times New Roman"/>
          <w:sz w:val="24"/>
          <w:szCs w:val="24"/>
          <w:lang w:val="en-GB"/>
        </w:rPr>
        <w:t xml:space="preserve"> Moreover, we should achieve a continuous </w:t>
      </w:r>
      <w:r w:rsidRPr="00315275">
        <w:rPr>
          <w:rFonts w:ascii="Times New Roman" w:hAnsi="Times New Roman" w:cs="Times New Roman"/>
          <w:sz w:val="24"/>
          <w:szCs w:val="24"/>
          <w:lang w:val="en-GB"/>
        </w:rPr>
        <w:t>investment in research and development for responsible</w:t>
      </w:r>
      <w:r>
        <w:rPr>
          <w:rFonts w:ascii="Times New Roman" w:hAnsi="Times New Roman" w:cs="Times New Roman"/>
          <w:sz w:val="24"/>
          <w:szCs w:val="24"/>
          <w:lang w:val="en-GB"/>
        </w:rPr>
        <w:t xml:space="preserve"> and safe application of generative</w:t>
      </w:r>
      <w:r w:rsidRPr="00315275">
        <w:rPr>
          <w:rFonts w:ascii="Times New Roman" w:hAnsi="Times New Roman" w:cs="Times New Roman"/>
          <w:sz w:val="24"/>
          <w:szCs w:val="24"/>
          <w:lang w:val="en-GB"/>
        </w:rPr>
        <w:t xml:space="preserve"> AI</w:t>
      </w:r>
      <w:r>
        <w:rPr>
          <w:rFonts w:ascii="Times New Roman" w:hAnsi="Times New Roman" w:cs="Times New Roman"/>
          <w:sz w:val="24"/>
          <w:szCs w:val="24"/>
          <w:lang w:val="en-GB"/>
        </w:rPr>
        <w:t xml:space="preserve">. </w:t>
      </w:r>
      <w:r w:rsidR="00331EE5" w:rsidRPr="00331EE5">
        <w:rPr>
          <w:rFonts w:ascii="Times New Roman" w:hAnsi="Times New Roman" w:cs="Times New Roman"/>
          <w:sz w:val="24"/>
          <w:szCs w:val="24"/>
          <w:lang w:val="en-GB"/>
        </w:rPr>
        <w:t xml:space="preserve">This section employs a novel industry level insights from </w:t>
      </w:r>
      <w:bookmarkStart w:id="33" w:name="_Hlk135839027"/>
      <w:r w:rsidR="00331EE5" w:rsidRPr="00331EE5">
        <w:rPr>
          <w:rFonts w:ascii="Times New Roman" w:hAnsi="Times New Roman" w:cs="Times New Roman"/>
          <w:sz w:val="24"/>
          <w:szCs w:val="24"/>
          <w:lang w:val="en-GB"/>
        </w:rPr>
        <w:t>transport, automation, process control and digitalization (in industry and buildings) industries</w:t>
      </w:r>
      <w:bookmarkEnd w:id="33"/>
      <w:r w:rsidR="00331EE5" w:rsidRPr="00331EE5">
        <w:rPr>
          <w:rFonts w:ascii="Times New Roman" w:hAnsi="Times New Roman" w:cs="Times New Roman"/>
          <w:sz w:val="24"/>
          <w:szCs w:val="24"/>
          <w:lang w:val="en-GB"/>
        </w:rPr>
        <w:t xml:space="preserve"> and provides a set of normative suggestions for an improved hybrid regulatory respond which should achieve (balance) optimal risk internalization, precaution, and firm level innovation.</w:t>
      </w:r>
      <w:r w:rsidR="00331EE5">
        <w:rPr>
          <w:rStyle w:val="Sprotnaopomba-sklic"/>
          <w:rFonts w:ascii="Times New Roman" w:hAnsi="Times New Roman" w:cs="Times New Roman"/>
          <w:sz w:val="24"/>
          <w:szCs w:val="24"/>
          <w:lang w:val="en-GB"/>
        </w:rPr>
        <w:footnoteReference w:id="134"/>
      </w:r>
    </w:p>
    <w:p w14:paraId="113AF91C" w14:textId="17ADF5FE" w:rsidR="00315275" w:rsidRDefault="008F62E6" w:rsidP="00926E51">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26E51">
        <w:rPr>
          <w:rFonts w:ascii="Times New Roman" w:hAnsi="Times New Roman" w:cs="Times New Roman"/>
          <w:sz w:val="24"/>
          <w:szCs w:val="24"/>
          <w:lang w:val="en-GB"/>
        </w:rPr>
        <w:t xml:space="preserve">Previously discussed </w:t>
      </w:r>
      <w:r w:rsidR="00926E51" w:rsidRPr="00926E51">
        <w:rPr>
          <w:rFonts w:ascii="Times New Roman" w:hAnsi="Times New Roman" w:cs="Times New Roman"/>
          <w:sz w:val="24"/>
          <w:szCs w:val="24"/>
          <w:lang w:val="en-GB"/>
        </w:rPr>
        <w:t xml:space="preserve">regulatory models are not mutually exclusive and </w:t>
      </w:r>
      <w:r w:rsidR="00926E51">
        <w:rPr>
          <w:rFonts w:ascii="Times New Roman" w:hAnsi="Times New Roman" w:cs="Times New Roman"/>
          <w:sz w:val="24"/>
          <w:szCs w:val="24"/>
          <w:lang w:val="en-GB"/>
        </w:rPr>
        <w:t xml:space="preserve">should </w:t>
      </w:r>
      <w:r w:rsidR="00926E51" w:rsidRPr="00926E51">
        <w:rPr>
          <w:rFonts w:ascii="Times New Roman" w:hAnsi="Times New Roman" w:cs="Times New Roman"/>
          <w:sz w:val="24"/>
          <w:szCs w:val="24"/>
          <w:lang w:val="en-GB"/>
        </w:rPr>
        <w:t>co-</w:t>
      </w:r>
      <w:r w:rsidR="00A0250C" w:rsidRPr="00926E51">
        <w:rPr>
          <w:rFonts w:ascii="Times New Roman" w:hAnsi="Times New Roman" w:cs="Times New Roman"/>
          <w:sz w:val="24"/>
          <w:szCs w:val="24"/>
          <w:lang w:val="en-GB"/>
        </w:rPr>
        <w:t>exist</w:t>
      </w:r>
      <w:r>
        <w:rPr>
          <w:rFonts w:ascii="Times New Roman" w:hAnsi="Times New Roman" w:cs="Times New Roman"/>
          <w:sz w:val="24"/>
          <w:szCs w:val="24"/>
          <w:lang w:val="en-GB"/>
        </w:rPr>
        <w:t xml:space="preserve"> in the so-called</w:t>
      </w:r>
      <w:r w:rsidR="00926E51" w:rsidRPr="00926E51">
        <w:t xml:space="preserve"> </w:t>
      </w:r>
      <w:r w:rsidR="00926E51" w:rsidRPr="00926E51">
        <w:rPr>
          <w:rFonts w:ascii="Times New Roman" w:hAnsi="Times New Roman" w:cs="Times New Roman"/>
          <w:sz w:val="24"/>
          <w:szCs w:val="24"/>
          <w:lang w:val="en-GB"/>
        </w:rPr>
        <w:t>hybrid</w:t>
      </w:r>
      <w:r>
        <w:rPr>
          <w:rFonts w:ascii="Times New Roman" w:hAnsi="Times New Roman" w:cs="Times New Roman"/>
          <w:sz w:val="24"/>
          <w:szCs w:val="24"/>
          <w:lang w:val="en-GB"/>
        </w:rPr>
        <w:t xml:space="preserve"> regulatory</w:t>
      </w:r>
      <w:r w:rsidR="00926E51" w:rsidRPr="00926E51">
        <w:rPr>
          <w:rFonts w:ascii="Times New Roman" w:hAnsi="Times New Roman" w:cs="Times New Roman"/>
          <w:sz w:val="24"/>
          <w:szCs w:val="24"/>
          <w:lang w:val="en-GB"/>
        </w:rPr>
        <w:t xml:space="preserve"> models. </w:t>
      </w:r>
      <w:r>
        <w:rPr>
          <w:rFonts w:ascii="Times New Roman" w:hAnsi="Times New Roman" w:cs="Times New Roman"/>
          <w:sz w:val="24"/>
          <w:szCs w:val="24"/>
          <w:lang w:val="en-GB"/>
        </w:rPr>
        <w:t>For example</w:t>
      </w:r>
      <w:r w:rsidR="00DB2B80">
        <w:rPr>
          <w:rFonts w:ascii="Times New Roman" w:hAnsi="Times New Roman" w:cs="Times New Roman"/>
          <w:sz w:val="24"/>
          <w:szCs w:val="24"/>
          <w:lang w:val="en-GB"/>
        </w:rPr>
        <w:t>,</w:t>
      </w:r>
      <w:r>
        <w:rPr>
          <w:rFonts w:ascii="Times New Roman" w:hAnsi="Times New Roman" w:cs="Times New Roman"/>
          <w:sz w:val="24"/>
          <w:szCs w:val="24"/>
          <w:lang w:val="en-GB"/>
        </w:rPr>
        <w:t xml:space="preserve"> a</w:t>
      </w:r>
      <w:r w:rsidR="00926E51" w:rsidRPr="00926E51">
        <w:rPr>
          <w:rFonts w:ascii="Times New Roman" w:hAnsi="Times New Roman" w:cs="Times New Roman"/>
          <w:sz w:val="24"/>
          <w:szCs w:val="24"/>
          <w:lang w:val="en-GB"/>
        </w:rPr>
        <w:t>n independent</w:t>
      </w:r>
      <w:r>
        <w:rPr>
          <w:rFonts w:ascii="Times New Roman" w:hAnsi="Times New Roman" w:cs="Times New Roman"/>
          <w:sz w:val="24"/>
          <w:szCs w:val="24"/>
          <w:lang w:val="en-GB"/>
        </w:rPr>
        <w:t xml:space="preserve"> </w:t>
      </w:r>
      <w:r w:rsidR="00926E51" w:rsidRPr="00926E51">
        <w:rPr>
          <w:rFonts w:ascii="Times New Roman" w:hAnsi="Times New Roman" w:cs="Times New Roman"/>
          <w:sz w:val="24"/>
          <w:szCs w:val="24"/>
          <w:lang w:val="en-GB"/>
        </w:rPr>
        <w:t>regulatory agency may be supplemented and strengthened by contracting-out or</w:t>
      </w:r>
      <w:r>
        <w:rPr>
          <w:rFonts w:ascii="Times New Roman" w:hAnsi="Times New Roman" w:cs="Times New Roman"/>
          <w:sz w:val="24"/>
          <w:szCs w:val="24"/>
          <w:lang w:val="en-GB"/>
        </w:rPr>
        <w:t xml:space="preserve"> </w:t>
      </w:r>
      <w:r w:rsidR="00926E51" w:rsidRPr="00926E51">
        <w:rPr>
          <w:rFonts w:ascii="Times New Roman" w:hAnsi="Times New Roman" w:cs="Times New Roman"/>
          <w:sz w:val="24"/>
          <w:szCs w:val="24"/>
          <w:lang w:val="en-GB"/>
        </w:rPr>
        <w:t>outsourcing of certain regulatory functions, if the external capacity is there and if it is</w:t>
      </w:r>
      <w:r>
        <w:rPr>
          <w:rFonts w:ascii="Times New Roman" w:hAnsi="Times New Roman" w:cs="Times New Roman"/>
          <w:sz w:val="24"/>
          <w:szCs w:val="24"/>
          <w:lang w:val="en-GB"/>
        </w:rPr>
        <w:t xml:space="preserve"> </w:t>
      </w:r>
      <w:r w:rsidR="00926E51" w:rsidRPr="00926E51">
        <w:rPr>
          <w:rFonts w:ascii="Times New Roman" w:hAnsi="Times New Roman" w:cs="Times New Roman"/>
          <w:sz w:val="24"/>
          <w:szCs w:val="24"/>
          <w:lang w:val="en-GB"/>
        </w:rPr>
        <w:t>cost effective. A regulatory contract may also be supported by outsourced functions</w:t>
      </w:r>
      <w:r>
        <w:rPr>
          <w:rFonts w:ascii="Times New Roman" w:hAnsi="Times New Roman" w:cs="Times New Roman"/>
          <w:sz w:val="24"/>
          <w:szCs w:val="24"/>
          <w:lang w:val="en-GB"/>
        </w:rPr>
        <w:t xml:space="preserve"> </w:t>
      </w:r>
      <w:r w:rsidR="00926E51" w:rsidRPr="00926E51">
        <w:rPr>
          <w:rFonts w:ascii="Times New Roman" w:hAnsi="Times New Roman" w:cs="Times New Roman"/>
          <w:sz w:val="24"/>
          <w:szCs w:val="24"/>
          <w:lang w:val="en-GB"/>
        </w:rPr>
        <w:t xml:space="preserve">and expertise provided by third parties (consultants or an expert panel). </w:t>
      </w:r>
      <w:bookmarkStart w:id="34" w:name="_Hlk136011943"/>
      <w:r w:rsidR="00926E51" w:rsidRPr="00926E51">
        <w:rPr>
          <w:rFonts w:ascii="Times New Roman" w:hAnsi="Times New Roman" w:cs="Times New Roman"/>
          <w:sz w:val="24"/>
          <w:szCs w:val="24"/>
          <w:lang w:val="en-GB"/>
        </w:rPr>
        <w:t>Thus</w:t>
      </w:r>
      <w:r w:rsidR="00DB2B80">
        <w:rPr>
          <w:rFonts w:ascii="Times New Roman" w:hAnsi="Times New Roman" w:cs="Times New Roman"/>
          <w:sz w:val="24"/>
          <w:szCs w:val="24"/>
          <w:lang w:val="en-GB"/>
        </w:rPr>
        <w:t>,</w:t>
      </w:r>
      <w:r w:rsidR="00926E51" w:rsidRPr="00926E51">
        <w:rPr>
          <w:rFonts w:ascii="Times New Roman" w:hAnsi="Times New Roman" w:cs="Times New Roman"/>
          <w:sz w:val="24"/>
          <w:szCs w:val="24"/>
          <w:lang w:val="en-GB"/>
        </w:rPr>
        <w:t xml:space="preserve"> hybrids</w:t>
      </w:r>
      <w:r>
        <w:rPr>
          <w:rFonts w:ascii="Times New Roman" w:hAnsi="Times New Roman" w:cs="Times New Roman"/>
          <w:sz w:val="24"/>
          <w:szCs w:val="24"/>
          <w:lang w:val="en-GB"/>
        </w:rPr>
        <w:t xml:space="preserve"> </w:t>
      </w:r>
      <w:r w:rsidR="00926E51" w:rsidRPr="00926E51">
        <w:rPr>
          <w:rFonts w:ascii="Times New Roman" w:hAnsi="Times New Roman" w:cs="Times New Roman"/>
          <w:sz w:val="24"/>
          <w:szCs w:val="24"/>
          <w:lang w:val="en-GB"/>
        </w:rPr>
        <w:t>are possible, including the co-existence of regulatory contracts and independent</w:t>
      </w:r>
      <w:r>
        <w:rPr>
          <w:rFonts w:ascii="Times New Roman" w:hAnsi="Times New Roman" w:cs="Times New Roman"/>
          <w:sz w:val="24"/>
          <w:szCs w:val="24"/>
          <w:lang w:val="en-GB"/>
        </w:rPr>
        <w:t xml:space="preserve"> </w:t>
      </w:r>
      <w:r w:rsidR="00926E51" w:rsidRPr="00926E51">
        <w:rPr>
          <w:rFonts w:ascii="Times New Roman" w:hAnsi="Times New Roman" w:cs="Times New Roman"/>
          <w:sz w:val="24"/>
          <w:szCs w:val="24"/>
          <w:lang w:val="en-GB"/>
        </w:rPr>
        <w:t>regulatory oversight. The choice from the menu of options, including hybrid</w:t>
      </w:r>
      <w:r>
        <w:rPr>
          <w:rFonts w:ascii="Times New Roman" w:hAnsi="Times New Roman" w:cs="Times New Roman"/>
          <w:sz w:val="24"/>
          <w:szCs w:val="24"/>
          <w:lang w:val="en-GB"/>
        </w:rPr>
        <w:t xml:space="preserve"> </w:t>
      </w:r>
      <w:r w:rsidR="00926E51" w:rsidRPr="00926E51">
        <w:rPr>
          <w:rFonts w:ascii="Times New Roman" w:hAnsi="Times New Roman" w:cs="Times New Roman"/>
          <w:sz w:val="24"/>
          <w:szCs w:val="24"/>
          <w:lang w:val="en-GB"/>
        </w:rPr>
        <w:t xml:space="preserve">combinations, depends ultimately on the best fit with the </w:t>
      </w:r>
      <w:r>
        <w:rPr>
          <w:rFonts w:ascii="Times New Roman" w:hAnsi="Times New Roman" w:cs="Times New Roman"/>
          <w:sz w:val="24"/>
          <w:szCs w:val="24"/>
          <w:lang w:val="en-GB"/>
        </w:rPr>
        <w:t>technological development and progress</w:t>
      </w:r>
      <w:bookmarkEnd w:id="34"/>
      <w:r>
        <w:rPr>
          <w:rFonts w:ascii="Times New Roman" w:hAnsi="Times New Roman" w:cs="Times New Roman"/>
          <w:sz w:val="24"/>
          <w:szCs w:val="24"/>
          <w:lang w:val="en-GB"/>
        </w:rPr>
        <w:t>.</w:t>
      </w:r>
      <w:r w:rsidR="008304BB">
        <w:rPr>
          <w:rStyle w:val="Sprotnaopomba-sklic"/>
          <w:rFonts w:ascii="Times New Roman" w:hAnsi="Times New Roman" w:cs="Times New Roman"/>
          <w:sz w:val="24"/>
          <w:szCs w:val="24"/>
          <w:lang w:val="en-GB"/>
        </w:rPr>
        <w:footnoteReference w:id="135"/>
      </w:r>
    </w:p>
    <w:p w14:paraId="0CE64E9C" w14:textId="77777777" w:rsidR="00BC1726" w:rsidRDefault="00BC1726" w:rsidP="00BC1726">
      <w:pPr>
        <w:spacing w:line="276" w:lineRule="auto"/>
        <w:jc w:val="both"/>
        <w:rPr>
          <w:rFonts w:ascii="Times New Roman" w:hAnsi="Times New Roman" w:cs="Times New Roman"/>
          <w:sz w:val="24"/>
          <w:szCs w:val="24"/>
          <w:lang w:val="en-GB"/>
        </w:rPr>
      </w:pPr>
    </w:p>
    <w:p w14:paraId="17EDFD6A" w14:textId="70C579C1" w:rsidR="00DB2B80" w:rsidRPr="00BC1726" w:rsidRDefault="00DB2B80" w:rsidP="00BC1726">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 Co-regulat</w:t>
      </w:r>
      <w:r w:rsidR="008E71A5">
        <w:rPr>
          <w:rFonts w:ascii="Times New Roman" w:hAnsi="Times New Roman" w:cs="Times New Roman"/>
          <w:sz w:val="24"/>
          <w:szCs w:val="24"/>
          <w:lang w:val="en-GB"/>
        </w:rPr>
        <w:t>ion and hybrid</w:t>
      </w:r>
      <w:r>
        <w:rPr>
          <w:rFonts w:ascii="Times New Roman" w:hAnsi="Times New Roman" w:cs="Times New Roman"/>
          <w:sz w:val="24"/>
          <w:szCs w:val="24"/>
          <w:lang w:val="en-GB"/>
        </w:rPr>
        <w:t xml:space="preserve"> approach </w:t>
      </w:r>
    </w:p>
    <w:p w14:paraId="6A8E78B4" w14:textId="0B6130AE" w:rsidR="008E71A5" w:rsidRDefault="008E71A5" w:rsidP="00BC1726">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Performed analysis and firm level interviews</w:t>
      </w:r>
      <w:r w:rsidR="00D30D82">
        <w:rPr>
          <w:rFonts w:ascii="Times New Roman" w:hAnsi="Times New Roman" w:cs="Times New Roman"/>
          <w:sz w:val="24"/>
          <w:szCs w:val="24"/>
          <w:lang w:val="en-GB"/>
        </w:rPr>
        <w:t xml:space="preserve"> (and their reflection upon the proposed EU AI Act)</w:t>
      </w:r>
      <w:r>
        <w:rPr>
          <w:rFonts w:ascii="Times New Roman" w:hAnsi="Times New Roman" w:cs="Times New Roman"/>
          <w:sz w:val="24"/>
          <w:szCs w:val="24"/>
          <w:lang w:val="en-GB"/>
        </w:rPr>
        <w:t xml:space="preserve"> calls for the following regulatory issues: a)</w:t>
      </w:r>
      <w:r w:rsidRPr="008E71A5">
        <w:rPr>
          <w:rFonts w:ascii="Times New Roman" w:hAnsi="Times New Roman" w:cs="Times New Roman"/>
          <w:sz w:val="24"/>
          <w:szCs w:val="24"/>
          <w:lang w:val="en-GB"/>
        </w:rPr>
        <w:t>Providing real</w:t>
      </w:r>
      <w:r w:rsidR="00A0250C">
        <w:rPr>
          <w:rFonts w:ascii="Times New Roman" w:hAnsi="Times New Roman" w:cs="Times New Roman"/>
          <w:sz w:val="24"/>
          <w:szCs w:val="24"/>
          <w:lang w:val="en-GB"/>
        </w:rPr>
        <w:t>/workable/</w:t>
      </w:r>
      <w:r w:rsidRPr="008E71A5">
        <w:rPr>
          <w:rFonts w:ascii="Times New Roman" w:hAnsi="Times New Roman" w:cs="Times New Roman"/>
          <w:sz w:val="24"/>
          <w:szCs w:val="24"/>
          <w:lang w:val="en-GB"/>
        </w:rPr>
        <w:t xml:space="preserve"> definition of AI</w:t>
      </w:r>
      <w:r>
        <w:rPr>
          <w:rFonts w:ascii="Times New Roman" w:hAnsi="Times New Roman" w:cs="Times New Roman"/>
          <w:sz w:val="24"/>
          <w:szCs w:val="24"/>
          <w:lang w:val="en-GB"/>
        </w:rPr>
        <w:t xml:space="preserve">; b) </w:t>
      </w:r>
      <w:r w:rsidRPr="008E71A5">
        <w:rPr>
          <w:rFonts w:ascii="Times New Roman" w:hAnsi="Times New Roman" w:cs="Times New Roman"/>
          <w:sz w:val="24"/>
          <w:szCs w:val="24"/>
          <w:lang w:val="en-GB"/>
        </w:rPr>
        <w:t xml:space="preserve">Providing definitions of risk, high-risk, low-risk, remote biometric </w:t>
      </w:r>
      <w:r w:rsidR="00D30D82" w:rsidRPr="008E71A5">
        <w:rPr>
          <w:rFonts w:ascii="Times New Roman" w:hAnsi="Times New Roman" w:cs="Times New Roman"/>
          <w:sz w:val="24"/>
          <w:szCs w:val="24"/>
          <w:lang w:val="en-GB"/>
        </w:rPr>
        <w:t>identification</w:t>
      </w:r>
      <w:r w:rsidRPr="008E71A5">
        <w:rPr>
          <w:rFonts w:ascii="Times New Roman" w:hAnsi="Times New Roman" w:cs="Times New Roman"/>
          <w:sz w:val="24"/>
          <w:szCs w:val="24"/>
          <w:lang w:val="en-GB"/>
        </w:rPr>
        <w:t xml:space="preserve"> and harm</w:t>
      </w:r>
      <w:r>
        <w:rPr>
          <w:rFonts w:ascii="Times New Roman" w:hAnsi="Times New Roman" w:cs="Times New Roman"/>
          <w:sz w:val="24"/>
          <w:szCs w:val="24"/>
          <w:lang w:val="en-GB"/>
        </w:rPr>
        <w:t>; c)</w:t>
      </w:r>
      <w:r w:rsidRPr="008E71A5">
        <w:rPr>
          <w:rFonts w:ascii="Times New Roman" w:hAnsi="Times New Roman" w:cs="Times New Roman"/>
          <w:sz w:val="24"/>
          <w:szCs w:val="24"/>
          <w:lang w:val="en-GB"/>
        </w:rPr>
        <w:t xml:space="preserve"> Determining standards to be applied to AI systems</w:t>
      </w:r>
      <w:r>
        <w:rPr>
          <w:rFonts w:ascii="Times New Roman" w:hAnsi="Times New Roman" w:cs="Times New Roman"/>
          <w:sz w:val="24"/>
          <w:szCs w:val="24"/>
          <w:lang w:val="en-GB"/>
        </w:rPr>
        <w:t xml:space="preserve">; e) </w:t>
      </w:r>
      <w:r w:rsidRPr="008E71A5">
        <w:rPr>
          <w:rFonts w:ascii="Times New Roman" w:hAnsi="Times New Roman" w:cs="Times New Roman"/>
          <w:sz w:val="24"/>
          <w:szCs w:val="24"/>
          <w:lang w:val="en-GB"/>
        </w:rPr>
        <w:t xml:space="preserve"> Regulatory sandboxes with proof best practice guidelines and other supporting materials, documented obligations and how to implement them</w:t>
      </w:r>
      <w:r>
        <w:rPr>
          <w:rFonts w:ascii="Times New Roman" w:hAnsi="Times New Roman" w:cs="Times New Roman"/>
          <w:sz w:val="24"/>
          <w:szCs w:val="24"/>
          <w:lang w:val="en-GB"/>
        </w:rPr>
        <w:t xml:space="preserve"> on firm- and industry-level; f) </w:t>
      </w:r>
      <w:r w:rsidRPr="008E71A5">
        <w:rPr>
          <w:rFonts w:ascii="Times New Roman" w:hAnsi="Times New Roman" w:cs="Times New Roman"/>
          <w:sz w:val="24"/>
          <w:szCs w:val="24"/>
          <w:lang w:val="en-GB"/>
        </w:rPr>
        <w:t xml:space="preserve"> Transferring the formulation of precise technical requirements to expert standard-setting bodies will allow more technical knowledge </w:t>
      </w:r>
      <w:r w:rsidRPr="008E71A5">
        <w:rPr>
          <w:rFonts w:ascii="Times New Roman" w:hAnsi="Times New Roman" w:cs="Times New Roman"/>
          <w:sz w:val="24"/>
          <w:szCs w:val="24"/>
          <w:lang w:val="en-GB"/>
        </w:rPr>
        <w:lastRenderedPageBreak/>
        <w:t>and precision to be focused on precise specifications</w:t>
      </w:r>
      <w:r>
        <w:rPr>
          <w:rFonts w:ascii="Times New Roman" w:hAnsi="Times New Roman" w:cs="Times New Roman"/>
          <w:sz w:val="24"/>
          <w:szCs w:val="24"/>
          <w:lang w:val="en-GB"/>
        </w:rPr>
        <w:t xml:space="preserve">; g) </w:t>
      </w:r>
      <w:r w:rsidRPr="008E71A5">
        <w:rPr>
          <w:rFonts w:ascii="Times New Roman" w:hAnsi="Times New Roman" w:cs="Times New Roman"/>
          <w:sz w:val="24"/>
          <w:szCs w:val="24"/>
          <w:lang w:val="en-GB"/>
        </w:rPr>
        <w:t xml:space="preserve"> Industry must play an important role in the standardisation process</w:t>
      </w:r>
      <w:r>
        <w:rPr>
          <w:rFonts w:ascii="Times New Roman" w:hAnsi="Times New Roman" w:cs="Times New Roman"/>
          <w:sz w:val="24"/>
          <w:szCs w:val="24"/>
          <w:lang w:val="en-GB"/>
        </w:rPr>
        <w:t xml:space="preserve"> (co-regulation); h) </w:t>
      </w:r>
      <w:r w:rsidRPr="008E71A5">
        <w:rPr>
          <w:rFonts w:ascii="Times New Roman" w:hAnsi="Times New Roman" w:cs="Times New Roman"/>
          <w:sz w:val="24"/>
          <w:szCs w:val="24"/>
          <w:lang w:val="en-GB"/>
        </w:rPr>
        <w:t>A vertical soft law. A purely horizontal regulatory approach will not be able to set out meaningfully specific requirements for all applications of AI</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xml:space="preserve">) </w:t>
      </w:r>
      <w:r w:rsidRPr="008E71A5">
        <w:rPr>
          <w:rFonts w:ascii="Times New Roman" w:hAnsi="Times New Roman" w:cs="Times New Roman"/>
          <w:sz w:val="24"/>
          <w:szCs w:val="24"/>
          <w:lang w:val="en-GB"/>
        </w:rPr>
        <w:t>Legislators to be able to amend or supplement the main horizontal rules to keep up with technology. Static horizontal regulation for a rapidly evolving technology is unlikely to be sustainable</w:t>
      </w:r>
      <w:r>
        <w:rPr>
          <w:rFonts w:ascii="Times New Roman" w:hAnsi="Times New Roman" w:cs="Times New Roman"/>
          <w:sz w:val="24"/>
          <w:szCs w:val="24"/>
          <w:lang w:val="en-GB"/>
        </w:rPr>
        <w:t xml:space="preserve">; j) </w:t>
      </w:r>
      <w:r w:rsidRPr="008E71A5">
        <w:rPr>
          <w:rFonts w:ascii="Times New Roman" w:hAnsi="Times New Roman" w:cs="Times New Roman"/>
          <w:sz w:val="24"/>
          <w:szCs w:val="24"/>
          <w:lang w:val="en-GB"/>
        </w:rPr>
        <w:t>Allowing compliance strategies to be flexible across sectors and as technology evolves</w:t>
      </w:r>
      <w:r>
        <w:rPr>
          <w:rFonts w:ascii="Times New Roman" w:hAnsi="Times New Roman" w:cs="Times New Roman"/>
          <w:sz w:val="24"/>
          <w:szCs w:val="24"/>
          <w:lang w:val="en-GB"/>
        </w:rPr>
        <w:t xml:space="preserve">; </w:t>
      </w:r>
      <w:r w:rsidRPr="008E71A5">
        <w:rPr>
          <w:rFonts w:ascii="Times New Roman" w:hAnsi="Times New Roman" w:cs="Times New Roman"/>
          <w:sz w:val="24"/>
          <w:szCs w:val="24"/>
          <w:lang w:val="en-GB"/>
        </w:rPr>
        <w:t>10</w:t>
      </w:r>
      <w:r>
        <w:rPr>
          <w:rFonts w:ascii="Times New Roman" w:hAnsi="Times New Roman" w:cs="Times New Roman"/>
          <w:sz w:val="24"/>
          <w:szCs w:val="24"/>
          <w:lang w:val="en-GB"/>
        </w:rPr>
        <w:t>)</w:t>
      </w:r>
      <w:r w:rsidRPr="008E71A5">
        <w:rPr>
          <w:rFonts w:ascii="Times New Roman" w:hAnsi="Times New Roman" w:cs="Times New Roman"/>
          <w:sz w:val="24"/>
          <w:szCs w:val="24"/>
          <w:lang w:val="en-GB"/>
        </w:rPr>
        <w:t xml:space="preserve"> The possibility of adopting common technical specifications if harmonised standards are not available or not sufficient</w:t>
      </w:r>
      <w:r>
        <w:rPr>
          <w:rFonts w:ascii="Times New Roman" w:hAnsi="Times New Roman" w:cs="Times New Roman"/>
          <w:sz w:val="24"/>
          <w:szCs w:val="24"/>
          <w:lang w:val="en-GB"/>
        </w:rPr>
        <w:t xml:space="preserve">; </w:t>
      </w:r>
      <w:r w:rsidRPr="008E71A5">
        <w:rPr>
          <w:rFonts w:ascii="Times New Roman" w:hAnsi="Times New Roman" w:cs="Times New Roman"/>
          <w:sz w:val="24"/>
          <w:szCs w:val="24"/>
          <w:lang w:val="en-GB"/>
        </w:rPr>
        <w:t>11</w:t>
      </w:r>
      <w:r>
        <w:rPr>
          <w:rFonts w:ascii="Times New Roman" w:hAnsi="Times New Roman" w:cs="Times New Roman"/>
          <w:sz w:val="24"/>
          <w:szCs w:val="24"/>
          <w:lang w:val="en-GB"/>
        </w:rPr>
        <w:t>)</w:t>
      </w:r>
      <w:r w:rsidRPr="008E71A5">
        <w:rPr>
          <w:rFonts w:ascii="Times New Roman" w:hAnsi="Times New Roman" w:cs="Times New Roman"/>
          <w:sz w:val="24"/>
          <w:szCs w:val="24"/>
          <w:lang w:val="en-GB"/>
        </w:rPr>
        <w:t xml:space="preserve"> Use of soft law (an instrument that has some normative or enforcement effects: opinions, recommendations, communications, non-legislative resolutions, memos, guidelines). Soft law increases the effectiveness of EU policy and thus the substantive legitimacy of EU policy</w:t>
      </w:r>
      <w:r>
        <w:rPr>
          <w:rFonts w:ascii="Times New Roman" w:hAnsi="Times New Roman" w:cs="Times New Roman"/>
          <w:sz w:val="24"/>
          <w:szCs w:val="24"/>
          <w:lang w:val="en-GB"/>
        </w:rPr>
        <w:t xml:space="preserve">; </w:t>
      </w:r>
      <w:r w:rsidRPr="008E71A5">
        <w:rPr>
          <w:rFonts w:ascii="Times New Roman" w:hAnsi="Times New Roman" w:cs="Times New Roman"/>
          <w:sz w:val="24"/>
          <w:szCs w:val="24"/>
          <w:lang w:val="en-GB"/>
        </w:rPr>
        <w:t>12</w:t>
      </w:r>
      <w:r>
        <w:rPr>
          <w:rFonts w:ascii="Times New Roman" w:hAnsi="Times New Roman" w:cs="Times New Roman"/>
          <w:sz w:val="24"/>
          <w:szCs w:val="24"/>
          <w:lang w:val="en-GB"/>
        </w:rPr>
        <w:t>)</w:t>
      </w:r>
      <w:r w:rsidRPr="008E71A5">
        <w:rPr>
          <w:rFonts w:ascii="Times New Roman" w:hAnsi="Times New Roman" w:cs="Times New Roman"/>
          <w:sz w:val="24"/>
          <w:szCs w:val="24"/>
          <w:lang w:val="en-GB"/>
        </w:rPr>
        <w:t xml:space="preserve"> Self-regulation of the industrial sector. Many sectors have schemes that reflect technical or process standards. There are also a series of codes of conduct, practice or ethics, and in some </w:t>
      </w:r>
      <w:proofErr w:type="gramStart"/>
      <w:r w:rsidRPr="008E71A5">
        <w:rPr>
          <w:rFonts w:ascii="Times New Roman" w:hAnsi="Times New Roman" w:cs="Times New Roman"/>
          <w:sz w:val="24"/>
          <w:szCs w:val="24"/>
          <w:lang w:val="en-GB"/>
        </w:rPr>
        <w:t>industries</w:t>
      </w:r>
      <w:proofErr w:type="gramEnd"/>
      <w:r w:rsidRPr="008E71A5">
        <w:rPr>
          <w:rFonts w:ascii="Times New Roman" w:hAnsi="Times New Roman" w:cs="Times New Roman"/>
          <w:sz w:val="24"/>
          <w:szCs w:val="24"/>
          <w:lang w:val="en-GB"/>
        </w:rPr>
        <w:t xml:space="preserve"> there are agreements or Memoranda of Understanding (</w:t>
      </w:r>
      <w:proofErr w:type="spellStart"/>
      <w:r w:rsidRPr="008E71A5">
        <w:rPr>
          <w:rFonts w:ascii="Times New Roman" w:hAnsi="Times New Roman" w:cs="Times New Roman"/>
          <w:sz w:val="24"/>
          <w:szCs w:val="24"/>
          <w:lang w:val="en-GB"/>
        </w:rPr>
        <w:t>MoUs</w:t>
      </w:r>
      <w:proofErr w:type="spellEnd"/>
      <w:r w:rsidRPr="008E71A5">
        <w:rPr>
          <w:rFonts w:ascii="Times New Roman" w:hAnsi="Times New Roman" w:cs="Times New Roman"/>
          <w:sz w:val="24"/>
          <w:szCs w:val="24"/>
          <w:lang w:val="en-GB"/>
        </w:rPr>
        <w:t>) that have some regulatory effect. Accreditation schemes are a specific mechanism used in some areas</w:t>
      </w:r>
      <w:r>
        <w:rPr>
          <w:rFonts w:ascii="Times New Roman" w:hAnsi="Times New Roman" w:cs="Times New Roman"/>
          <w:sz w:val="24"/>
          <w:szCs w:val="24"/>
          <w:lang w:val="en-GB"/>
        </w:rPr>
        <w:t>;</w:t>
      </w:r>
      <w:r>
        <w:rPr>
          <w:rStyle w:val="Sprotnaopomba-sklic"/>
          <w:rFonts w:ascii="Times New Roman" w:hAnsi="Times New Roman" w:cs="Times New Roman"/>
          <w:sz w:val="24"/>
          <w:szCs w:val="24"/>
          <w:lang w:val="en-GB"/>
        </w:rPr>
        <w:footnoteReference w:id="136"/>
      </w:r>
      <w:r>
        <w:rPr>
          <w:rFonts w:ascii="Times New Roman" w:hAnsi="Times New Roman" w:cs="Times New Roman"/>
          <w:sz w:val="24"/>
          <w:szCs w:val="24"/>
          <w:lang w:val="en-GB"/>
        </w:rPr>
        <w:t xml:space="preserve"> </w:t>
      </w:r>
      <w:r w:rsidRPr="008E71A5">
        <w:rPr>
          <w:rFonts w:ascii="Times New Roman" w:hAnsi="Times New Roman" w:cs="Times New Roman"/>
          <w:sz w:val="24"/>
          <w:szCs w:val="24"/>
          <w:lang w:val="en-GB"/>
        </w:rPr>
        <w:t>13</w:t>
      </w:r>
      <w:r>
        <w:rPr>
          <w:rFonts w:ascii="Times New Roman" w:hAnsi="Times New Roman" w:cs="Times New Roman"/>
          <w:sz w:val="24"/>
          <w:szCs w:val="24"/>
          <w:lang w:val="en-GB"/>
        </w:rPr>
        <w:t xml:space="preserve">) </w:t>
      </w:r>
      <w:r w:rsidRPr="008E71A5">
        <w:rPr>
          <w:rFonts w:ascii="Times New Roman" w:hAnsi="Times New Roman" w:cs="Times New Roman"/>
          <w:sz w:val="24"/>
          <w:szCs w:val="24"/>
          <w:lang w:val="en-GB"/>
        </w:rPr>
        <w:t xml:space="preserve">Rules for cooperation between national standardisation bodies, Member States and the </w:t>
      </w:r>
      <w:r>
        <w:rPr>
          <w:rFonts w:ascii="Times New Roman" w:hAnsi="Times New Roman" w:cs="Times New Roman"/>
          <w:sz w:val="24"/>
          <w:szCs w:val="24"/>
          <w:lang w:val="en-GB"/>
        </w:rPr>
        <w:t xml:space="preserve">EU </w:t>
      </w:r>
      <w:r w:rsidRPr="008E71A5">
        <w:rPr>
          <w:rFonts w:ascii="Times New Roman" w:hAnsi="Times New Roman" w:cs="Times New Roman"/>
          <w:sz w:val="24"/>
          <w:szCs w:val="24"/>
          <w:lang w:val="en-GB"/>
        </w:rPr>
        <w:t>Commission in drawing up ´technical specifications that a product must comply with (above all in terms of quality, environmental protection and health)</w:t>
      </w:r>
      <w:r>
        <w:rPr>
          <w:rFonts w:ascii="Times New Roman" w:hAnsi="Times New Roman" w:cs="Times New Roman"/>
          <w:sz w:val="24"/>
          <w:szCs w:val="24"/>
          <w:lang w:val="en-GB"/>
        </w:rPr>
        <w:t xml:space="preserve">; </w:t>
      </w:r>
      <w:r w:rsidRPr="008E71A5">
        <w:rPr>
          <w:rFonts w:ascii="Times New Roman" w:hAnsi="Times New Roman" w:cs="Times New Roman"/>
          <w:sz w:val="24"/>
          <w:szCs w:val="24"/>
          <w:lang w:val="en-GB"/>
        </w:rPr>
        <w:t>14</w:t>
      </w:r>
      <w:r>
        <w:rPr>
          <w:rFonts w:ascii="Times New Roman" w:hAnsi="Times New Roman" w:cs="Times New Roman"/>
          <w:sz w:val="24"/>
          <w:szCs w:val="24"/>
          <w:lang w:val="en-GB"/>
        </w:rPr>
        <w:t xml:space="preserve">) </w:t>
      </w:r>
      <w:r w:rsidRPr="008E71A5">
        <w:rPr>
          <w:rFonts w:ascii="Times New Roman" w:hAnsi="Times New Roman" w:cs="Times New Roman"/>
          <w:sz w:val="24"/>
          <w:szCs w:val="24"/>
          <w:lang w:val="en-GB"/>
        </w:rPr>
        <w:t>Mediating between the horizontal approach to regulating AI and the sectoral dimensions of markets, given the sectoral regulations that may already govern some AI tools in sectors, the structural characteristics of AI-driven services, and the traditional objectives of legislation</w:t>
      </w:r>
      <w:r>
        <w:rPr>
          <w:rFonts w:ascii="Times New Roman" w:hAnsi="Times New Roman" w:cs="Times New Roman"/>
          <w:sz w:val="24"/>
          <w:szCs w:val="24"/>
          <w:lang w:val="en-GB"/>
        </w:rPr>
        <w:t xml:space="preserve">; </w:t>
      </w:r>
      <w:r w:rsidRPr="008E71A5">
        <w:rPr>
          <w:rFonts w:ascii="Times New Roman" w:hAnsi="Times New Roman" w:cs="Times New Roman"/>
          <w:sz w:val="24"/>
          <w:szCs w:val="24"/>
          <w:lang w:val="en-GB"/>
        </w:rPr>
        <w:t>15</w:t>
      </w:r>
      <w:r>
        <w:rPr>
          <w:rFonts w:ascii="Times New Roman" w:hAnsi="Times New Roman" w:cs="Times New Roman"/>
          <w:sz w:val="24"/>
          <w:szCs w:val="24"/>
          <w:lang w:val="en-GB"/>
        </w:rPr>
        <w:t>)</w:t>
      </w:r>
      <w:r w:rsidRPr="008E71A5">
        <w:rPr>
          <w:rFonts w:ascii="Times New Roman" w:hAnsi="Times New Roman" w:cs="Times New Roman"/>
          <w:sz w:val="24"/>
          <w:szCs w:val="24"/>
          <w:lang w:val="en-GB"/>
        </w:rPr>
        <w:t xml:space="preserve"> Companies can rent access to ChatGPT</w:t>
      </w:r>
      <w:r>
        <w:rPr>
          <w:rFonts w:ascii="Times New Roman" w:hAnsi="Times New Roman" w:cs="Times New Roman"/>
          <w:sz w:val="24"/>
          <w:szCs w:val="24"/>
          <w:lang w:val="en-GB"/>
        </w:rPr>
        <w:t xml:space="preserve">, however in such instances </w:t>
      </w:r>
      <w:r w:rsidRPr="008E71A5">
        <w:rPr>
          <w:rFonts w:ascii="Times New Roman" w:hAnsi="Times New Roman" w:cs="Times New Roman"/>
          <w:sz w:val="24"/>
          <w:szCs w:val="24"/>
          <w:lang w:val="en-GB"/>
        </w:rPr>
        <w:t>this access</w:t>
      </w:r>
      <w:r>
        <w:rPr>
          <w:rFonts w:ascii="Times New Roman" w:hAnsi="Times New Roman" w:cs="Times New Roman"/>
          <w:sz w:val="24"/>
          <w:szCs w:val="24"/>
          <w:lang w:val="en-GB"/>
        </w:rPr>
        <w:t xml:space="preserve"> should</w:t>
      </w:r>
      <w:r w:rsidRPr="008E71A5">
        <w:rPr>
          <w:rFonts w:ascii="Times New Roman" w:hAnsi="Times New Roman" w:cs="Times New Roman"/>
          <w:sz w:val="24"/>
          <w:szCs w:val="24"/>
          <w:lang w:val="en-GB"/>
        </w:rPr>
        <w:t xml:space="preserve"> be closely monitored so </w:t>
      </w:r>
      <w:r>
        <w:rPr>
          <w:rFonts w:ascii="Times New Roman" w:hAnsi="Times New Roman" w:cs="Times New Roman"/>
          <w:sz w:val="24"/>
          <w:szCs w:val="24"/>
          <w:lang w:val="en-GB"/>
        </w:rPr>
        <w:t>that regulators</w:t>
      </w:r>
      <w:r w:rsidRPr="008E71A5">
        <w:rPr>
          <w:rFonts w:ascii="Times New Roman" w:hAnsi="Times New Roman" w:cs="Times New Roman"/>
          <w:sz w:val="24"/>
          <w:szCs w:val="24"/>
          <w:lang w:val="en-GB"/>
        </w:rPr>
        <w:t xml:space="preserve"> know who is using those systems so we can track potentially illegal or dangerous uses</w:t>
      </w:r>
      <w:r>
        <w:rPr>
          <w:rFonts w:ascii="Times New Roman" w:hAnsi="Times New Roman" w:cs="Times New Roman"/>
          <w:sz w:val="24"/>
          <w:szCs w:val="24"/>
          <w:lang w:val="en-GB"/>
        </w:rPr>
        <w:t xml:space="preserve">; </w:t>
      </w:r>
      <w:r w:rsidRPr="008E71A5">
        <w:rPr>
          <w:rFonts w:ascii="Times New Roman" w:hAnsi="Times New Roman" w:cs="Times New Roman"/>
          <w:sz w:val="24"/>
          <w:szCs w:val="24"/>
          <w:lang w:val="en-GB"/>
        </w:rPr>
        <w:t>16</w:t>
      </w:r>
      <w:r>
        <w:rPr>
          <w:rFonts w:ascii="Times New Roman" w:hAnsi="Times New Roman" w:cs="Times New Roman"/>
          <w:sz w:val="24"/>
          <w:szCs w:val="24"/>
          <w:lang w:val="en-GB"/>
        </w:rPr>
        <w:t>)</w:t>
      </w:r>
      <w:r w:rsidRPr="008E71A5">
        <w:rPr>
          <w:rFonts w:ascii="Times New Roman" w:hAnsi="Times New Roman" w:cs="Times New Roman"/>
          <w:sz w:val="24"/>
          <w:szCs w:val="24"/>
          <w:lang w:val="en-GB"/>
        </w:rPr>
        <w:t xml:space="preserve"> Make AI systems more transparent, including auditing the data being used to train them and their outputs</w:t>
      </w:r>
      <w:r>
        <w:rPr>
          <w:rFonts w:ascii="Times New Roman" w:hAnsi="Times New Roman" w:cs="Times New Roman"/>
          <w:sz w:val="24"/>
          <w:szCs w:val="24"/>
          <w:lang w:val="en-GB"/>
        </w:rPr>
        <w:t xml:space="preserve"> (including </w:t>
      </w:r>
      <w:r w:rsidRPr="008E71A5">
        <w:rPr>
          <w:rFonts w:ascii="Times New Roman" w:hAnsi="Times New Roman" w:cs="Times New Roman"/>
          <w:sz w:val="24"/>
          <w:szCs w:val="24"/>
          <w:lang w:val="en-GB"/>
        </w:rPr>
        <w:t>international coalition to fund AI research in areas that matter to the public, such as climate and healthcare</w:t>
      </w:r>
      <w:r>
        <w:rPr>
          <w:rFonts w:ascii="Times New Roman" w:hAnsi="Times New Roman" w:cs="Times New Roman"/>
          <w:sz w:val="24"/>
          <w:szCs w:val="24"/>
          <w:lang w:val="en-GB"/>
        </w:rPr>
        <w:t xml:space="preserve"> – l</w:t>
      </w:r>
      <w:r w:rsidRPr="008E71A5">
        <w:rPr>
          <w:rFonts w:ascii="Times New Roman" w:hAnsi="Times New Roman" w:cs="Times New Roman"/>
          <w:sz w:val="24"/>
          <w:szCs w:val="24"/>
          <w:lang w:val="en-GB"/>
        </w:rPr>
        <w:t>ike investments into CERN in Europe or space programmes</w:t>
      </w:r>
      <w:r>
        <w:rPr>
          <w:rFonts w:ascii="Times New Roman" w:hAnsi="Times New Roman" w:cs="Times New Roman"/>
          <w:sz w:val="24"/>
          <w:szCs w:val="24"/>
          <w:lang w:val="en-GB"/>
        </w:rPr>
        <w:t>).</w:t>
      </w:r>
    </w:p>
    <w:p w14:paraId="4B1D9B3A" w14:textId="7A74CA40" w:rsidR="00ED2315" w:rsidRPr="00ED2315" w:rsidRDefault="00ED2315" w:rsidP="00ED2315">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Industry also suggest that t</w:t>
      </w:r>
      <w:r w:rsidRPr="00ED2315">
        <w:rPr>
          <w:rFonts w:ascii="Times New Roman" w:hAnsi="Times New Roman" w:cs="Times New Roman"/>
          <w:sz w:val="24"/>
          <w:szCs w:val="24"/>
          <w:lang w:val="en-GB"/>
        </w:rPr>
        <w:t>he most important is to raise trust level in AI among the population, all stakeholders</w:t>
      </w:r>
      <w:r>
        <w:rPr>
          <w:rFonts w:ascii="Times New Roman" w:hAnsi="Times New Roman" w:cs="Times New Roman"/>
          <w:sz w:val="24"/>
          <w:szCs w:val="24"/>
          <w:lang w:val="en-GB"/>
        </w:rPr>
        <w:t xml:space="preserve"> where a) </w:t>
      </w:r>
      <w:r w:rsidRPr="00ED2315">
        <w:rPr>
          <w:rFonts w:ascii="Times New Roman" w:hAnsi="Times New Roman" w:cs="Times New Roman"/>
          <w:sz w:val="24"/>
          <w:szCs w:val="24"/>
          <w:lang w:val="en-GB"/>
        </w:rPr>
        <w:tab/>
        <w:t xml:space="preserve"> Tech companies should orient AI research and development around humanistic values, prioritizing the pursuit of humanity's best interest over corporate profit; companies should engage in public dialogues about both - benefits and risks of AI</w:t>
      </w:r>
      <w:r>
        <w:rPr>
          <w:rFonts w:ascii="Times New Roman" w:hAnsi="Times New Roman" w:cs="Times New Roman"/>
          <w:sz w:val="24"/>
          <w:szCs w:val="24"/>
          <w:lang w:val="en-GB"/>
        </w:rPr>
        <w:t xml:space="preserve">; b) </w:t>
      </w:r>
      <w:r w:rsidRPr="00ED2315">
        <w:rPr>
          <w:rFonts w:ascii="Times New Roman" w:hAnsi="Times New Roman" w:cs="Times New Roman"/>
          <w:sz w:val="24"/>
          <w:szCs w:val="24"/>
          <w:lang w:val="en-GB"/>
        </w:rPr>
        <w:t>Everything should be transparent in order to reduce lack of trust into AI tech - no company should be against audits and reviews by third parties - AI system should be developed transparent and explainable (obstacle for companies)</w:t>
      </w:r>
      <w:r w:rsidR="003029B1">
        <w:rPr>
          <w:rFonts w:ascii="Times New Roman" w:hAnsi="Times New Roman" w:cs="Times New Roman"/>
          <w:sz w:val="24"/>
          <w:szCs w:val="24"/>
          <w:lang w:val="en-GB"/>
        </w:rPr>
        <w:t xml:space="preserve">; c) </w:t>
      </w:r>
      <w:r w:rsidRPr="00ED2315">
        <w:rPr>
          <w:rFonts w:ascii="Times New Roman" w:hAnsi="Times New Roman" w:cs="Times New Roman"/>
          <w:sz w:val="24"/>
          <w:szCs w:val="24"/>
          <w:lang w:val="en-GB"/>
        </w:rPr>
        <w:t>Foster a culture of responsible AI development and use within the company</w:t>
      </w:r>
      <w:r w:rsidR="003029B1">
        <w:rPr>
          <w:rFonts w:ascii="Times New Roman" w:hAnsi="Times New Roman" w:cs="Times New Roman"/>
          <w:sz w:val="24"/>
          <w:szCs w:val="24"/>
          <w:lang w:val="en-GB"/>
        </w:rPr>
        <w:t xml:space="preserve">; and d) </w:t>
      </w:r>
      <w:r w:rsidRPr="00ED2315">
        <w:rPr>
          <w:rFonts w:ascii="Times New Roman" w:hAnsi="Times New Roman" w:cs="Times New Roman"/>
          <w:sz w:val="24"/>
          <w:szCs w:val="24"/>
          <w:lang w:val="en-GB"/>
        </w:rPr>
        <w:t>Leverage existing regulations, such as GDPR, to ensure that AI systems are developed in compliance with data protection laws.</w:t>
      </w:r>
    </w:p>
    <w:p w14:paraId="3089D7C3" w14:textId="0EB06738" w:rsidR="00ED2315" w:rsidRDefault="003029B1" w:rsidP="00ED2315">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Interviewed industry experts also suggest that r</w:t>
      </w:r>
      <w:r w:rsidR="00ED2315" w:rsidRPr="00ED2315">
        <w:rPr>
          <w:rFonts w:ascii="Times New Roman" w:hAnsi="Times New Roman" w:cs="Times New Roman"/>
          <w:sz w:val="24"/>
          <w:szCs w:val="24"/>
          <w:lang w:val="en-GB"/>
        </w:rPr>
        <w:t xml:space="preserve">egulators, </w:t>
      </w:r>
      <w:proofErr w:type="gramStart"/>
      <w:r w:rsidR="00ED2315" w:rsidRPr="00ED2315">
        <w:rPr>
          <w:rFonts w:ascii="Times New Roman" w:hAnsi="Times New Roman" w:cs="Times New Roman"/>
          <w:sz w:val="24"/>
          <w:szCs w:val="24"/>
          <w:lang w:val="en-GB"/>
        </w:rPr>
        <w:t>policymakers</w:t>
      </w:r>
      <w:proofErr w:type="gramEnd"/>
      <w:r w:rsidR="00ED2315" w:rsidRPr="00ED2315">
        <w:rPr>
          <w:rFonts w:ascii="Times New Roman" w:hAnsi="Times New Roman" w:cs="Times New Roman"/>
          <w:sz w:val="24"/>
          <w:szCs w:val="24"/>
          <w:lang w:val="en-GB"/>
        </w:rPr>
        <w:t xml:space="preserve"> and other stakeholders should include companies and together try to shape effective and balanced regulatory frameworks, try to establish ethical and legal guidelines for AI development and </w:t>
      </w:r>
      <w:r w:rsidR="00ED2315" w:rsidRPr="00ED2315">
        <w:rPr>
          <w:rFonts w:ascii="Times New Roman" w:hAnsi="Times New Roman" w:cs="Times New Roman"/>
          <w:sz w:val="24"/>
          <w:szCs w:val="24"/>
          <w:lang w:val="en-GB"/>
        </w:rPr>
        <w:lastRenderedPageBreak/>
        <w:t>use, in a way so that companies can contribute their expertise and perspectives.</w:t>
      </w:r>
      <w:r>
        <w:rPr>
          <w:rFonts w:ascii="Times New Roman" w:hAnsi="Times New Roman" w:cs="Times New Roman"/>
          <w:sz w:val="24"/>
          <w:szCs w:val="24"/>
          <w:lang w:val="en-GB"/>
        </w:rPr>
        <w:t xml:space="preserve"> Moreover, </w:t>
      </w:r>
      <w:r w:rsidR="00ED2315" w:rsidRPr="00ED2315">
        <w:rPr>
          <w:rFonts w:ascii="Times New Roman" w:hAnsi="Times New Roman" w:cs="Times New Roman"/>
          <w:sz w:val="24"/>
          <w:szCs w:val="24"/>
          <w:lang w:val="en-GB"/>
        </w:rPr>
        <w:t>companies should be coordinated and advocate for the countries/Community (EU) to work on developing alliances with other countries so that development is really around human values and coordinated worldwide, like GAIA mentioned by Amy Webb in her book Big 9, which does not include China, but for the good of humanity, it would be best with China as well.</w:t>
      </w:r>
      <w:r>
        <w:rPr>
          <w:rStyle w:val="Sprotnaopomba-sklic"/>
          <w:rFonts w:ascii="Times New Roman" w:hAnsi="Times New Roman" w:cs="Times New Roman"/>
          <w:sz w:val="24"/>
          <w:szCs w:val="24"/>
          <w:lang w:val="en-GB"/>
        </w:rPr>
        <w:footnoteReference w:id="137"/>
      </w:r>
      <w:r>
        <w:rPr>
          <w:rFonts w:ascii="Times New Roman" w:hAnsi="Times New Roman" w:cs="Times New Roman"/>
          <w:sz w:val="24"/>
          <w:szCs w:val="24"/>
          <w:lang w:val="en-GB"/>
        </w:rPr>
        <w:t xml:space="preserve"> Hybrid regulatory approach should also include </w:t>
      </w:r>
      <w:r w:rsidR="00ED2315" w:rsidRPr="00ED2315">
        <w:rPr>
          <w:rFonts w:ascii="Times New Roman" w:hAnsi="Times New Roman" w:cs="Times New Roman"/>
          <w:sz w:val="24"/>
          <w:szCs w:val="24"/>
          <w:lang w:val="en-GB"/>
        </w:rPr>
        <w:t xml:space="preserve">other companies and academic institutions to share knowledge and resources and  establish best practices for AI development and use. </w:t>
      </w:r>
      <w:r>
        <w:rPr>
          <w:rFonts w:ascii="Times New Roman" w:hAnsi="Times New Roman" w:cs="Times New Roman"/>
          <w:sz w:val="24"/>
          <w:szCs w:val="24"/>
          <w:lang w:val="en-GB"/>
        </w:rPr>
        <w:t xml:space="preserve">Finally, industry suggests that </w:t>
      </w:r>
      <w:r w:rsidR="00ED2315" w:rsidRPr="00ED2315">
        <w:rPr>
          <w:rFonts w:ascii="Times New Roman" w:hAnsi="Times New Roman" w:cs="Times New Roman"/>
          <w:sz w:val="24"/>
          <w:szCs w:val="24"/>
          <w:lang w:val="en-GB"/>
        </w:rPr>
        <w:t xml:space="preserve">EU should review US and China's approach to AI regulations </w:t>
      </w:r>
      <w:proofErr w:type="gramStart"/>
      <w:r w:rsidR="00ED2315" w:rsidRPr="00ED2315">
        <w:rPr>
          <w:rFonts w:ascii="Times New Roman" w:hAnsi="Times New Roman" w:cs="Times New Roman"/>
          <w:sz w:val="24"/>
          <w:szCs w:val="24"/>
          <w:lang w:val="en-GB"/>
        </w:rPr>
        <w:t>-  China</w:t>
      </w:r>
      <w:proofErr w:type="gramEnd"/>
      <w:r w:rsidR="00ED2315" w:rsidRPr="00ED2315">
        <w:rPr>
          <w:rFonts w:ascii="Times New Roman" w:hAnsi="Times New Roman" w:cs="Times New Roman"/>
          <w:sz w:val="24"/>
          <w:szCs w:val="24"/>
          <w:lang w:val="en-GB"/>
        </w:rPr>
        <w:t xml:space="preserve"> passes all laws for the benefit of AI development, nothing to inhibit innovation (population is more open for that innovations, have more trust in technology;) like the case is in the EU, where for every research and development companies should get a million consents from the citizens.</w:t>
      </w:r>
    </w:p>
    <w:p w14:paraId="4583E360" w14:textId="77777777" w:rsidR="008E71A5" w:rsidRDefault="008E71A5" w:rsidP="00BC1726">
      <w:pPr>
        <w:spacing w:line="276" w:lineRule="auto"/>
        <w:jc w:val="both"/>
        <w:rPr>
          <w:rFonts w:ascii="Times New Roman" w:hAnsi="Times New Roman" w:cs="Times New Roman"/>
          <w:sz w:val="24"/>
          <w:szCs w:val="24"/>
          <w:lang w:val="en-GB"/>
        </w:rPr>
      </w:pPr>
    </w:p>
    <w:p w14:paraId="3426FD4B" w14:textId="241607D1" w:rsidR="003029B1" w:rsidRDefault="003029B1" w:rsidP="00BC1726">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4.2 Industry’s constraints: the impact of AI regulation on innovation activity </w:t>
      </w:r>
    </w:p>
    <w:p w14:paraId="5542E619" w14:textId="57E16DF8" w:rsidR="003029B1" w:rsidRDefault="003029B1" w:rsidP="003029B1">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Performed interviews </w:t>
      </w:r>
      <w:r w:rsidR="00A0250C">
        <w:rPr>
          <w:rFonts w:ascii="Times New Roman" w:hAnsi="Times New Roman" w:cs="Times New Roman"/>
          <w:sz w:val="24"/>
          <w:szCs w:val="24"/>
          <w:lang w:val="en-GB"/>
        </w:rPr>
        <w:t xml:space="preserve">on the relationship between regulatory intervention, EU’s geopolitical role (in its </w:t>
      </w:r>
      <w:r w:rsidR="000D19D4">
        <w:rPr>
          <w:rFonts w:ascii="Times New Roman" w:hAnsi="Times New Roman" w:cs="Times New Roman"/>
          <w:sz w:val="24"/>
          <w:szCs w:val="24"/>
          <w:lang w:val="en-GB"/>
        </w:rPr>
        <w:t>current “de-risking” relationship with China)</w:t>
      </w:r>
      <w:r w:rsidR="00A0250C">
        <w:rPr>
          <w:rFonts w:ascii="Times New Roman" w:hAnsi="Times New Roman" w:cs="Times New Roman"/>
          <w:sz w:val="24"/>
          <w:szCs w:val="24"/>
          <w:lang w:val="en-GB"/>
        </w:rPr>
        <w:t xml:space="preserve">  and maintenance of EU’s technological frontier </w:t>
      </w:r>
      <w:r>
        <w:rPr>
          <w:rFonts w:ascii="Times New Roman" w:hAnsi="Times New Roman" w:cs="Times New Roman"/>
          <w:sz w:val="24"/>
          <w:szCs w:val="24"/>
          <w:lang w:val="en-GB"/>
        </w:rPr>
        <w:t xml:space="preserve">offer the following insides: </w:t>
      </w:r>
      <w:r w:rsidRPr="003029B1">
        <w:rPr>
          <w:rFonts w:ascii="Times New Roman" w:hAnsi="Times New Roman" w:cs="Times New Roman"/>
          <w:sz w:val="24"/>
          <w:szCs w:val="24"/>
          <w:lang w:val="en-GB"/>
        </w:rPr>
        <w:t>1</w:t>
      </w:r>
      <w:r>
        <w:rPr>
          <w:rFonts w:ascii="Times New Roman" w:hAnsi="Times New Roman" w:cs="Times New Roman"/>
          <w:sz w:val="24"/>
          <w:szCs w:val="24"/>
          <w:lang w:val="en-GB"/>
        </w:rPr>
        <w:t>)</w:t>
      </w:r>
      <w:r w:rsidRPr="003029B1">
        <w:rPr>
          <w:rFonts w:ascii="Times New Roman" w:hAnsi="Times New Roman" w:cs="Times New Roman"/>
          <w:sz w:val="24"/>
          <w:szCs w:val="24"/>
          <w:lang w:val="en-GB"/>
        </w:rPr>
        <w:tab/>
        <w:t>Heavily investments in AI research and development</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Restrictive regulations can lead to restrictions for industry</w:t>
      </w:r>
      <w:r>
        <w:rPr>
          <w:rFonts w:ascii="Times New Roman" w:hAnsi="Times New Roman" w:cs="Times New Roman"/>
          <w:sz w:val="24"/>
          <w:szCs w:val="24"/>
          <w:lang w:val="en-GB"/>
        </w:rPr>
        <w:t xml:space="preserve"> – too s</w:t>
      </w:r>
      <w:r w:rsidRPr="003029B1">
        <w:rPr>
          <w:rFonts w:ascii="Times New Roman" w:hAnsi="Times New Roman" w:cs="Times New Roman"/>
          <w:sz w:val="24"/>
          <w:szCs w:val="24"/>
          <w:lang w:val="en-GB"/>
        </w:rPr>
        <w:t>trict regulations can hinder the flexibility and agility needed for rapid innovation</w:t>
      </w:r>
      <w:r>
        <w:rPr>
          <w:rFonts w:ascii="Times New Roman" w:hAnsi="Times New Roman" w:cs="Times New Roman"/>
          <w:sz w:val="24"/>
          <w:szCs w:val="24"/>
          <w:lang w:val="en-GB"/>
        </w:rPr>
        <w:t xml:space="preserve">: 3) </w:t>
      </w:r>
      <w:r w:rsidRPr="003029B1">
        <w:rPr>
          <w:rFonts w:ascii="Times New Roman" w:hAnsi="Times New Roman" w:cs="Times New Roman"/>
          <w:sz w:val="24"/>
          <w:szCs w:val="24"/>
          <w:lang w:val="en-GB"/>
        </w:rPr>
        <w:t>Compliance costs and administrative burdens associated with regulation, especially for smaller companies with limited resources</w:t>
      </w:r>
      <w:r>
        <w:rPr>
          <w:rFonts w:ascii="Times New Roman" w:hAnsi="Times New Roman" w:cs="Times New Roman"/>
          <w:sz w:val="24"/>
          <w:szCs w:val="24"/>
          <w:lang w:val="en-GB"/>
        </w:rPr>
        <w:t xml:space="preserve"> are prohibitively high; </w:t>
      </w:r>
      <w:r w:rsidRPr="003029B1">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Regulations that are not well aligned with technological progress can hinder the development and deployment of state-of-the-art solutions</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The impact of the rules will depend on the nature, scope and effectiveness of the rules implemented</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6</w:t>
      </w:r>
      <w:r>
        <w:rPr>
          <w:rFonts w:ascii="Times New Roman" w:hAnsi="Times New Roman" w:cs="Times New Roman"/>
          <w:sz w:val="24"/>
          <w:szCs w:val="24"/>
          <w:lang w:val="en-GB"/>
        </w:rPr>
        <w:t>)</w:t>
      </w:r>
      <w:r w:rsidRPr="003029B1">
        <w:rPr>
          <w:rFonts w:ascii="Times New Roman" w:hAnsi="Times New Roman" w:cs="Times New Roman"/>
          <w:sz w:val="24"/>
          <w:szCs w:val="24"/>
          <w:lang w:val="en-GB"/>
        </w:rPr>
        <w:tab/>
        <w:t>Differences in the levels of development of European countries and the strictness of restrictions on digital trade and technologies. This combination has an impact over time on their ability to use new digital technology to increase productivity in these industries</w:t>
      </w:r>
      <w:r>
        <w:rPr>
          <w:rFonts w:ascii="Times New Roman" w:hAnsi="Times New Roman" w:cs="Times New Roman"/>
          <w:sz w:val="24"/>
          <w:szCs w:val="24"/>
          <w:lang w:val="en-GB"/>
        </w:rPr>
        <w:t xml:space="preserve">; 7) </w:t>
      </w:r>
      <w:r w:rsidRPr="003029B1">
        <w:rPr>
          <w:rFonts w:ascii="Times New Roman" w:hAnsi="Times New Roman" w:cs="Times New Roman"/>
          <w:sz w:val="24"/>
          <w:szCs w:val="24"/>
          <w:lang w:val="en-GB"/>
        </w:rPr>
        <w:t>There are fears that the focus will be on improving efficiency and benefits for large companies. This also limits innovation by new and small firms, which often makes an important contribution to the sector's productivity growth</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8</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 xml:space="preserve">Policy environments vary considerably across the EU, and the effects of new rules will depend in part on the extent to which other rules encourage or discourage digital economic activity, the extent to which they promote competition, market competitiveness, </w:t>
      </w:r>
      <w:proofErr w:type="gramStart"/>
      <w:r w:rsidRPr="003029B1">
        <w:rPr>
          <w:rFonts w:ascii="Times New Roman" w:hAnsi="Times New Roman" w:cs="Times New Roman"/>
          <w:sz w:val="24"/>
          <w:szCs w:val="24"/>
          <w:lang w:val="en-GB"/>
        </w:rPr>
        <w:t>entrepreneurship</w:t>
      </w:r>
      <w:proofErr w:type="gramEnd"/>
      <w:r w:rsidRPr="003029B1">
        <w:rPr>
          <w:rFonts w:ascii="Times New Roman" w:hAnsi="Times New Roman" w:cs="Times New Roman"/>
          <w:sz w:val="24"/>
          <w:szCs w:val="24"/>
          <w:lang w:val="en-GB"/>
        </w:rPr>
        <w:t xml:space="preserve"> and business growth. Countries have different levels of business and market restrictions in areas affecting the digital economy, and the impact of new laws is likely to be felt differently across the EU due to the composition of these existing business restrictions</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9</w:t>
      </w:r>
      <w:r>
        <w:rPr>
          <w:rFonts w:ascii="Times New Roman" w:hAnsi="Times New Roman" w:cs="Times New Roman"/>
          <w:sz w:val="24"/>
          <w:szCs w:val="24"/>
          <w:lang w:val="en-GB"/>
        </w:rPr>
        <w:t>) T</w:t>
      </w:r>
      <w:r w:rsidRPr="003029B1">
        <w:rPr>
          <w:rFonts w:ascii="Times New Roman" w:hAnsi="Times New Roman" w:cs="Times New Roman"/>
          <w:sz w:val="24"/>
          <w:szCs w:val="24"/>
          <w:lang w:val="en-GB"/>
        </w:rPr>
        <w:t>he EU is falling further and further behind the world's digital and technical frontiers. New horizontal regulation of artificial intelligence may even increase the EU's lag behind</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10</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 xml:space="preserve">Over-regulation can lead from slowing down the competitiveness of AI, to delaying technological growth, to losing out on potential innovators, investors, top talent, and private companies and start-ups that may choose to </w:t>
      </w:r>
      <w:r w:rsidRPr="003029B1">
        <w:rPr>
          <w:rFonts w:ascii="Times New Roman" w:hAnsi="Times New Roman" w:cs="Times New Roman"/>
          <w:sz w:val="24"/>
          <w:szCs w:val="24"/>
          <w:lang w:val="en-GB"/>
        </w:rPr>
        <w:lastRenderedPageBreak/>
        <w:t>relocate</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11</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The EU’s human-centric approach on AI does not favour the maximum utilization of AI innovation monetization</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12</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The level of R&amp;D with other key global players in the field of artificial intelligence may decrease</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13</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The aim should be to maximise benefits and minimise the cost of regulations. It should ensure the most effective way to achieve regulatory objective</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14</w:t>
      </w:r>
      <w:r>
        <w:rPr>
          <w:rFonts w:ascii="Times New Roman" w:hAnsi="Times New Roman" w:cs="Times New Roman"/>
          <w:sz w:val="24"/>
          <w:szCs w:val="24"/>
          <w:lang w:val="en-GB"/>
        </w:rPr>
        <w:t>)</w:t>
      </w:r>
      <w:r w:rsidRPr="003029B1">
        <w:rPr>
          <w:rFonts w:ascii="Times New Roman" w:hAnsi="Times New Roman" w:cs="Times New Roman"/>
          <w:sz w:val="24"/>
          <w:szCs w:val="24"/>
          <w:lang w:val="en-GB"/>
        </w:rPr>
        <w:tab/>
        <w:t xml:space="preserve">A sectoral approach will be needed. If all sectors </w:t>
      </w:r>
      <w:proofErr w:type="gramStart"/>
      <w:r w:rsidRPr="003029B1">
        <w:rPr>
          <w:rFonts w:ascii="Times New Roman" w:hAnsi="Times New Roman" w:cs="Times New Roman"/>
          <w:sz w:val="24"/>
          <w:szCs w:val="24"/>
          <w:lang w:val="en-GB"/>
        </w:rPr>
        <w:t>have to</w:t>
      </w:r>
      <w:proofErr w:type="gramEnd"/>
      <w:r w:rsidRPr="003029B1">
        <w:rPr>
          <w:rFonts w:ascii="Times New Roman" w:hAnsi="Times New Roman" w:cs="Times New Roman"/>
          <w:sz w:val="24"/>
          <w:szCs w:val="24"/>
          <w:lang w:val="en-GB"/>
        </w:rPr>
        <w:t xml:space="preserve"> apply the same rules to AI, this is likely to impose excessive or duplicative requirements on some, while for others it will be insufficient</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15</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Uncertainties about how different, sometimes duplicated or conflicting, legislative instruments will be complementary. This lack of guidance results in regulatory uncertainty</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16</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Questions are raised about possible conflicting requirements in sectoral and horizontal legislation. As an example of the uncertainty related to software update requirements and the lack of authorisation of new technology in export markets</w:t>
      </w:r>
      <w:r>
        <w:rPr>
          <w:rFonts w:ascii="Times New Roman" w:hAnsi="Times New Roman" w:cs="Times New Roman"/>
          <w:sz w:val="24"/>
          <w:szCs w:val="24"/>
          <w:lang w:val="en-GB"/>
        </w:rPr>
        <w:t xml:space="preserve">; and </w:t>
      </w:r>
      <w:r w:rsidRPr="003029B1">
        <w:rPr>
          <w:rFonts w:ascii="Times New Roman" w:hAnsi="Times New Roman" w:cs="Times New Roman"/>
          <w:sz w:val="24"/>
          <w:szCs w:val="24"/>
          <w:lang w:val="en-GB"/>
        </w:rPr>
        <w:t>17</w:t>
      </w:r>
      <w:r>
        <w:rPr>
          <w:rFonts w:ascii="Times New Roman" w:hAnsi="Times New Roman" w:cs="Times New Roman"/>
          <w:sz w:val="24"/>
          <w:szCs w:val="24"/>
          <w:lang w:val="en-GB"/>
        </w:rPr>
        <w:t xml:space="preserve">) </w:t>
      </w:r>
      <w:r w:rsidRPr="003029B1">
        <w:rPr>
          <w:rFonts w:ascii="Times New Roman" w:hAnsi="Times New Roman" w:cs="Times New Roman"/>
          <w:sz w:val="24"/>
          <w:szCs w:val="24"/>
          <w:lang w:val="en-GB"/>
        </w:rPr>
        <w:t>The regulator needs to understand how the software is used in general and in specific use cases. Risks and impacts vary between sectors and between specific use cases.</w:t>
      </w:r>
    </w:p>
    <w:p w14:paraId="0334A00D" w14:textId="77777777" w:rsidR="003029B1" w:rsidRDefault="003029B1" w:rsidP="00BC1726">
      <w:pPr>
        <w:spacing w:line="276" w:lineRule="auto"/>
        <w:jc w:val="both"/>
        <w:rPr>
          <w:rFonts w:ascii="Times New Roman" w:hAnsi="Times New Roman" w:cs="Times New Roman"/>
          <w:sz w:val="24"/>
          <w:szCs w:val="24"/>
          <w:lang w:val="en-GB"/>
        </w:rPr>
      </w:pPr>
    </w:p>
    <w:p w14:paraId="18C3F734" w14:textId="76B98082" w:rsidR="00BC1726" w:rsidRDefault="001A61D4" w:rsidP="00BC1726">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4.3 Effect of generative AI on transportation industry</w:t>
      </w:r>
    </w:p>
    <w:p w14:paraId="0D8F2465" w14:textId="7A5CAF36" w:rsidR="001A61D4" w:rsidRDefault="001A61D4" w:rsidP="001A61D4">
      <w:pPr>
        <w:spacing w:line="276" w:lineRule="auto"/>
        <w:jc w:val="both"/>
        <w:rPr>
          <w:rFonts w:ascii="Times New Roman" w:hAnsi="Times New Roman" w:cs="Times New Roman"/>
          <w:sz w:val="24"/>
          <w:szCs w:val="24"/>
          <w:lang w:val="en-GB"/>
        </w:rPr>
      </w:pPr>
      <w:r w:rsidRPr="001A61D4">
        <w:rPr>
          <w:rFonts w:ascii="Times New Roman" w:hAnsi="Times New Roman" w:cs="Times New Roman"/>
          <w:sz w:val="24"/>
          <w:szCs w:val="24"/>
          <w:lang w:val="en-GB"/>
        </w:rPr>
        <w:t xml:space="preserve">Data protection and privacy – personal data collected, </w:t>
      </w:r>
      <w:proofErr w:type="gramStart"/>
      <w:r w:rsidRPr="001A61D4">
        <w:rPr>
          <w:rFonts w:ascii="Times New Roman" w:hAnsi="Times New Roman" w:cs="Times New Roman"/>
          <w:sz w:val="24"/>
          <w:szCs w:val="24"/>
          <w:lang w:val="en-GB"/>
        </w:rPr>
        <w:t>stored</w:t>
      </w:r>
      <w:proofErr w:type="gramEnd"/>
      <w:r w:rsidRPr="001A61D4">
        <w:rPr>
          <w:rFonts w:ascii="Times New Roman" w:hAnsi="Times New Roman" w:cs="Times New Roman"/>
          <w:sz w:val="24"/>
          <w:szCs w:val="24"/>
          <w:lang w:val="en-GB"/>
        </w:rPr>
        <w:t xml:space="preserve"> and processed by AI system used in vehicles would need to comply with strict data protection regulations.</w:t>
      </w:r>
      <w:r>
        <w:rPr>
          <w:rFonts w:ascii="Times New Roman" w:hAnsi="Times New Roman" w:cs="Times New Roman"/>
          <w:sz w:val="24"/>
          <w:szCs w:val="24"/>
          <w:lang w:val="en-GB"/>
        </w:rPr>
        <w:t xml:space="preserve"> </w:t>
      </w:r>
      <w:r w:rsidRPr="001A61D4">
        <w:rPr>
          <w:rFonts w:ascii="Times New Roman" w:hAnsi="Times New Roman" w:cs="Times New Roman"/>
          <w:sz w:val="24"/>
          <w:szCs w:val="24"/>
          <w:lang w:val="en-GB"/>
        </w:rPr>
        <w:t>Addressing ethical dilemmas related to autonomous vehicles, such as decision-making in critical situations or potential job displacement caused by automatization. It may be introduced measures to protect consumers in the transportation sector – ensuring transparency in pricing algorithms, enforcing fair competition, and preventing discriminatory practices in AI driven transportation services.</w:t>
      </w:r>
      <w:r w:rsidR="008E71A5">
        <w:rPr>
          <w:rFonts w:ascii="Times New Roman" w:hAnsi="Times New Roman" w:cs="Times New Roman"/>
          <w:sz w:val="24"/>
          <w:szCs w:val="24"/>
          <w:lang w:val="en-GB"/>
        </w:rPr>
        <w:t xml:space="preserve"> </w:t>
      </w:r>
      <w:r w:rsidRPr="001A61D4">
        <w:rPr>
          <w:rFonts w:ascii="Times New Roman" w:hAnsi="Times New Roman" w:cs="Times New Roman"/>
          <w:sz w:val="24"/>
          <w:szCs w:val="24"/>
          <w:lang w:val="en-GB"/>
        </w:rPr>
        <w:t>Autonomous vehicles – safety – specific guidelines and requirements (high risk) for development and deployment – safety standards, establishing liability framework, and ensuring transparency in the decision-making processes of autonomous vehicles</w:t>
      </w:r>
      <w:r w:rsidR="00994C12">
        <w:rPr>
          <w:rFonts w:ascii="Times New Roman" w:hAnsi="Times New Roman" w:cs="Times New Roman"/>
          <w:sz w:val="24"/>
          <w:szCs w:val="24"/>
          <w:lang w:val="en-GB"/>
        </w:rPr>
        <w:t>.</w:t>
      </w:r>
    </w:p>
    <w:p w14:paraId="23691559" w14:textId="77777777" w:rsidR="00994C12" w:rsidRDefault="00994C12" w:rsidP="001A61D4">
      <w:pPr>
        <w:spacing w:line="276" w:lineRule="auto"/>
        <w:jc w:val="both"/>
        <w:rPr>
          <w:rFonts w:ascii="Times New Roman" w:hAnsi="Times New Roman" w:cs="Times New Roman"/>
          <w:sz w:val="24"/>
          <w:szCs w:val="24"/>
          <w:lang w:val="en-GB"/>
        </w:rPr>
      </w:pPr>
    </w:p>
    <w:p w14:paraId="7A69D77B" w14:textId="1C5B649D" w:rsidR="00994C12" w:rsidRPr="00994C12" w:rsidRDefault="00994C12" w:rsidP="00994C12">
      <w:pPr>
        <w:spacing w:line="276" w:lineRule="auto"/>
        <w:jc w:val="both"/>
        <w:rPr>
          <w:rFonts w:ascii="Times New Roman" w:hAnsi="Times New Roman" w:cs="Times New Roman"/>
          <w:sz w:val="24"/>
          <w:szCs w:val="24"/>
          <w:lang w:val="en-GB"/>
        </w:rPr>
      </w:pPr>
      <w:r w:rsidRPr="00994C12">
        <w:rPr>
          <w:rFonts w:ascii="Times New Roman" w:hAnsi="Times New Roman" w:cs="Times New Roman"/>
          <w:sz w:val="24"/>
          <w:szCs w:val="24"/>
          <w:lang w:val="en-GB"/>
        </w:rPr>
        <w:t>4.4</w:t>
      </w:r>
      <w:r w:rsidRPr="00994C12">
        <w:rPr>
          <w:rFonts w:ascii="Times New Roman" w:eastAsia="Calibri" w:hAnsi="Times New Roman" w:cs="Times New Roman"/>
          <w:sz w:val="24"/>
          <w:szCs w:val="24"/>
          <w:lang w:val="en-GB"/>
        </w:rPr>
        <w:t xml:space="preserve"> </w:t>
      </w:r>
      <w:bookmarkStart w:id="35" w:name="_Hlk92211570"/>
      <w:r w:rsidRPr="00994C12">
        <w:rPr>
          <w:rFonts w:ascii="Times New Roman" w:hAnsi="Times New Roman" w:cs="Times New Roman"/>
          <w:sz w:val="24"/>
          <w:szCs w:val="24"/>
          <w:lang w:val="en-GB"/>
        </w:rPr>
        <w:t>Generative AI-Generated Hazards Should Be Clustered within the Realm of Fault-Based Liability Rather Than Product Liability</w:t>
      </w:r>
      <w:bookmarkEnd w:id="35"/>
    </w:p>
    <w:p w14:paraId="497C72CF" w14:textId="77777777" w:rsidR="00994C12" w:rsidRPr="00994C12" w:rsidRDefault="00994C12" w:rsidP="00994C12">
      <w:pPr>
        <w:spacing w:line="276" w:lineRule="auto"/>
        <w:jc w:val="both"/>
        <w:rPr>
          <w:rFonts w:ascii="Times New Roman" w:hAnsi="Times New Roman" w:cs="Times New Roman"/>
          <w:sz w:val="24"/>
          <w:szCs w:val="24"/>
          <w:lang w:val="en-GB"/>
        </w:rPr>
      </w:pPr>
      <w:r w:rsidRPr="00994C12">
        <w:rPr>
          <w:rFonts w:ascii="Times New Roman" w:hAnsi="Times New Roman" w:cs="Times New Roman"/>
          <w:sz w:val="24"/>
          <w:szCs w:val="24"/>
          <w:lang w:val="en-GB"/>
        </w:rPr>
        <w:t xml:space="preserve">Law and economics scholarship has argued for </w:t>
      </w:r>
      <w:bookmarkStart w:id="36" w:name="_Hlk92211415"/>
      <w:r w:rsidRPr="00994C12">
        <w:rPr>
          <w:rFonts w:ascii="Times New Roman" w:hAnsi="Times New Roman" w:cs="Times New Roman"/>
          <w:sz w:val="24"/>
          <w:szCs w:val="24"/>
          <w:lang w:val="en-GB"/>
        </w:rPr>
        <w:t>the need to rethink legal remedies when applying them to AI torts.</w:t>
      </w:r>
      <w:r w:rsidRPr="00994C12">
        <w:rPr>
          <w:rFonts w:ascii="Times New Roman" w:hAnsi="Times New Roman" w:cs="Times New Roman"/>
          <w:sz w:val="24"/>
          <w:szCs w:val="24"/>
          <w:vertAlign w:val="superscript"/>
          <w:lang w:val="en-GB"/>
        </w:rPr>
        <w:footnoteReference w:id="138"/>
      </w:r>
      <w:r w:rsidRPr="00994C12">
        <w:rPr>
          <w:rFonts w:ascii="Times New Roman" w:hAnsi="Times New Roman" w:cs="Times New Roman"/>
          <w:sz w:val="24"/>
          <w:szCs w:val="24"/>
          <w:lang w:val="en-GB"/>
        </w:rPr>
        <w:t xml:space="preserve"> For example, </w:t>
      </w:r>
      <w:bookmarkStart w:id="38" w:name="_Hlk109254375"/>
      <w:r w:rsidRPr="00994C12">
        <w:rPr>
          <w:rFonts w:ascii="Times New Roman" w:hAnsi="Times New Roman" w:cs="Times New Roman"/>
          <w:sz w:val="24"/>
          <w:szCs w:val="24"/>
          <w:lang w:val="en-GB"/>
        </w:rPr>
        <w:t>Shavell even argues that AI renders classic product liability law unable to create the optimal incentives for the use, production and adoption of safer AI technologies as it is currently designed</w:t>
      </w:r>
      <w:bookmarkEnd w:id="36"/>
      <w:r w:rsidRPr="00994C12">
        <w:rPr>
          <w:rFonts w:ascii="Times New Roman" w:hAnsi="Times New Roman" w:cs="Times New Roman"/>
          <w:sz w:val="24"/>
          <w:szCs w:val="24"/>
          <w:lang w:val="en-GB"/>
        </w:rPr>
        <w:t>.</w:t>
      </w:r>
      <w:r w:rsidRPr="00994C12">
        <w:rPr>
          <w:rFonts w:ascii="Times New Roman" w:hAnsi="Times New Roman" w:cs="Times New Roman"/>
          <w:sz w:val="24"/>
          <w:szCs w:val="24"/>
          <w:vertAlign w:val="superscript"/>
          <w:lang w:val="en-GB"/>
        </w:rPr>
        <w:footnoteReference w:id="139"/>
      </w:r>
      <w:r w:rsidRPr="00994C12">
        <w:rPr>
          <w:rFonts w:ascii="Times New Roman" w:hAnsi="Times New Roman" w:cs="Times New Roman"/>
          <w:sz w:val="24"/>
          <w:szCs w:val="24"/>
          <w:lang w:val="en-GB"/>
        </w:rPr>
        <w:t xml:space="preserve"> </w:t>
      </w:r>
      <w:bookmarkEnd w:id="38"/>
      <w:r w:rsidRPr="00994C12">
        <w:rPr>
          <w:rFonts w:ascii="Times New Roman" w:hAnsi="Times New Roman" w:cs="Times New Roman"/>
          <w:sz w:val="24"/>
          <w:szCs w:val="24"/>
          <w:lang w:val="en-GB"/>
        </w:rPr>
        <w:t>AI-related hazards are essentially unknown risks and the law and economics literature has addressed the problem of imposing liability for such unknown and unexpected risks and argues that whether ‘liability for unknown risks is desirable depends on what is more important: avoiding the marketing of products which are not safe enough, or not hindering the introduction of better new products’.</w:t>
      </w:r>
      <w:r w:rsidRPr="00994C12">
        <w:rPr>
          <w:rFonts w:ascii="Times New Roman" w:hAnsi="Times New Roman" w:cs="Times New Roman"/>
          <w:sz w:val="24"/>
          <w:szCs w:val="24"/>
          <w:vertAlign w:val="superscript"/>
          <w:lang w:val="en-GB"/>
        </w:rPr>
        <w:footnoteReference w:id="140"/>
      </w:r>
      <w:r w:rsidRPr="00994C12">
        <w:rPr>
          <w:rFonts w:ascii="Times New Roman" w:hAnsi="Times New Roman" w:cs="Times New Roman"/>
          <w:sz w:val="24"/>
          <w:szCs w:val="24"/>
          <w:lang w:val="en-GB"/>
        </w:rPr>
        <w:t xml:space="preserve"> Landes and </w:t>
      </w:r>
      <w:r w:rsidRPr="00994C12">
        <w:rPr>
          <w:rFonts w:ascii="Times New Roman" w:hAnsi="Times New Roman" w:cs="Times New Roman"/>
          <w:sz w:val="24"/>
          <w:szCs w:val="24"/>
          <w:lang w:val="en-GB"/>
        </w:rPr>
        <w:lastRenderedPageBreak/>
        <w:t>Posner suggest that such liability might actually induce producers to invest in safer technologies.</w:t>
      </w:r>
      <w:r w:rsidRPr="00994C12">
        <w:rPr>
          <w:rFonts w:ascii="Times New Roman" w:hAnsi="Times New Roman" w:cs="Times New Roman"/>
          <w:sz w:val="24"/>
          <w:szCs w:val="24"/>
          <w:vertAlign w:val="superscript"/>
          <w:lang w:val="en-GB"/>
        </w:rPr>
        <w:footnoteReference w:id="141"/>
      </w:r>
      <w:r w:rsidRPr="00994C12">
        <w:rPr>
          <w:rFonts w:ascii="Times New Roman" w:hAnsi="Times New Roman" w:cs="Times New Roman"/>
          <w:sz w:val="24"/>
          <w:szCs w:val="24"/>
          <w:lang w:val="en-GB"/>
        </w:rPr>
        <w:t xml:space="preserve"> </w:t>
      </w:r>
    </w:p>
    <w:p w14:paraId="464D430B" w14:textId="249A1A32" w:rsidR="00994C12" w:rsidRPr="00994C12" w:rsidRDefault="000D19D4" w:rsidP="00994C12">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94C12" w:rsidRPr="00994C12">
        <w:rPr>
          <w:rFonts w:ascii="Times New Roman" w:hAnsi="Times New Roman" w:cs="Times New Roman"/>
          <w:sz w:val="24"/>
          <w:szCs w:val="24"/>
          <w:lang w:val="en-GB"/>
        </w:rPr>
        <w:t>More recently, in their novel approach Guerra, Parisi, and Pi state that AI-generated accidents should be clustered within the realm of ‘fault-based liability rather than product liability’, where negligence-based rules should be blended with strict liability rules to create precaution incentives for AI operators and their potential victims, and R&amp;D incentives for manufacturers’</w:t>
      </w:r>
      <w:r w:rsidR="00994C12" w:rsidRPr="00994C12" w:rsidDel="005403D5">
        <w:rPr>
          <w:rFonts w:ascii="Times New Roman" w:hAnsi="Times New Roman" w:cs="Times New Roman"/>
          <w:sz w:val="24"/>
          <w:szCs w:val="24"/>
          <w:lang w:val="en-GB"/>
        </w:rPr>
        <w:t xml:space="preserve"> </w:t>
      </w:r>
      <w:r w:rsidR="00994C12" w:rsidRPr="00994C12">
        <w:rPr>
          <w:rFonts w:ascii="Times New Roman" w:hAnsi="Times New Roman" w:cs="Times New Roman"/>
          <w:sz w:val="24"/>
          <w:szCs w:val="24"/>
          <w:lang w:val="en-GB"/>
        </w:rPr>
        <w:t>development of safer AI.</w:t>
      </w:r>
      <w:r w:rsidR="00994C12" w:rsidRPr="00994C12">
        <w:rPr>
          <w:rFonts w:ascii="Times New Roman" w:hAnsi="Times New Roman" w:cs="Times New Roman"/>
          <w:sz w:val="24"/>
          <w:szCs w:val="24"/>
          <w:vertAlign w:val="superscript"/>
          <w:lang w:val="en-GB"/>
        </w:rPr>
        <w:footnoteReference w:id="142"/>
      </w:r>
      <w:r w:rsidR="00994C12" w:rsidRPr="00994C12">
        <w:rPr>
          <w:rFonts w:ascii="Times New Roman" w:hAnsi="Times New Roman" w:cs="Times New Roman"/>
          <w:sz w:val="24"/>
          <w:szCs w:val="24"/>
          <w:lang w:val="en-GB"/>
        </w:rPr>
        <w:t xml:space="preserve"> They offer a novel liability regime, which they refer to as the ‘</w:t>
      </w:r>
      <w:bookmarkStart w:id="41" w:name="_Hlk92211675"/>
      <w:r w:rsidR="00994C12" w:rsidRPr="00994C12">
        <w:rPr>
          <w:rFonts w:ascii="Times New Roman" w:hAnsi="Times New Roman" w:cs="Times New Roman"/>
          <w:sz w:val="24"/>
          <w:szCs w:val="24"/>
          <w:lang w:val="en-GB"/>
        </w:rPr>
        <w:t>manufacturer residual liability’ rule</w:t>
      </w:r>
      <w:bookmarkEnd w:id="41"/>
      <w:r w:rsidR="00994C12" w:rsidRPr="00994C12">
        <w:rPr>
          <w:rFonts w:ascii="Times New Roman" w:hAnsi="Times New Roman" w:cs="Times New Roman"/>
          <w:sz w:val="24"/>
          <w:szCs w:val="24"/>
          <w:lang w:val="en-GB"/>
        </w:rPr>
        <w:t>.</w:t>
      </w:r>
      <w:r w:rsidR="00994C12" w:rsidRPr="00994C12">
        <w:rPr>
          <w:rFonts w:ascii="Times New Roman" w:hAnsi="Times New Roman" w:cs="Times New Roman"/>
          <w:sz w:val="24"/>
          <w:szCs w:val="24"/>
          <w:vertAlign w:val="superscript"/>
          <w:lang w:val="en-GB"/>
        </w:rPr>
        <w:footnoteReference w:id="143"/>
      </w:r>
      <w:r w:rsidR="00994C12" w:rsidRPr="00994C12">
        <w:rPr>
          <w:rFonts w:ascii="Times New Roman" w:hAnsi="Times New Roman" w:cs="Times New Roman"/>
          <w:sz w:val="24"/>
          <w:szCs w:val="24"/>
          <w:lang w:val="en-GB"/>
        </w:rPr>
        <w:t xml:space="preserve"> Under such a ‘manufacturer residual liability’ regime, </w:t>
      </w:r>
      <w:bookmarkStart w:id="42" w:name="_Hlk92211769"/>
      <w:r w:rsidR="00994C12" w:rsidRPr="00994C12">
        <w:rPr>
          <w:rFonts w:ascii="Times New Roman" w:hAnsi="Times New Roman" w:cs="Times New Roman"/>
          <w:sz w:val="24"/>
          <w:szCs w:val="24"/>
          <w:lang w:val="en-GB"/>
        </w:rPr>
        <w:t>the primary liability is held by either the AI human operator or the victim, and the residual liability – the assignment of the accident cost when neither party is negligent – then falls on the manufacturer.</w:t>
      </w:r>
      <w:bookmarkEnd w:id="42"/>
      <w:r w:rsidR="00994C12" w:rsidRPr="00994C12">
        <w:rPr>
          <w:rFonts w:ascii="Times New Roman" w:hAnsi="Times New Roman" w:cs="Times New Roman"/>
          <w:sz w:val="24"/>
          <w:szCs w:val="24"/>
          <w:vertAlign w:val="superscript"/>
          <w:lang w:val="en-GB"/>
        </w:rPr>
        <w:footnoteReference w:id="144"/>
      </w:r>
      <w:r w:rsidR="00994C12" w:rsidRPr="00994C12">
        <w:rPr>
          <w:rFonts w:ascii="Times New Roman" w:hAnsi="Times New Roman" w:cs="Times New Roman"/>
          <w:sz w:val="24"/>
          <w:szCs w:val="24"/>
          <w:lang w:val="en-GB"/>
        </w:rPr>
        <w:t xml:space="preserve"> Namely, human operators and victims should bear accident losses attributable to their own negligent behaviour and manufacturers should only be held liable for non-negligent accidents. The negligence of the AI human operator also marks the boundary between a human operator’s fault-based liability and the manufacturer’s strict residual liability. Further, manufacturer’s liability would arise for two separate sources of accidents caused by AI: a) malfunctions;</w:t>
      </w:r>
      <w:r w:rsidR="00994C12" w:rsidRPr="00994C12">
        <w:rPr>
          <w:rFonts w:ascii="Times New Roman" w:hAnsi="Times New Roman" w:cs="Times New Roman"/>
          <w:sz w:val="24"/>
          <w:szCs w:val="24"/>
          <w:vertAlign w:val="superscript"/>
          <w:lang w:val="en-GB"/>
        </w:rPr>
        <w:footnoteReference w:id="145"/>
      </w:r>
      <w:r w:rsidR="00994C12" w:rsidRPr="00994C12">
        <w:rPr>
          <w:rFonts w:ascii="Times New Roman" w:hAnsi="Times New Roman" w:cs="Times New Roman"/>
          <w:sz w:val="24"/>
          <w:szCs w:val="24"/>
          <w:lang w:val="en-GB"/>
        </w:rPr>
        <w:t xml:space="preserve"> and b) design limitations.</w:t>
      </w:r>
      <w:r w:rsidR="00994C12" w:rsidRPr="00994C12">
        <w:rPr>
          <w:rFonts w:ascii="Times New Roman" w:hAnsi="Times New Roman" w:cs="Times New Roman"/>
          <w:sz w:val="24"/>
          <w:szCs w:val="24"/>
          <w:vertAlign w:val="superscript"/>
          <w:lang w:val="en-GB"/>
        </w:rPr>
        <w:footnoteReference w:id="146"/>
      </w:r>
      <w:r w:rsidR="00994C12" w:rsidRPr="00994C12">
        <w:rPr>
          <w:rFonts w:ascii="Times New Roman" w:hAnsi="Times New Roman" w:cs="Times New Roman"/>
          <w:sz w:val="24"/>
          <w:szCs w:val="24"/>
          <w:lang w:val="en-GB"/>
        </w:rPr>
        <w:t xml:space="preserve"> Finally, they show that such a liability regime might offer several advantages over simple negligence and strict liability, and might achieve four objectives of an AI tort law regime, one that induces: a) efficient human precautionary care; b) efficient activity levels; c) investments in the R&amp;D of safer AI; and d) the adoption of safer technology.</w:t>
      </w:r>
      <w:r w:rsidR="00994C12" w:rsidRPr="00994C12">
        <w:rPr>
          <w:rFonts w:ascii="Times New Roman" w:hAnsi="Times New Roman" w:cs="Times New Roman"/>
          <w:sz w:val="24"/>
          <w:szCs w:val="24"/>
          <w:vertAlign w:val="superscript"/>
          <w:lang w:val="en-GB"/>
        </w:rPr>
        <w:footnoteReference w:id="147"/>
      </w:r>
      <w:r w:rsidR="00994C12" w:rsidRPr="00994C12">
        <w:rPr>
          <w:rFonts w:ascii="Times New Roman" w:hAnsi="Times New Roman" w:cs="Times New Roman"/>
          <w:sz w:val="24"/>
          <w:szCs w:val="24"/>
          <w:lang w:val="en-GB"/>
        </w:rPr>
        <w:t xml:space="preserve"> Such a ‘manufacturer residual liability’ regime, however, assumes the existence of a human operator who is capable of directing the activity of the AI and eventually overriding its decisions (i.e. supervised AI). Hence, this </w:t>
      </w:r>
      <w:r w:rsidR="00994C12" w:rsidRPr="00994C12">
        <w:rPr>
          <w:rFonts w:ascii="Times New Roman" w:hAnsi="Times New Roman" w:cs="Times New Roman"/>
          <w:sz w:val="24"/>
          <w:szCs w:val="24"/>
          <w:lang w:val="en-GB"/>
        </w:rPr>
        <w:lastRenderedPageBreak/>
        <w:t>proposed regime will not be sufficient for addressing the potential hazards in instances where AI is completely capable of self-determination (</w:t>
      </w:r>
      <w:proofErr w:type="gramStart"/>
      <w:r w:rsidR="00994C12" w:rsidRPr="00994C12">
        <w:rPr>
          <w:rFonts w:ascii="Times New Roman" w:hAnsi="Times New Roman" w:cs="Times New Roman"/>
          <w:sz w:val="24"/>
          <w:szCs w:val="24"/>
          <w:lang w:val="en-GB"/>
        </w:rPr>
        <w:t>i.e.</w:t>
      </w:r>
      <w:proofErr w:type="gramEnd"/>
      <w:r w:rsidR="00994C12" w:rsidRPr="00994C12">
        <w:rPr>
          <w:rFonts w:ascii="Times New Roman" w:hAnsi="Times New Roman" w:cs="Times New Roman"/>
          <w:sz w:val="24"/>
          <w:szCs w:val="24"/>
          <w:lang w:val="en-GB"/>
        </w:rPr>
        <w:t xml:space="preserve"> unsupervised AI). This scenario and potential legal remedies are addressed in the next section.</w:t>
      </w:r>
    </w:p>
    <w:p w14:paraId="2C27B789" w14:textId="77777777" w:rsidR="00916B6A" w:rsidRDefault="00916B6A" w:rsidP="00916B6A">
      <w:pPr>
        <w:spacing w:line="276" w:lineRule="auto"/>
        <w:jc w:val="both"/>
        <w:rPr>
          <w:rFonts w:ascii="Times New Roman" w:hAnsi="Times New Roman" w:cs="Times New Roman"/>
          <w:sz w:val="24"/>
          <w:szCs w:val="24"/>
          <w:lang w:val="en-GB"/>
        </w:rPr>
      </w:pPr>
    </w:p>
    <w:p w14:paraId="3CBD9E21" w14:textId="1700B129" w:rsidR="00916B6A" w:rsidRPr="00916B6A" w:rsidRDefault="00916B6A" w:rsidP="00916B6A">
      <w:pPr>
        <w:spacing w:line="276" w:lineRule="auto"/>
        <w:jc w:val="both"/>
        <w:rPr>
          <w:rFonts w:ascii="Times New Roman" w:hAnsi="Times New Roman" w:cs="Times New Roman"/>
          <w:b/>
          <w:bCs/>
          <w:sz w:val="24"/>
          <w:szCs w:val="24"/>
          <w:lang w:val="en-GB"/>
        </w:rPr>
      </w:pPr>
      <w:r w:rsidRPr="00916B6A">
        <w:rPr>
          <w:rFonts w:ascii="Times New Roman" w:hAnsi="Times New Roman" w:cs="Times New Roman"/>
          <w:b/>
          <w:bCs/>
          <w:sz w:val="24"/>
          <w:szCs w:val="24"/>
          <w:lang w:val="en-GB"/>
        </w:rPr>
        <w:t>5.Conclusions</w:t>
      </w:r>
    </w:p>
    <w:p w14:paraId="04325F20" w14:textId="77777777" w:rsidR="00771392" w:rsidRDefault="00771392" w:rsidP="00C06DB3">
      <w:pPr>
        <w:jc w:val="both"/>
        <w:rPr>
          <w:rFonts w:ascii="Times New Roman" w:hAnsi="Times New Roman" w:cs="Times New Roman"/>
          <w:b/>
          <w:bCs/>
          <w:sz w:val="24"/>
          <w:szCs w:val="24"/>
          <w:lang w:val="en-GB"/>
        </w:rPr>
      </w:pPr>
    </w:p>
    <w:p w14:paraId="35684254" w14:textId="1C122CD4" w:rsidR="005713E7" w:rsidRDefault="005713E7" w:rsidP="00C06DB3">
      <w:pPr>
        <w:jc w:val="both"/>
        <w:rPr>
          <w:rFonts w:ascii="Times New Roman" w:hAnsi="Times New Roman" w:cs="Times New Roman"/>
          <w:sz w:val="24"/>
          <w:szCs w:val="24"/>
          <w:lang w:val="en-GB"/>
        </w:rPr>
      </w:pPr>
      <w:r w:rsidRPr="005713E7">
        <w:rPr>
          <w:rFonts w:ascii="Times New Roman" w:hAnsi="Times New Roman" w:cs="Times New Roman"/>
          <w:sz w:val="24"/>
          <w:szCs w:val="24"/>
          <w:lang w:val="en-GB"/>
        </w:rPr>
        <w:t xml:space="preserve">Super-fast economic changes spurred by world-widely integrated markets and related explosive growth of generative AI represent one of the most triggering questions of the modern world. The world is on the threshold of the fourth industrial revolution that draws its energy from big data combined with algorithms and powerful computers. The current digital revolution is marked by its global scale, rapid </w:t>
      </w:r>
      <w:proofErr w:type="gramStart"/>
      <w:r w:rsidRPr="005713E7">
        <w:rPr>
          <w:rFonts w:ascii="Times New Roman" w:hAnsi="Times New Roman" w:cs="Times New Roman"/>
          <w:sz w:val="24"/>
          <w:szCs w:val="24"/>
          <w:lang w:val="en-GB"/>
        </w:rPr>
        <w:t>convergence</w:t>
      </w:r>
      <w:proofErr w:type="gramEnd"/>
      <w:r w:rsidRPr="005713E7">
        <w:rPr>
          <w:rFonts w:ascii="Times New Roman" w:hAnsi="Times New Roman" w:cs="Times New Roman"/>
          <w:sz w:val="24"/>
          <w:szCs w:val="24"/>
          <w:lang w:val="en-GB"/>
        </w:rPr>
        <w:t xml:space="preserve"> and the enormous impact that breakthroughs in emerging technologies are having on countries, economies, societies, international relations and the environment.</w:t>
      </w:r>
    </w:p>
    <w:p w14:paraId="3946DA6C" w14:textId="6B9A3D16" w:rsidR="005713E7" w:rsidRDefault="005713E7" w:rsidP="005713E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5713E7">
        <w:rPr>
          <w:rFonts w:ascii="Times New Roman" w:hAnsi="Times New Roman" w:cs="Times New Roman"/>
          <w:sz w:val="24"/>
          <w:szCs w:val="24"/>
          <w:lang w:val="en-GB"/>
        </w:rPr>
        <w:tab/>
      </w:r>
      <w:r>
        <w:rPr>
          <w:rFonts w:ascii="Times New Roman" w:hAnsi="Times New Roman" w:cs="Times New Roman"/>
          <w:sz w:val="24"/>
          <w:szCs w:val="24"/>
          <w:lang w:val="en-GB"/>
        </w:rPr>
        <w:t xml:space="preserve">As discussed, the unprecedent breakthroughs in the </w:t>
      </w:r>
      <w:r w:rsidRPr="005713E7">
        <w:rPr>
          <w:rFonts w:ascii="Times New Roman" w:hAnsi="Times New Roman" w:cs="Times New Roman"/>
          <w:sz w:val="24"/>
          <w:szCs w:val="24"/>
          <w:lang w:val="en-GB"/>
        </w:rPr>
        <w:t>Generative AI, which produces text or images automatically</w:t>
      </w:r>
      <w:r>
        <w:rPr>
          <w:rFonts w:ascii="Times New Roman" w:hAnsi="Times New Roman" w:cs="Times New Roman"/>
          <w:sz w:val="24"/>
          <w:szCs w:val="24"/>
          <w:lang w:val="en-GB"/>
        </w:rPr>
        <w:t xml:space="preserve"> and </w:t>
      </w:r>
      <w:r w:rsidRPr="005713E7">
        <w:rPr>
          <w:rFonts w:ascii="Times New Roman" w:hAnsi="Times New Roman" w:cs="Times New Roman"/>
          <w:sz w:val="24"/>
          <w:szCs w:val="24"/>
          <w:lang w:val="en-GB"/>
        </w:rPr>
        <w:t>has</w:t>
      </w:r>
      <w:r>
        <w:rPr>
          <w:rFonts w:ascii="Times New Roman" w:hAnsi="Times New Roman" w:cs="Times New Roman"/>
          <w:sz w:val="24"/>
          <w:szCs w:val="24"/>
          <w:lang w:val="en-GB"/>
        </w:rPr>
        <w:t xml:space="preserve"> thus</w:t>
      </w:r>
      <w:r w:rsidRPr="005713E7">
        <w:rPr>
          <w:rFonts w:ascii="Times New Roman" w:hAnsi="Times New Roman" w:cs="Times New Roman"/>
          <w:sz w:val="24"/>
          <w:szCs w:val="24"/>
          <w:lang w:val="en-GB"/>
        </w:rPr>
        <w:t xml:space="preserve"> become a potential menace because of its awesome power and its uncontrollability</w:t>
      </w:r>
      <w:r>
        <w:rPr>
          <w:rFonts w:ascii="Times New Roman" w:hAnsi="Times New Roman" w:cs="Times New Roman"/>
          <w:sz w:val="24"/>
          <w:szCs w:val="24"/>
          <w:lang w:val="en-GB"/>
        </w:rPr>
        <w:t xml:space="preserve">, represents, via its </w:t>
      </w:r>
      <w:r w:rsidRPr="005713E7">
        <w:rPr>
          <w:rFonts w:ascii="Times New Roman" w:hAnsi="Times New Roman" w:cs="Times New Roman"/>
          <w:sz w:val="24"/>
          <w:szCs w:val="24"/>
          <w:lang w:val="en-GB"/>
        </w:rPr>
        <w:t>noxious combination</w:t>
      </w:r>
      <w:r>
        <w:rPr>
          <w:rFonts w:ascii="Times New Roman" w:hAnsi="Times New Roman" w:cs="Times New Roman"/>
          <w:sz w:val="24"/>
          <w:szCs w:val="24"/>
          <w:lang w:val="en-GB"/>
        </w:rPr>
        <w:t xml:space="preserve">, a formidable and unique challenge for regulator and lawmaker </w:t>
      </w:r>
      <w:r w:rsidRPr="005713E7">
        <w:rPr>
          <w:rFonts w:ascii="Times New Roman" w:hAnsi="Times New Roman" w:cs="Times New Roman"/>
          <w:sz w:val="24"/>
          <w:szCs w:val="24"/>
          <w:lang w:val="en-GB"/>
        </w:rPr>
        <w:t>hoping to limit its capacity for harm.</w:t>
      </w:r>
      <w:r>
        <w:rPr>
          <w:rFonts w:ascii="Times New Roman" w:hAnsi="Times New Roman" w:cs="Times New Roman"/>
          <w:sz w:val="24"/>
          <w:szCs w:val="24"/>
          <w:lang w:val="en-GB"/>
        </w:rPr>
        <w:t xml:space="preserve"> </w:t>
      </w:r>
      <w:r w:rsidRPr="005713E7">
        <w:rPr>
          <w:rFonts w:ascii="Times New Roman" w:hAnsi="Times New Roman" w:cs="Times New Roman"/>
          <w:sz w:val="24"/>
          <w:szCs w:val="24"/>
          <w:lang w:val="en-GB"/>
        </w:rPr>
        <w:t xml:space="preserve">With </w:t>
      </w:r>
      <w:r>
        <w:rPr>
          <w:rFonts w:ascii="Times New Roman" w:hAnsi="Times New Roman" w:cs="Times New Roman"/>
          <w:sz w:val="24"/>
          <w:szCs w:val="24"/>
          <w:lang w:val="en-GB"/>
        </w:rPr>
        <w:t xml:space="preserve">most recent generative </w:t>
      </w:r>
      <w:r w:rsidRPr="005713E7">
        <w:rPr>
          <w:rFonts w:ascii="Times New Roman" w:hAnsi="Times New Roman" w:cs="Times New Roman"/>
          <w:sz w:val="24"/>
          <w:szCs w:val="24"/>
          <w:lang w:val="en-GB"/>
        </w:rPr>
        <w:t>AI, it is difficult to separate benign uses from the more sinister.</w:t>
      </w:r>
      <w:r>
        <w:rPr>
          <w:rFonts w:ascii="Times New Roman" w:hAnsi="Times New Roman" w:cs="Times New Roman"/>
          <w:sz w:val="24"/>
          <w:szCs w:val="24"/>
          <w:lang w:val="en-GB"/>
        </w:rPr>
        <w:t xml:space="preserve"> Moreover, even the most sophisticated </w:t>
      </w:r>
      <w:r w:rsidRPr="005713E7">
        <w:rPr>
          <w:rFonts w:ascii="Times New Roman" w:hAnsi="Times New Roman" w:cs="Times New Roman"/>
          <w:sz w:val="24"/>
          <w:szCs w:val="24"/>
          <w:lang w:val="en-GB"/>
        </w:rPr>
        <w:t xml:space="preserve">AI makers admit </w:t>
      </w:r>
      <w:r>
        <w:rPr>
          <w:rFonts w:ascii="Times New Roman" w:hAnsi="Times New Roman" w:cs="Times New Roman"/>
          <w:sz w:val="24"/>
          <w:szCs w:val="24"/>
          <w:lang w:val="en-GB"/>
        </w:rPr>
        <w:t xml:space="preserve">that </w:t>
      </w:r>
      <w:r w:rsidRPr="005713E7">
        <w:rPr>
          <w:rFonts w:ascii="Times New Roman" w:hAnsi="Times New Roman" w:cs="Times New Roman"/>
          <w:sz w:val="24"/>
          <w:szCs w:val="24"/>
          <w:lang w:val="en-GB"/>
        </w:rPr>
        <w:t>they cannot explain</w:t>
      </w:r>
      <w:r>
        <w:rPr>
          <w:rFonts w:ascii="Times New Roman" w:hAnsi="Times New Roman" w:cs="Times New Roman"/>
          <w:sz w:val="24"/>
          <w:szCs w:val="24"/>
          <w:lang w:val="en-GB"/>
        </w:rPr>
        <w:t xml:space="preserve"> (due to </w:t>
      </w:r>
      <w:proofErr w:type="gramStart"/>
      <w:r>
        <w:rPr>
          <w:rFonts w:ascii="Times New Roman" w:hAnsi="Times New Roman" w:cs="Times New Roman"/>
          <w:sz w:val="24"/>
          <w:szCs w:val="24"/>
          <w:lang w:val="en-GB"/>
        </w:rPr>
        <w:t>neural-networks</w:t>
      </w:r>
      <w:proofErr w:type="gramEnd"/>
      <w:r>
        <w:rPr>
          <w:rFonts w:ascii="Times New Roman" w:hAnsi="Times New Roman" w:cs="Times New Roman"/>
          <w:sz w:val="24"/>
          <w:szCs w:val="24"/>
          <w:lang w:val="en-GB"/>
        </w:rPr>
        <w:t>)</w:t>
      </w:r>
      <w:r w:rsidRPr="005713E7">
        <w:rPr>
          <w:rFonts w:ascii="Times New Roman" w:hAnsi="Times New Roman" w:cs="Times New Roman"/>
          <w:sz w:val="24"/>
          <w:szCs w:val="24"/>
          <w:lang w:val="en-GB"/>
        </w:rPr>
        <w:t xml:space="preserve"> exactly how the technology works, or predict when a particular input in the form of a prompt will lead to a particular output.</w:t>
      </w:r>
    </w:p>
    <w:p w14:paraId="34635C42" w14:textId="54E37E29" w:rsidR="00994C12" w:rsidRDefault="00994C12" w:rsidP="005713E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Thus, current version of the EU AI act might not adequately del with generative AI and the current risk-based approach (designed for ‘classic’ AI where predesigned purpose and control of algorithmic process was still possible). Current attempts to merely list generative AI on the list of high-risk </w:t>
      </w:r>
      <w:proofErr w:type="gramStart"/>
      <w:r>
        <w:rPr>
          <w:rFonts w:ascii="Times New Roman" w:hAnsi="Times New Roman" w:cs="Times New Roman"/>
          <w:sz w:val="24"/>
          <w:szCs w:val="24"/>
          <w:lang w:val="en-GB"/>
        </w:rPr>
        <w:t>AI</w:t>
      </w:r>
      <w:proofErr w:type="gramEnd"/>
      <w:r>
        <w:rPr>
          <w:rFonts w:ascii="Times New Roman" w:hAnsi="Times New Roman" w:cs="Times New Roman"/>
          <w:sz w:val="24"/>
          <w:szCs w:val="24"/>
          <w:lang w:val="en-GB"/>
        </w:rPr>
        <w:t xml:space="preserve"> might be, due to its dual nature</w:t>
      </w:r>
      <w:r w:rsidR="00C7111D">
        <w:rPr>
          <w:rFonts w:ascii="Times New Roman" w:hAnsi="Times New Roman" w:cs="Times New Roman"/>
          <w:sz w:val="24"/>
          <w:szCs w:val="24"/>
          <w:lang w:val="en-GB"/>
        </w:rPr>
        <w:t xml:space="preserve"> (no intended purpose and /dynamic context and scale of adoption)</w:t>
      </w:r>
      <w:r>
        <w:rPr>
          <w:rFonts w:ascii="Times New Roman" w:hAnsi="Times New Roman" w:cs="Times New Roman"/>
          <w:sz w:val="24"/>
          <w:szCs w:val="24"/>
          <w:lang w:val="en-GB"/>
        </w:rPr>
        <w:t xml:space="preserve"> inadequate and even counterproductive (deterrence of innovation)</w:t>
      </w:r>
      <w:r w:rsidR="00C7111D">
        <w:rPr>
          <w:rFonts w:ascii="Times New Roman" w:hAnsi="Times New Roman" w:cs="Times New Roman"/>
          <w:sz w:val="24"/>
          <w:szCs w:val="24"/>
          <w:lang w:val="en-GB"/>
        </w:rPr>
        <w:t>. Namely, characteristics of the most novel generative AI that, as of time of writing, appeared just few weeks ago challenge the current EU AI Act approach in several different ways (</w:t>
      </w:r>
      <w:proofErr w:type="gramStart"/>
      <w:r w:rsidR="00C7111D">
        <w:rPr>
          <w:rFonts w:ascii="Times New Roman" w:hAnsi="Times New Roman" w:cs="Times New Roman"/>
          <w:sz w:val="24"/>
          <w:szCs w:val="24"/>
          <w:lang w:val="en-GB"/>
        </w:rPr>
        <w:t>e.g.</w:t>
      </w:r>
      <w:proofErr w:type="gramEnd"/>
      <w:r w:rsidR="00C7111D">
        <w:rPr>
          <w:rFonts w:ascii="Times New Roman" w:hAnsi="Times New Roman" w:cs="Times New Roman"/>
          <w:sz w:val="24"/>
          <w:szCs w:val="24"/>
          <w:lang w:val="en-GB"/>
        </w:rPr>
        <w:t xml:space="preserve"> the feasibility of sorting generative AI systems into high/no risk categories, the unpredictability of future risks and concerns around private ordering where ultimate use is actually defined by the end user).</w:t>
      </w:r>
    </w:p>
    <w:p w14:paraId="5E619DBC" w14:textId="3F7979A7" w:rsidR="00C7111D" w:rsidRPr="005713E7" w:rsidRDefault="00C7111D" w:rsidP="005713E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In order to</w:t>
      </w:r>
      <w:proofErr w:type="gramEnd"/>
      <w:r>
        <w:rPr>
          <w:rFonts w:ascii="Times New Roman" w:hAnsi="Times New Roman" w:cs="Times New Roman"/>
          <w:sz w:val="24"/>
          <w:szCs w:val="24"/>
          <w:lang w:val="en-GB"/>
        </w:rPr>
        <w:t xml:space="preserve"> mitigate identified shortcoming of the current EU AI Act this paper provides a list of systemic regulatory proposals and instruments. These include proposal for co-regulative and hybrid regulatory approach, introduction of manufacturer residual liability rule, general monitoring obligation of systemic risks and registration, regulation of contractual relationships between providers and users. To conclude, we argue for employment of </w:t>
      </w:r>
      <w:r w:rsidRPr="00C7111D">
        <w:rPr>
          <w:rFonts w:ascii="Times New Roman" w:hAnsi="Times New Roman" w:cs="Times New Roman"/>
          <w:sz w:val="24"/>
          <w:szCs w:val="24"/>
          <w:lang w:val="en-GB"/>
        </w:rPr>
        <w:t>hybrid</w:t>
      </w:r>
      <w:r>
        <w:rPr>
          <w:rFonts w:ascii="Times New Roman" w:hAnsi="Times New Roman" w:cs="Times New Roman"/>
          <w:sz w:val="24"/>
          <w:szCs w:val="24"/>
          <w:lang w:val="en-GB"/>
        </w:rPr>
        <w:t xml:space="preserve"> forms of regulations</w:t>
      </w:r>
      <w:r w:rsidRPr="00C7111D">
        <w:rPr>
          <w:rFonts w:ascii="Times New Roman" w:hAnsi="Times New Roman" w:cs="Times New Roman"/>
          <w:sz w:val="24"/>
          <w:szCs w:val="24"/>
          <w:lang w:val="en-GB"/>
        </w:rPr>
        <w:t xml:space="preserve">, including the co-existence of regulatory contracts and independent regulatory oversight. The choice from the menu of options, including hybrid combinations, depends ultimately on the best fit with the </w:t>
      </w:r>
      <w:r>
        <w:rPr>
          <w:rFonts w:ascii="Times New Roman" w:hAnsi="Times New Roman" w:cs="Times New Roman"/>
          <w:sz w:val="24"/>
          <w:szCs w:val="24"/>
          <w:lang w:val="en-GB"/>
        </w:rPr>
        <w:t xml:space="preserve">super-fast </w:t>
      </w:r>
      <w:r w:rsidRPr="00C7111D">
        <w:rPr>
          <w:rFonts w:ascii="Times New Roman" w:hAnsi="Times New Roman" w:cs="Times New Roman"/>
          <w:sz w:val="24"/>
          <w:szCs w:val="24"/>
          <w:lang w:val="en-GB"/>
        </w:rPr>
        <w:t>technological development and progress</w:t>
      </w:r>
      <w:r w:rsidR="009A27D1">
        <w:rPr>
          <w:rFonts w:ascii="Times New Roman" w:hAnsi="Times New Roman" w:cs="Times New Roman"/>
          <w:sz w:val="24"/>
          <w:szCs w:val="24"/>
          <w:lang w:val="en-GB"/>
        </w:rPr>
        <w:t>.</w:t>
      </w:r>
    </w:p>
    <w:p w14:paraId="630732DF" w14:textId="77777777" w:rsidR="00771392" w:rsidRPr="005713E7" w:rsidRDefault="00771392" w:rsidP="00C06DB3">
      <w:pPr>
        <w:jc w:val="both"/>
        <w:rPr>
          <w:rFonts w:ascii="Times New Roman" w:hAnsi="Times New Roman" w:cs="Times New Roman"/>
          <w:sz w:val="24"/>
          <w:szCs w:val="24"/>
          <w:lang w:val="en-GB"/>
        </w:rPr>
      </w:pPr>
    </w:p>
    <w:p w14:paraId="37C9D130" w14:textId="77777777" w:rsidR="00771392" w:rsidRDefault="00771392" w:rsidP="00C06DB3">
      <w:pPr>
        <w:jc w:val="both"/>
        <w:rPr>
          <w:rFonts w:ascii="Times New Roman" w:hAnsi="Times New Roman" w:cs="Times New Roman"/>
          <w:b/>
          <w:bCs/>
          <w:sz w:val="24"/>
          <w:szCs w:val="24"/>
          <w:lang w:val="en-GB"/>
        </w:rPr>
      </w:pPr>
    </w:p>
    <w:p w14:paraId="3E9C68E8" w14:textId="25C7D46D" w:rsidR="00C06DB3" w:rsidRPr="00C06DB3" w:rsidRDefault="00C06DB3" w:rsidP="00C06DB3">
      <w:pPr>
        <w:jc w:val="both"/>
        <w:rPr>
          <w:rFonts w:ascii="Times New Roman" w:hAnsi="Times New Roman" w:cs="Times New Roman"/>
          <w:b/>
          <w:bCs/>
          <w:sz w:val="24"/>
          <w:szCs w:val="24"/>
          <w:lang w:val="en-GB"/>
        </w:rPr>
      </w:pPr>
      <w:r w:rsidRPr="00C06DB3">
        <w:rPr>
          <w:rFonts w:ascii="Times New Roman" w:hAnsi="Times New Roman" w:cs="Times New Roman"/>
          <w:b/>
          <w:bCs/>
          <w:sz w:val="24"/>
          <w:szCs w:val="24"/>
          <w:lang w:val="en-GB"/>
        </w:rPr>
        <w:lastRenderedPageBreak/>
        <w:t xml:space="preserve">Prof. </w:t>
      </w:r>
      <w:proofErr w:type="spellStart"/>
      <w:r w:rsidRPr="00C06DB3">
        <w:rPr>
          <w:rFonts w:ascii="Times New Roman" w:hAnsi="Times New Roman" w:cs="Times New Roman"/>
          <w:b/>
          <w:bCs/>
          <w:sz w:val="24"/>
          <w:szCs w:val="24"/>
          <w:lang w:val="en-GB"/>
        </w:rPr>
        <w:t>dr.</w:t>
      </w:r>
      <w:proofErr w:type="spellEnd"/>
      <w:r w:rsidRPr="00C06DB3">
        <w:rPr>
          <w:rFonts w:ascii="Times New Roman" w:hAnsi="Times New Roman" w:cs="Times New Roman"/>
          <w:b/>
          <w:bCs/>
          <w:sz w:val="24"/>
          <w:szCs w:val="24"/>
          <w:lang w:val="en-GB"/>
        </w:rPr>
        <w:t xml:space="preserve"> Mitja Kovac, LL.M.; University of Ljubljana School of Economics and Business</w:t>
      </w:r>
    </w:p>
    <w:p w14:paraId="3876466F" w14:textId="618DD2D5" w:rsidR="00C06DB3" w:rsidRDefault="00C06DB3" w:rsidP="00C06DB3">
      <w:pPr>
        <w:jc w:val="both"/>
        <w:rPr>
          <w:rFonts w:ascii="Times New Roman" w:hAnsi="Times New Roman" w:cs="Times New Roman"/>
          <w:sz w:val="24"/>
          <w:szCs w:val="24"/>
          <w:lang w:val="en-GB"/>
        </w:rPr>
      </w:pPr>
      <w:r w:rsidRPr="00C06DB3">
        <w:rPr>
          <w:rFonts w:ascii="Times New Roman" w:hAnsi="Times New Roman" w:cs="Times New Roman"/>
          <w:sz w:val="24"/>
          <w:szCs w:val="24"/>
          <w:lang w:val="en-GB"/>
        </w:rPr>
        <w:t>Mitja Kovac was born in 1976, graduated law with “cum laude” at the University of Ljubljana, Faculty of Law (Slovenia). He gained his LL.M. and PhD at Utrecht University, Faculty of Law, Economics and Governance (The Netherlands). Currently he is full-time professor of civil and commercial law at the University of Ljubljana, School of Economics and Business (Slovenia)</w:t>
      </w:r>
      <w:r w:rsidR="00696A82">
        <w:rPr>
          <w:rFonts w:ascii="Times New Roman" w:hAnsi="Times New Roman" w:cs="Times New Roman"/>
          <w:sz w:val="24"/>
          <w:szCs w:val="24"/>
          <w:lang w:val="en-GB"/>
        </w:rPr>
        <w:t xml:space="preserve"> and a visiting lecturer </w:t>
      </w:r>
      <w:r w:rsidRPr="00C06DB3">
        <w:rPr>
          <w:rFonts w:ascii="Times New Roman" w:hAnsi="Times New Roman" w:cs="Times New Roman"/>
          <w:sz w:val="24"/>
          <w:szCs w:val="24"/>
          <w:lang w:val="en-GB"/>
        </w:rPr>
        <w:t>at University of Ghent (Belgium), at the University of Turin (Italy)</w:t>
      </w:r>
      <w:r>
        <w:rPr>
          <w:rFonts w:ascii="Times New Roman" w:hAnsi="Times New Roman" w:cs="Times New Roman"/>
          <w:sz w:val="24"/>
          <w:szCs w:val="24"/>
          <w:lang w:val="en-GB"/>
        </w:rPr>
        <w:t xml:space="preserve"> </w:t>
      </w:r>
      <w:r w:rsidRPr="00C06DB3">
        <w:rPr>
          <w:rFonts w:ascii="Times New Roman" w:hAnsi="Times New Roman" w:cs="Times New Roman"/>
          <w:sz w:val="24"/>
          <w:szCs w:val="24"/>
          <w:lang w:val="en-GB"/>
        </w:rPr>
        <w:t xml:space="preserve">and at University of Vienna (Austria). Besides, he is also a visiting researcher at the Erasmus University Rotterdam, Faculty of Law (The Netherlands) and at the Washington University School of Law in St. Louis (USA). He publishes in the fields of comparative law and economics, new institutional economics, </w:t>
      </w:r>
      <w:r w:rsidR="00AF2A91">
        <w:rPr>
          <w:rFonts w:ascii="Times New Roman" w:hAnsi="Times New Roman" w:cs="Times New Roman"/>
          <w:sz w:val="24"/>
          <w:szCs w:val="24"/>
          <w:lang w:val="en-GB"/>
        </w:rPr>
        <w:t>AI regulation</w:t>
      </w:r>
      <w:r w:rsidRPr="00C06DB3">
        <w:rPr>
          <w:rFonts w:ascii="Times New Roman" w:hAnsi="Times New Roman" w:cs="Times New Roman"/>
          <w:sz w:val="24"/>
          <w:szCs w:val="24"/>
          <w:lang w:val="en-GB"/>
        </w:rPr>
        <w:t xml:space="preserve"> and competition law and economics.</w:t>
      </w:r>
    </w:p>
    <w:p w14:paraId="1253F0F5" w14:textId="394F9C21" w:rsidR="00AF2A91" w:rsidRDefault="00AF2A91" w:rsidP="00C06DB3">
      <w:pPr>
        <w:jc w:val="both"/>
        <w:rPr>
          <w:rFonts w:ascii="Times New Roman" w:hAnsi="Times New Roman" w:cs="Times New Roman"/>
          <w:sz w:val="24"/>
          <w:szCs w:val="24"/>
          <w:lang w:val="en-GB"/>
        </w:rPr>
      </w:pPr>
    </w:p>
    <w:p w14:paraId="3E256F83" w14:textId="5E3749D1" w:rsidR="00AF2A91" w:rsidRPr="0016648B" w:rsidRDefault="00AF2A91" w:rsidP="00C06DB3">
      <w:pPr>
        <w:jc w:val="both"/>
        <w:rPr>
          <w:rFonts w:ascii="Times New Roman" w:hAnsi="Times New Roman" w:cs="Times New Roman"/>
          <w:b/>
          <w:bCs/>
          <w:sz w:val="24"/>
          <w:szCs w:val="24"/>
          <w:lang w:val="en-GB"/>
        </w:rPr>
      </w:pPr>
      <w:r w:rsidRPr="0016648B">
        <w:rPr>
          <w:rFonts w:ascii="Times New Roman" w:hAnsi="Times New Roman" w:cs="Times New Roman"/>
          <w:b/>
          <w:bCs/>
          <w:sz w:val="24"/>
          <w:szCs w:val="24"/>
          <w:lang w:val="en-GB"/>
        </w:rPr>
        <w:t>Katarina Jevšjak, MBA</w:t>
      </w:r>
      <w:r w:rsidR="009119D6" w:rsidRPr="0016648B">
        <w:rPr>
          <w:rFonts w:ascii="Times New Roman" w:hAnsi="Times New Roman" w:cs="Times New Roman"/>
          <w:b/>
          <w:bCs/>
          <w:sz w:val="24"/>
          <w:szCs w:val="24"/>
          <w:lang w:val="en-GB"/>
        </w:rPr>
        <w:t xml:space="preserve">; </w:t>
      </w:r>
      <w:proofErr w:type="spellStart"/>
      <w:r w:rsidR="009119D6" w:rsidRPr="0016648B">
        <w:rPr>
          <w:rFonts w:ascii="Times New Roman" w:hAnsi="Times New Roman" w:cs="Times New Roman"/>
          <w:b/>
          <w:bCs/>
          <w:sz w:val="24"/>
          <w:szCs w:val="24"/>
          <w:lang w:val="en-GB"/>
        </w:rPr>
        <w:t>Metronik</w:t>
      </w:r>
      <w:proofErr w:type="spellEnd"/>
      <w:r w:rsidR="009119D6" w:rsidRPr="0016648B">
        <w:rPr>
          <w:rFonts w:ascii="Times New Roman" w:hAnsi="Times New Roman" w:cs="Times New Roman"/>
          <w:b/>
          <w:bCs/>
          <w:sz w:val="24"/>
          <w:szCs w:val="24"/>
          <w:lang w:val="en-GB"/>
        </w:rPr>
        <w:t xml:space="preserve"> company</w:t>
      </w:r>
    </w:p>
    <w:p w14:paraId="6F73FE0F" w14:textId="26340A8C" w:rsidR="00AF2A91" w:rsidRDefault="00AF2A91" w:rsidP="00C06DB3">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Katarina is a Project finance Manager at the </w:t>
      </w:r>
      <w:proofErr w:type="spellStart"/>
      <w:r>
        <w:rPr>
          <w:rFonts w:ascii="Times New Roman" w:hAnsi="Times New Roman" w:cs="Times New Roman"/>
          <w:sz w:val="24"/>
          <w:szCs w:val="24"/>
          <w:lang w:val="en-GB"/>
        </w:rPr>
        <w:t>Metronik</w:t>
      </w:r>
      <w:proofErr w:type="spellEnd"/>
      <w:r>
        <w:rPr>
          <w:rFonts w:ascii="Times New Roman" w:hAnsi="Times New Roman" w:cs="Times New Roman"/>
          <w:sz w:val="24"/>
          <w:szCs w:val="24"/>
          <w:lang w:val="en-GB"/>
        </w:rPr>
        <w:t xml:space="preserve"> company (Ljubljana, Slovenia; </w:t>
      </w:r>
      <w:hyperlink r:id="rId11" w:history="1">
        <w:r w:rsidRPr="00111561">
          <w:rPr>
            <w:rStyle w:val="Hiperpovezava"/>
            <w:rFonts w:ascii="Times New Roman" w:hAnsi="Times New Roman" w:cs="Times New Roman"/>
            <w:sz w:val="24"/>
            <w:szCs w:val="24"/>
            <w:lang w:val="en-GB"/>
          </w:rPr>
          <w:t>https://metronik.net/company-profile/</w:t>
        </w:r>
      </w:hyperlink>
      <w:r>
        <w:rPr>
          <w:rFonts w:ascii="Times New Roman" w:hAnsi="Times New Roman" w:cs="Times New Roman"/>
          <w:sz w:val="24"/>
          <w:szCs w:val="24"/>
          <w:lang w:val="en-GB"/>
        </w:rPr>
        <w:t xml:space="preserve"> ) which is one of the leading companies for </w:t>
      </w:r>
      <w:bookmarkStart w:id="45" w:name="_Hlk135758451"/>
      <w:r>
        <w:rPr>
          <w:rFonts w:ascii="Times New Roman" w:hAnsi="Times New Roman" w:cs="Times New Roman"/>
          <w:sz w:val="24"/>
          <w:szCs w:val="24"/>
          <w:lang w:val="en-GB"/>
        </w:rPr>
        <w:t>automation, process control and digitalization in industry and buildings</w:t>
      </w:r>
      <w:bookmarkEnd w:id="45"/>
      <w:r>
        <w:rPr>
          <w:rFonts w:ascii="Times New Roman" w:hAnsi="Times New Roman" w:cs="Times New Roman"/>
          <w:sz w:val="24"/>
          <w:szCs w:val="24"/>
          <w:lang w:val="en-GB"/>
        </w:rPr>
        <w:t>. She is also an i</w:t>
      </w:r>
      <w:r w:rsidRPr="00AF2A91">
        <w:rPr>
          <w:rFonts w:ascii="Times New Roman" w:hAnsi="Times New Roman" w:cs="Times New Roman"/>
          <w:sz w:val="24"/>
          <w:szCs w:val="24"/>
          <w:lang w:val="en-GB"/>
        </w:rPr>
        <w:t xml:space="preserve">nternational Consultant </w:t>
      </w:r>
      <w:proofErr w:type="gramStart"/>
      <w:r w:rsidRPr="00AF2A91">
        <w:rPr>
          <w:rFonts w:ascii="Times New Roman" w:hAnsi="Times New Roman" w:cs="Times New Roman"/>
          <w:sz w:val="24"/>
          <w:szCs w:val="24"/>
          <w:lang w:val="en-GB"/>
        </w:rPr>
        <w:t>in the area of</w:t>
      </w:r>
      <w:proofErr w:type="gramEnd"/>
      <w:r w:rsidRPr="00AF2A91">
        <w:rPr>
          <w:rFonts w:ascii="Times New Roman" w:hAnsi="Times New Roman" w:cs="Times New Roman"/>
          <w:sz w:val="24"/>
          <w:szCs w:val="24"/>
          <w:lang w:val="en-GB"/>
        </w:rPr>
        <w:t xml:space="preserve"> Consulting, Food Production and Quality Systems - Management Representative (COSMOS) with the Ministry for Public Health</w:t>
      </w:r>
      <w:r w:rsidR="00765B57">
        <w:rPr>
          <w:rFonts w:ascii="Times New Roman" w:hAnsi="Times New Roman" w:cs="Times New Roman"/>
          <w:sz w:val="24"/>
          <w:szCs w:val="24"/>
          <w:lang w:val="en-GB"/>
        </w:rPr>
        <w:t>.</w:t>
      </w:r>
    </w:p>
    <w:p w14:paraId="4BB02ED8" w14:textId="4101ED09" w:rsidR="00AF2A91" w:rsidRDefault="00AF2A91" w:rsidP="00C06DB3">
      <w:pPr>
        <w:jc w:val="both"/>
        <w:rPr>
          <w:rFonts w:ascii="Times New Roman" w:hAnsi="Times New Roman" w:cs="Times New Roman"/>
          <w:sz w:val="24"/>
          <w:szCs w:val="24"/>
          <w:lang w:val="en-GB"/>
        </w:rPr>
      </w:pPr>
    </w:p>
    <w:p w14:paraId="01EF4093" w14:textId="31EE3213" w:rsidR="00AF2A91" w:rsidRPr="00AF2A91" w:rsidRDefault="00AF2A91" w:rsidP="00C06DB3">
      <w:pPr>
        <w:jc w:val="both"/>
        <w:rPr>
          <w:rFonts w:ascii="Times New Roman" w:hAnsi="Times New Roman" w:cs="Times New Roman"/>
          <w:b/>
          <w:bCs/>
          <w:sz w:val="24"/>
          <w:szCs w:val="24"/>
          <w:lang w:val="en-GB"/>
        </w:rPr>
      </w:pPr>
      <w:r w:rsidRPr="00AF2A91">
        <w:rPr>
          <w:rFonts w:ascii="Times New Roman" w:hAnsi="Times New Roman" w:cs="Times New Roman"/>
          <w:b/>
          <w:bCs/>
          <w:sz w:val="24"/>
          <w:szCs w:val="24"/>
          <w:lang w:val="en-GB"/>
        </w:rPr>
        <w:t>Svjetlana Maksimović, MBA</w:t>
      </w:r>
      <w:r w:rsidR="009119D6">
        <w:rPr>
          <w:rFonts w:ascii="Times New Roman" w:hAnsi="Times New Roman" w:cs="Times New Roman"/>
          <w:b/>
          <w:bCs/>
          <w:sz w:val="24"/>
          <w:szCs w:val="24"/>
          <w:lang w:val="en-GB"/>
        </w:rPr>
        <w:t xml:space="preserve">; </w:t>
      </w:r>
      <w:proofErr w:type="spellStart"/>
      <w:r w:rsidR="009119D6" w:rsidRPr="009119D6">
        <w:rPr>
          <w:rFonts w:ascii="Times New Roman" w:hAnsi="Times New Roman" w:cs="Times New Roman"/>
          <w:b/>
          <w:bCs/>
          <w:sz w:val="24"/>
          <w:szCs w:val="24"/>
          <w:lang w:val="en-GB"/>
        </w:rPr>
        <w:t>Gebrüder</w:t>
      </w:r>
      <w:proofErr w:type="spellEnd"/>
      <w:r w:rsidR="009119D6" w:rsidRPr="009119D6">
        <w:rPr>
          <w:rFonts w:ascii="Times New Roman" w:hAnsi="Times New Roman" w:cs="Times New Roman"/>
          <w:b/>
          <w:bCs/>
          <w:sz w:val="24"/>
          <w:szCs w:val="24"/>
          <w:lang w:val="en-GB"/>
        </w:rPr>
        <w:t xml:space="preserve"> Weiss</w:t>
      </w:r>
      <w:r w:rsidR="009119D6">
        <w:rPr>
          <w:rFonts w:ascii="Times New Roman" w:hAnsi="Times New Roman" w:cs="Times New Roman"/>
          <w:b/>
          <w:bCs/>
          <w:sz w:val="24"/>
          <w:szCs w:val="24"/>
          <w:lang w:val="en-GB"/>
        </w:rPr>
        <w:t xml:space="preserve"> company</w:t>
      </w:r>
    </w:p>
    <w:p w14:paraId="2AC7E0DF" w14:textId="6DDB5538" w:rsidR="00AF2A91" w:rsidRPr="00C06DB3" w:rsidRDefault="00AF2A91" w:rsidP="00F43F5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Svjetlana is a </w:t>
      </w:r>
      <w:r w:rsidRPr="00AF2A91">
        <w:rPr>
          <w:rFonts w:ascii="Times New Roman" w:hAnsi="Times New Roman" w:cs="Times New Roman"/>
          <w:sz w:val="24"/>
          <w:szCs w:val="24"/>
          <w:lang w:val="en-GB"/>
        </w:rPr>
        <w:t xml:space="preserve">Head of National &amp; International department at </w:t>
      </w:r>
      <w:bookmarkStart w:id="46" w:name="_Hlk126255203"/>
      <w:proofErr w:type="spellStart"/>
      <w:r w:rsidRPr="00AF2A91">
        <w:rPr>
          <w:rFonts w:ascii="Times New Roman" w:hAnsi="Times New Roman" w:cs="Times New Roman"/>
          <w:sz w:val="24"/>
          <w:szCs w:val="24"/>
          <w:lang w:val="en-GB"/>
        </w:rPr>
        <w:t>Gebrüder</w:t>
      </w:r>
      <w:proofErr w:type="spellEnd"/>
      <w:r w:rsidRPr="00AF2A91">
        <w:rPr>
          <w:rFonts w:ascii="Times New Roman" w:hAnsi="Times New Roman" w:cs="Times New Roman"/>
          <w:sz w:val="24"/>
          <w:szCs w:val="24"/>
          <w:lang w:val="en-GB"/>
        </w:rPr>
        <w:t xml:space="preserve"> Weiss</w:t>
      </w:r>
      <w:r w:rsidR="00F43F5C">
        <w:rPr>
          <w:rFonts w:ascii="Times New Roman" w:hAnsi="Times New Roman" w:cs="Times New Roman"/>
          <w:sz w:val="24"/>
          <w:szCs w:val="24"/>
          <w:lang w:val="en-GB"/>
        </w:rPr>
        <w:t xml:space="preserve"> GmbH </w:t>
      </w:r>
      <w:bookmarkEnd w:id="46"/>
      <w:r w:rsidR="00F43F5C">
        <w:rPr>
          <w:rFonts w:ascii="Times New Roman" w:hAnsi="Times New Roman" w:cs="Times New Roman"/>
          <w:sz w:val="24"/>
          <w:szCs w:val="24"/>
          <w:lang w:val="en-GB"/>
        </w:rPr>
        <w:t xml:space="preserve">company where she leads the processes of automatization and digitalization. </w:t>
      </w:r>
      <w:r w:rsidR="00F43F5C" w:rsidRPr="00F43F5C">
        <w:rPr>
          <w:rFonts w:ascii="Times New Roman" w:hAnsi="Times New Roman" w:cs="Times New Roman"/>
          <w:sz w:val="24"/>
          <w:szCs w:val="24"/>
          <w:lang w:val="en-GB"/>
        </w:rPr>
        <w:t xml:space="preserve">With more than 8,000 employees, 180 company-owned locations and an annual turnover of 2.54 billion euros in 2021 (preliminary), </w:t>
      </w:r>
      <w:proofErr w:type="spellStart"/>
      <w:r w:rsidR="00F43F5C" w:rsidRPr="00F43F5C">
        <w:rPr>
          <w:rFonts w:ascii="Times New Roman" w:hAnsi="Times New Roman" w:cs="Times New Roman"/>
          <w:sz w:val="24"/>
          <w:szCs w:val="24"/>
          <w:lang w:val="en-GB"/>
        </w:rPr>
        <w:t>Gebrüder</w:t>
      </w:r>
      <w:proofErr w:type="spellEnd"/>
      <w:r w:rsidR="00F43F5C" w:rsidRPr="00F43F5C">
        <w:rPr>
          <w:rFonts w:ascii="Times New Roman" w:hAnsi="Times New Roman" w:cs="Times New Roman"/>
          <w:sz w:val="24"/>
          <w:szCs w:val="24"/>
          <w:lang w:val="en-GB"/>
        </w:rPr>
        <w:t xml:space="preserve"> Weiss ranks among Europe's leading transport and logistics companies.</w:t>
      </w:r>
      <w:r w:rsidR="00F43F5C">
        <w:rPr>
          <w:rFonts w:ascii="Times New Roman" w:hAnsi="Times New Roman" w:cs="Times New Roman"/>
          <w:sz w:val="24"/>
          <w:szCs w:val="24"/>
          <w:lang w:val="en-GB"/>
        </w:rPr>
        <w:t xml:space="preserve"> </w:t>
      </w:r>
      <w:r w:rsidR="00F43F5C" w:rsidRPr="00F43F5C">
        <w:rPr>
          <w:rFonts w:ascii="Times New Roman" w:hAnsi="Times New Roman" w:cs="Times New Roman"/>
          <w:sz w:val="24"/>
          <w:szCs w:val="24"/>
          <w:lang w:val="en-GB"/>
        </w:rPr>
        <w:t xml:space="preserve">In addition to its core business of land transport, air &amp; sea freight, and logistics, the company operates a number of highly specialized industry solutions and subsidiaries under the umbrella of </w:t>
      </w:r>
      <w:proofErr w:type="spellStart"/>
      <w:r w:rsidR="00F43F5C" w:rsidRPr="00F43F5C">
        <w:rPr>
          <w:rFonts w:ascii="Times New Roman" w:hAnsi="Times New Roman" w:cs="Times New Roman"/>
          <w:sz w:val="24"/>
          <w:szCs w:val="24"/>
          <w:lang w:val="en-GB"/>
        </w:rPr>
        <w:t>Gebrüder</w:t>
      </w:r>
      <w:proofErr w:type="spellEnd"/>
      <w:r w:rsidR="00F43F5C" w:rsidRPr="00F43F5C">
        <w:rPr>
          <w:rFonts w:ascii="Times New Roman" w:hAnsi="Times New Roman" w:cs="Times New Roman"/>
          <w:sz w:val="24"/>
          <w:szCs w:val="24"/>
          <w:lang w:val="en-GB"/>
        </w:rPr>
        <w:t xml:space="preserve"> Weiss Holding AG, based in </w:t>
      </w:r>
      <w:proofErr w:type="spellStart"/>
      <w:r w:rsidR="00F43F5C" w:rsidRPr="00F43F5C">
        <w:rPr>
          <w:rFonts w:ascii="Times New Roman" w:hAnsi="Times New Roman" w:cs="Times New Roman"/>
          <w:sz w:val="24"/>
          <w:szCs w:val="24"/>
          <w:lang w:val="en-GB"/>
        </w:rPr>
        <w:t>Lauterach</w:t>
      </w:r>
      <w:proofErr w:type="spellEnd"/>
      <w:r w:rsidR="00F43F5C" w:rsidRPr="00F43F5C">
        <w:rPr>
          <w:rFonts w:ascii="Times New Roman" w:hAnsi="Times New Roman" w:cs="Times New Roman"/>
          <w:sz w:val="24"/>
          <w:szCs w:val="24"/>
          <w:lang w:val="en-GB"/>
        </w:rPr>
        <w:t xml:space="preserve"> (Austria) – including the logistics consultancy firm </w:t>
      </w:r>
      <w:proofErr w:type="spellStart"/>
      <w:r w:rsidR="00F43F5C" w:rsidRPr="00F43F5C">
        <w:rPr>
          <w:rFonts w:ascii="Times New Roman" w:hAnsi="Times New Roman" w:cs="Times New Roman"/>
          <w:sz w:val="24"/>
          <w:szCs w:val="24"/>
          <w:lang w:val="en-GB"/>
        </w:rPr>
        <w:t>x|vise</w:t>
      </w:r>
      <w:proofErr w:type="spellEnd"/>
      <w:r w:rsidR="00F43F5C" w:rsidRPr="00F43F5C">
        <w:rPr>
          <w:rFonts w:ascii="Times New Roman" w:hAnsi="Times New Roman" w:cs="Times New Roman"/>
          <w:sz w:val="24"/>
          <w:szCs w:val="24"/>
          <w:lang w:val="en-GB"/>
        </w:rPr>
        <w:t xml:space="preserve">, </w:t>
      </w:r>
      <w:proofErr w:type="spellStart"/>
      <w:r w:rsidR="00F43F5C" w:rsidRPr="00F43F5C">
        <w:rPr>
          <w:rFonts w:ascii="Times New Roman" w:hAnsi="Times New Roman" w:cs="Times New Roman"/>
          <w:sz w:val="24"/>
          <w:szCs w:val="24"/>
          <w:lang w:val="en-GB"/>
        </w:rPr>
        <w:t>tectraxx</w:t>
      </w:r>
      <w:proofErr w:type="spellEnd"/>
      <w:r w:rsidR="00F43F5C" w:rsidRPr="00F43F5C">
        <w:rPr>
          <w:rFonts w:ascii="Times New Roman" w:hAnsi="Times New Roman" w:cs="Times New Roman"/>
          <w:sz w:val="24"/>
          <w:szCs w:val="24"/>
          <w:lang w:val="en-GB"/>
        </w:rPr>
        <w:t xml:space="preserve"> (industry specialist for hi-tech businesses), </w:t>
      </w:r>
      <w:proofErr w:type="spellStart"/>
      <w:r w:rsidR="00F43F5C" w:rsidRPr="00F43F5C">
        <w:rPr>
          <w:rFonts w:ascii="Times New Roman" w:hAnsi="Times New Roman" w:cs="Times New Roman"/>
          <w:sz w:val="24"/>
          <w:szCs w:val="24"/>
          <w:lang w:val="en-GB"/>
        </w:rPr>
        <w:t>dicall</w:t>
      </w:r>
      <w:proofErr w:type="spellEnd"/>
      <w:r w:rsidR="00F43F5C" w:rsidRPr="00F43F5C">
        <w:rPr>
          <w:rFonts w:ascii="Times New Roman" w:hAnsi="Times New Roman" w:cs="Times New Roman"/>
          <w:sz w:val="24"/>
          <w:szCs w:val="24"/>
          <w:lang w:val="en-GB"/>
        </w:rPr>
        <w:t xml:space="preserve"> (communications solutions, market research, training), Rail Cargo (railway transports), and the </w:t>
      </w:r>
      <w:proofErr w:type="spellStart"/>
      <w:r w:rsidR="00F43F5C" w:rsidRPr="00F43F5C">
        <w:rPr>
          <w:rFonts w:ascii="Times New Roman" w:hAnsi="Times New Roman" w:cs="Times New Roman"/>
          <w:sz w:val="24"/>
          <w:szCs w:val="24"/>
          <w:lang w:val="en-GB"/>
        </w:rPr>
        <w:t>Gebrüder</w:t>
      </w:r>
      <w:proofErr w:type="spellEnd"/>
      <w:r w:rsidR="00F43F5C" w:rsidRPr="00F43F5C">
        <w:rPr>
          <w:rFonts w:ascii="Times New Roman" w:hAnsi="Times New Roman" w:cs="Times New Roman"/>
          <w:sz w:val="24"/>
          <w:szCs w:val="24"/>
          <w:lang w:val="en-GB"/>
        </w:rPr>
        <w:t xml:space="preserve"> Weiss parcel service GWP, co-shareholder of the Austrian company DPD. This bundling of services allows the corporate group to respond to customer needs quickly and flexibly.</w:t>
      </w:r>
    </w:p>
    <w:p w14:paraId="437946B0" w14:textId="7F091AC9" w:rsidR="00C06DB3" w:rsidRDefault="00C06DB3">
      <w:pPr>
        <w:rPr>
          <w:lang w:val="en-GB"/>
        </w:rPr>
      </w:pPr>
    </w:p>
    <w:p w14:paraId="1B558C34" w14:textId="77777777" w:rsidR="00AF2A91" w:rsidRPr="00C06DB3" w:rsidRDefault="00AF2A91">
      <w:pPr>
        <w:rPr>
          <w:lang w:val="en-GB"/>
        </w:rPr>
      </w:pPr>
    </w:p>
    <w:sectPr w:rsidR="00AF2A91" w:rsidRPr="00C06D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1C4C5" w14:textId="77777777" w:rsidR="00D7745A" w:rsidRDefault="00D7745A" w:rsidP="003D2D52">
      <w:pPr>
        <w:spacing w:after="0" w:line="240" w:lineRule="auto"/>
      </w:pPr>
      <w:r>
        <w:separator/>
      </w:r>
    </w:p>
  </w:endnote>
  <w:endnote w:type="continuationSeparator" w:id="0">
    <w:p w14:paraId="21D84CCA" w14:textId="77777777" w:rsidR="00D7745A" w:rsidRDefault="00D7745A" w:rsidP="003D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6073" w14:textId="77777777" w:rsidR="00D7745A" w:rsidRDefault="00D7745A" w:rsidP="003D2D52">
      <w:pPr>
        <w:spacing w:after="0" w:line="240" w:lineRule="auto"/>
      </w:pPr>
      <w:r>
        <w:separator/>
      </w:r>
    </w:p>
  </w:footnote>
  <w:footnote w:type="continuationSeparator" w:id="0">
    <w:p w14:paraId="2B8ED536" w14:textId="77777777" w:rsidR="00D7745A" w:rsidRDefault="00D7745A" w:rsidP="003D2D52">
      <w:pPr>
        <w:spacing w:after="0" w:line="240" w:lineRule="auto"/>
      </w:pPr>
      <w:r>
        <w:continuationSeparator/>
      </w:r>
    </w:p>
  </w:footnote>
  <w:footnote w:id="1">
    <w:p w14:paraId="119D178C" w14:textId="77777777" w:rsidR="003D2D52" w:rsidRPr="00BF6969" w:rsidRDefault="003D2D52" w:rsidP="003D2D52">
      <w:pPr>
        <w:pStyle w:val="Sprotnaopomba-besedilo"/>
        <w:rPr>
          <w:rFonts w:ascii="Times New Roman" w:hAnsi="Times New Roman"/>
        </w:rPr>
      </w:pPr>
      <w:r w:rsidRPr="00BF6969">
        <w:rPr>
          <w:rStyle w:val="Sprotnaopomba-sklic"/>
          <w:rFonts w:ascii="Times New Roman" w:hAnsi="Times New Roman"/>
        </w:rPr>
        <w:footnoteRef/>
      </w:r>
      <w:r w:rsidRPr="00BF6969">
        <w:rPr>
          <w:rFonts w:ascii="Times New Roman" w:hAnsi="Times New Roman"/>
        </w:rPr>
        <w:t xml:space="preserve"> Michal Kosinski and Wang </w:t>
      </w:r>
      <w:proofErr w:type="spellStart"/>
      <w:r w:rsidRPr="00BF6969">
        <w:rPr>
          <w:rFonts w:ascii="Times New Roman" w:hAnsi="Times New Roman"/>
        </w:rPr>
        <w:t>Yilun</w:t>
      </w:r>
      <w:proofErr w:type="spellEnd"/>
      <w:r w:rsidRPr="00BF6969">
        <w:rPr>
          <w:rFonts w:ascii="Times New Roman" w:hAnsi="Times New Roman"/>
        </w:rPr>
        <w:t>, ‘Deep Neural Networks are More Accurate than Humans at Detecting Sexual Orientation from Facial Images’ (2018) 114 Journal of Personality and Social Psychology 246.</w:t>
      </w:r>
    </w:p>
  </w:footnote>
  <w:footnote w:id="2">
    <w:p w14:paraId="529D11CD" w14:textId="77777777" w:rsidR="003D2D52" w:rsidRPr="00BF6969" w:rsidRDefault="003D2D52" w:rsidP="003D2D52">
      <w:pPr>
        <w:pStyle w:val="Sprotnaopomba-besedilo"/>
        <w:rPr>
          <w:rFonts w:ascii="Times New Roman" w:hAnsi="Times New Roman"/>
        </w:rPr>
      </w:pPr>
      <w:r w:rsidRPr="00947545">
        <w:rPr>
          <w:rStyle w:val="Sprotnaopomba-sklic"/>
          <w:rFonts w:ascii="Times New Roman" w:hAnsi="Times New Roman"/>
        </w:rPr>
        <w:footnoteRef/>
      </w:r>
      <w:r w:rsidRPr="00947545">
        <w:rPr>
          <w:rFonts w:ascii="Times New Roman" w:hAnsi="Times New Roman"/>
        </w:rPr>
        <w:t xml:space="preserve"> </w:t>
      </w:r>
      <w:r w:rsidRPr="00BF6969">
        <w:rPr>
          <w:rFonts w:ascii="Times New Roman" w:hAnsi="Times New Roman"/>
        </w:rPr>
        <w:t xml:space="preserve">Stuart Russell, </w:t>
      </w:r>
      <w:r w:rsidRPr="00BF6969">
        <w:rPr>
          <w:rFonts w:ascii="Times New Roman" w:hAnsi="Times New Roman"/>
          <w:i/>
          <w:iCs/>
        </w:rPr>
        <w:t>Human Compatible: Artificial Intelligence and the Problem of Control</w:t>
      </w:r>
      <w:r w:rsidRPr="00BF6969">
        <w:rPr>
          <w:rFonts w:ascii="Times New Roman" w:hAnsi="Times New Roman"/>
        </w:rPr>
        <w:t xml:space="preserve"> (Allen Lane 2019) 4. See also </w:t>
      </w:r>
      <w:bookmarkStart w:id="5" w:name="_Hlk92818913"/>
      <w:r w:rsidRPr="00BF6969">
        <w:rPr>
          <w:rFonts w:ascii="Times New Roman" w:hAnsi="Times New Roman"/>
        </w:rPr>
        <w:t xml:space="preserve">Stuart Russell and Peter Norvig, </w:t>
      </w:r>
      <w:r w:rsidRPr="00BF6969">
        <w:rPr>
          <w:rFonts w:ascii="Times New Roman" w:hAnsi="Times New Roman"/>
          <w:i/>
          <w:iCs/>
        </w:rPr>
        <w:t>Artificial Intelligence: A Modern Approach</w:t>
      </w:r>
      <w:r w:rsidRPr="00BF6969">
        <w:rPr>
          <w:rFonts w:ascii="Times New Roman" w:hAnsi="Times New Roman"/>
        </w:rPr>
        <w:t xml:space="preserve"> (3rd </w:t>
      </w:r>
      <w:proofErr w:type="spellStart"/>
      <w:r w:rsidRPr="00BF6969">
        <w:rPr>
          <w:rFonts w:ascii="Times New Roman" w:hAnsi="Times New Roman"/>
        </w:rPr>
        <w:t>edn</w:t>
      </w:r>
      <w:proofErr w:type="spellEnd"/>
      <w:r w:rsidRPr="00BF6969">
        <w:rPr>
          <w:rFonts w:ascii="Times New Roman" w:hAnsi="Times New Roman"/>
        </w:rPr>
        <w:t>, Pearson 2016).</w:t>
      </w:r>
      <w:bookmarkEnd w:id="5"/>
    </w:p>
  </w:footnote>
  <w:footnote w:id="3">
    <w:p w14:paraId="6EC0CB4C" w14:textId="77777777" w:rsidR="003D2D52" w:rsidRPr="00947545" w:rsidRDefault="003D2D52" w:rsidP="003D2D52">
      <w:pPr>
        <w:pStyle w:val="Sprotnaopomba-besedilo"/>
        <w:rPr>
          <w:rFonts w:ascii="Times New Roman" w:hAnsi="Times New Roman"/>
        </w:rPr>
      </w:pPr>
      <w:r w:rsidRPr="00BF6969">
        <w:rPr>
          <w:rStyle w:val="Sprotnaopomba-sklic"/>
          <w:rFonts w:ascii="Times New Roman" w:hAnsi="Times New Roman"/>
        </w:rPr>
        <w:footnoteRef/>
      </w:r>
      <w:r w:rsidRPr="00BF6969">
        <w:rPr>
          <w:rFonts w:ascii="Times New Roman" w:hAnsi="Times New Roman"/>
        </w:rPr>
        <w:t xml:space="preserve"> Jacob Turner, </w:t>
      </w:r>
      <w:r w:rsidRPr="00BF6969">
        <w:rPr>
          <w:rFonts w:ascii="Times New Roman" w:hAnsi="Times New Roman"/>
          <w:i/>
          <w:iCs/>
        </w:rPr>
        <w:t>Robot Rules: Regulating Artificial Intelligence</w:t>
      </w:r>
      <w:r w:rsidRPr="00BF6969">
        <w:rPr>
          <w:rFonts w:ascii="Times New Roman" w:hAnsi="Times New Roman"/>
        </w:rPr>
        <w:t xml:space="preserve"> (Palgrave Macmillan 2019) 81-86.</w:t>
      </w:r>
    </w:p>
  </w:footnote>
  <w:footnote w:id="4">
    <w:p w14:paraId="6F9060CE" w14:textId="1D896DF0" w:rsidR="00916B6A" w:rsidRPr="00916B6A" w:rsidRDefault="00916B6A" w:rsidP="00916B6A">
      <w:pPr>
        <w:pStyle w:val="Sprotnaopomba-besedilo"/>
        <w:rPr>
          <w:rFonts w:ascii="Times New Roman" w:hAnsi="Times New Roman"/>
        </w:rPr>
      </w:pPr>
      <w:r>
        <w:rPr>
          <w:rStyle w:val="Sprotnaopomba-sklic"/>
        </w:rPr>
        <w:footnoteRef/>
      </w:r>
      <w:r>
        <w:t xml:space="preserve"> </w:t>
      </w:r>
      <w:r w:rsidRPr="00916B6A">
        <w:rPr>
          <w:rFonts w:ascii="Times New Roman" w:hAnsi="Times New Roman"/>
        </w:rPr>
        <w:t>Acemoglu Daron, “Harms of AI,” National Bureau of Economic Research Working Paper 29247, 2021,</w:t>
      </w:r>
    </w:p>
    <w:p w14:paraId="0D0E53DB" w14:textId="6CC41E7F" w:rsidR="00916B6A" w:rsidRPr="00916B6A" w:rsidRDefault="00916B6A" w:rsidP="00916B6A">
      <w:pPr>
        <w:pStyle w:val="Sprotnaopomba-besedilo"/>
        <w:rPr>
          <w:rFonts w:ascii="Times New Roman" w:hAnsi="Times New Roman"/>
        </w:rPr>
      </w:pPr>
      <w:r w:rsidRPr="00916B6A">
        <w:rPr>
          <w:rFonts w:ascii="Times New Roman" w:hAnsi="Times New Roman"/>
        </w:rPr>
        <w:t>DOI 10.3386/w29247.</w:t>
      </w:r>
      <w:r>
        <w:rPr>
          <w:rFonts w:ascii="Times New Roman" w:hAnsi="Times New Roman"/>
        </w:rPr>
        <w:t xml:space="preserve"> See also </w:t>
      </w:r>
      <w:r w:rsidRPr="00916B6A">
        <w:rPr>
          <w:rFonts w:ascii="Times New Roman" w:hAnsi="Times New Roman"/>
        </w:rPr>
        <w:t xml:space="preserve">Haidt, J. (2022). Yes, </w:t>
      </w:r>
      <w:proofErr w:type="gramStart"/>
      <w:r w:rsidRPr="00916B6A">
        <w:rPr>
          <w:rFonts w:ascii="Times New Roman" w:hAnsi="Times New Roman"/>
        </w:rPr>
        <w:t>Social Media</w:t>
      </w:r>
      <w:proofErr w:type="gramEnd"/>
      <w:r w:rsidRPr="00916B6A">
        <w:rPr>
          <w:rFonts w:ascii="Times New Roman" w:hAnsi="Times New Roman"/>
        </w:rPr>
        <w:t xml:space="preserve"> Really is Undermining Democracy, Despite What Meta Has to Say. The Atlantic</w:t>
      </w:r>
      <w:r>
        <w:rPr>
          <w:rFonts w:ascii="Times New Roman" w:hAnsi="Times New Roman"/>
        </w:rPr>
        <w:t xml:space="preserve">; </w:t>
      </w:r>
      <w:r w:rsidRPr="00916B6A">
        <w:rPr>
          <w:rFonts w:ascii="Times New Roman" w:hAnsi="Times New Roman"/>
        </w:rPr>
        <w:t>Haidt, J. (2020). A guilty verdict. Nature, 578, 226-227</w:t>
      </w:r>
      <w:r>
        <w:rPr>
          <w:rFonts w:ascii="Times New Roman" w:hAnsi="Times New Roman"/>
        </w:rPr>
        <w:t xml:space="preserve">; and </w:t>
      </w:r>
      <w:r w:rsidR="00FA0571" w:rsidRPr="00FA0571">
        <w:rPr>
          <w:rFonts w:ascii="Times New Roman" w:hAnsi="Times New Roman"/>
        </w:rPr>
        <w:t xml:space="preserve">Twenge, J. M., Haidt, J., Lozano, J. &amp; Cummins, K. M. (2022). Specification curve analysis shows that social media use is linked to poor mental health, especially among girls. Acta </w:t>
      </w:r>
      <w:proofErr w:type="spellStart"/>
      <w:r w:rsidR="00FA0571" w:rsidRPr="00FA0571">
        <w:rPr>
          <w:rFonts w:ascii="Times New Roman" w:hAnsi="Times New Roman"/>
        </w:rPr>
        <w:t>Psychologica</w:t>
      </w:r>
      <w:proofErr w:type="spellEnd"/>
      <w:r w:rsidR="00FA0571" w:rsidRPr="00FA0571">
        <w:rPr>
          <w:rFonts w:ascii="Times New Roman" w:hAnsi="Times New Roman"/>
        </w:rPr>
        <w:t>, 224.</w:t>
      </w:r>
    </w:p>
  </w:footnote>
  <w:footnote w:id="5">
    <w:p w14:paraId="2DA0EDED" w14:textId="5796EAF0" w:rsidR="002523AB" w:rsidRPr="002523AB" w:rsidRDefault="002523AB">
      <w:pPr>
        <w:pStyle w:val="Sprotnaopomba-besedilo"/>
      </w:pPr>
      <w:r>
        <w:rPr>
          <w:rStyle w:val="Sprotnaopomba-sklic"/>
        </w:rPr>
        <w:footnoteRef/>
      </w:r>
      <w:r>
        <w:t xml:space="preserve"> </w:t>
      </w:r>
      <w:r w:rsidRPr="002523AB">
        <w:rPr>
          <w:rFonts w:ascii="Times New Roman" w:hAnsi="Times New Roman"/>
        </w:rPr>
        <w:t>Foy Henry and Jim Pickard, “G7 leaders call for ‘guardrails’ on development of artificial intelligence,” Financial Times, May 19</w:t>
      </w:r>
      <w:proofErr w:type="gramStart"/>
      <w:r w:rsidRPr="002523AB">
        <w:rPr>
          <w:rFonts w:ascii="Times New Roman" w:hAnsi="Times New Roman"/>
        </w:rPr>
        <w:t xml:space="preserve"> 2023</w:t>
      </w:r>
      <w:proofErr w:type="gramEnd"/>
      <w:r w:rsidRPr="002523AB">
        <w:rPr>
          <w:rFonts w:ascii="Times New Roman" w:hAnsi="Times New Roman"/>
        </w:rPr>
        <w:t>.</w:t>
      </w:r>
    </w:p>
  </w:footnote>
  <w:footnote w:id="6">
    <w:p w14:paraId="7AC0521C" w14:textId="2D8713E9" w:rsidR="006F7830" w:rsidRPr="006F7830" w:rsidRDefault="006F7830" w:rsidP="00CD585F">
      <w:pPr>
        <w:pStyle w:val="Sprotnaopomba-besedilo"/>
        <w:rPr>
          <w:rFonts w:ascii="Times New Roman" w:hAnsi="Times New Roman"/>
        </w:rPr>
      </w:pPr>
      <w:r>
        <w:rPr>
          <w:rStyle w:val="Sprotnaopomba-sklic"/>
        </w:rPr>
        <w:footnoteRef/>
      </w:r>
      <w:r>
        <w:t xml:space="preserve"> </w:t>
      </w:r>
      <w:r w:rsidR="00CD585F" w:rsidRPr="00CD585F">
        <w:rPr>
          <w:rFonts w:ascii="Times New Roman" w:hAnsi="Times New Roman"/>
        </w:rPr>
        <w:t>Last week, the European Parliament reportedly suggested, as a last-minute addition, to expand the potential reach of the AI Act by placing AI-generated texts that could be mistaken for human-generated and deep fakes that say or do things that never happened to the list of high-risk categories.</w:t>
      </w:r>
      <w:r w:rsidR="00CD585F">
        <w:t xml:space="preserve"> </w:t>
      </w:r>
      <w:r w:rsidRPr="006F7830">
        <w:rPr>
          <w:rFonts w:ascii="Times New Roman" w:hAnsi="Times New Roman"/>
        </w:rPr>
        <w:t>This new EU set of regulations will form part of Europe’s Artificial Intelligence Act and will include a total ban of almost all facial recognition for surveillance of citizens. Under the European parliament’s proposals, developers of generative AI models like ChatGPT would have to disclose content that was generated by AI and publish summaries of copyrighted data used for training purposes, so that creators can be remunerated for the use of their work; Espinoza Javier and Ian Johnston, “EU lawmakers agree tough measures over use of AI,” Financial Times, May 11, 2023.</w:t>
      </w:r>
    </w:p>
  </w:footnote>
  <w:footnote w:id="7">
    <w:p w14:paraId="511B0157" w14:textId="77777777" w:rsidR="003D2D52" w:rsidRPr="00BF6969" w:rsidRDefault="003D2D52" w:rsidP="003D2D52">
      <w:pPr>
        <w:pStyle w:val="Sprotnaopomba-besedilo"/>
        <w:rPr>
          <w:rFonts w:ascii="Times New Roman" w:hAnsi="Times New Roman"/>
        </w:rPr>
      </w:pPr>
      <w:r w:rsidRPr="00947545">
        <w:rPr>
          <w:rStyle w:val="Sprotnaopomba-sklic"/>
          <w:rFonts w:ascii="Times New Roman" w:hAnsi="Times New Roman"/>
        </w:rPr>
        <w:footnoteRef/>
      </w:r>
      <w:r w:rsidRPr="00947545">
        <w:rPr>
          <w:rFonts w:ascii="Times New Roman" w:hAnsi="Times New Roman"/>
        </w:rPr>
        <w:t xml:space="preserve"> </w:t>
      </w:r>
      <w:r w:rsidRPr="00BF6969">
        <w:rPr>
          <w:rFonts w:ascii="Times New Roman" w:hAnsi="Times New Roman"/>
        </w:rPr>
        <w:t>See e.g. European Commission, ‘Proposal for a Regulation of the European Parliament and of the Council Laying Down Harmonized Rules on Artificial Intelligence (Artificial Intelligence Act) and Amending Certain Union Legislative Acts’ (Communication) COM (2021) 206 final; European Parliament, ‘Resolution of 16 February 2017 with recommendations to the Commission on Civil Law Rules on Robotics’ (Resolution) P8_TA(2017)0051; and European Commission, ‘Report on the safety and liability implications of Artificial Intelligence, the Internet of Things and robotics’ (Communication) COM (2020) 64 final.</w:t>
      </w:r>
    </w:p>
  </w:footnote>
  <w:footnote w:id="8">
    <w:p w14:paraId="0A63D7AD" w14:textId="6556A229" w:rsidR="00532A92" w:rsidRPr="00532A92" w:rsidRDefault="00532A92">
      <w:pPr>
        <w:pStyle w:val="Sprotnaopomba-besedilo"/>
        <w:rPr>
          <w:rFonts w:ascii="Times New Roman" w:hAnsi="Times New Roman"/>
          <w:lang w:val="sl-SI"/>
        </w:rPr>
      </w:pPr>
      <w:r>
        <w:rPr>
          <w:rStyle w:val="Sprotnaopomba-sklic"/>
        </w:rPr>
        <w:footnoteRef/>
      </w:r>
      <w:r>
        <w:t xml:space="preserve"> </w:t>
      </w:r>
      <w:r w:rsidRPr="00532A92">
        <w:rPr>
          <w:rFonts w:ascii="Times New Roman" w:hAnsi="Times New Roman"/>
        </w:rPr>
        <w:t xml:space="preserve">Proposal for a Regulation of the European Parliament and of the Council laying down harmonised rules on artificial intelligence (Artificial Intelligence Act) and amending certain Union Legislative Acts, COM/2021/206 final. </w:t>
      </w:r>
    </w:p>
  </w:footnote>
  <w:footnote w:id="9">
    <w:p w14:paraId="140F586D" w14:textId="77777777" w:rsidR="003D2D52" w:rsidRPr="00BF6969" w:rsidRDefault="003D2D52" w:rsidP="003D2D52">
      <w:pPr>
        <w:pStyle w:val="Sprotnaopomba-besedilo"/>
        <w:rPr>
          <w:rFonts w:ascii="Times New Roman" w:hAnsi="Times New Roman"/>
        </w:rPr>
      </w:pPr>
      <w:r w:rsidRPr="00947545">
        <w:rPr>
          <w:rStyle w:val="Sprotnaopomba-sklic"/>
          <w:rFonts w:ascii="Times New Roman" w:hAnsi="Times New Roman"/>
        </w:rPr>
        <w:footnoteRef/>
      </w:r>
      <w:r w:rsidRPr="00947545">
        <w:rPr>
          <w:rFonts w:ascii="Times New Roman" w:hAnsi="Times New Roman"/>
        </w:rPr>
        <w:t xml:space="preserve"> </w:t>
      </w:r>
      <w:r w:rsidRPr="00BF6969">
        <w:rPr>
          <w:rFonts w:ascii="Times New Roman" w:hAnsi="Times New Roman"/>
        </w:rPr>
        <w:t>European Commission, ‘Artificial Intelligence for Europe’ (Communication) COM (2018) 237 final.</w:t>
      </w:r>
    </w:p>
  </w:footnote>
  <w:footnote w:id="10">
    <w:p w14:paraId="2BBFFDB4" w14:textId="77777777" w:rsidR="003D2D52" w:rsidRPr="00BF6969" w:rsidRDefault="003D2D52" w:rsidP="003D2D52">
      <w:pPr>
        <w:pStyle w:val="Sprotnaopomba-besedilo"/>
        <w:rPr>
          <w:rFonts w:ascii="Times New Roman" w:hAnsi="Times New Roman"/>
        </w:rPr>
      </w:pPr>
      <w:r w:rsidRPr="00BF6969">
        <w:rPr>
          <w:rStyle w:val="Sprotnaopomba-sklic"/>
          <w:rFonts w:ascii="Times New Roman" w:hAnsi="Times New Roman"/>
        </w:rPr>
        <w:footnoteRef/>
      </w:r>
      <w:r w:rsidRPr="00BF6969">
        <w:rPr>
          <w:rFonts w:ascii="Times New Roman" w:hAnsi="Times New Roman"/>
        </w:rPr>
        <w:t xml:space="preserve"> ibid.</w:t>
      </w:r>
    </w:p>
  </w:footnote>
  <w:footnote w:id="11">
    <w:p w14:paraId="6FEFE544" w14:textId="5B2C9423" w:rsidR="00327D8E" w:rsidRPr="009F45CF" w:rsidRDefault="00327D8E">
      <w:pPr>
        <w:pStyle w:val="Sprotnaopomba-besedilo"/>
        <w:rPr>
          <w:rFonts w:ascii="Times New Roman" w:hAnsi="Times New Roman"/>
        </w:rPr>
      </w:pPr>
      <w:r>
        <w:rPr>
          <w:rStyle w:val="Sprotnaopomba-sklic"/>
        </w:rPr>
        <w:footnoteRef/>
      </w:r>
      <w:r>
        <w:t xml:space="preserve"> </w:t>
      </w:r>
      <w:r w:rsidRPr="009F45CF">
        <w:rPr>
          <w:rFonts w:ascii="Times New Roman" w:hAnsi="Times New Roman"/>
        </w:rPr>
        <w:t>Volpicelli Gian, “ChatGPT broke the EU plan to regulate AI,”</w:t>
      </w:r>
      <w:r w:rsidR="00747AFD" w:rsidRPr="009F45CF">
        <w:rPr>
          <w:rFonts w:ascii="Times New Roman" w:hAnsi="Times New Roman"/>
        </w:rPr>
        <w:t xml:space="preserve"> </w:t>
      </w:r>
      <w:r w:rsidRPr="009F45CF">
        <w:rPr>
          <w:rFonts w:ascii="Times New Roman" w:hAnsi="Times New Roman"/>
        </w:rPr>
        <w:t>Politico, 13.5.2023.</w:t>
      </w:r>
    </w:p>
  </w:footnote>
  <w:footnote w:id="12">
    <w:p w14:paraId="20DA3CC0" w14:textId="16982441" w:rsidR="0013343E" w:rsidRPr="009F45CF" w:rsidRDefault="0013343E">
      <w:pPr>
        <w:pStyle w:val="Sprotnaopomba-besedilo"/>
        <w:rPr>
          <w:rFonts w:ascii="Times New Roman" w:hAnsi="Times New Roman"/>
        </w:rPr>
      </w:pPr>
      <w:r w:rsidRPr="009F45CF">
        <w:rPr>
          <w:rStyle w:val="Sprotnaopomba-sklic"/>
          <w:rFonts w:ascii="Times New Roman" w:hAnsi="Times New Roman"/>
        </w:rPr>
        <w:footnoteRef/>
      </w:r>
      <w:r w:rsidRPr="009F45CF">
        <w:rPr>
          <w:rFonts w:ascii="Times New Roman" w:hAnsi="Times New Roman"/>
        </w:rPr>
        <w:t xml:space="preserve"> </w:t>
      </w:r>
      <w:r w:rsidR="009F45CF" w:rsidRPr="009F45CF">
        <w:rPr>
          <w:rFonts w:ascii="Times New Roman" w:hAnsi="Times New Roman"/>
        </w:rPr>
        <w:t xml:space="preserve">He also argues that if we want humanity and society to survive these challenges, we can’t have </w:t>
      </w:r>
      <w:proofErr w:type="gramStart"/>
      <w:r w:rsidR="009F45CF" w:rsidRPr="009F45CF">
        <w:rPr>
          <w:rFonts w:ascii="Times New Roman" w:hAnsi="Times New Roman"/>
        </w:rPr>
        <w:t>the</w:t>
      </w:r>
      <w:r w:rsidR="009F45CF">
        <w:rPr>
          <w:rFonts w:ascii="Times New Roman" w:hAnsi="Times New Roman"/>
        </w:rPr>
        <w:t xml:space="preserve"> </w:t>
      </w:r>
      <w:r w:rsidR="009F45CF" w:rsidRPr="009F45CF">
        <w:rPr>
          <w:rFonts w:ascii="Times New Roman" w:hAnsi="Times New Roman"/>
        </w:rPr>
        <w:t xml:space="preserve"> competition</w:t>
      </w:r>
      <w:proofErr w:type="gramEnd"/>
      <w:r w:rsidR="009F45CF" w:rsidRPr="009F45CF">
        <w:rPr>
          <w:rFonts w:ascii="Times New Roman" w:hAnsi="Times New Roman"/>
        </w:rPr>
        <w:t xml:space="preserve"> between people, companies, countries — and a very weak international co-ordination; </w:t>
      </w:r>
      <w:r w:rsidR="009F45CF">
        <w:rPr>
          <w:rFonts w:ascii="Times New Roman" w:hAnsi="Times New Roman"/>
        </w:rPr>
        <w:t>Madhumita Murgia, “</w:t>
      </w:r>
      <w:r w:rsidR="009F45CF" w:rsidRPr="009F45CF">
        <w:rPr>
          <w:rFonts w:ascii="Times New Roman" w:hAnsi="Times New Roman"/>
        </w:rPr>
        <w:t xml:space="preserve">AI pioneer Yoshua </w:t>
      </w:r>
      <w:proofErr w:type="spellStart"/>
      <w:r w:rsidR="009F45CF" w:rsidRPr="009F45CF">
        <w:rPr>
          <w:rFonts w:ascii="Times New Roman" w:hAnsi="Times New Roman"/>
        </w:rPr>
        <w:t>Bengio</w:t>
      </w:r>
      <w:proofErr w:type="spellEnd"/>
      <w:r w:rsidR="009F45CF" w:rsidRPr="009F45CF">
        <w:rPr>
          <w:rFonts w:ascii="Times New Roman" w:hAnsi="Times New Roman"/>
        </w:rPr>
        <w:t>: Governments must move fast to ‘protect the public</w:t>
      </w:r>
      <w:r w:rsidR="009F45CF">
        <w:rPr>
          <w:rFonts w:ascii="Times New Roman" w:hAnsi="Times New Roman"/>
        </w:rPr>
        <w:t>,</w:t>
      </w:r>
      <w:r w:rsidR="009F45CF" w:rsidRPr="009F45CF">
        <w:rPr>
          <w:rFonts w:ascii="Times New Roman" w:hAnsi="Times New Roman"/>
        </w:rPr>
        <w:t>’</w:t>
      </w:r>
      <w:r w:rsidR="009F45CF">
        <w:rPr>
          <w:rFonts w:ascii="Times New Roman" w:hAnsi="Times New Roman"/>
        </w:rPr>
        <w:t xml:space="preserve"> Financial Times, 18 May 2023.</w:t>
      </w:r>
    </w:p>
  </w:footnote>
  <w:footnote w:id="13">
    <w:p w14:paraId="76606B39" w14:textId="17FB60BB" w:rsidR="0013343E" w:rsidRPr="009F45CF" w:rsidRDefault="0013343E">
      <w:pPr>
        <w:pStyle w:val="Sprotnaopomba-besedilo"/>
        <w:rPr>
          <w:rFonts w:ascii="Times New Roman" w:hAnsi="Times New Roman"/>
        </w:rPr>
      </w:pPr>
      <w:r w:rsidRPr="009F45CF">
        <w:rPr>
          <w:rStyle w:val="Sprotnaopomba-sklic"/>
          <w:rFonts w:ascii="Times New Roman" w:hAnsi="Times New Roman"/>
        </w:rPr>
        <w:footnoteRef/>
      </w:r>
      <w:r w:rsidRPr="009F45CF">
        <w:rPr>
          <w:rFonts w:ascii="Times New Roman" w:hAnsi="Times New Roman"/>
        </w:rPr>
        <w:t xml:space="preserve"> </w:t>
      </w:r>
      <w:r w:rsidR="009F45CF" w:rsidRPr="009F45CF">
        <w:rPr>
          <w:rFonts w:ascii="Times New Roman" w:hAnsi="Times New Roman"/>
        </w:rPr>
        <w:t xml:space="preserve">As stated in the </w:t>
      </w:r>
      <w:proofErr w:type="gramStart"/>
      <w:r w:rsidR="009F45CF" w:rsidRPr="009F45CF">
        <w:rPr>
          <w:rFonts w:ascii="Times New Roman" w:hAnsi="Times New Roman"/>
        </w:rPr>
        <w:t>widely-endorsed</w:t>
      </w:r>
      <w:proofErr w:type="gramEnd"/>
      <w:r w:rsidR="009F45CF" w:rsidRPr="009F45CF">
        <w:rPr>
          <w:rFonts w:ascii="Times New Roman" w:hAnsi="Times New Roman"/>
        </w:rPr>
        <w:t xml:space="preserve"> Asilomar AI Principles, Advanced AI could represent a profound change in the history of life on Earth, and should be planned for and managed with commensurate care and resources</w:t>
      </w:r>
      <w:r w:rsidR="009F45CF">
        <w:rPr>
          <w:rFonts w:ascii="Times New Roman" w:hAnsi="Times New Roman"/>
        </w:rPr>
        <w:t>; Future of Life Institute, “</w:t>
      </w:r>
      <w:r w:rsidR="009F45CF" w:rsidRPr="009F45CF">
        <w:rPr>
          <w:rFonts w:ascii="Times New Roman" w:hAnsi="Times New Roman"/>
        </w:rPr>
        <w:t>Pause Giant AI Experiments: An Open Lette</w:t>
      </w:r>
      <w:r w:rsidR="009F45CF">
        <w:rPr>
          <w:rFonts w:ascii="Times New Roman" w:hAnsi="Times New Roman"/>
        </w:rPr>
        <w:t>r,”</w:t>
      </w:r>
      <w:r w:rsidR="009F45CF" w:rsidRPr="009F45CF">
        <w:t xml:space="preserve"> </w:t>
      </w:r>
      <w:r w:rsidR="009F45CF" w:rsidRPr="009F45CF">
        <w:rPr>
          <w:rFonts w:ascii="Times New Roman" w:hAnsi="Times New Roman"/>
        </w:rPr>
        <w:t>March 22, 2023</w:t>
      </w:r>
      <w:r w:rsidR="009F45CF">
        <w:rPr>
          <w:rFonts w:ascii="Times New Roman" w:hAnsi="Times New Roman"/>
        </w:rPr>
        <w:t xml:space="preserve">. </w:t>
      </w:r>
    </w:p>
  </w:footnote>
  <w:footnote w:id="14">
    <w:p w14:paraId="12C84FC0" w14:textId="4DD58CF9" w:rsidR="00756D8B" w:rsidRPr="00756D8B" w:rsidRDefault="00756D8B">
      <w:pPr>
        <w:pStyle w:val="Sprotnaopomba-besedilo"/>
        <w:rPr>
          <w:rFonts w:ascii="Times New Roman" w:hAnsi="Times New Roman"/>
        </w:rPr>
      </w:pPr>
      <w:r>
        <w:rPr>
          <w:rStyle w:val="Sprotnaopomba-sklic"/>
        </w:rPr>
        <w:footnoteRef/>
      </w:r>
      <w:r>
        <w:t xml:space="preserve"> </w:t>
      </w:r>
      <w:r w:rsidRPr="00756D8B">
        <w:rPr>
          <w:rFonts w:ascii="Times New Roman" w:hAnsi="Times New Roman"/>
        </w:rPr>
        <w:t>Yuval Noah Harari, “Yuval Noah Harari argues that AI has hacked the operating system of human civilisation,” The Economist, April 28</w:t>
      </w:r>
      <w:r w:rsidRPr="00756D8B">
        <w:rPr>
          <w:rFonts w:ascii="Times New Roman" w:hAnsi="Times New Roman"/>
          <w:vertAlign w:val="superscript"/>
        </w:rPr>
        <w:t>th</w:t>
      </w:r>
      <w:proofErr w:type="gramStart"/>
      <w:r w:rsidRPr="00756D8B">
        <w:rPr>
          <w:rFonts w:ascii="Times New Roman" w:hAnsi="Times New Roman"/>
        </w:rPr>
        <w:t xml:space="preserve"> 2023</w:t>
      </w:r>
      <w:proofErr w:type="gramEnd"/>
      <w:r w:rsidRPr="00756D8B">
        <w:rPr>
          <w:rFonts w:ascii="Times New Roman" w:hAnsi="Times New Roman"/>
        </w:rPr>
        <w:t>.</w:t>
      </w:r>
    </w:p>
  </w:footnote>
  <w:footnote w:id="15">
    <w:p w14:paraId="7F74AD64" w14:textId="77777777" w:rsidR="003D2D52" w:rsidRPr="00BF6969" w:rsidRDefault="003D2D52" w:rsidP="003D2D52">
      <w:pPr>
        <w:pStyle w:val="Sprotnaopomba-besedilo"/>
        <w:rPr>
          <w:rFonts w:ascii="Times New Roman" w:hAnsi="Times New Roman"/>
        </w:rPr>
      </w:pPr>
      <w:r w:rsidRPr="00947545">
        <w:rPr>
          <w:rStyle w:val="Sprotnaopomba-sklic"/>
          <w:rFonts w:ascii="Times New Roman" w:hAnsi="Times New Roman"/>
        </w:rPr>
        <w:footnoteRef/>
      </w:r>
      <w:r w:rsidRPr="00947545">
        <w:rPr>
          <w:rFonts w:ascii="Times New Roman" w:hAnsi="Times New Roman"/>
        </w:rPr>
        <w:t xml:space="preserve"> </w:t>
      </w:r>
      <w:r w:rsidRPr="00BF6969">
        <w:rPr>
          <w:rFonts w:ascii="Times New Roman" w:hAnsi="Times New Roman"/>
        </w:rPr>
        <w:t xml:space="preserve">See </w:t>
      </w:r>
      <w:proofErr w:type="gramStart"/>
      <w:r w:rsidRPr="00BF6969">
        <w:rPr>
          <w:rFonts w:ascii="Times New Roman" w:hAnsi="Times New Roman"/>
        </w:rPr>
        <w:t>e.g.</w:t>
      </w:r>
      <w:proofErr w:type="gramEnd"/>
      <w:r w:rsidRPr="00BF6969">
        <w:rPr>
          <w:rFonts w:ascii="Times New Roman" w:hAnsi="Times New Roman"/>
        </w:rPr>
        <w:t xml:space="preserve"> </w:t>
      </w:r>
      <w:bookmarkStart w:id="8" w:name="_Hlk91512612"/>
      <w:r w:rsidRPr="00BF6969">
        <w:rPr>
          <w:rFonts w:ascii="Times New Roman" w:hAnsi="Times New Roman"/>
        </w:rPr>
        <w:t>Steven Shavell, ‘On the Redesign of Accident Liability for the World of Autonomous Vehicles’ (2020) 49 The Journal of Legal Studies 243</w:t>
      </w:r>
      <w:bookmarkEnd w:id="8"/>
      <w:r w:rsidRPr="00BF6969">
        <w:rPr>
          <w:rFonts w:ascii="Times New Roman" w:hAnsi="Times New Roman"/>
        </w:rPr>
        <w:t xml:space="preserve">; </w:t>
      </w:r>
      <w:bookmarkStart w:id="9" w:name="_Hlk91512679"/>
      <w:r w:rsidRPr="00BF6969">
        <w:rPr>
          <w:rFonts w:ascii="Times New Roman" w:hAnsi="Times New Roman"/>
        </w:rPr>
        <w:t>Bryan Casey and Mark A Lemley, ‘You Might be a Robot’ (2019) 105 Cornell Law Review 287</w:t>
      </w:r>
      <w:bookmarkEnd w:id="9"/>
      <w:r w:rsidRPr="00BF6969">
        <w:rPr>
          <w:rFonts w:ascii="Times New Roman" w:hAnsi="Times New Roman"/>
        </w:rPr>
        <w:t xml:space="preserve">; </w:t>
      </w:r>
      <w:bookmarkStart w:id="10" w:name="_Hlk91512727"/>
      <w:r w:rsidRPr="00BF6969">
        <w:rPr>
          <w:rFonts w:ascii="Times New Roman" w:hAnsi="Times New Roman"/>
        </w:rPr>
        <w:t>Eric Talley, ‘</w:t>
      </w:r>
      <w:proofErr w:type="spellStart"/>
      <w:r w:rsidRPr="00BF6969">
        <w:rPr>
          <w:rFonts w:ascii="Times New Roman" w:hAnsi="Times New Roman"/>
        </w:rPr>
        <w:t>Automators</w:t>
      </w:r>
      <w:proofErr w:type="spellEnd"/>
      <w:r w:rsidRPr="00BF6969">
        <w:rPr>
          <w:rFonts w:ascii="Times New Roman" w:hAnsi="Times New Roman"/>
        </w:rPr>
        <w:t>: How Should Accident Law Adapt to Autonomous Vehicles? Lessons from Law and Economics’ (2019) Columbia Law School Working Papers Series No. 19002</w:t>
      </w:r>
      <w:bookmarkEnd w:id="10"/>
      <w:r w:rsidRPr="00BF6969">
        <w:rPr>
          <w:rFonts w:ascii="Times New Roman" w:hAnsi="Times New Roman"/>
        </w:rPr>
        <w:t>; Alberto Galasso and Hong Luo, ‘</w:t>
      </w:r>
      <w:r w:rsidRPr="00947545">
        <w:t>Punishing Robots: Issues in the Economics of Tort Liability and Innovation in Artificial Intelligence</w:t>
      </w:r>
      <w:r w:rsidRPr="00BF6969">
        <w:rPr>
          <w:rFonts w:ascii="Times New Roman" w:hAnsi="Times New Roman"/>
        </w:rPr>
        <w:t>’ in Ajay Agrawal, Joshua Gans and Avi Goldfarb (eds),</w:t>
      </w:r>
      <w:r w:rsidRPr="00947545">
        <w:t> The Economics of Artificial Intelligence: An Agenda</w:t>
      </w:r>
      <w:r w:rsidRPr="00BF6969">
        <w:rPr>
          <w:rFonts w:ascii="Times New Roman" w:hAnsi="Times New Roman"/>
        </w:rPr>
        <w:t xml:space="preserve"> (National Bureau of Economic Research 2018) 493-504; Andrea Bertolini, ‘Robots as Products: The Case for Realistic Analysis of Robotic Applications and Liability Rules’ (2013) 5 Law, Innovation and Technology 214; Hans-Bernd Schäfer and Claus Ott, </w:t>
      </w:r>
      <w:r w:rsidRPr="00BF6969">
        <w:rPr>
          <w:rFonts w:ascii="Times New Roman" w:hAnsi="Times New Roman"/>
          <w:i/>
          <w:iCs/>
        </w:rPr>
        <w:t>The Economic Analysis of Civil Law</w:t>
      </w:r>
      <w:r w:rsidRPr="00BF6969">
        <w:rPr>
          <w:rFonts w:ascii="Times New Roman" w:hAnsi="Times New Roman"/>
        </w:rPr>
        <w:t xml:space="preserve"> (Edward Elgar Publishing 2004) 107-273; Michael Faure, ‘Toward a Harmonized Tort Law in Europe? An Economic Perspective’ (2001) 8 Maastricht Journal of European and Comparative Law 339-350; Hans-Bernd Schäfer, ‘Tort Law: General’ in </w:t>
      </w:r>
      <w:proofErr w:type="spellStart"/>
      <w:r w:rsidRPr="00BF6969">
        <w:rPr>
          <w:rFonts w:ascii="Times New Roman" w:hAnsi="Times New Roman"/>
        </w:rPr>
        <w:t>Budewijn</w:t>
      </w:r>
      <w:proofErr w:type="spellEnd"/>
      <w:r w:rsidRPr="00BF6969">
        <w:rPr>
          <w:rFonts w:ascii="Times New Roman" w:hAnsi="Times New Roman"/>
        </w:rPr>
        <w:t xml:space="preserve"> Bouckaert and Gerrit De </w:t>
      </w:r>
      <w:proofErr w:type="spellStart"/>
      <w:r w:rsidRPr="00BF6969">
        <w:rPr>
          <w:rFonts w:ascii="Times New Roman" w:hAnsi="Times New Roman"/>
        </w:rPr>
        <w:t>Geest</w:t>
      </w:r>
      <w:proofErr w:type="spellEnd"/>
      <w:r w:rsidRPr="00BF6969">
        <w:rPr>
          <w:rFonts w:ascii="Times New Roman" w:hAnsi="Times New Roman"/>
        </w:rPr>
        <w:t xml:space="preserve"> (eds), </w:t>
      </w:r>
      <w:r w:rsidRPr="00BF6969">
        <w:rPr>
          <w:rFonts w:ascii="Times New Roman" w:hAnsi="Times New Roman"/>
          <w:i/>
          <w:iCs/>
        </w:rPr>
        <w:t>Encyclopaedia of Law and Economics</w:t>
      </w:r>
      <w:r w:rsidRPr="00BF6969">
        <w:rPr>
          <w:rFonts w:ascii="Times New Roman" w:hAnsi="Times New Roman"/>
        </w:rPr>
        <w:t xml:space="preserve"> (Edward Elgar Publishing 2000) 569-596; Emons Winand and Joel Sobel, ‘On the Effectiveness of Liability Rules When Agents Are Not Identical’ (1991) 58 Review of Economic Studies 375;</w:t>
      </w:r>
      <w:r w:rsidRPr="00947545">
        <w:rPr>
          <w:rFonts w:ascii="Times New Roman" w:hAnsi="Times New Roman"/>
        </w:rPr>
        <w:t xml:space="preserve"> </w:t>
      </w:r>
      <w:r w:rsidRPr="00BF6969">
        <w:rPr>
          <w:rFonts w:ascii="Times New Roman" w:hAnsi="Times New Roman"/>
        </w:rPr>
        <w:t xml:space="preserve">Steven Shavell, </w:t>
      </w:r>
      <w:r w:rsidRPr="00BF6969">
        <w:rPr>
          <w:rFonts w:ascii="Times New Roman" w:hAnsi="Times New Roman"/>
          <w:i/>
          <w:iCs/>
        </w:rPr>
        <w:t>Economic Analysis of Accident Law</w:t>
      </w:r>
      <w:r w:rsidRPr="00BF6969">
        <w:rPr>
          <w:rFonts w:ascii="Times New Roman" w:hAnsi="Times New Roman"/>
        </w:rPr>
        <w:t xml:space="preserve"> (Harvard University Press 1987); Mitchell A Polinsky and William P Rogerson, ‘Product Liability, Consumer Misperceptions and Market Power’ (1983) 14 Bell Journal of Economics 581; Steven Shavell, ‘Strict Liability Versus Negligence’ (1980) 9 Journal of Legal Studies 1; Kenneth J Arrow, ‘Optimal Insurance and Generalized Deductibles’ [1974] Scandinavian Actuarial Journal 1; Richard A Posner, ‘A Theory of Negligence’ (1972) 1 Journal of Legal Studies 29; Richard A Posner, ‘Strict Liability: A Comment’ (1973) 2 Journal of Legal Studies 205; Guido Calabresi, ‘Some Thoughts on Risk Distribution and the Law of Torts’ (1961) 70 Yale Law Journal 499, 499-553; Guido Calabresi, ‘The Decision for Accidents: An Approach to Non-fault Allocation of Costs’ (1965) 78 Harvard Law Review 713, 713-745; and Guido Calabresi, </w:t>
      </w:r>
      <w:r w:rsidRPr="00BF6969">
        <w:rPr>
          <w:rFonts w:ascii="Times New Roman" w:hAnsi="Times New Roman"/>
          <w:i/>
          <w:iCs/>
        </w:rPr>
        <w:t>The Costs of Accidents: A Legal and Economic Analysis</w:t>
      </w:r>
      <w:r w:rsidRPr="00BF6969">
        <w:rPr>
          <w:rFonts w:ascii="Times New Roman" w:hAnsi="Times New Roman"/>
        </w:rPr>
        <w:t xml:space="preserve"> (Yale University Press 1970).</w:t>
      </w:r>
    </w:p>
  </w:footnote>
  <w:footnote w:id="16">
    <w:p w14:paraId="3A2CCEB6" w14:textId="77777777" w:rsidR="003D2D52" w:rsidRPr="00BF6969" w:rsidRDefault="003D2D52" w:rsidP="003D2D52">
      <w:pPr>
        <w:pStyle w:val="Sprotnaopomba-besedilo"/>
        <w:rPr>
          <w:rFonts w:ascii="Times New Roman" w:hAnsi="Times New Roman"/>
        </w:rPr>
      </w:pPr>
      <w:r w:rsidRPr="00BF6969">
        <w:rPr>
          <w:rStyle w:val="Sprotnaopomba-sklic"/>
          <w:rFonts w:ascii="Times New Roman" w:hAnsi="Times New Roman"/>
        </w:rPr>
        <w:footnoteRef/>
      </w:r>
      <w:r w:rsidRPr="00BF6969">
        <w:rPr>
          <w:rFonts w:ascii="Times New Roman" w:hAnsi="Times New Roman"/>
        </w:rPr>
        <w:t xml:space="preserve"> See Gerrit De </w:t>
      </w:r>
      <w:proofErr w:type="spellStart"/>
      <w:r w:rsidRPr="00BF6969">
        <w:rPr>
          <w:rFonts w:ascii="Times New Roman" w:hAnsi="Times New Roman"/>
        </w:rPr>
        <w:t>Geest</w:t>
      </w:r>
      <w:proofErr w:type="spellEnd"/>
      <w:r w:rsidRPr="00BF6969">
        <w:rPr>
          <w:rFonts w:ascii="Times New Roman" w:hAnsi="Times New Roman"/>
        </w:rPr>
        <w:t xml:space="preserve">, </w:t>
      </w:r>
      <w:r w:rsidRPr="00BF6969">
        <w:rPr>
          <w:rFonts w:ascii="Times New Roman" w:hAnsi="Times New Roman"/>
          <w:i/>
          <w:iCs/>
        </w:rPr>
        <w:t xml:space="preserve">Contract </w:t>
      </w:r>
      <w:proofErr w:type="gramStart"/>
      <w:r w:rsidRPr="00BF6969">
        <w:rPr>
          <w:rFonts w:ascii="Times New Roman" w:hAnsi="Times New Roman"/>
          <w:i/>
          <w:iCs/>
        </w:rPr>
        <w:t>Law</w:t>
      </w:r>
      <w:proofErr w:type="gramEnd"/>
      <w:r w:rsidRPr="00BF6969">
        <w:rPr>
          <w:rFonts w:ascii="Times New Roman" w:hAnsi="Times New Roman"/>
          <w:i/>
          <w:iCs/>
        </w:rPr>
        <w:t xml:space="preserve"> and Economics – Encyclopaedia of Law and Economics</w:t>
      </w:r>
      <w:r w:rsidRPr="00BF6969">
        <w:rPr>
          <w:rFonts w:ascii="Times New Roman" w:hAnsi="Times New Roman"/>
        </w:rPr>
        <w:t xml:space="preserve">, vol 6 (2nd </w:t>
      </w:r>
      <w:proofErr w:type="spellStart"/>
      <w:r w:rsidRPr="00BF6969">
        <w:rPr>
          <w:rFonts w:ascii="Times New Roman" w:hAnsi="Times New Roman"/>
        </w:rPr>
        <w:t>edn</w:t>
      </w:r>
      <w:proofErr w:type="spellEnd"/>
      <w:r w:rsidRPr="00BF6969">
        <w:rPr>
          <w:rFonts w:ascii="Times New Roman" w:hAnsi="Times New Roman"/>
        </w:rPr>
        <w:t xml:space="preserve">, Edward Elgar Publishing 2011); and Richard A Posner, </w:t>
      </w:r>
      <w:r w:rsidRPr="00BF6969">
        <w:rPr>
          <w:rFonts w:ascii="Times New Roman" w:hAnsi="Times New Roman"/>
          <w:i/>
          <w:iCs/>
        </w:rPr>
        <w:t>Economic Analysis of Law</w:t>
      </w:r>
      <w:r w:rsidRPr="00BF6969">
        <w:rPr>
          <w:rFonts w:ascii="Times New Roman" w:hAnsi="Times New Roman"/>
        </w:rPr>
        <w:t xml:space="preserve"> (8th </w:t>
      </w:r>
      <w:proofErr w:type="spellStart"/>
      <w:r w:rsidRPr="00BF6969">
        <w:rPr>
          <w:rFonts w:ascii="Times New Roman" w:hAnsi="Times New Roman"/>
        </w:rPr>
        <w:t>edn</w:t>
      </w:r>
      <w:proofErr w:type="spellEnd"/>
      <w:r w:rsidRPr="00BF6969">
        <w:rPr>
          <w:rFonts w:ascii="Times New Roman" w:hAnsi="Times New Roman"/>
        </w:rPr>
        <w:t>, Wolters Kluwer 2011).</w:t>
      </w:r>
    </w:p>
  </w:footnote>
  <w:footnote w:id="17">
    <w:p w14:paraId="6402FFD8" w14:textId="77777777" w:rsidR="003D2D52" w:rsidRPr="00BF6969" w:rsidRDefault="003D2D52" w:rsidP="003D2D52">
      <w:pPr>
        <w:pStyle w:val="Sprotnaopomba-besedilo"/>
        <w:rPr>
          <w:rFonts w:ascii="Times New Roman" w:hAnsi="Times New Roman"/>
        </w:rPr>
      </w:pPr>
      <w:r w:rsidRPr="00BF6969">
        <w:rPr>
          <w:rStyle w:val="Sprotnaopomba-sklic"/>
          <w:rFonts w:ascii="Times New Roman" w:hAnsi="Times New Roman"/>
        </w:rPr>
        <w:footnoteRef/>
      </w:r>
      <w:r w:rsidRPr="00BF6969">
        <w:rPr>
          <w:rFonts w:ascii="Times New Roman" w:hAnsi="Times New Roman"/>
        </w:rPr>
        <w:t xml:space="preserve"> Roger Van den Bergh, </w:t>
      </w:r>
      <w:r w:rsidRPr="00BF6969">
        <w:rPr>
          <w:rFonts w:ascii="Times New Roman" w:hAnsi="Times New Roman"/>
          <w:i/>
          <w:iCs/>
        </w:rPr>
        <w:t xml:space="preserve">The Roundabouts of European </w:t>
      </w:r>
      <w:proofErr w:type="gramStart"/>
      <w:r w:rsidRPr="00BF6969">
        <w:rPr>
          <w:rFonts w:ascii="Times New Roman" w:hAnsi="Times New Roman"/>
          <w:i/>
          <w:iCs/>
        </w:rPr>
        <w:t>Law</w:t>
      </w:r>
      <w:proofErr w:type="gramEnd"/>
      <w:r w:rsidRPr="00BF6969">
        <w:rPr>
          <w:rFonts w:ascii="Times New Roman" w:hAnsi="Times New Roman"/>
          <w:i/>
          <w:iCs/>
        </w:rPr>
        <w:t xml:space="preserve"> and Economics</w:t>
      </w:r>
      <w:r w:rsidRPr="00BF6969">
        <w:rPr>
          <w:rFonts w:ascii="Times New Roman" w:hAnsi="Times New Roman"/>
        </w:rPr>
        <w:t xml:space="preserve"> (Eleven International Publishing 2018) 21-28.</w:t>
      </w:r>
    </w:p>
  </w:footnote>
  <w:footnote w:id="18">
    <w:p w14:paraId="2E6FE46E" w14:textId="7F213A81" w:rsidR="00315275" w:rsidRPr="00315275" w:rsidRDefault="00315275">
      <w:pPr>
        <w:pStyle w:val="Sprotnaopomba-besedilo"/>
        <w:rPr>
          <w:rFonts w:ascii="Times New Roman" w:hAnsi="Times New Roman"/>
          <w:lang w:val="sl-SI"/>
        </w:rPr>
      </w:pPr>
      <w:r>
        <w:rPr>
          <w:rStyle w:val="Sprotnaopomba-sklic"/>
        </w:rPr>
        <w:footnoteRef/>
      </w:r>
      <w:r>
        <w:t xml:space="preserve"> </w:t>
      </w:r>
      <w:r w:rsidRPr="00315275">
        <w:rPr>
          <w:rFonts w:ascii="Times New Roman" w:hAnsi="Times New Roman"/>
        </w:rPr>
        <w:t>Acemoglu, Daron, and James A. Robinson. 2019. The Narrow Corridor: States, Societies, and the Fate of Liberty. New York: Penguin Press.</w:t>
      </w:r>
    </w:p>
  </w:footnote>
  <w:footnote w:id="19">
    <w:p w14:paraId="665B4B44" w14:textId="4B38838A" w:rsidR="00060BCE" w:rsidRPr="00060BCE" w:rsidRDefault="00060BCE">
      <w:pPr>
        <w:pStyle w:val="Sprotnaopomba-besedilo"/>
        <w:rPr>
          <w:rFonts w:ascii="Times New Roman" w:hAnsi="Times New Roman"/>
          <w:lang w:val="sl-SI"/>
        </w:rPr>
      </w:pPr>
      <w:r>
        <w:rPr>
          <w:rStyle w:val="Sprotnaopomba-sklic"/>
        </w:rPr>
        <w:footnoteRef/>
      </w:r>
      <w:r>
        <w:t xml:space="preserve"> </w:t>
      </w:r>
      <w:proofErr w:type="spellStart"/>
      <w:r w:rsidRPr="00060BCE">
        <w:rPr>
          <w:rFonts w:ascii="Times New Roman" w:hAnsi="Times New Roman"/>
        </w:rPr>
        <w:t>Akerloff</w:t>
      </w:r>
      <w:proofErr w:type="spellEnd"/>
      <w:r w:rsidRPr="00060BCE">
        <w:rPr>
          <w:rFonts w:ascii="Times New Roman" w:hAnsi="Times New Roman"/>
        </w:rPr>
        <w:t>, A. George. 1970. “The Market for Lemons: Quality, Uncertainty and the Market Mechanism.” Quarterly Journal of Economics 84: 488.</w:t>
      </w:r>
    </w:p>
  </w:footnote>
  <w:footnote w:id="20">
    <w:p w14:paraId="1AD3EE16" w14:textId="19D77D5C" w:rsidR="00060BCE" w:rsidRPr="00060BCE" w:rsidRDefault="00060BCE">
      <w:pPr>
        <w:pStyle w:val="Sprotnaopomba-besedilo"/>
        <w:rPr>
          <w:rFonts w:ascii="Times New Roman" w:hAnsi="Times New Roman"/>
        </w:rPr>
      </w:pPr>
      <w:r>
        <w:rPr>
          <w:rStyle w:val="Sprotnaopomba-sklic"/>
        </w:rPr>
        <w:footnoteRef/>
      </w:r>
      <w:r>
        <w:t xml:space="preserve"> </w:t>
      </w:r>
      <w:r w:rsidRPr="00060BCE">
        <w:rPr>
          <w:rFonts w:ascii="Times New Roman" w:hAnsi="Times New Roman"/>
        </w:rPr>
        <w:t>Ogus, Anthony. 2004. Regulation: Legal Form and Economic Theory. London: Hart Publishing.</w:t>
      </w:r>
    </w:p>
  </w:footnote>
  <w:footnote w:id="21">
    <w:p w14:paraId="7823F4E1" w14:textId="66720E11" w:rsidR="00060BCE" w:rsidRPr="00060BCE" w:rsidRDefault="00060BCE">
      <w:pPr>
        <w:pStyle w:val="Sprotnaopomba-besedilo"/>
        <w:rPr>
          <w:rFonts w:ascii="Times New Roman" w:hAnsi="Times New Roman"/>
        </w:rPr>
      </w:pPr>
      <w:r w:rsidRPr="00060BCE">
        <w:rPr>
          <w:rStyle w:val="Sprotnaopomba-sklic"/>
          <w:rFonts w:ascii="Times New Roman" w:hAnsi="Times New Roman"/>
        </w:rPr>
        <w:footnoteRef/>
      </w:r>
      <w:r w:rsidRPr="00060BCE">
        <w:rPr>
          <w:rFonts w:ascii="Times New Roman" w:hAnsi="Times New Roman"/>
        </w:rPr>
        <w:t xml:space="preserve"> Ibid.</w:t>
      </w:r>
    </w:p>
  </w:footnote>
  <w:footnote w:id="22">
    <w:p w14:paraId="654E98D7" w14:textId="21B0A70D" w:rsidR="00B3181C" w:rsidRPr="00060BCE" w:rsidRDefault="00B3181C" w:rsidP="00B3181C">
      <w:pPr>
        <w:pStyle w:val="Sprotnaopomba-besedilo"/>
        <w:rPr>
          <w:rFonts w:ascii="Times New Roman" w:hAnsi="Times New Roman"/>
          <w:lang w:val="sl-SI"/>
        </w:rPr>
      </w:pPr>
      <w:r w:rsidRPr="00060BCE">
        <w:rPr>
          <w:rStyle w:val="Sprotnaopomba-sklic"/>
          <w:rFonts w:ascii="Times New Roman" w:hAnsi="Times New Roman"/>
        </w:rPr>
        <w:footnoteRef/>
      </w:r>
      <w:r w:rsidRPr="00060BCE">
        <w:rPr>
          <w:rFonts w:ascii="Times New Roman" w:hAnsi="Times New Roman"/>
        </w:rPr>
        <w:t xml:space="preserve"> Policy makers generally tend to use a single instrument to solve many problems at the same time. However, doing so is problematic for two reasons. First, such a single rule will be a compromise rule, which is not very effective at solving all the problems. Second, choosing the right compromise requires information on the relative social importance of all the problems; such information is nearly impossible to get, and therefore makes the discussion indeterminate; Tinbergen, Jan, “On the</w:t>
      </w:r>
      <w:r w:rsidRPr="00060BCE">
        <w:rPr>
          <w:rFonts w:ascii="Times New Roman" w:hAnsi="Times New Roman"/>
        </w:rPr>
        <w:tab/>
        <w:t>Theory of Economic Policy</w:t>
      </w:r>
      <w:r w:rsidR="00060BCE" w:rsidRPr="00060BCE">
        <w:rPr>
          <w:rFonts w:ascii="Times New Roman" w:hAnsi="Times New Roman"/>
        </w:rPr>
        <w:t>;”</w:t>
      </w:r>
      <w:r w:rsidRPr="00060BCE">
        <w:rPr>
          <w:rFonts w:ascii="Times New Roman" w:hAnsi="Times New Roman"/>
        </w:rPr>
        <w:t xml:space="preserve"> Amsterdam: North-Holland, 1952. See also Kovac Mitja, Judgement-Proof Robots and Artificial Intelligence, A Comparative Law and Economics Approach, Palgrave MacMillan, 2020, pp. 109-144; and De </w:t>
      </w:r>
      <w:proofErr w:type="spellStart"/>
      <w:r w:rsidRPr="00060BCE">
        <w:rPr>
          <w:rFonts w:ascii="Times New Roman" w:hAnsi="Times New Roman"/>
        </w:rPr>
        <w:t>Geest</w:t>
      </w:r>
      <w:proofErr w:type="spellEnd"/>
      <w:r w:rsidRPr="00060BCE">
        <w:rPr>
          <w:rFonts w:ascii="Times New Roman" w:hAnsi="Times New Roman"/>
        </w:rPr>
        <w:t xml:space="preserve">, Gerrit. 2018. “Old Law is Cheap Law. In Don’t take it Seriously: Essays in Law and Economics in Honour of Roger Van den Bergh, edited by Michael Faure, Wicher Schreuders and Louis Visscher, 505-525. Cambridge: </w:t>
      </w:r>
      <w:proofErr w:type="spellStart"/>
      <w:r w:rsidRPr="00060BCE">
        <w:rPr>
          <w:rFonts w:ascii="Times New Roman" w:hAnsi="Times New Roman"/>
        </w:rPr>
        <w:t>Intersentia</w:t>
      </w:r>
      <w:proofErr w:type="spellEnd"/>
      <w:r w:rsidRPr="00060BCE">
        <w:rPr>
          <w:rFonts w:ascii="Times New Roman" w:hAnsi="Times New Roman"/>
        </w:rPr>
        <w:t>.</w:t>
      </w:r>
    </w:p>
  </w:footnote>
  <w:footnote w:id="23">
    <w:p w14:paraId="10F734EE" w14:textId="131DAB8A" w:rsidR="00060BCE" w:rsidRPr="00060BCE" w:rsidRDefault="00060BCE">
      <w:pPr>
        <w:pStyle w:val="Sprotnaopomba-besedilo"/>
        <w:rPr>
          <w:rFonts w:ascii="Times New Roman" w:hAnsi="Times New Roman"/>
          <w:lang w:val="sl-SI"/>
        </w:rPr>
      </w:pPr>
      <w:r w:rsidRPr="00060BCE">
        <w:rPr>
          <w:rStyle w:val="Sprotnaopomba-sklic"/>
          <w:rFonts w:ascii="Times New Roman" w:hAnsi="Times New Roman"/>
        </w:rPr>
        <w:footnoteRef/>
      </w:r>
      <w:r w:rsidRPr="00060BCE">
        <w:rPr>
          <w:rFonts w:ascii="Times New Roman" w:hAnsi="Times New Roman"/>
        </w:rPr>
        <w:t xml:space="preserve"> Hardin, Garrett. 1968. “The Tragedy of the Commons.” Science 162: 1243-1248. See also Gordon, H. Scott. 1954. “The Economic theory of a Common-Property Resource: The Fishery,” Journal of Political Economy 62(2).</w:t>
      </w:r>
    </w:p>
  </w:footnote>
  <w:footnote w:id="24">
    <w:p w14:paraId="6B74DC40" w14:textId="4769EBBF" w:rsidR="00C27EB7" w:rsidRPr="00C27EB7" w:rsidRDefault="00C27EB7">
      <w:pPr>
        <w:pStyle w:val="Sprotnaopomba-besedilo"/>
        <w:rPr>
          <w:rFonts w:ascii="Times New Roman" w:hAnsi="Times New Roman"/>
          <w:lang w:val="sl-SI"/>
        </w:rPr>
      </w:pPr>
      <w:r>
        <w:rPr>
          <w:rStyle w:val="Sprotnaopomba-sklic"/>
        </w:rPr>
        <w:footnoteRef/>
      </w:r>
      <w:r w:rsidRPr="00315275">
        <w:t xml:space="preserve"> </w:t>
      </w:r>
      <w:proofErr w:type="spellStart"/>
      <w:r w:rsidRPr="00C27EB7">
        <w:rPr>
          <w:rFonts w:ascii="Times New Roman" w:hAnsi="Times New Roman"/>
          <w:lang w:val="sl-SI"/>
        </w:rPr>
        <w:t>Ogus</w:t>
      </w:r>
      <w:proofErr w:type="spellEnd"/>
      <w:r w:rsidRPr="00C27EB7">
        <w:rPr>
          <w:rFonts w:ascii="Times New Roman" w:hAnsi="Times New Roman"/>
          <w:lang w:val="sl-SI"/>
        </w:rPr>
        <w:t xml:space="preserve">, </w:t>
      </w:r>
      <w:proofErr w:type="spellStart"/>
      <w:r w:rsidRPr="00C27EB7">
        <w:rPr>
          <w:rFonts w:ascii="Times New Roman" w:hAnsi="Times New Roman"/>
          <w:lang w:val="sl-SI"/>
        </w:rPr>
        <w:t>supra</w:t>
      </w:r>
      <w:proofErr w:type="spellEnd"/>
      <w:r w:rsidRPr="00C27EB7">
        <w:rPr>
          <w:rFonts w:ascii="Times New Roman" w:hAnsi="Times New Roman"/>
          <w:lang w:val="sl-SI"/>
        </w:rPr>
        <w:t xml:space="preserve"> note 19.</w:t>
      </w:r>
    </w:p>
  </w:footnote>
  <w:footnote w:id="25">
    <w:p w14:paraId="3E747BDE" w14:textId="682E449C" w:rsidR="00C27EB7" w:rsidRPr="00C27EB7" w:rsidRDefault="00C27EB7">
      <w:pPr>
        <w:pStyle w:val="Sprotnaopomba-besedilo"/>
        <w:rPr>
          <w:rFonts w:ascii="Times New Roman" w:hAnsi="Times New Roman"/>
        </w:rPr>
      </w:pPr>
      <w:r w:rsidRPr="00C27EB7">
        <w:rPr>
          <w:rStyle w:val="Sprotnaopomba-sklic"/>
          <w:rFonts w:ascii="Times New Roman" w:hAnsi="Times New Roman"/>
        </w:rPr>
        <w:footnoteRef/>
      </w:r>
      <w:r w:rsidRPr="00C27EB7">
        <w:rPr>
          <w:rFonts w:ascii="Times New Roman" w:hAnsi="Times New Roman"/>
        </w:rPr>
        <w:t xml:space="preserve"> Ibid.</w:t>
      </w:r>
    </w:p>
  </w:footnote>
  <w:footnote w:id="26">
    <w:p w14:paraId="177C4D4B" w14:textId="354FFDA3" w:rsidR="00C27EB7" w:rsidRPr="00C27EB7" w:rsidRDefault="00C27EB7">
      <w:pPr>
        <w:pStyle w:val="Sprotnaopomba-besedilo"/>
        <w:rPr>
          <w:rFonts w:ascii="Times New Roman" w:hAnsi="Times New Roman"/>
          <w:lang w:val="sl-SI"/>
        </w:rPr>
      </w:pPr>
      <w:r w:rsidRPr="00C27EB7">
        <w:rPr>
          <w:rStyle w:val="Sprotnaopomba-sklic"/>
          <w:rFonts w:ascii="Times New Roman" w:hAnsi="Times New Roman"/>
        </w:rPr>
        <w:footnoteRef/>
      </w:r>
      <w:r w:rsidRPr="00C27EB7">
        <w:rPr>
          <w:rFonts w:ascii="Times New Roman" w:hAnsi="Times New Roman"/>
        </w:rPr>
        <w:t xml:space="preserve"> Cheung, N. Steven. 1973. “The Fable of the Bees: An Economic Investigation.” Journal of Law and Economics 16 (2): 11-33; and Coase, H. Ronald. 1974. “The Lighthouse in Economics.” Journal of Law and Economics 17(1): 357-376.</w:t>
      </w:r>
    </w:p>
  </w:footnote>
  <w:footnote w:id="27">
    <w:p w14:paraId="788D514D" w14:textId="545B0FB3" w:rsidR="00C27EB7" w:rsidRPr="00315275" w:rsidRDefault="00C27EB7">
      <w:pPr>
        <w:pStyle w:val="Sprotnaopomba-besedilo"/>
        <w:rPr>
          <w:rFonts w:ascii="Times New Roman" w:hAnsi="Times New Roman"/>
        </w:rPr>
      </w:pPr>
      <w:r w:rsidRPr="00C27EB7">
        <w:rPr>
          <w:rStyle w:val="Sprotnaopomba-sklic"/>
          <w:rFonts w:ascii="Times New Roman" w:hAnsi="Times New Roman"/>
        </w:rPr>
        <w:footnoteRef/>
      </w:r>
      <w:r w:rsidRPr="00C27EB7">
        <w:rPr>
          <w:rFonts w:ascii="Times New Roman" w:hAnsi="Times New Roman"/>
        </w:rPr>
        <w:t xml:space="preserve"> MacKaay, </w:t>
      </w:r>
      <w:proofErr w:type="spellStart"/>
      <w:r w:rsidRPr="00C27EB7">
        <w:rPr>
          <w:rFonts w:ascii="Times New Roman" w:hAnsi="Times New Roman"/>
        </w:rPr>
        <w:t>Ejan</w:t>
      </w:r>
      <w:proofErr w:type="spellEnd"/>
      <w:r w:rsidRPr="00C27EB7">
        <w:rPr>
          <w:rFonts w:ascii="Times New Roman" w:hAnsi="Times New Roman"/>
        </w:rPr>
        <w:t xml:space="preserve">. 2015. Law and Economics for Civil Law Systems. </w:t>
      </w:r>
      <w:r w:rsidRPr="00315275">
        <w:rPr>
          <w:rFonts w:ascii="Times New Roman" w:hAnsi="Times New Roman"/>
        </w:rPr>
        <w:t>Cheltenham: Edward Elgar.</w:t>
      </w:r>
    </w:p>
  </w:footnote>
  <w:footnote w:id="28">
    <w:p w14:paraId="24937391" w14:textId="6FDF66AE" w:rsidR="00C27EB7" w:rsidRPr="00C27EB7" w:rsidRDefault="00C27EB7">
      <w:pPr>
        <w:pStyle w:val="Sprotnaopomba-besedilo"/>
        <w:rPr>
          <w:rFonts w:ascii="Times New Roman" w:hAnsi="Times New Roman"/>
          <w:lang w:val="sl-SI"/>
        </w:rPr>
      </w:pPr>
      <w:r w:rsidRPr="00C27EB7">
        <w:rPr>
          <w:rStyle w:val="Sprotnaopomba-sklic"/>
          <w:rFonts w:ascii="Times New Roman" w:hAnsi="Times New Roman"/>
        </w:rPr>
        <w:footnoteRef/>
      </w:r>
      <w:r w:rsidRPr="00C27EB7">
        <w:rPr>
          <w:rFonts w:ascii="Times New Roman" w:hAnsi="Times New Roman"/>
        </w:rPr>
        <w:t xml:space="preserve"> </w:t>
      </w:r>
      <w:proofErr w:type="spellStart"/>
      <w:r w:rsidRPr="00C27EB7">
        <w:rPr>
          <w:rFonts w:ascii="Times New Roman" w:hAnsi="Times New Roman"/>
          <w:lang w:val="sl-SI"/>
        </w:rPr>
        <w:t>Ibid</w:t>
      </w:r>
      <w:proofErr w:type="spellEnd"/>
      <w:r w:rsidRPr="00C27EB7">
        <w:rPr>
          <w:rFonts w:ascii="Times New Roman" w:hAnsi="Times New Roman"/>
          <w:lang w:val="sl-SI"/>
        </w:rPr>
        <w:t>.</w:t>
      </w:r>
    </w:p>
  </w:footnote>
  <w:footnote w:id="29">
    <w:p w14:paraId="2C816EFE" w14:textId="13167527" w:rsidR="00C27EB7" w:rsidRPr="00070C6A" w:rsidRDefault="00C27EB7">
      <w:pPr>
        <w:pStyle w:val="Sprotnaopomba-besedilo"/>
        <w:rPr>
          <w:rFonts w:ascii="Times New Roman" w:hAnsi="Times New Roman"/>
        </w:rPr>
      </w:pPr>
      <w:r w:rsidRPr="00070C6A">
        <w:rPr>
          <w:rStyle w:val="Sprotnaopomba-sklic"/>
          <w:rFonts w:ascii="Times New Roman" w:hAnsi="Times New Roman"/>
        </w:rPr>
        <w:footnoteRef/>
      </w:r>
      <w:r w:rsidRPr="00070C6A">
        <w:rPr>
          <w:rFonts w:ascii="Times New Roman" w:hAnsi="Times New Roman"/>
        </w:rPr>
        <w:t xml:space="preserve"> MacKay, supra note 26. See also Ogus, supra note </w:t>
      </w:r>
      <w:proofErr w:type="gramStart"/>
      <w:r w:rsidRPr="00070C6A">
        <w:rPr>
          <w:rFonts w:ascii="Times New Roman" w:hAnsi="Times New Roman"/>
        </w:rPr>
        <w:t>19;</w:t>
      </w:r>
      <w:proofErr w:type="gramEnd"/>
      <w:r w:rsidRPr="00070C6A">
        <w:rPr>
          <w:rFonts w:ascii="Times New Roman" w:hAnsi="Times New Roman"/>
        </w:rPr>
        <w:t xml:space="preserve"> and Posner, A. Richard. 2014. Economic Analysis of Law. 9th ed., New York: Wolters Kluwer.</w:t>
      </w:r>
    </w:p>
  </w:footnote>
  <w:footnote w:id="30">
    <w:p w14:paraId="0F366392" w14:textId="74BE7B9D" w:rsidR="00070C6A" w:rsidRPr="00070C6A" w:rsidRDefault="00070C6A">
      <w:pPr>
        <w:pStyle w:val="Sprotnaopomba-besedilo"/>
        <w:rPr>
          <w:rFonts w:ascii="Times New Roman" w:hAnsi="Times New Roman"/>
        </w:rPr>
      </w:pPr>
      <w:r w:rsidRPr="00070C6A">
        <w:rPr>
          <w:rStyle w:val="Sprotnaopomba-sklic"/>
          <w:rFonts w:ascii="Times New Roman" w:hAnsi="Times New Roman"/>
        </w:rPr>
        <w:footnoteRef/>
      </w:r>
      <w:r w:rsidRPr="00070C6A">
        <w:rPr>
          <w:rFonts w:ascii="Times New Roman" w:hAnsi="Times New Roman"/>
        </w:rPr>
        <w:t xml:space="preserve"> Posner, supra note 28.</w:t>
      </w:r>
    </w:p>
  </w:footnote>
  <w:footnote w:id="31">
    <w:p w14:paraId="2DB5F27D" w14:textId="46192122" w:rsidR="00070C6A" w:rsidRPr="00070C6A" w:rsidRDefault="00070C6A">
      <w:pPr>
        <w:pStyle w:val="Sprotnaopomba-besedilo"/>
        <w:rPr>
          <w:rFonts w:ascii="Times New Roman" w:hAnsi="Times New Roman"/>
        </w:rPr>
      </w:pPr>
      <w:r w:rsidRPr="00070C6A">
        <w:rPr>
          <w:rStyle w:val="Sprotnaopomba-sklic"/>
          <w:rFonts w:ascii="Times New Roman" w:hAnsi="Times New Roman"/>
        </w:rPr>
        <w:footnoteRef/>
      </w:r>
      <w:r w:rsidRPr="00070C6A">
        <w:rPr>
          <w:rFonts w:ascii="Times New Roman" w:hAnsi="Times New Roman"/>
        </w:rPr>
        <w:t xml:space="preserve"> See Ogus, supra note </w:t>
      </w:r>
      <w:proofErr w:type="gramStart"/>
      <w:r w:rsidRPr="00070C6A">
        <w:rPr>
          <w:rFonts w:ascii="Times New Roman" w:hAnsi="Times New Roman"/>
        </w:rPr>
        <w:t>19;</w:t>
      </w:r>
      <w:proofErr w:type="gramEnd"/>
      <w:r w:rsidRPr="00070C6A">
        <w:rPr>
          <w:rFonts w:ascii="Times New Roman" w:hAnsi="Times New Roman"/>
        </w:rPr>
        <w:t xml:space="preserve"> Viscusi, W. Kip, John M. Vernon, and Joseph E. Harrington. 1992. Economics of Regulation and Antitrust. Cambridge: MIT Press; and Kahn, E. Alfred. 1971. The Economics of Regulation: Principles and Institutions. Cambridge: MIT Press.</w:t>
      </w:r>
    </w:p>
  </w:footnote>
  <w:footnote w:id="32">
    <w:p w14:paraId="6F4C3FA1" w14:textId="1E445DA4" w:rsidR="00070C6A" w:rsidRPr="00070C6A" w:rsidRDefault="00070C6A">
      <w:pPr>
        <w:pStyle w:val="Sprotnaopomba-besedilo"/>
        <w:rPr>
          <w:rFonts w:ascii="Times New Roman" w:hAnsi="Times New Roman"/>
        </w:rPr>
      </w:pPr>
      <w:r w:rsidRPr="00070C6A">
        <w:rPr>
          <w:rStyle w:val="Sprotnaopomba-sklic"/>
          <w:rFonts w:ascii="Times New Roman" w:hAnsi="Times New Roman"/>
        </w:rPr>
        <w:footnoteRef/>
      </w:r>
      <w:r w:rsidRPr="00070C6A">
        <w:rPr>
          <w:rFonts w:ascii="Times New Roman" w:hAnsi="Times New Roman"/>
        </w:rPr>
        <w:t xml:space="preserve"> </w:t>
      </w:r>
      <w:proofErr w:type="spellStart"/>
      <w:r w:rsidRPr="00070C6A">
        <w:rPr>
          <w:rFonts w:ascii="Times New Roman" w:hAnsi="Times New Roman"/>
        </w:rPr>
        <w:t>Towfigh</w:t>
      </w:r>
      <w:proofErr w:type="spellEnd"/>
      <w:r w:rsidRPr="00070C6A">
        <w:rPr>
          <w:rFonts w:ascii="Times New Roman" w:hAnsi="Times New Roman"/>
        </w:rPr>
        <w:t xml:space="preserve">, V. Emanuel, and Niels Petersen. 2015. “Public and Social Choice Theory.” In Economic Methods for Lawyers, edited by Emanuel V. </w:t>
      </w:r>
      <w:proofErr w:type="spellStart"/>
      <w:r w:rsidRPr="00070C6A">
        <w:rPr>
          <w:rFonts w:ascii="Times New Roman" w:hAnsi="Times New Roman"/>
        </w:rPr>
        <w:t>Towfigh</w:t>
      </w:r>
      <w:proofErr w:type="spellEnd"/>
      <w:r w:rsidRPr="00070C6A">
        <w:rPr>
          <w:rFonts w:ascii="Times New Roman" w:hAnsi="Times New Roman"/>
        </w:rPr>
        <w:t xml:space="preserve"> and Niels Petersen, 121-146. Cheltenham: Edward Elgar.</w:t>
      </w:r>
    </w:p>
  </w:footnote>
  <w:footnote w:id="33">
    <w:p w14:paraId="5694E0A7" w14:textId="56830954" w:rsidR="00070C6A" w:rsidRPr="00070C6A" w:rsidRDefault="00070C6A">
      <w:pPr>
        <w:pStyle w:val="Sprotnaopomba-besedilo"/>
        <w:rPr>
          <w:lang w:val="sl-SI"/>
        </w:rPr>
      </w:pPr>
      <w:r>
        <w:rPr>
          <w:rStyle w:val="Sprotnaopomba-sklic"/>
        </w:rPr>
        <w:footnoteRef/>
      </w:r>
      <w:r>
        <w:t xml:space="preserve"> </w:t>
      </w:r>
      <w:proofErr w:type="spellStart"/>
      <w:r>
        <w:rPr>
          <w:lang w:val="sl-SI"/>
        </w:rPr>
        <w:t>Ibid</w:t>
      </w:r>
      <w:proofErr w:type="spellEnd"/>
      <w:r>
        <w:rPr>
          <w:lang w:val="sl-SI"/>
        </w:rPr>
        <w:t>.</w:t>
      </w:r>
    </w:p>
  </w:footnote>
  <w:footnote w:id="34">
    <w:p w14:paraId="3F1EE031" w14:textId="1CE9488F" w:rsidR="00070C6A" w:rsidRPr="00070C6A" w:rsidRDefault="00070C6A">
      <w:pPr>
        <w:pStyle w:val="Sprotnaopomba-besedilo"/>
        <w:rPr>
          <w:rFonts w:ascii="Times New Roman" w:hAnsi="Times New Roman"/>
        </w:rPr>
      </w:pPr>
      <w:r w:rsidRPr="00070C6A">
        <w:rPr>
          <w:rStyle w:val="Sprotnaopomba-sklic"/>
          <w:rFonts w:ascii="Times New Roman" w:hAnsi="Times New Roman"/>
        </w:rPr>
        <w:footnoteRef/>
      </w:r>
      <w:r w:rsidRPr="00070C6A">
        <w:rPr>
          <w:rFonts w:ascii="Times New Roman" w:hAnsi="Times New Roman"/>
        </w:rPr>
        <w:t xml:space="preserve"> See Mueller, C. Dennis. 2003. Public Choice III. Cambridge: Cambridge University Press; and Sunstein, R. Cass. 1985. Interest Groups in American Public Law. Stanford Law Review 38(29):  3829–3887.</w:t>
      </w:r>
    </w:p>
  </w:footnote>
  <w:footnote w:id="35">
    <w:p w14:paraId="1DF97E50" w14:textId="57616ADB" w:rsidR="00070C6A" w:rsidRPr="00070C6A" w:rsidRDefault="00070C6A">
      <w:pPr>
        <w:pStyle w:val="Sprotnaopomba-besedilo"/>
        <w:rPr>
          <w:rFonts w:ascii="Times New Roman" w:hAnsi="Times New Roman"/>
        </w:rPr>
      </w:pPr>
      <w:r w:rsidRPr="00070C6A">
        <w:rPr>
          <w:rStyle w:val="Sprotnaopomba-sklic"/>
          <w:rFonts w:ascii="Times New Roman" w:hAnsi="Times New Roman"/>
        </w:rPr>
        <w:footnoteRef/>
      </w:r>
      <w:r w:rsidRPr="00070C6A">
        <w:rPr>
          <w:rFonts w:ascii="Times New Roman" w:hAnsi="Times New Roman"/>
        </w:rPr>
        <w:t xml:space="preserve"> See </w:t>
      </w:r>
      <w:proofErr w:type="gramStart"/>
      <w:r w:rsidRPr="00070C6A">
        <w:rPr>
          <w:rFonts w:ascii="Times New Roman" w:hAnsi="Times New Roman"/>
        </w:rPr>
        <w:t>e.g.</w:t>
      </w:r>
      <w:proofErr w:type="gramEnd"/>
      <w:r w:rsidRPr="00070C6A">
        <w:rPr>
          <w:rFonts w:ascii="Times New Roman" w:hAnsi="Times New Roman"/>
        </w:rPr>
        <w:t xml:space="preserve"> Tullock, Gordon. 1965. The Politics of Bureaucracy. Washington D.C.: Public Affairs Press; Downs, Anthony. 1967. Inside Bureaucracy. Boston: Little, Brown and Company; and Niskanen, A. William. 1971. Bureaucracy and Representative Government. Chicago: Aldine.</w:t>
      </w:r>
    </w:p>
  </w:footnote>
  <w:footnote w:id="36">
    <w:p w14:paraId="55055626" w14:textId="5C26E300" w:rsidR="00070C6A" w:rsidRPr="00070C6A" w:rsidRDefault="00070C6A">
      <w:pPr>
        <w:pStyle w:val="Sprotnaopomba-besedilo"/>
        <w:rPr>
          <w:rFonts w:ascii="Times New Roman" w:hAnsi="Times New Roman"/>
        </w:rPr>
      </w:pPr>
      <w:r w:rsidRPr="00070C6A">
        <w:rPr>
          <w:rStyle w:val="Sprotnaopomba-sklic"/>
          <w:rFonts w:ascii="Times New Roman" w:hAnsi="Times New Roman"/>
        </w:rPr>
        <w:footnoteRef/>
      </w:r>
      <w:r w:rsidRPr="00070C6A">
        <w:rPr>
          <w:rFonts w:ascii="Times New Roman" w:hAnsi="Times New Roman"/>
        </w:rPr>
        <w:t xml:space="preserve"> </w:t>
      </w:r>
      <w:bookmarkStart w:id="19" w:name="_Hlk135661807"/>
      <w:proofErr w:type="spellStart"/>
      <w:r w:rsidRPr="00070C6A">
        <w:rPr>
          <w:rFonts w:ascii="Times New Roman" w:hAnsi="Times New Roman"/>
        </w:rPr>
        <w:t>Towfigh</w:t>
      </w:r>
      <w:proofErr w:type="spellEnd"/>
      <w:r w:rsidRPr="00070C6A">
        <w:rPr>
          <w:rFonts w:ascii="Times New Roman" w:hAnsi="Times New Roman"/>
        </w:rPr>
        <w:t xml:space="preserve"> and Petersen, supra note 31.</w:t>
      </w:r>
    </w:p>
    <w:bookmarkEnd w:id="19"/>
  </w:footnote>
  <w:footnote w:id="37">
    <w:p w14:paraId="613AA392" w14:textId="536CDECD" w:rsidR="00070C6A" w:rsidRPr="00070C6A" w:rsidRDefault="00070C6A">
      <w:pPr>
        <w:pStyle w:val="Sprotnaopomba-besedilo"/>
        <w:rPr>
          <w:rFonts w:ascii="Times New Roman" w:hAnsi="Times New Roman"/>
        </w:rPr>
      </w:pPr>
      <w:r w:rsidRPr="00070C6A">
        <w:rPr>
          <w:rStyle w:val="Sprotnaopomba-sklic"/>
          <w:rFonts w:ascii="Times New Roman" w:hAnsi="Times New Roman"/>
        </w:rPr>
        <w:footnoteRef/>
      </w:r>
      <w:r w:rsidRPr="00070C6A">
        <w:rPr>
          <w:rFonts w:ascii="Times New Roman" w:hAnsi="Times New Roman"/>
        </w:rPr>
        <w:t xml:space="preserve"> </w:t>
      </w:r>
      <w:r>
        <w:rPr>
          <w:rFonts w:ascii="Times New Roman" w:hAnsi="Times New Roman"/>
        </w:rPr>
        <w:t xml:space="preserve">See </w:t>
      </w:r>
      <w:proofErr w:type="gramStart"/>
      <w:r>
        <w:rPr>
          <w:rFonts w:ascii="Times New Roman" w:hAnsi="Times New Roman"/>
        </w:rPr>
        <w:t>e.g.</w:t>
      </w:r>
      <w:proofErr w:type="gramEnd"/>
      <w:r>
        <w:rPr>
          <w:rFonts w:ascii="Times New Roman" w:hAnsi="Times New Roman"/>
        </w:rPr>
        <w:t xml:space="preserve"> </w:t>
      </w:r>
      <w:r w:rsidRPr="00070C6A">
        <w:rPr>
          <w:rFonts w:ascii="Times New Roman" w:hAnsi="Times New Roman"/>
        </w:rPr>
        <w:t xml:space="preserve">Tullock, supra note 34; Niskanen, supra note 34; and </w:t>
      </w:r>
      <w:proofErr w:type="spellStart"/>
      <w:r w:rsidRPr="00070C6A">
        <w:rPr>
          <w:rFonts w:ascii="Times New Roman" w:hAnsi="Times New Roman"/>
        </w:rPr>
        <w:t>Towfigh</w:t>
      </w:r>
      <w:proofErr w:type="spellEnd"/>
      <w:r w:rsidRPr="00070C6A">
        <w:rPr>
          <w:rFonts w:ascii="Times New Roman" w:hAnsi="Times New Roman"/>
        </w:rPr>
        <w:t xml:space="preserve"> and Petersen, supra note 31.</w:t>
      </w:r>
    </w:p>
  </w:footnote>
  <w:footnote w:id="38">
    <w:p w14:paraId="30EBE9E9" w14:textId="49E076B2" w:rsidR="007B2C85" w:rsidRPr="00725B87" w:rsidRDefault="007B2C85">
      <w:pPr>
        <w:pStyle w:val="Sprotnaopomba-besedilo"/>
        <w:rPr>
          <w:rFonts w:ascii="Times New Roman" w:hAnsi="Times New Roman"/>
        </w:rPr>
      </w:pPr>
      <w:r w:rsidRPr="00725B87">
        <w:rPr>
          <w:rStyle w:val="Sprotnaopomba-sklic"/>
          <w:rFonts w:ascii="Times New Roman" w:hAnsi="Times New Roman"/>
        </w:rPr>
        <w:footnoteRef/>
      </w:r>
      <w:r w:rsidRPr="00725B87">
        <w:rPr>
          <w:rFonts w:ascii="Times New Roman" w:hAnsi="Times New Roman"/>
        </w:rPr>
        <w:t xml:space="preserve"> Levine, E. Michael, and Jennifer L. </w:t>
      </w:r>
      <w:proofErr w:type="spellStart"/>
      <w:r w:rsidRPr="00725B87">
        <w:rPr>
          <w:rFonts w:ascii="Times New Roman" w:hAnsi="Times New Roman"/>
        </w:rPr>
        <w:t>Forrence</w:t>
      </w:r>
      <w:proofErr w:type="spellEnd"/>
      <w:r w:rsidRPr="00725B87">
        <w:rPr>
          <w:rFonts w:ascii="Times New Roman" w:hAnsi="Times New Roman"/>
        </w:rPr>
        <w:t>. 1990. “Regulatory Capture, Public Interest, and the Public Agenda: Towards a Synthesis.” Journal of Law, Economics and Organization 6(4): 167-191.</w:t>
      </w:r>
    </w:p>
  </w:footnote>
  <w:footnote w:id="39">
    <w:p w14:paraId="700438A1" w14:textId="42599F6F" w:rsidR="007B2C85" w:rsidRPr="00725B87" w:rsidRDefault="007B2C85">
      <w:pPr>
        <w:pStyle w:val="Sprotnaopomba-besedilo"/>
        <w:rPr>
          <w:rFonts w:ascii="Times New Roman" w:hAnsi="Times New Roman"/>
        </w:rPr>
      </w:pPr>
      <w:r w:rsidRPr="00725B87">
        <w:rPr>
          <w:rStyle w:val="Sprotnaopomba-sklic"/>
          <w:rFonts w:ascii="Times New Roman" w:hAnsi="Times New Roman"/>
        </w:rPr>
        <w:footnoteRef/>
      </w:r>
      <w:r w:rsidRPr="00725B87">
        <w:rPr>
          <w:rFonts w:ascii="Times New Roman" w:hAnsi="Times New Roman"/>
        </w:rPr>
        <w:t xml:space="preserve"> Ibid.</w:t>
      </w:r>
    </w:p>
  </w:footnote>
  <w:footnote w:id="40">
    <w:p w14:paraId="0976B28E" w14:textId="2B247E17" w:rsidR="007B2C85" w:rsidRPr="00725B87" w:rsidRDefault="007B2C85">
      <w:pPr>
        <w:pStyle w:val="Sprotnaopomba-besedilo"/>
        <w:rPr>
          <w:rFonts w:ascii="Times New Roman" w:hAnsi="Times New Roman"/>
        </w:rPr>
      </w:pPr>
      <w:r w:rsidRPr="00725B87">
        <w:rPr>
          <w:rStyle w:val="Sprotnaopomba-sklic"/>
          <w:rFonts w:ascii="Times New Roman" w:hAnsi="Times New Roman"/>
        </w:rPr>
        <w:footnoteRef/>
      </w:r>
      <w:r w:rsidRPr="00725B87">
        <w:rPr>
          <w:rFonts w:ascii="Times New Roman" w:hAnsi="Times New Roman"/>
        </w:rPr>
        <w:t xml:space="preserve"> See Cranston, Ross. 1979. Regulating Business-Law and Consumer Agencies. London: Palgrave MacMillan; and Gunningham, Neil. 1974. Pollution, Social </w:t>
      </w:r>
      <w:proofErr w:type="gramStart"/>
      <w:r w:rsidRPr="00725B87">
        <w:rPr>
          <w:rFonts w:ascii="Times New Roman" w:hAnsi="Times New Roman"/>
        </w:rPr>
        <w:t>Interest</w:t>
      </w:r>
      <w:proofErr w:type="gramEnd"/>
      <w:r w:rsidRPr="00725B87">
        <w:rPr>
          <w:rFonts w:ascii="Times New Roman" w:hAnsi="Times New Roman"/>
        </w:rPr>
        <w:t xml:space="preserve"> and the Law. New Jersey: Wiley-Blackwell.</w:t>
      </w:r>
    </w:p>
  </w:footnote>
  <w:footnote w:id="41">
    <w:p w14:paraId="1A819342" w14:textId="4BB63AD1" w:rsidR="00123EE0" w:rsidRPr="00123EE0" w:rsidRDefault="00123EE0">
      <w:pPr>
        <w:pStyle w:val="Sprotnaopomba-besedilo"/>
        <w:rPr>
          <w:rFonts w:ascii="Times New Roman" w:hAnsi="Times New Roman"/>
        </w:rPr>
      </w:pPr>
      <w:r>
        <w:rPr>
          <w:rStyle w:val="Sprotnaopomba-sklic"/>
        </w:rPr>
        <w:footnoteRef/>
      </w:r>
      <w:r>
        <w:t xml:space="preserve"> </w:t>
      </w:r>
      <w:r w:rsidRPr="00123EE0">
        <w:rPr>
          <w:rFonts w:ascii="Times New Roman" w:hAnsi="Times New Roman"/>
        </w:rPr>
        <w:t xml:space="preserve">For a synthesis see </w:t>
      </w:r>
      <w:bookmarkStart w:id="21" w:name="_Hlk135755544"/>
      <w:r w:rsidRPr="00123EE0">
        <w:rPr>
          <w:rFonts w:ascii="Times New Roman" w:hAnsi="Times New Roman"/>
        </w:rPr>
        <w:t>Baldwin Robert, Martin Cave and Martin Lodge, “The Oxford Handbook of Regulation,” Oxford University Press, 2010.</w:t>
      </w:r>
      <w:r w:rsidR="00734DD5">
        <w:rPr>
          <w:rFonts w:ascii="Times New Roman" w:hAnsi="Times New Roman"/>
        </w:rPr>
        <w:t xml:space="preserve"> See also Sparrow K. Malcom, “Fundamentals of Regulatory Design,” </w:t>
      </w:r>
      <w:r w:rsidR="00223746">
        <w:rPr>
          <w:rFonts w:ascii="Times New Roman" w:hAnsi="Times New Roman"/>
        </w:rPr>
        <w:t xml:space="preserve">Harvard University Press, </w:t>
      </w:r>
      <w:r w:rsidR="00734DD5">
        <w:rPr>
          <w:rFonts w:ascii="Times New Roman" w:hAnsi="Times New Roman"/>
        </w:rPr>
        <w:t>2020.</w:t>
      </w:r>
    </w:p>
    <w:bookmarkEnd w:id="21"/>
  </w:footnote>
  <w:footnote w:id="42">
    <w:p w14:paraId="3970584D" w14:textId="23B535EE" w:rsidR="00123EE0" w:rsidRPr="00370EB4" w:rsidRDefault="00123EE0">
      <w:pPr>
        <w:pStyle w:val="Sprotnaopomba-besedilo"/>
        <w:rPr>
          <w:rFonts w:ascii="Times New Roman" w:hAnsi="Times New Roman"/>
        </w:rPr>
      </w:pPr>
      <w:r w:rsidRPr="00370EB4">
        <w:rPr>
          <w:rStyle w:val="Sprotnaopomba-sklic"/>
          <w:rFonts w:ascii="Times New Roman" w:hAnsi="Times New Roman"/>
        </w:rPr>
        <w:footnoteRef/>
      </w:r>
      <w:r w:rsidRPr="00370EB4">
        <w:rPr>
          <w:rFonts w:ascii="Times New Roman" w:hAnsi="Times New Roman"/>
        </w:rPr>
        <w:t xml:space="preserve"> Ibid at p. 7. See also </w:t>
      </w:r>
      <w:r w:rsidR="00CE1FD4" w:rsidRPr="00370EB4">
        <w:rPr>
          <w:rFonts w:ascii="Times New Roman" w:hAnsi="Times New Roman"/>
        </w:rPr>
        <w:t>Lodge</w:t>
      </w:r>
      <w:r w:rsidR="006F0A9B" w:rsidRPr="00370EB4">
        <w:rPr>
          <w:rFonts w:ascii="Times New Roman" w:hAnsi="Times New Roman"/>
        </w:rPr>
        <w:t xml:space="preserve">, </w:t>
      </w:r>
      <w:proofErr w:type="gramStart"/>
      <w:r w:rsidR="006F0A9B" w:rsidRPr="00370EB4">
        <w:rPr>
          <w:rFonts w:ascii="Times New Roman" w:hAnsi="Times New Roman"/>
        </w:rPr>
        <w:t>Michael</w:t>
      </w:r>
      <w:proofErr w:type="gramEnd"/>
      <w:r w:rsidR="00CE1FD4" w:rsidRPr="00370EB4">
        <w:rPr>
          <w:rFonts w:ascii="Times New Roman" w:hAnsi="Times New Roman"/>
        </w:rPr>
        <w:t xml:space="preserve"> and </w:t>
      </w:r>
      <w:r w:rsidR="006F0A9B" w:rsidRPr="00370EB4">
        <w:rPr>
          <w:rFonts w:ascii="Times New Roman" w:hAnsi="Times New Roman"/>
        </w:rPr>
        <w:t xml:space="preserve">K. </w:t>
      </w:r>
      <w:proofErr w:type="spellStart"/>
      <w:r w:rsidR="00CE1FD4" w:rsidRPr="00370EB4">
        <w:rPr>
          <w:rFonts w:ascii="Times New Roman" w:hAnsi="Times New Roman"/>
        </w:rPr>
        <w:t>Wegrich</w:t>
      </w:r>
      <w:proofErr w:type="spellEnd"/>
      <w:r w:rsidR="006F0A9B" w:rsidRPr="00370EB4">
        <w:rPr>
          <w:rFonts w:ascii="Times New Roman" w:hAnsi="Times New Roman"/>
        </w:rPr>
        <w:t xml:space="preserve">, “High Quality Regulation: Its </w:t>
      </w:r>
      <w:proofErr w:type="spellStart"/>
      <w:r w:rsidR="006F0A9B" w:rsidRPr="00370EB4">
        <w:rPr>
          <w:rFonts w:ascii="Times New Roman" w:hAnsi="Times New Roman"/>
        </w:rPr>
        <w:t>Polularity</w:t>
      </w:r>
      <w:proofErr w:type="spellEnd"/>
      <w:r w:rsidR="006F0A9B" w:rsidRPr="00370EB4">
        <w:rPr>
          <w:rFonts w:ascii="Times New Roman" w:hAnsi="Times New Roman"/>
        </w:rPr>
        <w:t>, Its Tools and Its Future,” 29 Public Money and Management 3,</w:t>
      </w:r>
      <w:r w:rsidR="00CE1FD4" w:rsidRPr="00370EB4">
        <w:rPr>
          <w:rFonts w:ascii="Times New Roman" w:hAnsi="Times New Roman"/>
        </w:rPr>
        <w:t xml:space="preserve"> 2009</w:t>
      </w:r>
      <w:r w:rsidR="006F0A9B" w:rsidRPr="00370EB4">
        <w:rPr>
          <w:rFonts w:ascii="Times New Roman" w:hAnsi="Times New Roman"/>
        </w:rPr>
        <w:t>, pp. 145-152</w:t>
      </w:r>
      <w:r w:rsidR="00CE1FD4" w:rsidRPr="00370EB4">
        <w:rPr>
          <w:rFonts w:ascii="Times New Roman" w:hAnsi="Times New Roman"/>
        </w:rPr>
        <w:t>.</w:t>
      </w:r>
    </w:p>
  </w:footnote>
  <w:footnote w:id="43">
    <w:p w14:paraId="1FB793CF" w14:textId="2B6FC35E" w:rsidR="00CE1FD4" w:rsidRPr="00370EB4" w:rsidRDefault="00CE1FD4">
      <w:pPr>
        <w:pStyle w:val="Sprotnaopomba-besedilo"/>
        <w:rPr>
          <w:rFonts w:ascii="Times New Roman" w:hAnsi="Times New Roman"/>
          <w:lang w:val="fr-FR"/>
        </w:rPr>
      </w:pPr>
      <w:r w:rsidRPr="00370EB4">
        <w:rPr>
          <w:rStyle w:val="Sprotnaopomba-sklic"/>
          <w:rFonts w:ascii="Times New Roman" w:hAnsi="Times New Roman"/>
        </w:rPr>
        <w:footnoteRef/>
      </w:r>
      <w:r w:rsidRPr="00370EB4">
        <w:rPr>
          <w:rFonts w:ascii="Times New Roman" w:hAnsi="Times New Roman"/>
          <w:lang w:val="fr-FR"/>
        </w:rPr>
        <w:t xml:space="preserve"> </w:t>
      </w:r>
      <w:r w:rsidR="006F0A9B" w:rsidRPr="00370EB4">
        <w:rPr>
          <w:rFonts w:ascii="Times New Roman" w:hAnsi="Times New Roman"/>
          <w:lang w:val="fr-FR"/>
        </w:rPr>
        <w:t>Baldwin et al., supra note 41</w:t>
      </w:r>
      <w:r w:rsidRPr="00370EB4">
        <w:rPr>
          <w:rFonts w:ascii="Times New Roman" w:hAnsi="Times New Roman"/>
          <w:lang w:val="fr-FR"/>
        </w:rPr>
        <w:t>.</w:t>
      </w:r>
    </w:p>
  </w:footnote>
  <w:footnote w:id="44">
    <w:p w14:paraId="527F03E1" w14:textId="334F1806" w:rsidR="00CE1FD4" w:rsidRPr="00370EB4" w:rsidRDefault="00CE1FD4">
      <w:pPr>
        <w:pStyle w:val="Sprotnaopomba-besedilo"/>
        <w:rPr>
          <w:rFonts w:ascii="Times New Roman" w:hAnsi="Times New Roman"/>
        </w:rPr>
      </w:pPr>
      <w:r w:rsidRPr="00370EB4">
        <w:rPr>
          <w:rStyle w:val="Sprotnaopomba-sklic"/>
          <w:rFonts w:ascii="Times New Roman" w:hAnsi="Times New Roman"/>
        </w:rPr>
        <w:footnoteRef/>
      </w:r>
      <w:r w:rsidRPr="00370EB4">
        <w:rPr>
          <w:rFonts w:ascii="Times New Roman" w:hAnsi="Times New Roman"/>
        </w:rPr>
        <w:t xml:space="preserve"> See e.g. Braithwaite</w:t>
      </w:r>
      <w:r w:rsidR="006F0A9B" w:rsidRPr="00370EB4">
        <w:rPr>
          <w:rFonts w:ascii="Times New Roman" w:hAnsi="Times New Roman"/>
        </w:rPr>
        <w:t xml:space="preserve"> John, “Meta Risk Management and Responsive Regulation for Tax System Integrity,” 25 Law and Policy 1, </w:t>
      </w:r>
      <w:r w:rsidRPr="00370EB4">
        <w:rPr>
          <w:rFonts w:ascii="Times New Roman" w:hAnsi="Times New Roman"/>
        </w:rPr>
        <w:t>2003</w:t>
      </w:r>
      <w:r w:rsidR="006F0A9B" w:rsidRPr="00370EB4">
        <w:rPr>
          <w:rFonts w:ascii="Times New Roman" w:hAnsi="Times New Roman"/>
        </w:rPr>
        <w:t>, pp. 1-16</w:t>
      </w:r>
      <w:r w:rsidRPr="00370EB4">
        <w:rPr>
          <w:rFonts w:ascii="Times New Roman" w:hAnsi="Times New Roman"/>
        </w:rPr>
        <w:t>; Coglianese</w:t>
      </w:r>
      <w:r w:rsidR="006F0A9B" w:rsidRPr="00370EB4">
        <w:rPr>
          <w:rFonts w:ascii="Times New Roman" w:hAnsi="Times New Roman"/>
        </w:rPr>
        <w:t>, C.</w:t>
      </w:r>
      <w:r w:rsidRPr="00370EB4">
        <w:rPr>
          <w:rFonts w:ascii="Times New Roman" w:hAnsi="Times New Roman"/>
        </w:rPr>
        <w:t xml:space="preserve"> and</w:t>
      </w:r>
      <w:r w:rsidR="006F0A9B" w:rsidRPr="00370EB4">
        <w:rPr>
          <w:rFonts w:ascii="Times New Roman" w:hAnsi="Times New Roman"/>
        </w:rPr>
        <w:t xml:space="preserve"> D.</w:t>
      </w:r>
      <w:r w:rsidRPr="00370EB4">
        <w:rPr>
          <w:rFonts w:ascii="Times New Roman" w:hAnsi="Times New Roman"/>
        </w:rPr>
        <w:t xml:space="preserve"> Lazar</w:t>
      </w:r>
      <w:r w:rsidR="006F0A9B" w:rsidRPr="00370EB4">
        <w:rPr>
          <w:rFonts w:ascii="Times New Roman" w:hAnsi="Times New Roman"/>
        </w:rPr>
        <w:t>, “Management Based Regulation: Prescribing Private Management to Achieve Public Goals,” 37 Law and Society Review 1,</w:t>
      </w:r>
      <w:r w:rsidRPr="00370EB4">
        <w:rPr>
          <w:rFonts w:ascii="Times New Roman" w:hAnsi="Times New Roman"/>
        </w:rPr>
        <w:t xml:space="preserve"> 2003</w:t>
      </w:r>
      <w:r w:rsidR="006F0A9B" w:rsidRPr="00370EB4">
        <w:rPr>
          <w:rFonts w:ascii="Times New Roman" w:hAnsi="Times New Roman"/>
        </w:rPr>
        <w:t>, pp. 691-730</w:t>
      </w:r>
      <w:r w:rsidRPr="00370EB4">
        <w:rPr>
          <w:rFonts w:ascii="Times New Roman" w:hAnsi="Times New Roman"/>
        </w:rPr>
        <w:t>; May</w:t>
      </w:r>
      <w:r w:rsidR="006F0A9B" w:rsidRPr="00370EB4">
        <w:rPr>
          <w:rFonts w:ascii="Times New Roman" w:hAnsi="Times New Roman"/>
        </w:rPr>
        <w:t>, P., “Performance-based Regulation and Regulatory Regimes: The Saga of Leaky Buildings,” 25 Law and Policy 2,</w:t>
      </w:r>
      <w:r w:rsidRPr="00370EB4">
        <w:rPr>
          <w:rFonts w:ascii="Times New Roman" w:hAnsi="Times New Roman"/>
        </w:rPr>
        <w:t xml:space="preserve"> 2003</w:t>
      </w:r>
      <w:r w:rsidR="006F0A9B" w:rsidRPr="00370EB4">
        <w:rPr>
          <w:rFonts w:ascii="Times New Roman" w:hAnsi="Times New Roman"/>
        </w:rPr>
        <w:t>, pp. 381-401;</w:t>
      </w:r>
      <w:r w:rsidRPr="00370EB4">
        <w:rPr>
          <w:rFonts w:ascii="Times New Roman" w:hAnsi="Times New Roman"/>
        </w:rPr>
        <w:t xml:space="preserve"> and Parker</w:t>
      </w:r>
      <w:r w:rsidR="006F0A9B" w:rsidRPr="00370EB4">
        <w:rPr>
          <w:rFonts w:ascii="Times New Roman" w:hAnsi="Times New Roman"/>
        </w:rPr>
        <w:t xml:space="preserve">, C., “Regulator-required Corporate Compliance Program </w:t>
      </w:r>
      <w:proofErr w:type="spellStart"/>
      <w:r w:rsidR="006F0A9B" w:rsidRPr="00370EB4">
        <w:rPr>
          <w:rFonts w:ascii="Times New Roman" w:hAnsi="Times New Roman"/>
        </w:rPr>
        <w:t>Audity</w:t>
      </w:r>
      <w:proofErr w:type="spellEnd"/>
      <w:r w:rsidR="006F0A9B" w:rsidRPr="00370EB4">
        <w:rPr>
          <w:rFonts w:ascii="Times New Roman" w:hAnsi="Times New Roman"/>
        </w:rPr>
        <w:t>,” 25 Law and Policy 3,</w:t>
      </w:r>
      <w:r w:rsidRPr="00370EB4">
        <w:rPr>
          <w:rFonts w:ascii="Times New Roman" w:hAnsi="Times New Roman"/>
        </w:rPr>
        <w:t xml:space="preserve"> 2003</w:t>
      </w:r>
      <w:r w:rsidR="006F0A9B" w:rsidRPr="00370EB4">
        <w:rPr>
          <w:rFonts w:ascii="Times New Roman" w:hAnsi="Times New Roman"/>
        </w:rPr>
        <w:t>, pp. 221-244</w:t>
      </w:r>
      <w:r w:rsidRPr="00370EB4">
        <w:rPr>
          <w:rFonts w:ascii="Times New Roman" w:hAnsi="Times New Roman"/>
        </w:rPr>
        <w:t>.</w:t>
      </w:r>
    </w:p>
  </w:footnote>
  <w:footnote w:id="45">
    <w:p w14:paraId="707A6D4A" w14:textId="4ABB8BFD" w:rsidR="00CE1FD4" w:rsidRPr="00370EB4" w:rsidRDefault="00CE1FD4">
      <w:pPr>
        <w:pStyle w:val="Sprotnaopomba-besedilo"/>
        <w:rPr>
          <w:rFonts w:ascii="Times New Roman" w:hAnsi="Times New Roman"/>
        </w:rPr>
      </w:pPr>
      <w:r w:rsidRPr="00370EB4">
        <w:rPr>
          <w:rStyle w:val="Sprotnaopomba-sklic"/>
          <w:rFonts w:ascii="Times New Roman" w:hAnsi="Times New Roman"/>
        </w:rPr>
        <w:footnoteRef/>
      </w:r>
      <w:r w:rsidRPr="00370EB4">
        <w:rPr>
          <w:rFonts w:ascii="Times New Roman" w:hAnsi="Times New Roman"/>
        </w:rPr>
        <w:t xml:space="preserve"> See </w:t>
      </w:r>
      <w:proofErr w:type="gramStart"/>
      <w:r w:rsidRPr="00370EB4">
        <w:rPr>
          <w:rFonts w:ascii="Times New Roman" w:hAnsi="Times New Roman"/>
        </w:rPr>
        <w:t>e.g.</w:t>
      </w:r>
      <w:proofErr w:type="gramEnd"/>
      <w:r w:rsidRPr="00370EB4">
        <w:rPr>
          <w:rFonts w:ascii="Times New Roman" w:hAnsi="Times New Roman"/>
        </w:rPr>
        <w:t xml:space="preserve"> Black</w:t>
      </w:r>
      <w:r w:rsidR="006F0A9B" w:rsidRPr="00370EB4">
        <w:rPr>
          <w:rFonts w:ascii="Times New Roman" w:hAnsi="Times New Roman"/>
        </w:rPr>
        <w:t xml:space="preserve"> John, “The Emergence oof Risk-based Regulation and the New Public Risk Management in the UK,” Public Law,</w:t>
      </w:r>
      <w:r w:rsidRPr="00370EB4">
        <w:rPr>
          <w:rFonts w:ascii="Times New Roman" w:hAnsi="Times New Roman"/>
        </w:rPr>
        <w:t xml:space="preserve"> 2005</w:t>
      </w:r>
      <w:r w:rsidR="006F0A9B" w:rsidRPr="00370EB4">
        <w:rPr>
          <w:rFonts w:ascii="Times New Roman" w:hAnsi="Times New Roman"/>
        </w:rPr>
        <w:t>, pp. 512-549</w:t>
      </w:r>
      <w:r w:rsidRPr="00370EB4">
        <w:rPr>
          <w:rFonts w:ascii="Times New Roman" w:hAnsi="Times New Roman"/>
        </w:rPr>
        <w:t>; Hu</w:t>
      </w:r>
      <w:r w:rsidR="006F0A9B" w:rsidRPr="00370EB4">
        <w:rPr>
          <w:rFonts w:ascii="Times New Roman" w:hAnsi="Times New Roman"/>
        </w:rPr>
        <w:t>tter, B., “Regulation and Risk: Occupational Health and Safety on the Railways,” Oxford: Oxford University Press,</w:t>
      </w:r>
      <w:r w:rsidRPr="00370EB4">
        <w:rPr>
          <w:rFonts w:ascii="Times New Roman" w:hAnsi="Times New Roman"/>
        </w:rPr>
        <w:t xml:space="preserve"> 2001; Hood,</w:t>
      </w:r>
      <w:r w:rsidR="006F0A9B" w:rsidRPr="00370EB4">
        <w:rPr>
          <w:rFonts w:ascii="Times New Roman" w:hAnsi="Times New Roman"/>
        </w:rPr>
        <w:t xml:space="preserve"> C., James O., Peters, G.B., and C. Scott, “Controlling </w:t>
      </w:r>
      <w:r w:rsidR="00370EB4" w:rsidRPr="00370EB4">
        <w:rPr>
          <w:rFonts w:ascii="Times New Roman" w:hAnsi="Times New Roman"/>
        </w:rPr>
        <w:t>Modern Government,” Cheltenham: Edward Elgar, 2004.</w:t>
      </w:r>
    </w:p>
  </w:footnote>
  <w:footnote w:id="46">
    <w:p w14:paraId="43E71952" w14:textId="69D11A0E" w:rsidR="00CE1FD4" w:rsidRPr="00441BCA" w:rsidRDefault="00CE1FD4">
      <w:pPr>
        <w:pStyle w:val="Sprotnaopomba-besedilo"/>
        <w:rPr>
          <w:rFonts w:ascii="Times New Roman" w:hAnsi="Times New Roman"/>
        </w:rPr>
      </w:pPr>
      <w:r w:rsidRPr="00441BCA">
        <w:rPr>
          <w:rStyle w:val="Sprotnaopomba-sklic"/>
          <w:rFonts w:ascii="Times New Roman" w:hAnsi="Times New Roman"/>
        </w:rPr>
        <w:footnoteRef/>
      </w:r>
      <w:r w:rsidRPr="00441BCA">
        <w:rPr>
          <w:rFonts w:ascii="Times New Roman" w:hAnsi="Times New Roman"/>
        </w:rPr>
        <w:t xml:space="preserve"> For </w:t>
      </w:r>
      <w:proofErr w:type="gramStart"/>
      <w:r w:rsidRPr="00441BCA">
        <w:rPr>
          <w:rFonts w:ascii="Times New Roman" w:hAnsi="Times New Roman"/>
        </w:rPr>
        <w:t>example</w:t>
      </w:r>
      <w:proofErr w:type="gramEnd"/>
      <w:r w:rsidRPr="00441BCA">
        <w:rPr>
          <w:rFonts w:ascii="Times New Roman" w:hAnsi="Times New Roman"/>
        </w:rPr>
        <w:t xml:space="preserve"> there is a vast literature on interest groups, regulatory space, principal-agent and transaction based regulatory approaches, culture</w:t>
      </w:r>
      <w:r w:rsidR="00C840E7" w:rsidRPr="00441BCA">
        <w:rPr>
          <w:rFonts w:ascii="Times New Roman" w:hAnsi="Times New Roman"/>
        </w:rPr>
        <w:t xml:space="preserve"> and discourse regulatory school. See e.g. Barke</w:t>
      </w:r>
      <w:r w:rsidR="00441BCA">
        <w:rPr>
          <w:rFonts w:ascii="Times New Roman" w:hAnsi="Times New Roman"/>
        </w:rPr>
        <w:t>, R. P.,</w:t>
      </w:r>
      <w:r w:rsidR="00C840E7" w:rsidRPr="00441BCA">
        <w:rPr>
          <w:rFonts w:ascii="Times New Roman" w:hAnsi="Times New Roman"/>
        </w:rPr>
        <w:t xml:space="preserve"> and</w:t>
      </w:r>
      <w:r w:rsidR="00441BCA">
        <w:rPr>
          <w:rFonts w:ascii="Times New Roman" w:hAnsi="Times New Roman"/>
        </w:rPr>
        <w:t xml:space="preserve"> W.</w:t>
      </w:r>
      <w:r w:rsidR="00C840E7" w:rsidRPr="00441BCA">
        <w:rPr>
          <w:rFonts w:ascii="Times New Roman" w:hAnsi="Times New Roman"/>
        </w:rPr>
        <w:t xml:space="preserve"> Riker</w:t>
      </w:r>
      <w:r w:rsidR="00441BCA">
        <w:rPr>
          <w:rFonts w:ascii="Times New Roman" w:hAnsi="Times New Roman"/>
        </w:rPr>
        <w:t>, “A Political Theory of Regulation with some Observations on Railway Abandonments,” 39 Public Choice 1,</w:t>
      </w:r>
      <w:r w:rsidR="00C840E7" w:rsidRPr="00441BCA">
        <w:rPr>
          <w:rFonts w:ascii="Times New Roman" w:hAnsi="Times New Roman"/>
        </w:rPr>
        <w:t xml:space="preserve"> 1982</w:t>
      </w:r>
      <w:r w:rsidR="00441BCA">
        <w:rPr>
          <w:rFonts w:ascii="Times New Roman" w:hAnsi="Times New Roman"/>
        </w:rPr>
        <w:t>, pp. 37-106;</w:t>
      </w:r>
      <w:r w:rsidR="00C840E7" w:rsidRPr="00441BCA">
        <w:rPr>
          <w:rFonts w:ascii="Times New Roman" w:hAnsi="Times New Roman"/>
        </w:rPr>
        <w:t xml:space="preserve"> Wilson</w:t>
      </w:r>
      <w:r w:rsidR="007F5203">
        <w:rPr>
          <w:rFonts w:ascii="Times New Roman" w:hAnsi="Times New Roman"/>
        </w:rPr>
        <w:t>, J. Q., “The Politics of Regulation,” in J. Q. Wilson (ed.), “The Politics of Regulation,” New York: Basic Books,</w:t>
      </w:r>
      <w:r w:rsidR="00C840E7" w:rsidRPr="00441BCA">
        <w:rPr>
          <w:rFonts w:ascii="Times New Roman" w:hAnsi="Times New Roman"/>
        </w:rPr>
        <w:t xml:space="preserve"> 1980</w:t>
      </w:r>
      <w:r w:rsidR="007F5203">
        <w:rPr>
          <w:rFonts w:ascii="Times New Roman" w:hAnsi="Times New Roman"/>
        </w:rPr>
        <w:t>;</w:t>
      </w:r>
      <w:r w:rsidR="00C840E7" w:rsidRPr="00441BCA">
        <w:rPr>
          <w:rFonts w:ascii="Times New Roman" w:hAnsi="Times New Roman"/>
        </w:rPr>
        <w:t xml:space="preserve"> Scott</w:t>
      </w:r>
      <w:r w:rsidR="00D11F06">
        <w:rPr>
          <w:rFonts w:ascii="Times New Roman" w:hAnsi="Times New Roman"/>
        </w:rPr>
        <w:t xml:space="preserve">, C., “Analysing Regulatory Space: Fragmented resources and Institutional Design,” Public Law, </w:t>
      </w:r>
      <w:r w:rsidR="00C840E7" w:rsidRPr="00441BCA">
        <w:rPr>
          <w:rFonts w:ascii="Times New Roman" w:hAnsi="Times New Roman"/>
        </w:rPr>
        <w:t>2001</w:t>
      </w:r>
      <w:r w:rsidR="00D11F06">
        <w:rPr>
          <w:rFonts w:ascii="Times New Roman" w:hAnsi="Times New Roman"/>
        </w:rPr>
        <w:t>, pp. 329-353</w:t>
      </w:r>
      <w:r w:rsidR="00C840E7" w:rsidRPr="00441BCA">
        <w:rPr>
          <w:rFonts w:ascii="Times New Roman" w:hAnsi="Times New Roman"/>
        </w:rPr>
        <w:t>; Levy</w:t>
      </w:r>
      <w:r w:rsidR="00D11F06">
        <w:rPr>
          <w:rFonts w:ascii="Times New Roman" w:hAnsi="Times New Roman"/>
        </w:rPr>
        <w:t>, B.</w:t>
      </w:r>
      <w:r w:rsidR="00C840E7" w:rsidRPr="00441BCA">
        <w:rPr>
          <w:rFonts w:ascii="Times New Roman" w:hAnsi="Times New Roman"/>
        </w:rPr>
        <w:t xml:space="preserve"> and</w:t>
      </w:r>
      <w:r w:rsidR="00D11F06">
        <w:rPr>
          <w:rFonts w:ascii="Times New Roman" w:hAnsi="Times New Roman"/>
        </w:rPr>
        <w:t xml:space="preserve"> P.</w:t>
      </w:r>
      <w:r w:rsidR="00C840E7" w:rsidRPr="00441BCA">
        <w:rPr>
          <w:rFonts w:ascii="Times New Roman" w:hAnsi="Times New Roman"/>
        </w:rPr>
        <w:t xml:space="preserve"> Spiller</w:t>
      </w:r>
      <w:r w:rsidR="00D11F06">
        <w:rPr>
          <w:rFonts w:ascii="Times New Roman" w:hAnsi="Times New Roman"/>
        </w:rPr>
        <w:t xml:space="preserve">, “The Institutional Foundations of Regulatory Commitment: A Comparative Analysis of Telecommunications Regulation,” </w:t>
      </w:r>
      <w:r w:rsidR="007F5203">
        <w:rPr>
          <w:rFonts w:ascii="Times New Roman" w:hAnsi="Times New Roman"/>
        </w:rPr>
        <w:t>10 Journal of Law, Economics and Organization 1,</w:t>
      </w:r>
      <w:r w:rsidR="00C840E7" w:rsidRPr="00441BCA">
        <w:rPr>
          <w:rFonts w:ascii="Times New Roman" w:hAnsi="Times New Roman"/>
        </w:rPr>
        <w:t xml:space="preserve"> 1996</w:t>
      </w:r>
      <w:r w:rsidR="007F5203">
        <w:rPr>
          <w:rFonts w:ascii="Times New Roman" w:hAnsi="Times New Roman"/>
        </w:rPr>
        <w:t>, pp. 201-246</w:t>
      </w:r>
      <w:r w:rsidR="00C840E7" w:rsidRPr="00441BCA">
        <w:rPr>
          <w:rFonts w:ascii="Times New Roman" w:hAnsi="Times New Roman"/>
        </w:rPr>
        <w:t>; Hood et al</w:t>
      </w:r>
      <w:r w:rsidR="007F5203">
        <w:rPr>
          <w:rFonts w:ascii="Times New Roman" w:hAnsi="Times New Roman"/>
        </w:rPr>
        <w:t xml:space="preserve">. supra note 45; </w:t>
      </w:r>
      <w:r w:rsidR="00C840E7" w:rsidRPr="00441BCA">
        <w:rPr>
          <w:rFonts w:ascii="Times New Roman" w:hAnsi="Times New Roman"/>
        </w:rPr>
        <w:t>and Black</w:t>
      </w:r>
      <w:r w:rsidR="00441BCA">
        <w:rPr>
          <w:rFonts w:ascii="Times New Roman" w:hAnsi="Times New Roman"/>
        </w:rPr>
        <w:t>, J., “Decentring Regulation: Understanding the Role of Regulation and Self-regulation in a Post-regulatory World,” 54 Current Legal Problems 1,</w:t>
      </w:r>
      <w:r w:rsidR="00C840E7" w:rsidRPr="00441BCA">
        <w:rPr>
          <w:rFonts w:ascii="Times New Roman" w:hAnsi="Times New Roman"/>
        </w:rPr>
        <w:t xml:space="preserve"> 2002</w:t>
      </w:r>
      <w:r w:rsidR="00441BCA">
        <w:rPr>
          <w:rFonts w:ascii="Times New Roman" w:hAnsi="Times New Roman"/>
        </w:rPr>
        <w:t>, pp. 103-147</w:t>
      </w:r>
      <w:r w:rsidR="00C840E7" w:rsidRPr="00441BCA">
        <w:rPr>
          <w:rFonts w:ascii="Times New Roman" w:hAnsi="Times New Roman"/>
        </w:rPr>
        <w:t>.</w:t>
      </w:r>
    </w:p>
  </w:footnote>
  <w:footnote w:id="47">
    <w:p w14:paraId="59C78231" w14:textId="4615A1DB" w:rsidR="00C840E7" w:rsidRPr="00441BCA" w:rsidRDefault="00C840E7">
      <w:pPr>
        <w:pStyle w:val="Sprotnaopomba-besedilo"/>
        <w:rPr>
          <w:rFonts w:ascii="Times New Roman" w:hAnsi="Times New Roman"/>
        </w:rPr>
      </w:pPr>
      <w:r w:rsidRPr="00441BCA">
        <w:rPr>
          <w:rStyle w:val="Sprotnaopomba-sklic"/>
          <w:rFonts w:ascii="Times New Roman" w:hAnsi="Times New Roman"/>
        </w:rPr>
        <w:footnoteRef/>
      </w:r>
      <w:r w:rsidRPr="00441BCA">
        <w:rPr>
          <w:rFonts w:ascii="Times New Roman" w:hAnsi="Times New Roman"/>
        </w:rPr>
        <w:t xml:space="preserve"> Baldwin</w:t>
      </w:r>
      <w:r w:rsidR="00441BCA">
        <w:rPr>
          <w:rFonts w:ascii="Times New Roman" w:hAnsi="Times New Roman"/>
        </w:rPr>
        <w:t>, Richard, “Rules and Government,” Oxford: Oxford University Press,</w:t>
      </w:r>
      <w:r w:rsidRPr="00441BCA">
        <w:rPr>
          <w:rFonts w:ascii="Times New Roman" w:hAnsi="Times New Roman"/>
        </w:rPr>
        <w:t xml:space="preserve"> 1995</w:t>
      </w:r>
      <w:r w:rsidR="00441BCA">
        <w:rPr>
          <w:rFonts w:ascii="Times New Roman" w:hAnsi="Times New Roman"/>
        </w:rPr>
        <w:t>.</w:t>
      </w:r>
    </w:p>
  </w:footnote>
  <w:footnote w:id="48">
    <w:p w14:paraId="1E30438A" w14:textId="2B5828F3" w:rsidR="00C840E7" w:rsidRPr="00441BCA" w:rsidRDefault="00C840E7">
      <w:pPr>
        <w:pStyle w:val="Sprotnaopomba-besedilo"/>
        <w:rPr>
          <w:rFonts w:ascii="Times New Roman" w:hAnsi="Times New Roman"/>
        </w:rPr>
      </w:pPr>
      <w:r w:rsidRPr="00441BCA">
        <w:rPr>
          <w:rStyle w:val="Sprotnaopomba-sklic"/>
          <w:rFonts w:ascii="Times New Roman" w:hAnsi="Times New Roman"/>
        </w:rPr>
        <w:footnoteRef/>
      </w:r>
      <w:r w:rsidRPr="00441BCA">
        <w:rPr>
          <w:rFonts w:ascii="Times New Roman" w:hAnsi="Times New Roman"/>
        </w:rPr>
        <w:t xml:space="preserve"> Gunningham</w:t>
      </w:r>
      <w:r w:rsidR="00441BCA">
        <w:rPr>
          <w:rFonts w:ascii="Times New Roman" w:hAnsi="Times New Roman"/>
        </w:rPr>
        <w:t>, N.</w:t>
      </w:r>
      <w:r w:rsidRPr="00441BCA">
        <w:rPr>
          <w:rFonts w:ascii="Times New Roman" w:hAnsi="Times New Roman"/>
        </w:rPr>
        <w:t xml:space="preserve"> and</w:t>
      </w:r>
      <w:r w:rsidR="00441BCA">
        <w:rPr>
          <w:rFonts w:ascii="Times New Roman" w:hAnsi="Times New Roman"/>
        </w:rPr>
        <w:t xml:space="preserve"> P.</w:t>
      </w:r>
      <w:r w:rsidRPr="00441BCA">
        <w:rPr>
          <w:rFonts w:ascii="Times New Roman" w:hAnsi="Times New Roman"/>
        </w:rPr>
        <w:t xml:space="preserve"> Grabovsky</w:t>
      </w:r>
      <w:r w:rsidR="00441BCA">
        <w:rPr>
          <w:rFonts w:ascii="Times New Roman" w:hAnsi="Times New Roman"/>
        </w:rPr>
        <w:t xml:space="preserve">, “Smart Regulation: Designing Environmental Policy,” Oxford: </w:t>
      </w:r>
      <w:r w:rsidR="00734DD5">
        <w:rPr>
          <w:rFonts w:ascii="Times New Roman" w:hAnsi="Times New Roman"/>
        </w:rPr>
        <w:t>O</w:t>
      </w:r>
      <w:r w:rsidR="00441BCA">
        <w:rPr>
          <w:rFonts w:ascii="Times New Roman" w:hAnsi="Times New Roman"/>
        </w:rPr>
        <w:t>xford University Press,</w:t>
      </w:r>
      <w:r w:rsidRPr="00441BCA">
        <w:rPr>
          <w:rFonts w:ascii="Times New Roman" w:hAnsi="Times New Roman"/>
        </w:rPr>
        <w:t xml:space="preserve"> 1999.</w:t>
      </w:r>
    </w:p>
  </w:footnote>
  <w:footnote w:id="49">
    <w:p w14:paraId="13822FEC" w14:textId="61CBD5BA" w:rsidR="00C840E7" w:rsidRPr="00441BCA" w:rsidRDefault="00C840E7">
      <w:pPr>
        <w:pStyle w:val="Sprotnaopomba-besedilo"/>
        <w:rPr>
          <w:rFonts w:ascii="Times New Roman" w:hAnsi="Times New Roman"/>
        </w:rPr>
      </w:pPr>
      <w:r w:rsidRPr="00441BCA">
        <w:rPr>
          <w:rStyle w:val="Sprotnaopomba-sklic"/>
          <w:rFonts w:ascii="Times New Roman" w:hAnsi="Times New Roman"/>
        </w:rPr>
        <w:footnoteRef/>
      </w:r>
      <w:r w:rsidRPr="00441BCA">
        <w:rPr>
          <w:rFonts w:ascii="Times New Roman" w:hAnsi="Times New Roman"/>
        </w:rPr>
        <w:t xml:space="preserve"> Sparrow,</w:t>
      </w:r>
      <w:r w:rsidR="00441BCA">
        <w:rPr>
          <w:rFonts w:ascii="Times New Roman" w:hAnsi="Times New Roman"/>
        </w:rPr>
        <w:t xml:space="preserve"> M. K., “The Regulatory Craft,” Washington DC: Brookings,</w:t>
      </w:r>
      <w:r w:rsidRPr="00441BCA">
        <w:rPr>
          <w:rFonts w:ascii="Times New Roman" w:hAnsi="Times New Roman"/>
        </w:rPr>
        <w:t xml:space="preserve"> 2000.</w:t>
      </w:r>
    </w:p>
  </w:footnote>
  <w:footnote w:id="50">
    <w:p w14:paraId="180676CE" w14:textId="5E1DAFBD" w:rsidR="00C840E7" w:rsidRPr="00441BCA" w:rsidRDefault="00C840E7">
      <w:pPr>
        <w:pStyle w:val="Sprotnaopomba-besedilo"/>
        <w:rPr>
          <w:rFonts w:ascii="Times New Roman" w:hAnsi="Times New Roman"/>
        </w:rPr>
      </w:pPr>
      <w:r w:rsidRPr="00441BCA">
        <w:rPr>
          <w:rStyle w:val="Sprotnaopomba-sklic"/>
          <w:rFonts w:ascii="Times New Roman" w:hAnsi="Times New Roman"/>
        </w:rPr>
        <w:footnoteRef/>
      </w:r>
      <w:r w:rsidRPr="00441BCA">
        <w:rPr>
          <w:rFonts w:ascii="Times New Roman" w:hAnsi="Times New Roman"/>
        </w:rPr>
        <w:t xml:space="preserve"> Sunstein</w:t>
      </w:r>
      <w:r w:rsidR="007F5203">
        <w:rPr>
          <w:rFonts w:ascii="Times New Roman" w:hAnsi="Times New Roman"/>
        </w:rPr>
        <w:t xml:space="preserve"> Cass</w:t>
      </w:r>
      <w:r w:rsidRPr="00441BCA">
        <w:rPr>
          <w:rFonts w:ascii="Times New Roman" w:hAnsi="Times New Roman"/>
        </w:rPr>
        <w:t xml:space="preserve"> and</w:t>
      </w:r>
      <w:r w:rsidR="007F5203">
        <w:rPr>
          <w:rFonts w:ascii="Times New Roman" w:hAnsi="Times New Roman"/>
        </w:rPr>
        <w:t xml:space="preserve"> Richard</w:t>
      </w:r>
      <w:r w:rsidRPr="00441BCA">
        <w:rPr>
          <w:rFonts w:ascii="Times New Roman" w:hAnsi="Times New Roman"/>
        </w:rPr>
        <w:t xml:space="preserve"> Thaler</w:t>
      </w:r>
      <w:r w:rsidR="007F5203">
        <w:rPr>
          <w:rFonts w:ascii="Times New Roman" w:hAnsi="Times New Roman"/>
        </w:rPr>
        <w:t>, “Nudge,”</w:t>
      </w:r>
      <w:r w:rsidRPr="00441BCA">
        <w:rPr>
          <w:rFonts w:ascii="Times New Roman" w:hAnsi="Times New Roman"/>
        </w:rPr>
        <w:t xml:space="preserve"> </w:t>
      </w:r>
      <w:r w:rsidR="007F5203">
        <w:rPr>
          <w:rFonts w:ascii="Times New Roman" w:hAnsi="Times New Roman"/>
        </w:rPr>
        <w:t xml:space="preserve">New Haven: Yale University Press, </w:t>
      </w:r>
      <w:r w:rsidRPr="00441BCA">
        <w:rPr>
          <w:rFonts w:ascii="Times New Roman" w:hAnsi="Times New Roman"/>
        </w:rPr>
        <w:t>2008; Jolls,</w:t>
      </w:r>
      <w:r w:rsidR="007F5203">
        <w:rPr>
          <w:rFonts w:ascii="Times New Roman" w:hAnsi="Times New Roman"/>
        </w:rPr>
        <w:t xml:space="preserve"> C.,</w:t>
      </w:r>
      <w:r w:rsidRPr="00441BCA">
        <w:rPr>
          <w:rFonts w:ascii="Times New Roman" w:hAnsi="Times New Roman"/>
        </w:rPr>
        <w:t xml:space="preserve"> </w:t>
      </w:r>
      <w:r w:rsidR="007F5203">
        <w:rPr>
          <w:rFonts w:ascii="Times New Roman" w:hAnsi="Times New Roman"/>
        </w:rPr>
        <w:t xml:space="preserve">Cass </w:t>
      </w:r>
      <w:r w:rsidRPr="00441BCA">
        <w:rPr>
          <w:rFonts w:ascii="Times New Roman" w:hAnsi="Times New Roman"/>
        </w:rPr>
        <w:t xml:space="preserve">Sunstein and </w:t>
      </w:r>
      <w:r w:rsidR="007F5203">
        <w:rPr>
          <w:rFonts w:ascii="Times New Roman" w:hAnsi="Times New Roman"/>
        </w:rPr>
        <w:t xml:space="preserve">Richard </w:t>
      </w:r>
      <w:r w:rsidRPr="00441BCA">
        <w:rPr>
          <w:rFonts w:ascii="Times New Roman" w:hAnsi="Times New Roman"/>
        </w:rPr>
        <w:t>Thaler</w:t>
      </w:r>
      <w:r w:rsidR="007F5203">
        <w:rPr>
          <w:rFonts w:ascii="Times New Roman" w:hAnsi="Times New Roman"/>
        </w:rPr>
        <w:t xml:space="preserve">, “A Behavioural Approach to Law and Economics,” in Cass Sunstein (ed.), “Behavioural Law and Economics,” Cambridge: Cambridge University </w:t>
      </w:r>
      <w:proofErr w:type="gramStart"/>
      <w:r w:rsidR="007F5203">
        <w:rPr>
          <w:rFonts w:ascii="Times New Roman" w:hAnsi="Times New Roman"/>
        </w:rPr>
        <w:t xml:space="preserve">Press, </w:t>
      </w:r>
      <w:r w:rsidRPr="00441BCA">
        <w:rPr>
          <w:rFonts w:ascii="Times New Roman" w:hAnsi="Times New Roman"/>
        </w:rPr>
        <w:t xml:space="preserve"> 2000</w:t>
      </w:r>
      <w:proofErr w:type="gramEnd"/>
      <w:r w:rsidRPr="00441BCA">
        <w:rPr>
          <w:rFonts w:ascii="Times New Roman" w:hAnsi="Times New Roman"/>
        </w:rPr>
        <w:t>; and Baldwin</w:t>
      </w:r>
      <w:r w:rsidR="00D11F06">
        <w:rPr>
          <w:rFonts w:ascii="Times New Roman" w:hAnsi="Times New Roman"/>
        </w:rPr>
        <w:t>, R.</w:t>
      </w:r>
      <w:r w:rsidRPr="00441BCA">
        <w:rPr>
          <w:rFonts w:ascii="Times New Roman" w:hAnsi="Times New Roman"/>
        </w:rPr>
        <w:t xml:space="preserve"> and</w:t>
      </w:r>
      <w:r w:rsidR="00D11F06">
        <w:rPr>
          <w:rFonts w:ascii="Times New Roman" w:hAnsi="Times New Roman"/>
        </w:rPr>
        <w:t xml:space="preserve"> J.</w:t>
      </w:r>
      <w:r w:rsidRPr="00441BCA">
        <w:rPr>
          <w:rFonts w:ascii="Times New Roman" w:hAnsi="Times New Roman"/>
        </w:rPr>
        <w:t xml:space="preserve"> Black,</w:t>
      </w:r>
      <w:r w:rsidR="00D11F06">
        <w:rPr>
          <w:rFonts w:ascii="Times New Roman" w:hAnsi="Times New Roman"/>
        </w:rPr>
        <w:t xml:space="preserve"> “Really Responsive Regulation,” 71 Modern Law Review 1,</w:t>
      </w:r>
      <w:r w:rsidRPr="00441BCA">
        <w:rPr>
          <w:rFonts w:ascii="Times New Roman" w:hAnsi="Times New Roman"/>
        </w:rPr>
        <w:t xml:space="preserve"> 2008</w:t>
      </w:r>
      <w:r w:rsidR="00D11F06">
        <w:rPr>
          <w:rFonts w:ascii="Times New Roman" w:hAnsi="Times New Roman"/>
        </w:rPr>
        <w:t>, pp. 59-94</w:t>
      </w:r>
      <w:r w:rsidRPr="00441BCA">
        <w:rPr>
          <w:rFonts w:ascii="Times New Roman" w:hAnsi="Times New Roman"/>
        </w:rPr>
        <w:t>.</w:t>
      </w:r>
    </w:p>
  </w:footnote>
  <w:footnote w:id="51">
    <w:p w14:paraId="5C3EC897" w14:textId="3199E324" w:rsidR="00C840E7" w:rsidRPr="00C840E7" w:rsidRDefault="00C840E7">
      <w:pPr>
        <w:pStyle w:val="Sprotnaopomba-besedilo"/>
        <w:rPr>
          <w:rFonts w:ascii="Times New Roman" w:hAnsi="Times New Roman"/>
        </w:rPr>
      </w:pPr>
      <w:r>
        <w:rPr>
          <w:rStyle w:val="Sprotnaopomba-sklic"/>
        </w:rPr>
        <w:footnoteRef/>
      </w:r>
      <w:r>
        <w:t xml:space="preserve"> </w:t>
      </w:r>
      <w:r w:rsidRPr="00C840E7">
        <w:rPr>
          <w:rFonts w:ascii="Times New Roman" w:hAnsi="Times New Roman"/>
        </w:rPr>
        <w:t xml:space="preserve">For a synthesis of economic approaches to regulation see </w:t>
      </w:r>
      <w:proofErr w:type="spellStart"/>
      <w:r w:rsidRPr="00C840E7">
        <w:rPr>
          <w:rFonts w:ascii="Times New Roman" w:hAnsi="Times New Roman"/>
        </w:rPr>
        <w:t>Veljanovski</w:t>
      </w:r>
      <w:proofErr w:type="spellEnd"/>
      <w:r w:rsidRPr="00C840E7">
        <w:rPr>
          <w:rFonts w:ascii="Times New Roman" w:hAnsi="Times New Roman"/>
        </w:rPr>
        <w:t xml:space="preserve"> Cento, “Economic Approaches to regulation,” in Baldwin Robert, Martin Cave and Martin Lodge (eds.), “The Oxford Handbook of Regulation,” Oxford University Press, 2010, pp. 17-39.</w:t>
      </w:r>
    </w:p>
  </w:footnote>
  <w:footnote w:id="52">
    <w:p w14:paraId="3B735710" w14:textId="49F3043D" w:rsidR="00A532AB" w:rsidRPr="00A532AB" w:rsidRDefault="00A532AB">
      <w:pPr>
        <w:pStyle w:val="Sprotnaopomba-besedilo"/>
        <w:rPr>
          <w:rFonts w:ascii="Times New Roman" w:hAnsi="Times New Roman"/>
        </w:rPr>
      </w:pPr>
      <w:r>
        <w:rPr>
          <w:rStyle w:val="Sprotnaopomba-sklic"/>
        </w:rPr>
        <w:footnoteRef/>
      </w:r>
      <w:r>
        <w:t xml:space="preserve"> </w:t>
      </w:r>
      <w:r w:rsidRPr="00A532AB">
        <w:rPr>
          <w:rFonts w:ascii="Times New Roman" w:hAnsi="Times New Roman"/>
        </w:rPr>
        <w:t>On the definition and concepts of generative AI see Garon, Jon M., A Practical Introduction to Generative AI, Synthetic Media, and the Messages Found in the Latest Medium (March 14, 2023). Available at SSRN: https://ssrn.com/abstract=4388437 or http://dx.doi.org/10.2139/ssrn.4388437</w:t>
      </w:r>
    </w:p>
  </w:footnote>
  <w:footnote w:id="53">
    <w:p w14:paraId="37EFB7DA" w14:textId="14DF2B8E" w:rsidR="00BC1726" w:rsidRPr="00A532AB" w:rsidRDefault="00BC1726">
      <w:pPr>
        <w:pStyle w:val="Sprotnaopomba-besedilo"/>
        <w:rPr>
          <w:rFonts w:ascii="Times New Roman" w:hAnsi="Times New Roman"/>
        </w:rPr>
      </w:pPr>
      <w:r>
        <w:rPr>
          <w:rStyle w:val="Sprotnaopomba-sklic"/>
        </w:rPr>
        <w:footnoteRef/>
      </w:r>
      <w:r>
        <w:t xml:space="preserve"> </w:t>
      </w:r>
      <w:r w:rsidRPr="00A532AB">
        <w:rPr>
          <w:rFonts w:ascii="Times New Roman" w:hAnsi="Times New Roman"/>
        </w:rPr>
        <w:t>Philipp Hacker, Andreas Engel, Marco Mauer; “Regulating ChatGPT and other Large Generative AI Models,”</w:t>
      </w:r>
      <w:r w:rsidR="00A532AB">
        <w:rPr>
          <w:rFonts w:ascii="Times New Roman" w:hAnsi="Times New Roman"/>
        </w:rPr>
        <w:t xml:space="preserve"> </w:t>
      </w:r>
      <w:r w:rsidR="00A532AB" w:rsidRPr="00A532AB">
        <w:rPr>
          <w:rFonts w:ascii="Times New Roman" w:hAnsi="Times New Roman"/>
        </w:rPr>
        <w:t>arXiv:2302.02337, 2023.</w:t>
      </w:r>
    </w:p>
  </w:footnote>
  <w:footnote w:id="54">
    <w:p w14:paraId="488ED040" w14:textId="7441C105" w:rsidR="00BC1726" w:rsidRPr="00A532AB" w:rsidRDefault="00BC1726">
      <w:pPr>
        <w:pStyle w:val="Sprotnaopomba-besedilo"/>
        <w:rPr>
          <w:rFonts w:ascii="Times New Roman" w:hAnsi="Times New Roman"/>
          <w:lang w:val="sl-SI"/>
        </w:rPr>
      </w:pPr>
      <w:r w:rsidRPr="00A532AB">
        <w:rPr>
          <w:rStyle w:val="Sprotnaopomba-sklic"/>
          <w:rFonts w:ascii="Times New Roman" w:hAnsi="Times New Roman"/>
        </w:rPr>
        <w:footnoteRef/>
      </w:r>
      <w:r w:rsidRPr="00A532AB">
        <w:rPr>
          <w:rFonts w:ascii="Times New Roman" w:hAnsi="Times New Roman"/>
        </w:rPr>
        <w:t xml:space="preserve"> They argue for three layers of obligations concerning LGAIMs (minimum standards for all LGAIMs; high-risk obligations for high-risk use cases; collaborations along the AI value chain). In general, regulation should focus on concrete high-risk applications, and not the pre-trained model itself, and should include (</w:t>
      </w:r>
      <w:proofErr w:type="spellStart"/>
      <w:r w:rsidRPr="00A532AB">
        <w:rPr>
          <w:rFonts w:ascii="Times New Roman" w:hAnsi="Times New Roman"/>
        </w:rPr>
        <w:t>i</w:t>
      </w:r>
      <w:proofErr w:type="spellEnd"/>
      <w:r w:rsidRPr="00A532AB">
        <w:rPr>
          <w:rFonts w:ascii="Times New Roman" w:hAnsi="Times New Roman"/>
        </w:rPr>
        <w:t>) obligations regarding transparency and (ii) risk management. Non-discrimination provisions (iii) may, however, apply to LGAIM developers. Lastly, (iv) the core of the DSA content moderation rules should be expanded to cover LGAIMs. This includes notice and action mechanisms, and trusted flaggers. In all areas, regulators and lawmakers need to act fast to keep track with the dynamics of ChatGPT et al.; ibid.</w:t>
      </w:r>
    </w:p>
  </w:footnote>
  <w:footnote w:id="55">
    <w:p w14:paraId="15ACB311" w14:textId="6200C80F" w:rsidR="00377A6F" w:rsidRPr="002E23CC" w:rsidRDefault="00377A6F" w:rsidP="002E23CC">
      <w:pPr>
        <w:pStyle w:val="Sprotnaopomba-besedilo"/>
        <w:rPr>
          <w:rFonts w:ascii="Times New Roman" w:hAnsi="Times New Roman"/>
        </w:rPr>
      </w:pPr>
      <w:r>
        <w:rPr>
          <w:rStyle w:val="Sprotnaopomba-sklic"/>
        </w:rPr>
        <w:footnoteRef/>
      </w:r>
      <w:r w:rsidRPr="002E23CC">
        <w:rPr>
          <w:lang w:val="sl-SI"/>
        </w:rPr>
        <w:t xml:space="preserve"> </w:t>
      </w:r>
      <w:proofErr w:type="spellStart"/>
      <w:r w:rsidR="002E23CC" w:rsidRPr="00315275">
        <w:rPr>
          <w:rFonts w:ascii="Times New Roman" w:hAnsi="Times New Roman"/>
          <w:lang w:val="sl-SI"/>
        </w:rPr>
        <w:t>Yogesh</w:t>
      </w:r>
      <w:proofErr w:type="spellEnd"/>
      <w:r w:rsidR="002E23CC" w:rsidRPr="00315275">
        <w:rPr>
          <w:rFonts w:ascii="Times New Roman" w:hAnsi="Times New Roman"/>
          <w:lang w:val="sl-SI"/>
        </w:rPr>
        <w:t xml:space="preserve"> K. </w:t>
      </w:r>
      <w:proofErr w:type="spellStart"/>
      <w:r w:rsidR="002E23CC" w:rsidRPr="00315275">
        <w:rPr>
          <w:rFonts w:ascii="Times New Roman" w:hAnsi="Times New Roman"/>
          <w:lang w:val="sl-SI"/>
        </w:rPr>
        <w:t>Dwivedi</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Nir</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Kshetri</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Laurie</w:t>
      </w:r>
      <w:proofErr w:type="spellEnd"/>
      <w:r w:rsidR="002E23CC" w:rsidRPr="00315275">
        <w:rPr>
          <w:rFonts w:ascii="Times New Roman" w:hAnsi="Times New Roman"/>
          <w:lang w:val="sl-SI"/>
        </w:rPr>
        <w:t xml:space="preserve"> Hughes, Emma Louise </w:t>
      </w:r>
      <w:proofErr w:type="spellStart"/>
      <w:r w:rsidR="002E23CC" w:rsidRPr="00315275">
        <w:rPr>
          <w:rFonts w:ascii="Times New Roman" w:hAnsi="Times New Roman"/>
          <w:lang w:val="sl-SI"/>
        </w:rPr>
        <w:t>Slade</w:t>
      </w:r>
      <w:proofErr w:type="spellEnd"/>
      <w:r w:rsidR="002E23CC" w:rsidRPr="00315275">
        <w:rPr>
          <w:rFonts w:ascii="Times New Roman" w:hAnsi="Times New Roman"/>
          <w:lang w:val="sl-SI"/>
        </w:rPr>
        <w:t xml:space="preserve">, Anand </w:t>
      </w:r>
      <w:proofErr w:type="spellStart"/>
      <w:r w:rsidR="002E23CC" w:rsidRPr="00315275">
        <w:rPr>
          <w:rFonts w:ascii="Times New Roman" w:hAnsi="Times New Roman"/>
          <w:lang w:val="sl-SI"/>
        </w:rPr>
        <w:t>Jeyaraj</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Arpan</w:t>
      </w:r>
      <w:proofErr w:type="spellEnd"/>
      <w:r w:rsidR="002E23CC" w:rsidRPr="00315275">
        <w:rPr>
          <w:rFonts w:ascii="Times New Roman" w:hAnsi="Times New Roman"/>
          <w:lang w:val="sl-SI"/>
        </w:rPr>
        <w:t xml:space="preserve"> Kumar Kar, </w:t>
      </w:r>
      <w:proofErr w:type="spellStart"/>
      <w:r w:rsidR="002E23CC" w:rsidRPr="00315275">
        <w:rPr>
          <w:rFonts w:ascii="Times New Roman" w:hAnsi="Times New Roman"/>
          <w:lang w:val="sl-SI"/>
        </w:rPr>
        <w:t>Abdullah</w:t>
      </w:r>
      <w:proofErr w:type="spellEnd"/>
      <w:r w:rsidR="002E23CC" w:rsidRPr="00315275">
        <w:rPr>
          <w:rFonts w:ascii="Times New Roman" w:hAnsi="Times New Roman"/>
          <w:lang w:val="sl-SI"/>
        </w:rPr>
        <w:t xml:space="preserve"> M. </w:t>
      </w:r>
      <w:proofErr w:type="spellStart"/>
      <w:r w:rsidR="002E23CC" w:rsidRPr="00315275">
        <w:rPr>
          <w:rFonts w:ascii="Times New Roman" w:hAnsi="Times New Roman"/>
          <w:lang w:val="sl-SI"/>
        </w:rPr>
        <w:t>Baabdullah</w:t>
      </w:r>
      <w:proofErr w:type="spellEnd"/>
      <w:r w:rsidR="002E23CC" w:rsidRPr="00315275">
        <w:rPr>
          <w:rFonts w:ascii="Times New Roman" w:hAnsi="Times New Roman"/>
          <w:lang w:val="sl-SI"/>
        </w:rPr>
        <w:t xml:space="preserve">, Alex </w:t>
      </w:r>
      <w:proofErr w:type="spellStart"/>
      <w:r w:rsidR="002E23CC" w:rsidRPr="00315275">
        <w:rPr>
          <w:rFonts w:ascii="Times New Roman" w:hAnsi="Times New Roman"/>
          <w:lang w:val="sl-SI"/>
        </w:rPr>
        <w:t>Koohang</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Vishnupriya</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Raghavan</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Manju</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Ahuja</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Hanaa</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Albanna</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Mousa</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Ahmad</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Albashrawi</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Adil</w:t>
      </w:r>
      <w:proofErr w:type="spellEnd"/>
      <w:r w:rsidR="002E23CC" w:rsidRPr="00315275">
        <w:rPr>
          <w:rFonts w:ascii="Times New Roman" w:hAnsi="Times New Roman"/>
          <w:lang w:val="sl-SI"/>
        </w:rPr>
        <w:t xml:space="preserve"> S. Al-</w:t>
      </w:r>
      <w:proofErr w:type="spellStart"/>
      <w:r w:rsidR="002E23CC" w:rsidRPr="00315275">
        <w:rPr>
          <w:rFonts w:ascii="Times New Roman" w:hAnsi="Times New Roman"/>
          <w:lang w:val="sl-SI"/>
        </w:rPr>
        <w:t>Busaidi</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Janarthanan</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Balakrishnan</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Yves</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Barlette</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Sriparna</w:t>
      </w:r>
      <w:proofErr w:type="spellEnd"/>
      <w:r w:rsidR="002E23CC" w:rsidRPr="00315275">
        <w:rPr>
          <w:rFonts w:ascii="Times New Roman" w:hAnsi="Times New Roman"/>
          <w:lang w:val="sl-SI"/>
        </w:rPr>
        <w:t xml:space="preserve"> Basu, </w:t>
      </w:r>
      <w:proofErr w:type="spellStart"/>
      <w:r w:rsidR="002E23CC" w:rsidRPr="00315275">
        <w:rPr>
          <w:rFonts w:ascii="Times New Roman" w:hAnsi="Times New Roman"/>
          <w:lang w:val="sl-SI"/>
        </w:rPr>
        <w:t>Indranil</w:t>
      </w:r>
      <w:proofErr w:type="spellEnd"/>
      <w:r w:rsidR="002E23CC" w:rsidRPr="00315275">
        <w:rPr>
          <w:rFonts w:ascii="Times New Roman" w:hAnsi="Times New Roman"/>
          <w:lang w:val="sl-SI"/>
        </w:rPr>
        <w:t xml:space="preserve"> Bose, </w:t>
      </w:r>
      <w:proofErr w:type="spellStart"/>
      <w:r w:rsidR="002E23CC" w:rsidRPr="00315275">
        <w:rPr>
          <w:rFonts w:ascii="Times New Roman" w:hAnsi="Times New Roman"/>
          <w:lang w:val="sl-SI"/>
        </w:rPr>
        <w:t>Laurence</w:t>
      </w:r>
      <w:proofErr w:type="spellEnd"/>
      <w:r w:rsidR="002E23CC" w:rsidRPr="00315275">
        <w:rPr>
          <w:rFonts w:ascii="Times New Roman" w:hAnsi="Times New Roman"/>
          <w:lang w:val="sl-SI"/>
        </w:rPr>
        <w:t xml:space="preserve"> Brooks, </w:t>
      </w:r>
      <w:proofErr w:type="spellStart"/>
      <w:r w:rsidR="002E23CC" w:rsidRPr="00315275">
        <w:rPr>
          <w:rFonts w:ascii="Times New Roman" w:hAnsi="Times New Roman"/>
          <w:lang w:val="sl-SI"/>
        </w:rPr>
        <w:t>Dimitrios</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Buhalis</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Lemuria</w:t>
      </w:r>
      <w:proofErr w:type="spellEnd"/>
      <w:r w:rsidR="002E23CC" w:rsidRPr="00315275">
        <w:rPr>
          <w:rFonts w:ascii="Times New Roman" w:hAnsi="Times New Roman"/>
          <w:lang w:val="sl-SI"/>
        </w:rPr>
        <w:t xml:space="preserve"> Carter, </w:t>
      </w:r>
      <w:proofErr w:type="spellStart"/>
      <w:r w:rsidR="002E23CC" w:rsidRPr="00315275">
        <w:rPr>
          <w:rFonts w:ascii="Times New Roman" w:hAnsi="Times New Roman"/>
          <w:lang w:val="sl-SI"/>
        </w:rPr>
        <w:t>Soumyadeb</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Chowdhury</w:t>
      </w:r>
      <w:proofErr w:type="spellEnd"/>
      <w:r w:rsidR="002E23CC" w:rsidRPr="00315275">
        <w:rPr>
          <w:rFonts w:ascii="Times New Roman" w:hAnsi="Times New Roman"/>
          <w:lang w:val="sl-SI"/>
        </w:rPr>
        <w:t xml:space="preserve">, Tom Crick, Scott W. </w:t>
      </w:r>
      <w:proofErr w:type="spellStart"/>
      <w:r w:rsidR="002E23CC" w:rsidRPr="00315275">
        <w:rPr>
          <w:rFonts w:ascii="Times New Roman" w:hAnsi="Times New Roman"/>
          <w:lang w:val="sl-SI"/>
        </w:rPr>
        <w:t>Cunningham</w:t>
      </w:r>
      <w:proofErr w:type="spellEnd"/>
      <w:r w:rsidR="002E23CC" w:rsidRPr="00315275">
        <w:rPr>
          <w:rFonts w:ascii="Times New Roman" w:hAnsi="Times New Roman"/>
          <w:lang w:val="sl-SI"/>
        </w:rPr>
        <w:t xml:space="preserve">, Gareth H. </w:t>
      </w:r>
      <w:proofErr w:type="spellStart"/>
      <w:r w:rsidR="002E23CC" w:rsidRPr="00315275">
        <w:rPr>
          <w:rFonts w:ascii="Times New Roman" w:hAnsi="Times New Roman"/>
          <w:lang w:val="sl-SI"/>
        </w:rPr>
        <w:t>Davies</w:t>
      </w:r>
      <w:proofErr w:type="spellEnd"/>
      <w:r w:rsidR="002E23CC" w:rsidRPr="00315275">
        <w:rPr>
          <w:rFonts w:ascii="Times New Roman" w:hAnsi="Times New Roman"/>
          <w:lang w:val="sl-SI"/>
        </w:rPr>
        <w:t xml:space="preserve">, Robert M. </w:t>
      </w:r>
      <w:proofErr w:type="spellStart"/>
      <w:r w:rsidR="002E23CC" w:rsidRPr="00315275">
        <w:rPr>
          <w:rFonts w:ascii="Times New Roman" w:hAnsi="Times New Roman"/>
          <w:lang w:val="sl-SI"/>
        </w:rPr>
        <w:t>Davison</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Rahul</w:t>
      </w:r>
      <w:proofErr w:type="spellEnd"/>
      <w:r w:rsidR="002E23CC" w:rsidRPr="00315275">
        <w:rPr>
          <w:rFonts w:ascii="Times New Roman" w:hAnsi="Times New Roman"/>
          <w:lang w:val="sl-SI"/>
        </w:rPr>
        <w:t xml:space="preserve"> Dé, Denis </w:t>
      </w:r>
      <w:proofErr w:type="spellStart"/>
      <w:r w:rsidR="002E23CC" w:rsidRPr="00315275">
        <w:rPr>
          <w:rFonts w:ascii="Times New Roman" w:hAnsi="Times New Roman"/>
          <w:lang w:val="sl-SI"/>
        </w:rPr>
        <w:t>Dennehy</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Yanqing</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Duan</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Rameshwar</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Dubey</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Rohita</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Dwivedi</w:t>
      </w:r>
      <w:proofErr w:type="spellEnd"/>
      <w:r w:rsidR="002E23CC" w:rsidRPr="00315275">
        <w:rPr>
          <w:rFonts w:ascii="Times New Roman" w:hAnsi="Times New Roman"/>
          <w:lang w:val="sl-SI"/>
        </w:rPr>
        <w:t xml:space="preserve">, John S. Edwards, Carlos </w:t>
      </w:r>
      <w:proofErr w:type="spellStart"/>
      <w:r w:rsidR="002E23CC" w:rsidRPr="00315275">
        <w:rPr>
          <w:rFonts w:ascii="Times New Roman" w:hAnsi="Times New Roman"/>
          <w:lang w:val="sl-SI"/>
        </w:rPr>
        <w:t>Flavián</w:t>
      </w:r>
      <w:proofErr w:type="spellEnd"/>
      <w:r w:rsidR="002E23CC" w:rsidRPr="00315275">
        <w:rPr>
          <w:rFonts w:ascii="Times New Roman" w:hAnsi="Times New Roman"/>
          <w:lang w:val="sl-SI"/>
        </w:rPr>
        <w:t xml:space="preserve">, Robin </w:t>
      </w:r>
      <w:proofErr w:type="spellStart"/>
      <w:r w:rsidR="002E23CC" w:rsidRPr="00315275">
        <w:rPr>
          <w:rFonts w:ascii="Times New Roman" w:hAnsi="Times New Roman"/>
          <w:lang w:val="sl-SI"/>
        </w:rPr>
        <w:t>Gauld</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Varun</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Grover</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Mei-Chih</w:t>
      </w:r>
      <w:proofErr w:type="spellEnd"/>
      <w:r w:rsidR="002E23CC" w:rsidRPr="00315275">
        <w:rPr>
          <w:rFonts w:ascii="Times New Roman" w:hAnsi="Times New Roman"/>
          <w:lang w:val="sl-SI"/>
        </w:rPr>
        <w:t xml:space="preserve"> Hu, </w:t>
      </w:r>
      <w:proofErr w:type="spellStart"/>
      <w:r w:rsidR="002E23CC" w:rsidRPr="00315275">
        <w:rPr>
          <w:rFonts w:ascii="Times New Roman" w:hAnsi="Times New Roman"/>
          <w:lang w:val="sl-SI"/>
        </w:rPr>
        <w:t>Marijn</w:t>
      </w:r>
      <w:proofErr w:type="spellEnd"/>
      <w:r w:rsidR="002E23CC" w:rsidRPr="00315275">
        <w:rPr>
          <w:rFonts w:ascii="Times New Roman" w:hAnsi="Times New Roman"/>
          <w:lang w:val="sl-SI"/>
        </w:rPr>
        <w:t xml:space="preserve"> Janssen, Paul Jones, Iris </w:t>
      </w:r>
      <w:proofErr w:type="spellStart"/>
      <w:r w:rsidR="002E23CC" w:rsidRPr="00315275">
        <w:rPr>
          <w:rFonts w:ascii="Times New Roman" w:hAnsi="Times New Roman"/>
          <w:lang w:val="sl-SI"/>
        </w:rPr>
        <w:t>Junglas</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Sangeeta</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Khorana</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Sascha</w:t>
      </w:r>
      <w:proofErr w:type="spellEnd"/>
      <w:r w:rsidR="002E23CC" w:rsidRPr="00315275">
        <w:rPr>
          <w:rFonts w:ascii="Times New Roman" w:hAnsi="Times New Roman"/>
          <w:lang w:val="sl-SI"/>
        </w:rPr>
        <w:t xml:space="preserve"> Kraus, </w:t>
      </w:r>
      <w:proofErr w:type="spellStart"/>
      <w:r w:rsidR="002E23CC" w:rsidRPr="00315275">
        <w:rPr>
          <w:rFonts w:ascii="Times New Roman" w:hAnsi="Times New Roman"/>
          <w:lang w:val="sl-SI"/>
        </w:rPr>
        <w:t>Kai</w:t>
      </w:r>
      <w:proofErr w:type="spellEnd"/>
      <w:r w:rsidR="002E23CC" w:rsidRPr="00315275">
        <w:rPr>
          <w:rFonts w:ascii="Times New Roman" w:hAnsi="Times New Roman"/>
          <w:lang w:val="sl-SI"/>
        </w:rPr>
        <w:t xml:space="preserve"> R. </w:t>
      </w:r>
      <w:proofErr w:type="spellStart"/>
      <w:r w:rsidR="002E23CC" w:rsidRPr="00315275">
        <w:rPr>
          <w:rFonts w:ascii="Times New Roman" w:hAnsi="Times New Roman"/>
          <w:lang w:val="sl-SI"/>
        </w:rPr>
        <w:t>Larsen</w:t>
      </w:r>
      <w:proofErr w:type="spellEnd"/>
      <w:r w:rsidR="002E23CC" w:rsidRPr="00315275">
        <w:rPr>
          <w:rFonts w:ascii="Times New Roman" w:hAnsi="Times New Roman"/>
          <w:lang w:val="sl-SI"/>
        </w:rPr>
        <w:t xml:space="preserve">, Paul </w:t>
      </w:r>
      <w:proofErr w:type="spellStart"/>
      <w:r w:rsidR="002E23CC" w:rsidRPr="00315275">
        <w:rPr>
          <w:rFonts w:ascii="Times New Roman" w:hAnsi="Times New Roman"/>
          <w:lang w:val="sl-SI"/>
        </w:rPr>
        <w:t>Latreille</w:t>
      </w:r>
      <w:proofErr w:type="spellEnd"/>
      <w:r w:rsidR="002E23CC" w:rsidRPr="00315275">
        <w:rPr>
          <w:rFonts w:ascii="Times New Roman" w:hAnsi="Times New Roman"/>
          <w:lang w:val="sl-SI"/>
        </w:rPr>
        <w:t xml:space="preserve">, Sven </w:t>
      </w:r>
      <w:proofErr w:type="spellStart"/>
      <w:r w:rsidR="002E23CC" w:rsidRPr="00315275">
        <w:rPr>
          <w:rFonts w:ascii="Times New Roman" w:hAnsi="Times New Roman"/>
          <w:lang w:val="sl-SI"/>
        </w:rPr>
        <w:t>Laumer</w:t>
      </w:r>
      <w:proofErr w:type="spellEnd"/>
      <w:r w:rsidR="002E23CC" w:rsidRPr="00315275">
        <w:rPr>
          <w:rFonts w:ascii="Times New Roman" w:hAnsi="Times New Roman"/>
          <w:lang w:val="sl-SI"/>
        </w:rPr>
        <w:t xml:space="preserve">, F. </w:t>
      </w:r>
      <w:proofErr w:type="spellStart"/>
      <w:r w:rsidR="002E23CC" w:rsidRPr="00315275">
        <w:rPr>
          <w:rFonts w:ascii="Times New Roman" w:hAnsi="Times New Roman"/>
          <w:lang w:val="sl-SI"/>
        </w:rPr>
        <w:t>Tegwen</w:t>
      </w:r>
      <w:proofErr w:type="spellEnd"/>
      <w:r w:rsidR="002E23CC" w:rsidRPr="00315275">
        <w:rPr>
          <w:rFonts w:ascii="Times New Roman" w:hAnsi="Times New Roman"/>
          <w:lang w:val="sl-SI"/>
        </w:rPr>
        <w:t xml:space="preserve"> Malik, </w:t>
      </w:r>
      <w:proofErr w:type="spellStart"/>
      <w:r w:rsidR="002E23CC" w:rsidRPr="00315275">
        <w:rPr>
          <w:rFonts w:ascii="Times New Roman" w:hAnsi="Times New Roman"/>
          <w:lang w:val="sl-SI"/>
        </w:rPr>
        <w:t>Abbas</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Mardani</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Marcello</w:t>
      </w:r>
      <w:proofErr w:type="spellEnd"/>
      <w:r w:rsidR="002E23CC" w:rsidRPr="00315275">
        <w:rPr>
          <w:rFonts w:ascii="Times New Roman" w:hAnsi="Times New Roman"/>
          <w:lang w:val="sl-SI"/>
        </w:rPr>
        <w:t xml:space="preserve"> Mariani, Sunil </w:t>
      </w:r>
      <w:proofErr w:type="spellStart"/>
      <w:r w:rsidR="002E23CC" w:rsidRPr="00315275">
        <w:rPr>
          <w:rFonts w:ascii="Times New Roman" w:hAnsi="Times New Roman"/>
          <w:lang w:val="sl-SI"/>
        </w:rPr>
        <w:t>Mithas</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Emmanuel</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Mogaji</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Jeretta</w:t>
      </w:r>
      <w:proofErr w:type="spellEnd"/>
      <w:r w:rsidR="002E23CC" w:rsidRPr="00315275">
        <w:rPr>
          <w:rFonts w:ascii="Times New Roman" w:hAnsi="Times New Roman"/>
          <w:lang w:val="sl-SI"/>
        </w:rPr>
        <w:t xml:space="preserve"> Horn </w:t>
      </w:r>
      <w:proofErr w:type="spellStart"/>
      <w:r w:rsidR="002E23CC" w:rsidRPr="00315275">
        <w:rPr>
          <w:rFonts w:ascii="Times New Roman" w:hAnsi="Times New Roman"/>
          <w:lang w:val="sl-SI"/>
        </w:rPr>
        <w:t>Nord</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Siobhan</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O’Connor</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Fevzi</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Okumus</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Margherita</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Pagani</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Neeraj</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Pandey</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Savvas</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Papagiannidis</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Ilias</w:t>
      </w:r>
      <w:proofErr w:type="spellEnd"/>
      <w:r w:rsidR="002E23CC" w:rsidRPr="00315275">
        <w:rPr>
          <w:rFonts w:ascii="Times New Roman" w:hAnsi="Times New Roman"/>
          <w:lang w:val="sl-SI"/>
        </w:rPr>
        <w:t xml:space="preserve"> O. </w:t>
      </w:r>
      <w:proofErr w:type="spellStart"/>
      <w:r w:rsidR="002E23CC" w:rsidRPr="00315275">
        <w:rPr>
          <w:rFonts w:ascii="Times New Roman" w:hAnsi="Times New Roman"/>
          <w:lang w:val="sl-SI"/>
        </w:rPr>
        <w:t>Pappas</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Nishith</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Pathak</w:t>
      </w:r>
      <w:proofErr w:type="spellEnd"/>
      <w:r w:rsidR="002E23CC" w:rsidRPr="00315275">
        <w:rPr>
          <w:rFonts w:ascii="Times New Roman" w:hAnsi="Times New Roman"/>
          <w:lang w:val="sl-SI"/>
        </w:rPr>
        <w:t xml:space="preserve">, Jan </w:t>
      </w:r>
      <w:proofErr w:type="spellStart"/>
      <w:r w:rsidR="002E23CC" w:rsidRPr="00315275">
        <w:rPr>
          <w:rFonts w:ascii="Times New Roman" w:hAnsi="Times New Roman"/>
          <w:lang w:val="sl-SI"/>
        </w:rPr>
        <w:t>Pries-Heje</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Ramakrishnan</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Raman</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Nripendra</w:t>
      </w:r>
      <w:proofErr w:type="spellEnd"/>
      <w:r w:rsidR="002E23CC" w:rsidRPr="00315275">
        <w:rPr>
          <w:rFonts w:ascii="Times New Roman" w:hAnsi="Times New Roman"/>
          <w:lang w:val="sl-SI"/>
        </w:rPr>
        <w:t xml:space="preserve"> P. Rana, Sven-</w:t>
      </w:r>
      <w:proofErr w:type="spellStart"/>
      <w:r w:rsidR="002E23CC" w:rsidRPr="00315275">
        <w:rPr>
          <w:rFonts w:ascii="Times New Roman" w:hAnsi="Times New Roman"/>
          <w:lang w:val="sl-SI"/>
        </w:rPr>
        <w:t>Volker</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Rehm</w:t>
      </w:r>
      <w:proofErr w:type="spellEnd"/>
      <w:r w:rsidR="002E23CC" w:rsidRPr="00315275">
        <w:rPr>
          <w:rFonts w:ascii="Times New Roman" w:hAnsi="Times New Roman"/>
          <w:lang w:val="sl-SI"/>
        </w:rPr>
        <w:t xml:space="preserve">, Samuel </w:t>
      </w:r>
      <w:proofErr w:type="spellStart"/>
      <w:r w:rsidR="002E23CC" w:rsidRPr="00315275">
        <w:rPr>
          <w:rFonts w:ascii="Times New Roman" w:hAnsi="Times New Roman"/>
          <w:lang w:val="sl-SI"/>
        </w:rPr>
        <w:t>Ribeiro-Navarrete</w:t>
      </w:r>
      <w:proofErr w:type="spellEnd"/>
      <w:r w:rsidR="002E23CC" w:rsidRPr="00315275">
        <w:rPr>
          <w:rFonts w:ascii="Times New Roman" w:hAnsi="Times New Roman"/>
          <w:lang w:val="sl-SI"/>
        </w:rPr>
        <w:t xml:space="preserve">, Alexander Richter, </w:t>
      </w:r>
      <w:proofErr w:type="spellStart"/>
      <w:r w:rsidR="002E23CC" w:rsidRPr="00315275">
        <w:rPr>
          <w:rFonts w:ascii="Times New Roman" w:hAnsi="Times New Roman"/>
          <w:lang w:val="sl-SI"/>
        </w:rPr>
        <w:t>Frantz</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Rowe</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Suprateek</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Sarker</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Bernd</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Carsten</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Stahl</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Manoj</w:t>
      </w:r>
      <w:proofErr w:type="spellEnd"/>
      <w:r w:rsidR="002E23CC" w:rsidRPr="00315275">
        <w:rPr>
          <w:rFonts w:ascii="Times New Roman" w:hAnsi="Times New Roman"/>
          <w:lang w:val="sl-SI"/>
        </w:rPr>
        <w:t xml:space="preserve"> Kumar </w:t>
      </w:r>
      <w:proofErr w:type="spellStart"/>
      <w:r w:rsidR="002E23CC" w:rsidRPr="00315275">
        <w:rPr>
          <w:rFonts w:ascii="Times New Roman" w:hAnsi="Times New Roman"/>
          <w:lang w:val="sl-SI"/>
        </w:rPr>
        <w:t>Tiwari</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Wil</w:t>
      </w:r>
      <w:proofErr w:type="spellEnd"/>
      <w:r w:rsidR="002E23CC" w:rsidRPr="00315275">
        <w:rPr>
          <w:rFonts w:ascii="Times New Roman" w:hAnsi="Times New Roman"/>
          <w:lang w:val="sl-SI"/>
        </w:rPr>
        <w:t xml:space="preserve"> van der Aalst, </w:t>
      </w:r>
      <w:proofErr w:type="spellStart"/>
      <w:r w:rsidR="002E23CC" w:rsidRPr="00315275">
        <w:rPr>
          <w:rFonts w:ascii="Times New Roman" w:hAnsi="Times New Roman"/>
          <w:lang w:val="sl-SI"/>
        </w:rPr>
        <w:t>Viswanath</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Venkatesh</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Giampaolo</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Viglia</w:t>
      </w:r>
      <w:proofErr w:type="spellEnd"/>
      <w:r w:rsidR="002E23CC" w:rsidRPr="00315275">
        <w:rPr>
          <w:rFonts w:ascii="Times New Roman" w:hAnsi="Times New Roman"/>
          <w:lang w:val="sl-SI"/>
        </w:rPr>
        <w:t xml:space="preserve">, Michael </w:t>
      </w:r>
      <w:proofErr w:type="spellStart"/>
      <w:r w:rsidR="002E23CC" w:rsidRPr="00315275">
        <w:rPr>
          <w:rFonts w:ascii="Times New Roman" w:hAnsi="Times New Roman"/>
          <w:lang w:val="sl-SI"/>
        </w:rPr>
        <w:t>Wade</w:t>
      </w:r>
      <w:proofErr w:type="spellEnd"/>
      <w:r w:rsidR="002E23CC" w:rsidRPr="00315275">
        <w:rPr>
          <w:rFonts w:ascii="Times New Roman" w:hAnsi="Times New Roman"/>
          <w:lang w:val="sl-SI"/>
        </w:rPr>
        <w:t xml:space="preserve">, Paul Walton, </w:t>
      </w:r>
      <w:proofErr w:type="spellStart"/>
      <w:r w:rsidR="002E23CC" w:rsidRPr="00315275">
        <w:rPr>
          <w:rFonts w:ascii="Times New Roman" w:hAnsi="Times New Roman"/>
          <w:lang w:val="sl-SI"/>
        </w:rPr>
        <w:t>Jochen</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Wirtz</w:t>
      </w:r>
      <w:proofErr w:type="spellEnd"/>
      <w:r w:rsidR="002E23CC" w:rsidRPr="00315275">
        <w:rPr>
          <w:rFonts w:ascii="Times New Roman" w:hAnsi="Times New Roman"/>
          <w:lang w:val="sl-SI"/>
        </w:rPr>
        <w:t xml:space="preserve">, Ryan Wright, “So </w:t>
      </w:r>
      <w:proofErr w:type="spellStart"/>
      <w:r w:rsidR="002E23CC" w:rsidRPr="00315275">
        <w:rPr>
          <w:rFonts w:ascii="Times New Roman" w:hAnsi="Times New Roman"/>
          <w:lang w:val="sl-SI"/>
        </w:rPr>
        <w:t>what</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if</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ChatGPT</w:t>
      </w:r>
      <w:proofErr w:type="spellEnd"/>
      <w:r w:rsidR="002E23CC" w:rsidRPr="00315275">
        <w:rPr>
          <w:rFonts w:ascii="Times New Roman" w:hAnsi="Times New Roman"/>
          <w:lang w:val="sl-SI"/>
        </w:rPr>
        <w:t xml:space="preserve"> </w:t>
      </w:r>
      <w:proofErr w:type="spellStart"/>
      <w:r w:rsidR="002E23CC" w:rsidRPr="00315275">
        <w:rPr>
          <w:rFonts w:ascii="Times New Roman" w:hAnsi="Times New Roman"/>
          <w:lang w:val="sl-SI"/>
        </w:rPr>
        <w:t>wrote</w:t>
      </w:r>
      <w:proofErr w:type="spellEnd"/>
      <w:r w:rsidR="002E23CC" w:rsidRPr="00315275">
        <w:rPr>
          <w:rFonts w:ascii="Times New Roman" w:hAnsi="Times New Roman"/>
          <w:lang w:val="sl-SI"/>
        </w:rPr>
        <w:t xml:space="preserve"> it?” </w:t>
      </w:r>
      <w:r w:rsidR="002E23CC" w:rsidRPr="002E23CC">
        <w:rPr>
          <w:rFonts w:ascii="Times New Roman" w:hAnsi="Times New Roman"/>
        </w:rPr>
        <w:t xml:space="preserve">Multidisciplinary perspectives on opportunities, </w:t>
      </w:r>
      <w:proofErr w:type="gramStart"/>
      <w:r w:rsidR="002E23CC" w:rsidRPr="002E23CC">
        <w:rPr>
          <w:rFonts w:ascii="Times New Roman" w:hAnsi="Times New Roman"/>
        </w:rPr>
        <w:t>challenges</w:t>
      </w:r>
      <w:proofErr w:type="gramEnd"/>
      <w:r w:rsidR="002E23CC" w:rsidRPr="002E23CC">
        <w:rPr>
          <w:rFonts w:ascii="Times New Roman" w:hAnsi="Times New Roman"/>
        </w:rPr>
        <w:t xml:space="preserve"> and implications of generative conversational AI for research, practice and policy,</w:t>
      </w:r>
      <w:r w:rsidR="002E23CC">
        <w:rPr>
          <w:rFonts w:ascii="Times New Roman" w:hAnsi="Times New Roman"/>
        </w:rPr>
        <w:t xml:space="preserve">” 71 </w:t>
      </w:r>
      <w:r w:rsidR="002E23CC" w:rsidRPr="002E23CC">
        <w:rPr>
          <w:rFonts w:ascii="Times New Roman" w:hAnsi="Times New Roman"/>
        </w:rPr>
        <w:t>International Journal of Information Management</w:t>
      </w:r>
      <w:r w:rsidR="002E23CC">
        <w:rPr>
          <w:rFonts w:ascii="Times New Roman" w:hAnsi="Times New Roman"/>
        </w:rPr>
        <w:t xml:space="preserve"> 1</w:t>
      </w:r>
      <w:r w:rsidR="002E23CC" w:rsidRPr="002E23CC">
        <w:rPr>
          <w:rFonts w:ascii="Times New Roman" w:hAnsi="Times New Roman"/>
        </w:rPr>
        <w:t>,</w:t>
      </w:r>
      <w:r w:rsidR="002E23CC">
        <w:rPr>
          <w:rFonts w:ascii="Times New Roman" w:hAnsi="Times New Roman"/>
        </w:rPr>
        <w:t xml:space="preserve"> </w:t>
      </w:r>
      <w:r w:rsidR="002E23CC" w:rsidRPr="002E23CC">
        <w:rPr>
          <w:rFonts w:ascii="Times New Roman" w:hAnsi="Times New Roman"/>
        </w:rPr>
        <w:t>2023</w:t>
      </w:r>
      <w:r w:rsidR="002E23CC">
        <w:rPr>
          <w:rFonts w:ascii="Times New Roman" w:hAnsi="Times New Roman"/>
        </w:rPr>
        <w:t>.</w:t>
      </w:r>
    </w:p>
  </w:footnote>
  <w:footnote w:id="56">
    <w:p w14:paraId="03538BE5" w14:textId="77777777" w:rsidR="00211F22" w:rsidRPr="006F6CFE" w:rsidRDefault="00211F22" w:rsidP="00211F22">
      <w:pPr>
        <w:pStyle w:val="Sprotnaopomba-besedilo"/>
        <w:rPr>
          <w:rFonts w:ascii="Times New Roman" w:hAnsi="Times New Roman"/>
        </w:rPr>
      </w:pPr>
      <w:r w:rsidRPr="006F6CFE">
        <w:rPr>
          <w:rStyle w:val="Sprotnaopomba-sklic"/>
        </w:rPr>
        <w:footnoteRef/>
      </w:r>
      <w:r w:rsidRPr="007C2695">
        <w:rPr>
          <w:lang w:val="de-AT"/>
        </w:rPr>
        <w:t xml:space="preserve"> </w:t>
      </w:r>
      <w:proofErr w:type="spellStart"/>
      <w:r w:rsidRPr="007C2695">
        <w:rPr>
          <w:rFonts w:ascii="Times New Roman" w:hAnsi="Times New Roman"/>
          <w:lang w:val="de-AT"/>
        </w:rPr>
        <w:t>Helberger</w:t>
      </w:r>
      <w:proofErr w:type="spellEnd"/>
      <w:r w:rsidRPr="007C2695">
        <w:rPr>
          <w:rFonts w:ascii="Times New Roman" w:hAnsi="Times New Roman"/>
          <w:lang w:val="de-AT"/>
        </w:rPr>
        <w:t xml:space="preserve">, N. and </w:t>
      </w:r>
      <w:proofErr w:type="spellStart"/>
      <w:r w:rsidRPr="007C2695">
        <w:rPr>
          <w:rFonts w:ascii="Times New Roman" w:hAnsi="Times New Roman"/>
          <w:lang w:val="de-AT"/>
        </w:rPr>
        <w:t>Diakopoulos</w:t>
      </w:r>
      <w:proofErr w:type="spellEnd"/>
      <w:r w:rsidRPr="007C2695">
        <w:rPr>
          <w:rFonts w:ascii="Times New Roman" w:hAnsi="Times New Roman"/>
          <w:lang w:val="de-AT"/>
        </w:rPr>
        <w:t xml:space="preserve">, N. (2023). </w:t>
      </w:r>
      <w:r w:rsidRPr="006F6CFE">
        <w:rPr>
          <w:rFonts w:ascii="Times New Roman" w:hAnsi="Times New Roman"/>
        </w:rPr>
        <w:t xml:space="preserve">ChatGPT and the AI Act. Internet Policy </w:t>
      </w:r>
      <w:proofErr w:type="gramStart"/>
      <w:r w:rsidRPr="006F6CFE">
        <w:rPr>
          <w:rFonts w:ascii="Times New Roman" w:hAnsi="Times New Roman"/>
        </w:rPr>
        <w:t>Review,[</w:t>
      </w:r>
      <w:proofErr w:type="gramEnd"/>
      <w:r w:rsidRPr="006F6CFE">
        <w:rPr>
          <w:rFonts w:ascii="Times New Roman" w:hAnsi="Times New Roman"/>
        </w:rPr>
        <w:t>online] 12(1). Available at: https://policyreview.info/essay/chatgpt-and-ai-act [Accessed: 22 May. 2023].</w:t>
      </w:r>
    </w:p>
  </w:footnote>
  <w:footnote w:id="57">
    <w:p w14:paraId="372A8517" w14:textId="77777777" w:rsidR="00211F22" w:rsidRPr="006F6CFE" w:rsidRDefault="00211F22" w:rsidP="00211F22">
      <w:pPr>
        <w:pStyle w:val="Sprotnaopomba-besedilo"/>
        <w:rPr>
          <w:rFonts w:ascii="Times New Roman" w:hAnsi="Times New Roman"/>
        </w:rPr>
      </w:pPr>
      <w:r w:rsidRPr="006F6CFE">
        <w:rPr>
          <w:rStyle w:val="Sprotnaopomba-sklic"/>
          <w:rFonts w:ascii="Times New Roman" w:hAnsi="Times New Roman"/>
        </w:rPr>
        <w:footnoteRef/>
      </w:r>
      <w:r w:rsidRPr="006F6CFE">
        <w:rPr>
          <w:rFonts w:ascii="Times New Roman" w:hAnsi="Times New Roman"/>
        </w:rPr>
        <w:t xml:space="preserve"> Ibid.</w:t>
      </w:r>
    </w:p>
  </w:footnote>
  <w:footnote w:id="58">
    <w:p w14:paraId="6A264AD8" w14:textId="01453DBF" w:rsidR="006F6CFE" w:rsidRPr="006F6CFE" w:rsidRDefault="006F6CFE">
      <w:pPr>
        <w:pStyle w:val="Sprotnaopomba-besedilo"/>
        <w:rPr>
          <w:rFonts w:ascii="Times New Roman" w:hAnsi="Times New Roman"/>
        </w:rPr>
      </w:pPr>
      <w:r w:rsidRPr="006F6CFE">
        <w:rPr>
          <w:rStyle w:val="Sprotnaopomba-sklic"/>
          <w:rFonts w:ascii="Times New Roman" w:hAnsi="Times New Roman"/>
        </w:rPr>
        <w:footnoteRef/>
      </w:r>
      <w:r w:rsidRPr="006F6CFE">
        <w:rPr>
          <w:rFonts w:ascii="Times New Roman" w:hAnsi="Times New Roman"/>
        </w:rPr>
        <w:t xml:space="preserve"> See </w:t>
      </w:r>
      <w:proofErr w:type="gramStart"/>
      <w:r w:rsidRPr="006F6CFE">
        <w:rPr>
          <w:rFonts w:ascii="Times New Roman" w:hAnsi="Times New Roman"/>
        </w:rPr>
        <w:t>e.g.</w:t>
      </w:r>
      <w:proofErr w:type="gramEnd"/>
      <w:r w:rsidRPr="006F6CFE">
        <w:rPr>
          <w:rFonts w:ascii="Times New Roman" w:hAnsi="Times New Roman"/>
        </w:rPr>
        <w:t xml:space="preserve"> Baldwin R</w:t>
      </w:r>
      <w:r>
        <w:rPr>
          <w:rFonts w:ascii="Times New Roman" w:hAnsi="Times New Roman"/>
        </w:rPr>
        <w:t>obert</w:t>
      </w:r>
      <w:r w:rsidRPr="006F6CFE">
        <w:rPr>
          <w:rFonts w:ascii="Times New Roman" w:hAnsi="Times New Roman"/>
        </w:rPr>
        <w:t xml:space="preserve"> and C</w:t>
      </w:r>
      <w:r>
        <w:rPr>
          <w:rFonts w:ascii="Times New Roman" w:hAnsi="Times New Roman"/>
        </w:rPr>
        <w:t>hristopher</w:t>
      </w:r>
      <w:r w:rsidRPr="006F6CFE">
        <w:rPr>
          <w:rFonts w:ascii="Times New Roman" w:hAnsi="Times New Roman"/>
        </w:rPr>
        <w:t xml:space="preserve"> McCrudden,</w:t>
      </w:r>
      <w:r>
        <w:rPr>
          <w:rFonts w:ascii="Times New Roman" w:hAnsi="Times New Roman"/>
        </w:rPr>
        <w:t xml:space="preserve"> “Regulation and Public Law,” </w:t>
      </w:r>
      <w:r w:rsidRPr="006F6CFE">
        <w:rPr>
          <w:rFonts w:ascii="Times New Roman" w:hAnsi="Times New Roman"/>
        </w:rPr>
        <w:t xml:space="preserve">London: Weidenfeld and Nicolson, </w:t>
      </w:r>
      <w:r>
        <w:rPr>
          <w:rFonts w:ascii="Times New Roman" w:hAnsi="Times New Roman"/>
        </w:rPr>
        <w:t xml:space="preserve">1987; and Radaelli Claudio and Fabrizio De Francesco, “Regulatory Quality in Europe: Concepts, Measures and Policy </w:t>
      </w:r>
      <w:r w:rsidR="00D6565D">
        <w:rPr>
          <w:rFonts w:ascii="Times New Roman" w:hAnsi="Times New Roman"/>
        </w:rPr>
        <w:t>Processes</w:t>
      </w:r>
      <w:r>
        <w:rPr>
          <w:rFonts w:ascii="Times New Roman" w:hAnsi="Times New Roman"/>
        </w:rPr>
        <w:t xml:space="preserve">,” Manchester: </w:t>
      </w:r>
      <w:r w:rsidR="00D6565D">
        <w:rPr>
          <w:rFonts w:ascii="Times New Roman" w:hAnsi="Times New Roman"/>
        </w:rPr>
        <w:t>M</w:t>
      </w:r>
      <w:r>
        <w:rPr>
          <w:rFonts w:ascii="Times New Roman" w:hAnsi="Times New Roman"/>
        </w:rPr>
        <w:t>anchester University Press, 2011.</w:t>
      </w:r>
      <w:r w:rsidRPr="006F6CFE">
        <w:rPr>
          <w:rFonts w:ascii="Times New Roman" w:hAnsi="Times New Roman"/>
        </w:rPr>
        <w:t xml:space="preserve"> </w:t>
      </w:r>
    </w:p>
  </w:footnote>
  <w:footnote w:id="59">
    <w:p w14:paraId="00739457" w14:textId="0FB577E0" w:rsidR="006F6CFE" w:rsidRPr="00CC1B76" w:rsidRDefault="006F6CFE">
      <w:pPr>
        <w:pStyle w:val="Sprotnaopomba-besedilo"/>
        <w:rPr>
          <w:rFonts w:ascii="Times New Roman" w:hAnsi="Times New Roman"/>
        </w:rPr>
      </w:pPr>
      <w:r>
        <w:rPr>
          <w:rStyle w:val="Sprotnaopomba-sklic"/>
        </w:rPr>
        <w:footnoteRef/>
      </w:r>
      <w:r>
        <w:t xml:space="preserve"> </w:t>
      </w:r>
      <w:r w:rsidRPr="00CC1B76">
        <w:rPr>
          <w:rFonts w:ascii="Times New Roman" w:hAnsi="Times New Roman"/>
        </w:rPr>
        <w:t>Legislative mandate, accountability, due process, expertise, efficiency; Baldwin Robert, Martin Cave and Martin Lodge, “Understanding Regulation: Theory, Strategy, and Practice,” 2</w:t>
      </w:r>
      <w:r w:rsidRPr="00CC1B76">
        <w:rPr>
          <w:rFonts w:ascii="Times New Roman" w:hAnsi="Times New Roman"/>
          <w:vertAlign w:val="superscript"/>
        </w:rPr>
        <w:t>nd</w:t>
      </w:r>
      <w:r w:rsidRPr="00CC1B76">
        <w:rPr>
          <w:rFonts w:ascii="Times New Roman" w:hAnsi="Times New Roman"/>
        </w:rPr>
        <w:t xml:space="preserve"> ed., Oxford: Oxford University Press, </w:t>
      </w:r>
      <w:r w:rsidR="00CC1B76" w:rsidRPr="00CC1B76">
        <w:rPr>
          <w:rFonts w:ascii="Times New Roman" w:hAnsi="Times New Roman"/>
        </w:rPr>
        <w:t>2012.</w:t>
      </w:r>
    </w:p>
  </w:footnote>
  <w:footnote w:id="60">
    <w:p w14:paraId="6D29B90D" w14:textId="6AA531F8" w:rsidR="007D2DE7" w:rsidRPr="007D2DE7" w:rsidRDefault="007D2DE7">
      <w:pPr>
        <w:pStyle w:val="Sprotnaopomba-besedilo"/>
        <w:rPr>
          <w:rFonts w:ascii="Times New Roman" w:hAnsi="Times New Roman"/>
        </w:rPr>
      </w:pPr>
      <w:r>
        <w:rPr>
          <w:rStyle w:val="Sprotnaopomba-sklic"/>
        </w:rPr>
        <w:footnoteRef/>
      </w:r>
      <w:r w:rsidRPr="007D2DE7">
        <w:t xml:space="preserve"> </w:t>
      </w:r>
      <w:r w:rsidRPr="007D2DE7">
        <w:rPr>
          <w:rFonts w:ascii="Times New Roman" w:hAnsi="Times New Roman"/>
        </w:rPr>
        <w:t>Frank Knight provides a distinction between uncertainty and risks, where uncertainty is inherently impossible to measure and risk which is amenable to quantification; Knight Frank, “Risk, Uncertainty and Profit,” Boston: Harvard University Press, 1921.</w:t>
      </w:r>
    </w:p>
  </w:footnote>
  <w:footnote w:id="61">
    <w:p w14:paraId="7D77C2CA" w14:textId="464B6E7C" w:rsidR="007D2DE7" w:rsidRPr="007D2DE7" w:rsidRDefault="007D2DE7">
      <w:pPr>
        <w:pStyle w:val="Sprotnaopomba-besedilo"/>
        <w:rPr>
          <w:rFonts w:ascii="Times New Roman" w:hAnsi="Times New Roman"/>
        </w:rPr>
      </w:pPr>
      <w:r>
        <w:rPr>
          <w:rStyle w:val="Sprotnaopomba-sklic"/>
        </w:rPr>
        <w:footnoteRef/>
      </w:r>
      <w:r w:rsidRPr="007C2695">
        <w:t xml:space="preserve"> </w:t>
      </w:r>
      <w:bookmarkStart w:id="23" w:name="_Hlk135841460"/>
      <w:r w:rsidRPr="007D2DE7">
        <w:rPr>
          <w:rFonts w:ascii="Times New Roman" w:hAnsi="Times New Roman"/>
        </w:rPr>
        <w:t>Baldwin et al., supra note 59, at p. 83</w:t>
      </w:r>
      <w:bookmarkEnd w:id="23"/>
      <w:r w:rsidRPr="007D2DE7">
        <w:rPr>
          <w:rFonts w:ascii="Times New Roman" w:hAnsi="Times New Roman"/>
        </w:rPr>
        <w:t>.</w:t>
      </w:r>
      <w:r>
        <w:rPr>
          <w:rFonts w:ascii="Times New Roman" w:hAnsi="Times New Roman"/>
        </w:rPr>
        <w:t xml:space="preserve"> See also Hutter B.M., “Anticipating Risk and Organising Regulation,” Cambridge: Cambridge University Press, 2010; and Hutter B.M. and M. Power, “Organizational Encounters with Risk,” Cambridge: Cambridge University Press, 2005.</w:t>
      </w:r>
    </w:p>
  </w:footnote>
  <w:footnote w:id="62">
    <w:p w14:paraId="2D05406E" w14:textId="37EECBBE" w:rsidR="000E6021" w:rsidRPr="007D2DE7" w:rsidRDefault="000E6021">
      <w:pPr>
        <w:pStyle w:val="Sprotnaopomba-besedilo"/>
        <w:rPr>
          <w:rFonts w:ascii="Times New Roman" w:hAnsi="Times New Roman"/>
        </w:rPr>
      </w:pPr>
      <w:r w:rsidRPr="007D2DE7">
        <w:rPr>
          <w:rStyle w:val="Sprotnaopomba-sklic"/>
          <w:rFonts w:ascii="Times New Roman" w:hAnsi="Times New Roman"/>
        </w:rPr>
        <w:footnoteRef/>
      </w:r>
      <w:r w:rsidRPr="007D2DE7">
        <w:rPr>
          <w:rFonts w:ascii="Times New Roman" w:hAnsi="Times New Roman"/>
        </w:rPr>
        <w:t xml:space="preserve"> Acemoglu supra note 4.</w:t>
      </w:r>
    </w:p>
  </w:footnote>
  <w:footnote w:id="63">
    <w:p w14:paraId="5B303213" w14:textId="445AF62F" w:rsidR="000E6021" w:rsidRPr="00331EE5" w:rsidRDefault="000E6021">
      <w:pPr>
        <w:pStyle w:val="Sprotnaopomba-besedilo"/>
        <w:rPr>
          <w:rFonts w:ascii="Times New Roman" w:hAnsi="Times New Roman"/>
        </w:rPr>
      </w:pPr>
      <w:r w:rsidRPr="006F6CFE">
        <w:rPr>
          <w:rStyle w:val="Sprotnaopomba-sklic"/>
          <w:rFonts w:ascii="Times New Roman" w:hAnsi="Times New Roman"/>
        </w:rPr>
        <w:footnoteRef/>
      </w:r>
      <w:r w:rsidRPr="006F6CFE">
        <w:rPr>
          <w:rFonts w:ascii="Times New Roman" w:hAnsi="Times New Roman"/>
        </w:rPr>
        <w:t xml:space="preserve"> </w:t>
      </w:r>
      <w:r w:rsidRPr="00331EE5">
        <w:rPr>
          <w:rFonts w:ascii="Times New Roman" w:hAnsi="Times New Roman"/>
        </w:rPr>
        <w:t>Ibid.</w:t>
      </w:r>
    </w:p>
  </w:footnote>
  <w:footnote w:id="64">
    <w:p w14:paraId="6EC2980A" w14:textId="4FF83F0E" w:rsidR="00916B6A" w:rsidRPr="00331EE5" w:rsidRDefault="00916B6A">
      <w:pPr>
        <w:pStyle w:val="Sprotnaopomba-besedilo"/>
        <w:rPr>
          <w:rFonts w:ascii="Times New Roman" w:hAnsi="Times New Roman"/>
        </w:rPr>
      </w:pPr>
      <w:r w:rsidRPr="00331EE5">
        <w:rPr>
          <w:rStyle w:val="Sprotnaopomba-sklic"/>
          <w:rFonts w:ascii="Times New Roman" w:hAnsi="Times New Roman"/>
        </w:rPr>
        <w:footnoteRef/>
      </w:r>
      <w:r w:rsidRPr="00331EE5">
        <w:rPr>
          <w:rFonts w:ascii="Times New Roman" w:hAnsi="Times New Roman"/>
        </w:rPr>
        <w:t xml:space="preserve"> </w:t>
      </w:r>
      <w:r w:rsidR="000E6021" w:rsidRPr="00331EE5">
        <w:rPr>
          <w:rFonts w:ascii="Times New Roman" w:hAnsi="Times New Roman"/>
        </w:rPr>
        <w:t xml:space="preserve">Where attempts to contain them just by promoting competition may be insufficient; </w:t>
      </w:r>
      <w:r w:rsidRPr="00331EE5">
        <w:rPr>
          <w:rFonts w:ascii="Times New Roman" w:hAnsi="Times New Roman"/>
        </w:rPr>
        <w:t>Acemoglu, supra note 4.</w:t>
      </w:r>
    </w:p>
  </w:footnote>
  <w:footnote w:id="65">
    <w:p w14:paraId="62E10C74" w14:textId="6D04772B" w:rsidR="00F47FA7" w:rsidRPr="00331EE5" w:rsidRDefault="00F47FA7">
      <w:pPr>
        <w:pStyle w:val="Sprotnaopomba-besedilo"/>
        <w:rPr>
          <w:rFonts w:ascii="Times New Roman" w:hAnsi="Times New Roman"/>
        </w:rPr>
      </w:pPr>
      <w:r w:rsidRPr="00331EE5">
        <w:rPr>
          <w:rStyle w:val="Sprotnaopomba-sklic"/>
          <w:rFonts w:ascii="Times New Roman" w:hAnsi="Times New Roman"/>
        </w:rPr>
        <w:footnoteRef/>
      </w:r>
      <w:r w:rsidRPr="00331EE5">
        <w:rPr>
          <w:rFonts w:ascii="Times New Roman" w:hAnsi="Times New Roman"/>
        </w:rPr>
        <w:t xml:space="preserve"> Helberg and </w:t>
      </w:r>
      <w:proofErr w:type="spellStart"/>
      <w:r w:rsidRPr="00331EE5">
        <w:rPr>
          <w:rFonts w:ascii="Times New Roman" w:hAnsi="Times New Roman"/>
        </w:rPr>
        <w:t>Diakopolus</w:t>
      </w:r>
      <w:proofErr w:type="spellEnd"/>
      <w:r w:rsidRPr="00331EE5">
        <w:rPr>
          <w:rFonts w:ascii="Times New Roman" w:hAnsi="Times New Roman"/>
        </w:rPr>
        <w:t>, supra note 44.</w:t>
      </w:r>
    </w:p>
  </w:footnote>
  <w:footnote w:id="66">
    <w:p w14:paraId="690EC426" w14:textId="642EE60B" w:rsidR="00994C12" w:rsidRPr="00994C12" w:rsidRDefault="00994C12">
      <w:pPr>
        <w:pStyle w:val="Sprotnaopomba-besedilo"/>
        <w:rPr>
          <w:rFonts w:ascii="Times New Roman" w:hAnsi="Times New Roman"/>
        </w:rPr>
      </w:pPr>
      <w:r>
        <w:rPr>
          <w:rStyle w:val="Sprotnaopomba-sklic"/>
        </w:rPr>
        <w:footnoteRef/>
      </w:r>
      <w:r>
        <w:t xml:space="preserve"> </w:t>
      </w:r>
      <w:r w:rsidRPr="00994C12">
        <w:rPr>
          <w:rFonts w:ascii="Times New Roman" w:hAnsi="Times New Roman"/>
        </w:rPr>
        <w:t xml:space="preserve">Waters Richard, “Can AI be </w:t>
      </w:r>
      <w:proofErr w:type="gramStart"/>
      <w:r w:rsidRPr="00994C12">
        <w:rPr>
          <w:rFonts w:ascii="Times New Roman" w:hAnsi="Times New Roman"/>
        </w:rPr>
        <w:t>regulated?,</w:t>
      </w:r>
      <w:proofErr w:type="gramEnd"/>
      <w:r w:rsidRPr="00994C12">
        <w:rPr>
          <w:rFonts w:ascii="Times New Roman" w:hAnsi="Times New Roman"/>
        </w:rPr>
        <w:t>” Financial Times, May 19, 2023.</w:t>
      </w:r>
    </w:p>
  </w:footnote>
  <w:footnote w:id="67">
    <w:p w14:paraId="59C78B9B" w14:textId="1AF29B97" w:rsidR="000E6021" w:rsidRPr="00331EE5" w:rsidRDefault="000E6021">
      <w:pPr>
        <w:pStyle w:val="Sprotnaopomba-besedilo"/>
        <w:rPr>
          <w:rFonts w:ascii="Times New Roman" w:hAnsi="Times New Roman"/>
        </w:rPr>
      </w:pPr>
      <w:r w:rsidRPr="00331EE5">
        <w:rPr>
          <w:rStyle w:val="Sprotnaopomba-sklic"/>
          <w:rFonts w:ascii="Times New Roman" w:hAnsi="Times New Roman"/>
        </w:rPr>
        <w:footnoteRef/>
      </w:r>
      <w:r w:rsidRPr="00331EE5">
        <w:rPr>
          <w:rFonts w:ascii="Times New Roman" w:hAnsi="Times New Roman"/>
        </w:rPr>
        <w:t xml:space="preserve"> The so-called large language models that lie behind generative AI services such as ChatGPT fail on the most basic measure of effectiveness for any piece of technology: being able to clearly specify what they are intended to do, and then measure whether they achieve their objectives. There is little that is repeatable in their performance, and evaluations of their output are highly subjective.</w:t>
      </w:r>
    </w:p>
  </w:footnote>
  <w:footnote w:id="68">
    <w:p w14:paraId="5402B947" w14:textId="0C38291A" w:rsidR="0072039A" w:rsidRPr="007E001C" w:rsidRDefault="0072039A">
      <w:pPr>
        <w:pStyle w:val="Sprotnaopomba-besedilo"/>
        <w:rPr>
          <w:rFonts w:ascii="Times New Roman" w:hAnsi="Times New Roman"/>
        </w:rPr>
      </w:pPr>
      <w:r>
        <w:rPr>
          <w:rStyle w:val="Sprotnaopomba-sklic"/>
        </w:rPr>
        <w:footnoteRef/>
      </w:r>
      <w:r>
        <w:t xml:space="preserve"> </w:t>
      </w:r>
      <w:r w:rsidRPr="007E001C">
        <w:rPr>
          <w:rFonts w:ascii="Times New Roman" w:hAnsi="Times New Roman"/>
        </w:rPr>
        <w:t xml:space="preserve">One possibility, suggested by Alexandr Wang, chief executive of Scale AI, would be to treat AI the same as the GPS positioning system, limiting the most powerful versions of the technology for restricted uses. But it would be hard to impose limits like this in a competitive technology market. Another approach, recommended this week by OpenAI CEO Sam Altman, would be </w:t>
      </w:r>
      <w:proofErr w:type="gramStart"/>
      <w:r w:rsidRPr="007E001C">
        <w:rPr>
          <w:rFonts w:ascii="Times New Roman" w:hAnsi="Times New Roman"/>
        </w:rPr>
        <w:t>to</w:t>
      </w:r>
      <w:proofErr w:type="gramEnd"/>
      <w:r w:rsidRPr="007E001C">
        <w:rPr>
          <w:rFonts w:ascii="Times New Roman" w:hAnsi="Times New Roman"/>
        </w:rPr>
        <w:t xml:space="preserve"> subject LLMs to direct regulatory oversight. A licensing regime could be used to ensure they adhere to certain safety standards and have been appropriately vetted.</w:t>
      </w:r>
    </w:p>
  </w:footnote>
  <w:footnote w:id="69">
    <w:p w14:paraId="38B1DB6B" w14:textId="77777777" w:rsidR="00290F7C" w:rsidRPr="007E001C" w:rsidRDefault="00290F7C" w:rsidP="00290F7C">
      <w:pPr>
        <w:pStyle w:val="Sprotnaopomba-besedilo"/>
        <w:rPr>
          <w:rFonts w:ascii="Times New Roman" w:hAnsi="Times New Roman"/>
        </w:rPr>
      </w:pPr>
      <w:r w:rsidRPr="007E001C">
        <w:rPr>
          <w:rStyle w:val="Sprotnaopomba-sklic"/>
          <w:rFonts w:ascii="Times New Roman" w:hAnsi="Times New Roman"/>
        </w:rPr>
        <w:footnoteRef/>
      </w:r>
      <w:r w:rsidRPr="007E001C">
        <w:rPr>
          <w:rFonts w:ascii="Times New Roman" w:hAnsi="Times New Roman"/>
        </w:rPr>
        <w:t xml:space="preserve"> Calo for example argues that high speed trading algorithms can destabilize stock market or cognitive radio systems that can interfere in emergency communications, may hold potential, alone or in combination, to cause serious damages; Calo Ryan, “The case for a federal robotics commission 9-10,” Brookings Ctr. For Tech. Innovation, 2014. </w:t>
      </w:r>
    </w:p>
  </w:footnote>
  <w:footnote w:id="70">
    <w:p w14:paraId="1A3B6161" w14:textId="5BA46E57" w:rsidR="00290F7C" w:rsidRPr="007E001C" w:rsidRDefault="00290F7C" w:rsidP="00290F7C">
      <w:pPr>
        <w:pStyle w:val="Sprotnaopomba-besedilo"/>
        <w:rPr>
          <w:rFonts w:ascii="Times New Roman" w:hAnsi="Times New Roman"/>
        </w:rPr>
      </w:pPr>
      <w:r w:rsidRPr="007E001C">
        <w:rPr>
          <w:rStyle w:val="Sprotnaopomba-sklic"/>
          <w:rFonts w:ascii="Times New Roman" w:hAnsi="Times New Roman"/>
        </w:rPr>
        <w:footnoteRef/>
      </w:r>
      <w:r w:rsidRPr="007E001C">
        <w:rPr>
          <w:rFonts w:ascii="Times New Roman" w:hAnsi="Times New Roman"/>
        </w:rPr>
        <w:t xml:space="preserve"> Schaefer Hand-Bernd, “Tort Law,” </w:t>
      </w:r>
      <w:bookmarkStart w:id="25" w:name="_Hlk874047"/>
      <w:r w:rsidRPr="007E001C">
        <w:rPr>
          <w:rFonts w:ascii="Times New Roman" w:hAnsi="Times New Roman"/>
        </w:rPr>
        <w:t xml:space="preserve">in De </w:t>
      </w:r>
      <w:proofErr w:type="spellStart"/>
      <w:r w:rsidRPr="007E001C">
        <w:rPr>
          <w:rFonts w:ascii="Times New Roman" w:hAnsi="Times New Roman"/>
        </w:rPr>
        <w:t>Geest</w:t>
      </w:r>
      <w:proofErr w:type="spellEnd"/>
      <w:r w:rsidRPr="007E001C">
        <w:rPr>
          <w:rFonts w:ascii="Times New Roman" w:hAnsi="Times New Roman"/>
        </w:rPr>
        <w:t xml:space="preserve"> Gerrit and Boudewijn Bouckaert (eds.), “Encyclopaedia of law and economics,” Volume II. Civil Law and Economics, Edward Elgar, 2000. </w:t>
      </w:r>
    </w:p>
    <w:bookmarkEnd w:id="25"/>
  </w:footnote>
  <w:footnote w:id="71">
    <w:p w14:paraId="731380FB" w14:textId="77777777" w:rsidR="00290F7C" w:rsidRPr="007E001C" w:rsidRDefault="00290F7C" w:rsidP="00290F7C">
      <w:pPr>
        <w:pStyle w:val="Sprotnaopomba-besedilo"/>
        <w:rPr>
          <w:rFonts w:ascii="Times New Roman" w:hAnsi="Times New Roman"/>
        </w:rPr>
      </w:pPr>
      <w:r w:rsidRPr="007E001C">
        <w:rPr>
          <w:rStyle w:val="Sprotnaopomba-sklic"/>
          <w:rFonts w:ascii="Times New Roman" w:hAnsi="Times New Roman"/>
        </w:rPr>
        <w:footnoteRef/>
      </w:r>
      <w:r w:rsidRPr="007E001C">
        <w:rPr>
          <w:rFonts w:ascii="Times New Roman" w:hAnsi="Times New Roman"/>
        </w:rPr>
        <w:t xml:space="preserve"> For an excellent treatise see </w:t>
      </w:r>
      <w:proofErr w:type="gramStart"/>
      <w:r w:rsidRPr="007E001C">
        <w:rPr>
          <w:rFonts w:ascii="Times New Roman" w:hAnsi="Times New Roman"/>
        </w:rPr>
        <w:t>e.g.</w:t>
      </w:r>
      <w:proofErr w:type="gramEnd"/>
      <w:r w:rsidRPr="007E001C">
        <w:rPr>
          <w:rFonts w:ascii="Times New Roman" w:hAnsi="Times New Roman"/>
        </w:rPr>
        <w:t xml:space="preserve"> Cooter Robert and Thomas Ulen, “Law and Economics,” 6</w:t>
      </w:r>
      <w:r w:rsidRPr="007E001C">
        <w:rPr>
          <w:rFonts w:ascii="Times New Roman" w:hAnsi="Times New Roman"/>
          <w:vertAlign w:val="superscript"/>
        </w:rPr>
        <w:t>th</w:t>
      </w:r>
      <w:r w:rsidRPr="007E001C">
        <w:rPr>
          <w:rFonts w:ascii="Times New Roman" w:hAnsi="Times New Roman"/>
        </w:rPr>
        <w:t xml:space="preserve"> ed., Addison-Wesley, 2016, pp. 287-373; Posner A. Richard, “Economic Analysis of Law,” 8</w:t>
      </w:r>
      <w:r w:rsidRPr="007E001C">
        <w:rPr>
          <w:rFonts w:ascii="Times New Roman" w:hAnsi="Times New Roman"/>
          <w:vertAlign w:val="superscript"/>
        </w:rPr>
        <w:t>th</w:t>
      </w:r>
      <w:r w:rsidRPr="007E001C">
        <w:rPr>
          <w:rFonts w:ascii="Times New Roman" w:hAnsi="Times New Roman"/>
        </w:rPr>
        <w:t xml:space="preserve"> ed., Wolters Kluwer, 2011, pp. 213-273; and Schaefer Hans-Bernd and Claus Ott, “The Economic Analysis of Civil Law,” Edward Elgar, 2004, pp. 107-273.</w:t>
      </w:r>
    </w:p>
  </w:footnote>
  <w:footnote w:id="72">
    <w:p w14:paraId="4E48069B"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On the exemptions from tort liability – some people and groups have immunity from tort law – and consequential externalization of the precaution costs see De </w:t>
      </w:r>
      <w:proofErr w:type="spellStart"/>
      <w:r w:rsidRPr="00E10F90">
        <w:rPr>
          <w:rFonts w:ascii="Times New Roman" w:hAnsi="Times New Roman"/>
        </w:rPr>
        <w:t>Geest</w:t>
      </w:r>
      <w:proofErr w:type="spellEnd"/>
      <w:r w:rsidRPr="00E10F90">
        <w:rPr>
          <w:rFonts w:ascii="Times New Roman" w:hAnsi="Times New Roman"/>
        </w:rPr>
        <w:t xml:space="preserve"> Gerrit, “Who should be immune from tort liability,”41 The Journal of Legal Studies 2, 2012, pp. 291-319.</w:t>
      </w:r>
    </w:p>
  </w:footnote>
  <w:footnote w:id="73">
    <w:p w14:paraId="3C325807"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For a synthesis see Shavell Steven, “Liability for Accidents,” in Polinsky A. Mitchell and Steven Shavell (eds.), “Handbook of law and economics, Volume 1,” North-Holland, 2007, pp. 139-183.</w:t>
      </w:r>
    </w:p>
  </w:footnote>
  <w:footnote w:id="74">
    <w:p w14:paraId="7267D7B6"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Wittman Donald, “Economic Foundations of Law and Organization,” Cambridge University Press, 2006, at p. 131.</w:t>
      </w:r>
    </w:p>
  </w:footnote>
  <w:footnote w:id="75">
    <w:p w14:paraId="14CB52C9" w14:textId="77777777" w:rsidR="00290F7C" w:rsidRPr="00E10F90" w:rsidRDefault="00290F7C" w:rsidP="00290F7C">
      <w:pPr>
        <w:pStyle w:val="Sprotnaopomba-besedilo"/>
        <w:rPr>
          <w:rFonts w:ascii="Times New Roman" w:hAnsi="Times New Roman"/>
          <w:lang w:val="sl-SI"/>
        </w:rPr>
      </w:pPr>
      <w:r w:rsidRPr="00E10F90">
        <w:rPr>
          <w:rStyle w:val="Sprotnaopomba-sklic"/>
          <w:rFonts w:ascii="Times New Roman" w:hAnsi="Times New Roman"/>
        </w:rPr>
        <w:footnoteRef/>
      </w:r>
      <w:r w:rsidRPr="00E10F90">
        <w:rPr>
          <w:rFonts w:ascii="Times New Roman" w:hAnsi="Times New Roman"/>
        </w:rPr>
        <w:t xml:space="preserve"> </w:t>
      </w:r>
      <w:proofErr w:type="spellStart"/>
      <w:r w:rsidRPr="00E10F90">
        <w:rPr>
          <w:rFonts w:ascii="Times New Roman" w:hAnsi="Times New Roman"/>
          <w:lang w:val="sl-SI"/>
        </w:rPr>
        <w:t>Schaefer</w:t>
      </w:r>
      <w:proofErr w:type="spellEnd"/>
      <w:r w:rsidRPr="00E10F90">
        <w:rPr>
          <w:rFonts w:ascii="Times New Roman" w:hAnsi="Times New Roman"/>
          <w:lang w:val="sl-SI"/>
        </w:rPr>
        <w:t xml:space="preserve">, </w:t>
      </w:r>
      <w:proofErr w:type="spellStart"/>
      <w:r w:rsidRPr="00E10F90">
        <w:rPr>
          <w:rFonts w:ascii="Times New Roman" w:hAnsi="Times New Roman"/>
          <w:lang w:val="sl-SI"/>
        </w:rPr>
        <w:t>supra</w:t>
      </w:r>
      <w:proofErr w:type="spellEnd"/>
      <w:r w:rsidRPr="00E10F90">
        <w:rPr>
          <w:rFonts w:ascii="Times New Roman" w:hAnsi="Times New Roman"/>
          <w:lang w:val="sl-SI"/>
        </w:rPr>
        <w:t xml:space="preserve"> note 42, at p.8.</w:t>
      </w:r>
    </w:p>
  </w:footnote>
  <w:footnote w:id="76">
    <w:p w14:paraId="5733B1A0" w14:textId="77777777" w:rsidR="00290F7C" w:rsidRPr="00E10F90" w:rsidRDefault="00290F7C" w:rsidP="00290F7C">
      <w:pPr>
        <w:pStyle w:val="Sprotnaopomba-besedilo"/>
        <w:rPr>
          <w:rFonts w:ascii="Times New Roman" w:hAnsi="Times New Roman"/>
          <w:lang w:val="sl-SI"/>
        </w:rPr>
      </w:pPr>
      <w:r w:rsidRPr="00E10F90">
        <w:rPr>
          <w:rStyle w:val="Sprotnaopomba-sklic"/>
          <w:rFonts w:ascii="Times New Roman" w:hAnsi="Times New Roman"/>
        </w:rPr>
        <w:footnoteRef/>
      </w:r>
      <w:r w:rsidRPr="00E10F90">
        <w:rPr>
          <w:rFonts w:ascii="Times New Roman" w:hAnsi="Times New Roman"/>
        </w:rPr>
        <w:t xml:space="preserve"> Schaefer argues that</w:t>
      </w:r>
      <w:r w:rsidRPr="00E10F90">
        <w:rPr>
          <w:rFonts w:ascii="Times New Roman" w:eastAsia="Times New Roman" w:hAnsi="Times New Roman"/>
          <w:sz w:val="24"/>
          <w:szCs w:val="24"/>
          <w:lang w:eastAsia="nl-NL"/>
        </w:rPr>
        <w:t xml:space="preserve"> </w:t>
      </w:r>
      <w:r w:rsidRPr="00E10F90">
        <w:rPr>
          <w:rFonts w:ascii="Times New Roman" w:hAnsi="Times New Roman"/>
        </w:rPr>
        <w:t xml:space="preserve">tort law </w:t>
      </w:r>
      <w:proofErr w:type="gramStart"/>
      <w:r w:rsidRPr="00E10F90">
        <w:rPr>
          <w:rFonts w:ascii="Times New Roman" w:hAnsi="Times New Roman"/>
        </w:rPr>
        <w:t>has to</w:t>
      </w:r>
      <w:proofErr w:type="gramEnd"/>
      <w:r w:rsidRPr="00E10F90">
        <w:rPr>
          <w:rFonts w:ascii="Times New Roman" w:hAnsi="Times New Roman"/>
        </w:rPr>
        <w:t xml:space="preserve"> play a predominant role in reducing primary accident costs if one takes the view that civil courts can handle most of the informational problems properly, and that regulatory agencies, even though better endowed to collect and process information, are often influenced by well-organized interest groups; </w:t>
      </w:r>
      <w:proofErr w:type="spellStart"/>
      <w:r w:rsidRPr="00E10F90">
        <w:rPr>
          <w:rFonts w:ascii="Times New Roman" w:hAnsi="Times New Roman"/>
          <w:lang w:val="sl-SI"/>
        </w:rPr>
        <w:t>Schaefer</w:t>
      </w:r>
      <w:proofErr w:type="spellEnd"/>
      <w:r w:rsidRPr="00E10F90">
        <w:rPr>
          <w:rFonts w:ascii="Times New Roman" w:hAnsi="Times New Roman"/>
          <w:lang w:val="sl-SI"/>
        </w:rPr>
        <w:t xml:space="preserve">, </w:t>
      </w:r>
      <w:proofErr w:type="spellStart"/>
      <w:r w:rsidRPr="00E10F90">
        <w:rPr>
          <w:rFonts w:ascii="Times New Roman" w:hAnsi="Times New Roman"/>
          <w:lang w:val="sl-SI"/>
        </w:rPr>
        <w:t>supra</w:t>
      </w:r>
      <w:proofErr w:type="spellEnd"/>
      <w:r w:rsidRPr="00E10F90">
        <w:rPr>
          <w:rFonts w:ascii="Times New Roman" w:hAnsi="Times New Roman"/>
          <w:lang w:val="sl-SI"/>
        </w:rPr>
        <w:t xml:space="preserve"> note at p. 6.</w:t>
      </w:r>
    </w:p>
  </w:footnote>
  <w:footnote w:id="77">
    <w:p w14:paraId="75322156" w14:textId="77777777" w:rsidR="00290F7C" w:rsidRPr="00E10F90" w:rsidRDefault="00290F7C" w:rsidP="00290F7C">
      <w:pPr>
        <w:pStyle w:val="Sprotnaopomba-besedilo"/>
        <w:rPr>
          <w:rFonts w:ascii="Times New Roman" w:hAnsi="Times New Roman"/>
          <w:lang w:val="sl-SI"/>
        </w:rPr>
      </w:pPr>
      <w:r w:rsidRPr="00E10F90">
        <w:rPr>
          <w:rStyle w:val="Sprotnaopomba-sklic"/>
          <w:rFonts w:ascii="Times New Roman" w:hAnsi="Times New Roman"/>
        </w:rPr>
        <w:footnoteRef/>
      </w:r>
      <w:r w:rsidRPr="00E10F90">
        <w:rPr>
          <w:rFonts w:ascii="Times New Roman" w:hAnsi="Times New Roman"/>
        </w:rPr>
        <w:t xml:space="preserve"> Ibid at p. 8.</w:t>
      </w:r>
    </w:p>
  </w:footnote>
  <w:footnote w:id="78">
    <w:p w14:paraId="1F35D4C2" w14:textId="77777777" w:rsidR="00290F7C" w:rsidRPr="00E10F90" w:rsidRDefault="00290F7C" w:rsidP="00290F7C">
      <w:pPr>
        <w:pStyle w:val="Sprotnaopomba-besedilo"/>
        <w:rPr>
          <w:rFonts w:ascii="Times New Roman" w:hAnsi="Times New Roman"/>
          <w:lang w:val="sl-SI"/>
        </w:rPr>
      </w:pPr>
      <w:r w:rsidRPr="00E10F90">
        <w:rPr>
          <w:rStyle w:val="Sprotnaopomba-sklic"/>
          <w:rFonts w:ascii="Times New Roman" w:hAnsi="Times New Roman"/>
        </w:rPr>
        <w:footnoteRef/>
      </w:r>
      <w:r w:rsidRPr="00E10F90">
        <w:rPr>
          <w:rFonts w:ascii="Times New Roman" w:hAnsi="Times New Roman"/>
        </w:rPr>
        <w:t xml:space="preserve"> Dewees, Duff and Trebilcock argue that in such circumstances only empirical research can then find out which system or which combination of systems is best suited to reduce accident costs; Dewees, Donald N., Duff, David and Trebilcock, Michael J., “Exploring the Domain of Accident Law: Taking the Facts Seriously,” Oxford University Press, 1996, p. 452. </w:t>
      </w:r>
    </w:p>
  </w:footnote>
  <w:footnote w:id="79">
    <w:p w14:paraId="6F2FDB55"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Shavell Steven, “Liability for harm versus regulation of safety,” 13 Journal of Legal Studies 2, 1984, pp. 357-374.</w:t>
      </w:r>
    </w:p>
  </w:footnote>
  <w:footnote w:id="80">
    <w:p w14:paraId="19FE4950"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Tort liability is private in nature and works not by social command but rather indirectly, through the deterrent effect of damage actions that may be brought once harm occurs, whereas standards and ex ante regulations are public in character and modify behaviour in an immediate way through requirements that are imposed before the actual occurrence of harm; ibid at p. 357.</w:t>
      </w:r>
    </w:p>
  </w:footnote>
  <w:footnote w:id="81">
    <w:p w14:paraId="4B4F383C"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Ibid, at p. 372.</w:t>
      </w:r>
    </w:p>
  </w:footnote>
  <w:footnote w:id="82">
    <w:p w14:paraId="392D3C26"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When harm is so diffused that individuals have little incentives to sue and cannot cheaply organize as a</w:t>
      </w:r>
    </w:p>
    <w:p w14:paraId="17695C4B" w14:textId="77777777" w:rsidR="00290F7C" w:rsidRPr="00E10F90" w:rsidRDefault="00290F7C" w:rsidP="00290F7C">
      <w:pPr>
        <w:pStyle w:val="Sprotnaopomba-besedilo"/>
        <w:rPr>
          <w:rFonts w:ascii="Times New Roman" w:hAnsi="Times New Roman"/>
        </w:rPr>
      </w:pPr>
      <w:r w:rsidRPr="00E10F90">
        <w:rPr>
          <w:rFonts w:ascii="Times New Roman" w:hAnsi="Times New Roman"/>
        </w:rPr>
        <w:t>group, this rational apathy of victims leads to systematic under-compensation and consequently to underdeterrence. Shavell also notes that conversely certain regulations might be too restrictive, unduly constraining or imposing excessive costs on industry; Shavell, supra note 59 at p. 372. See also Epstein A. Richard, “The principles of environmental protection; the case of superfund,” 2 Cato J. 9, 1982.</w:t>
      </w:r>
    </w:p>
  </w:footnote>
  <w:footnote w:id="83">
    <w:p w14:paraId="40065E98"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Shavell, supra note 59 at p. 373.</w:t>
      </w:r>
    </w:p>
  </w:footnote>
  <w:footnote w:id="84">
    <w:p w14:paraId="4F67D3A5"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Ibid.</w:t>
      </w:r>
    </w:p>
  </w:footnote>
  <w:footnote w:id="85">
    <w:p w14:paraId="5D2F4665"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Ibid.</w:t>
      </w:r>
    </w:p>
  </w:footnote>
  <w:footnote w:id="86">
    <w:p w14:paraId="79AC6848"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Rose-Ackerman Susan, “Tort law as a regulatory system,” 81 AEA Papers and Proceedings 2, 1991.</w:t>
      </w:r>
    </w:p>
  </w:footnote>
  <w:footnote w:id="87">
    <w:p w14:paraId="662978F5"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Yet, as Rose-Ackerman points out, if the implementation of a statutory scheme requires that private tort actions be pre-empted, alternative methods of compensating victims, such as social insurance or statue-based private damage actions should be designed; ibid at p. 54.</w:t>
      </w:r>
    </w:p>
  </w:footnote>
  <w:footnote w:id="88">
    <w:p w14:paraId="601230EF"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Shavell Steven, “The Judgement proof problem,” 6 International Review of Law and Economics, 1986, pp. 45-58. However, Summers has </w:t>
      </w:r>
      <w:proofErr w:type="gramStart"/>
      <w:r w:rsidRPr="00E10F90">
        <w:rPr>
          <w:rFonts w:ascii="Times New Roman" w:hAnsi="Times New Roman"/>
        </w:rPr>
        <w:t>actually identified</w:t>
      </w:r>
      <w:proofErr w:type="gramEnd"/>
      <w:r w:rsidRPr="00E10F90">
        <w:rPr>
          <w:rFonts w:ascii="Times New Roman" w:hAnsi="Times New Roman"/>
        </w:rPr>
        <w:t xml:space="preserve"> the problem of a disappearing defendant several years before Shavell’s seminal paper. See Summers J., “The case of the disappearing defendant: an economic analysis,” University of Pennsylvania Law Review, 132, 1983, pp. 145-185.</w:t>
      </w:r>
    </w:p>
  </w:footnote>
  <w:footnote w:id="89">
    <w:p w14:paraId="34EC2A2D" w14:textId="77777777" w:rsidR="00290F7C" w:rsidRPr="00E10F90" w:rsidRDefault="00290F7C" w:rsidP="00290F7C">
      <w:pPr>
        <w:pStyle w:val="Sprotnaopomba-besedilo"/>
        <w:rPr>
          <w:rFonts w:ascii="Times New Roman" w:hAnsi="Times New Roman"/>
          <w:lang w:val="sl-SI"/>
        </w:rPr>
      </w:pPr>
      <w:r w:rsidRPr="00E10F90">
        <w:rPr>
          <w:rStyle w:val="Sprotnaopomba-sklic"/>
          <w:rFonts w:ascii="Times New Roman" w:hAnsi="Times New Roman"/>
        </w:rPr>
        <w:footnoteRef/>
      </w:r>
      <w:r w:rsidRPr="00E10F90">
        <w:rPr>
          <w:rFonts w:ascii="Times New Roman" w:hAnsi="Times New Roman"/>
        </w:rPr>
        <w:t xml:space="preserve"> </w:t>
      </w:r>
      <w:proofErr w:type="spellStart"/>
      <w:r w:rsidRPr="00E10F90">
        <w:rPr>
          <w:rFonts w:ascii="Times New Roman" w:hAnsi="Times New Roman"/>
          <w:lang w:val="sl-SI"/>
        </w:rPr>
        <w:t>Ibid</w:t>
      </w:r>
      <w:proofErr w:type="spellEnd"/>
      <w:r w:rsidRPr="00E10F90">
        <w:rPr>
          <w:rFonts w:ascii="Times New Roman" w:hAnsi="Times New Roman"/>
          <w:lang w:val="sl-SI"/>
        </w:rPr>
        <w:t>.</w:t>
      </w:r>
    </w:p>
  </w:footnote>
  <w:footnote w:id="90">
    <w:p w14:paraId="631AC2A8"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w:t>
      </w:r>
      <w:bookmarkStart w:id="27" w:name="_Hlk374402"/>
      <w:r w:rsidRPr="00E10F90">
        <w:rPr>
          <w:rFonts w:ascii="Times New Roman" w:hAnsi="Times New Roman"/>
        </w:rPr>
        <w:t>Summers J., “The case of the disappearing defendant: an economic analysis,” University of Pennsylvania Law Review, 132, 1983, pp. 145-185.</w:t>
      </w:r>
    </w:p>
    <w:bookmarkEnd w:id="27"/>
  </w:footnote>
  <w:footnote w:id="91">
    <w:p w14:paraId="14AA9DB8"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Shavell, supra note 53, at p. 169. See also Ganuza and Gomez (2004).</w:t>
      </w:r>
    </w:p>
  </w:footnote>
  <w:footnote w:id="92">
    <w:p w14:paraId="70716AE4" w14:textId="77777777" w:rsidR="00290F7C" w:rsidRPr="00E10F90" w:rsidRDefault="00290F7C" w:rsidP="00290F7C">
      <w:pPr>
        <w:pStyle w:val="Sprotnaopomba-besedilo"/>
        <w:rPr>
          <w:rFonts w:ascii="Times New Roman" w:hAnsi="Times New Roman"/>
          <w:lang w:val="sl-SI"/>
        </w:rPr>
      </w:pPr>
      <w:r w:rsidRPr="00E10F90">
        <w:rPr>
          <w:rStyle w:val="Sprotnaopomba-sklic"/>
          <w:rFonts w:ascii="Times New Roman" w:hAnsi="Times New Roman"/>
        </w:rPr>
        <w:footnoteRef/>
      </w:r>
      <w:r w:rsidRPr="00E10F90">
        <w:rPr>
          <w:rFonts w:ascii="Times New Roman" w:hAnsi="Times New Roman"/>
        </w:rPr>
        <w:t xml:space="preserve"> </w:t>
      </w:r>
      <w:proofErr w:type="spellStart"/>
      <w:r w:rsidRPr="00E10F90">
        <w:rPr>
          <w:rFonts w:ascii="Times New Roman" w:hAnsi="Times New Roman"/>
          <w:lang w:val="sl-SI"/>
        </w:rPr>
        <w:t>Shavell</w:t>
      </w:r>
      <w:proofErr w:type="spellEnd"/>
      <w:r w:rsidRPr="00E10F90">
        <w:rPr>
          <w:rFonts w:ascii="Times New Roman" w:hAnsi="Times New Roman"/>
          <w:lang w:val="sl-SI"/>
        </w:rPr>
        <w:t xml:space="preserve">, </w:t>
      </w:r>
      <w:proofErr w:type="spellStart"/>
      <w:r w:rsidRPr="00E10F90">
        <w:rPr>
          <w:rFonts w:ascii="Times New Roman" w:hAnsi="Times New Roman"/>
          <w:lang w:val="sl-SI"/>
        </w:rPr>
        <w:t>ibid</w:t>
      </w:r>
      <w:proofErr w:type="spellEnd"/>
      <w:r w:rsidRPr="00E10F90">
        <w:rPr>
          <w:rFonts w:ascii="Times New Roman" w:hAnsi="Times New Roman"/>
          <w:lang w:val="sl-SI"/>
        </w:rPr>
        <w:t xml:space="preserve"> at p. 169 et </w:t>
      </w:r>
      <w:proofErr w:type="spellStart"/>
      <w:r w:rsidRPr="00E10F90">
        <w:rPr>
          <w:rFonts w:ascii="Times New Roman" w:hAnsi="Times New Roman"/>
          <w:lang w:val="sl-SI"/>
        </w:rPr>
        <w:t>seq</w:t>
      </w:r>
      <w:proofErr w:type="spellEnd"/>
      <w:r w:rsidRPr="00E10F90">
        <w:rPr>
          <w:rFonts w:ascii="Times New Roman" w:hAnsi="Times New Roman"/>
          <w:lang w:val="sl-SI"/>
        </w:rPr>
        <w:t>.</w:t>
      </w:r>
    </w:p>
  </w:footnote>
  <w:footnote w:id="93">
    <w:p w14:paraId="4A1E9EDE"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Shavell offers an example of the injurer’s problem of choosing care x under strict liability, when his assets are y &lt; h and where the injurer’s problem is formulated as minimizing x + p (x) y; where injurer chooses x(y) determined by -p’ (x) y = 1 instead of -p’ (x)h=1, so that x(y) &lt; x* (and the lower is y, the lower is x(y)). In such instance the injurer’s wealth after spending on care would be y-x, and only this amount would be left to be paid in a judgement; Shavell, supra note 68, at p. 169.</w:t>
      </w:r>
    </w:p>
  </w:footnote>
  <w:footnote w:id="94">
    <w:p w14:paraId="13C1962C"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Ibid, at p. 170. See also Huberman G., Mayers D., C. Smith, “Optimal insurance policy indemnity schedules,” Bell Journal of Economics 14, 1983; and Keeton W. R., and E. </w:t>
      </w:r>
      <w:proofErr w:type="spellStart"/>
      <w:r w:rsidRPr="00E10F90">
        <w:rPr>
          <w:rFonts w:ascii="Times New Roman" w:hAnsi="Times New Roman"/>
        </w:rPr>
        <w:t>Kwerel</w:t>
      </w:r>
      <w:proofErr w:type="spellEnd"/>
      <w:r w:rsidRPr="00E10F90">
        <w:rPr>
          <w:rFonts w:ascii="Times New Roman" w:hAnsi="Times New Roman"/>
        </w:rPr>
        <w:t>, “Externalities in automobile insurance and the underinsured driver problem,” Journal of Law and Economics 27, 1984, pp. 149-179.</w:t>
      </w:r>
    </w:p>
  </w:footnote>
  <w:footnote w:id="95">
    <w:p w14:paraId="04AAE291"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Shavell, supra note 68 at p. 170.</w:t>
      </w:r>
    </w:p>
  </w:footnote>
  <w:footnote w:id="96">
    <w:p w14:paraId="2AC27A37"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Ibid.</w:t>
      </w:r>
    </w:p>
  </w:footnote>
  <w:footnote w:id="97">
    <w:p w14:paraId="01D769E6"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Shavell, supra note 66 at pp. 45-46.</w:t>
      </w:r>
    </w:p>
  </w:footnote>
  <w:footnote w:id="98">
    <w:p w14:paraId="40064ED5"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Boyd, J., and D.E. </w:t>
      </w:r>
      <w:proofErr w:type="spellStart"/>
      <w:r w:rsidRPr="00E10F90">
        <w:rPr>
          <w:rFonts w:ascii="Times New Roman" w:hAnsi="Times New Roman"/>
        </w:rPr>
        <w:t>Ingberman</w:t>
      </w:r>
      <w:proofErr w:type="spellEnd"/>
      <w:r w:rsidRPr="00E10F90">
        <w:rPr>
          <w:rFonts w:ascii="Times New Roman" w:hAnsi="Times New Roman"/>
        </w:rPr>
        <w:t>, “</w:t>
      </w:r>
      <w:proofErr w:type="spellStart"/>
      <w:r w:rsidRPr="00E10F90">
        <w:rPr>
          <w:rFonts w:ascii="Times New Roman" w:hAnsi="Times New Roman"/>
        </w:rPr>
        <w:t>Noncompensatory</w:t>
      </w:r>
      <w:proofErr w:type="spellEnd"/>
      <w:r w:rsidRPr="00E10F90">
        <w:rPr>
          <w:rFonts w:ascii="Times New Roman" w:hAnsi="Times New Roman"/>
        </w:rPr>
        <w:t xml:space="preserve"> damages and potential insolvency,” Journal of Legal Studies 23, 1994, pp. 895-910. </w:t>
      </w:r>
    </w:p>
  </w:footnote>
  <w:footnote w:id="99">
    <w:p w14:paraId="4D0B16A6" w14:textId="77777777" w:rsidR="00290F7C" w:rsidRPr="00E10F90" w:rsidRDefault="00290F7C" w:rsidP="00290F7C">
      <w:pPr>
        <w:pStyle w:val="Sprotnaopomba-besedilo"/>
        <w:rPr>
          <w:rFonts w:ascii="Times New Roman" w:hAnsi="Times New Roman"/>
          <w:lang w:val="sl-SI"/>
        </w:rPr>
      </w:pPr>
      <w:r w:rsidRPr="00E10F90">
        <w:rPr>
          <w:rStyle w:val="Sprotnaopomba-sklic"/>
          <w:rFonts w:ascii="Times New Roman" w:hAnsi="Times New Roman"/>
        </w:rPr>
        <w:footnoteRef/>
      </w:r>
      <w:r w:rsidRPr="00E10F90">
        <w:rPr>
          <w:rFonts w:ascii="Times New Roman" w:hAnsi="Times New Roman"/>
        </w:rPr>
        <w:t xml:space="preserve"> Boyd J. and D.E. </w:t>
      </w:r>
      <w:proofErr w:type="spellStart"/>
      <w:r w:rsidRPr="00E10F90">
        <w:rPr>
          <w:rFonts w:ascii="Times New Roman" w:hAnsi="Times New Roman"/>
        </w:rPr>
        <w:t>Ingberman</w:t>
      </w:r>
      <w:proofErr w:type="spellEnd"/>
      <w:r w:rsidRPr="00E10F90">
        <w:rPr>
          <w:rFonts w:ascii="Times New Roman" w:hAnsi="Times New Roman"/>
        </w:rPr>
        <w:t xml:space="preserve">, “The search for deep </w:t>
      </w:r>
      <w:proofErr w:type="gramStart"/>
      <w:r w:rsidRPr="00E10F90">
        <w:rPr>
          <w:rFonts w:ascii="Times New Roman" w:hAnsi="Times New Roman"/>
        </w:rPr>
        <w:t>pockets:</w:t>
      </w:r>
      <w:proofErr w:type="gramEnd"/>
      <w:r w:rsidRPr="00E10F90">
        <w:rPr>
          <w:rFonts w:ascii="Times New Roman" w:hAnsi="Times New Roman"/>
        </w:rPr>
        <w:t xml:space="preserve"> is extended liability expensive liability,” Journal of Law, Economics and Organization 13, 1997, pp.1427-1459.</w:t>
      </w:r>
    </w:p>
  </w:footnote>
  <w:footnote w:id="100">
    <w:p w14:paraId="3D70C3E8"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De </w:t>
      </w:r>
      <w:proofErr w:type="spellStart"/>
      <w:r w:rsidRPr="00E10F90">
        <w:rPr>
          <w:rFonts w:ascii="Times New Roman" w:hAnsi="Times New Roman"/>
        </w:rPr>
        <w:t>Geest</w:t>
      </w:r>
      <w:proofErr w:type="spellEnd"/>
      <w:r w:rsidRPr="00E10F90">
        <w:rPr>
          <w:rFonts w:ascii="Times New Roman" w:hAnsi="Times New Roman"/>
        </w:rPr>
        <w:t xml:space="preserve"> Gerrit and Giuseppe Dari-</w:t>
      </w:r>
      <w:proofErr w:type="spellStart"/>
      <w:r w:rsidRPr="00E10F90">
        <w:rPr>
          <w:rFonts w:ascii="Times New Roman" w:hAnsi="Times New Roman"/>
        </w:rPr>
        <w:t>Mattiachi</w:t>
      </w:r>
      <w:proofErr w:type="spellEnd"/>
      <w:r w:rsidRPr="00E10F90">
        <w:rPr>
          <w:rFonts w:ascii="Times New Roman" w:hAnsi="Times New Roman"/>
        </w:rPr>
        <w:t>, “An analysis of the judgement-proof problem under different tort models,” 2002.</w:t>
      </w:r>
    </w:p>
  </w:footnote>
  <w:footnote w:id="101">
    <w:p w14:paraId="2A1880D0" w14:textId="77777777" w:rsidR="00290F7C" w:rsidRPr="00E10F90" w:rsidRDefault="00290F7C" w:rsidP="00290F7C">
      <w:pPr>
        <w:pStyle w:val="Sprotnaopomba-besedilo"/>
        <w:rPr>
          <w:rFonts w:ascii="Times New Roman" w:hAnsi="Times New Roman"/>
          <w:lang w:val="sl-SI"/>
        </w:rPr>
      </w:pPr>
      <w:r w:rsidRPr="00E10F90">
        <w:rPr>
          <w:rStyle w:val="Sprotnaopomba-sklic"/>
          <w:rFonts w:ascii="Times New Roman" w:hAnsi="Times New Roman"/>
        </w:rPr>
        <w:footnoteRef/>
      </w:r>
      <w:r w:rsidRPr="00E10F90">
        <w:rPr>
          <w:rFonts w:ascii="Times New Roman" w:hAnsi="Times New Roman"/>
        </w:rPr>
        <w:t xml:space="preserve"> </w:t>
      </w:r>
      <w:proofErr w:type="spellStart"/>
      <w:r w:rsidRPr="00E10F90">
        <w:rPr>
          <w:rFonts w:ascii="Times New Roman" w:hAnsi="Times New Roman"/>
          <w:lang w:val="sl-SI"/>
        </w:rPr>
        <w:t>Ibid</w:t>
      </w:r>
      <w:proofErr w:type="spellEnd"/>
      <w:r w:rsidRPr="00E10F90">
        <w:rPr>
          <w:rFonts w:ascii="Times New Roman" w:hAnsi="Times New Roman"/>
          <w:lang w:val="sl-SI"/>
        </w:rPr>
        <w:t>.</w:t>
      </w:r>
    </w:p>
  </w:footnote>
  <w:footnote w:id="102">
    <w:p w14:paraId="091263C3"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w:t>
      </w:r>
      <w:proofErr w:type="spellStart"/>
      <w:r w:rsidRPr="00E10F90">
        <w:rPr>
          <w:rFonts w:ascii="Times New Roman" w:hAnsi="Times New Roman"/>
          <w:lang w:val="sl-SI"/>
        </w:rPr>
        <w:t>See</w:t>
      </w:r>
      <w:proofErr w:type="spellEnd"/>
      <w:r w:rsidRPr="00E10F90">
        <w:rPr>
          <w:rFonts w:ascii="Times New Roman" w:hAnsi="Times New Roman"/>
          <w:lang w:val="sl-SI"/>
        </w:rPr>
        <w:t xml:space="preserve"> </w:t>
      </w:r>
      <w:proofErr w:type="spellStart"/>
      <w:r w:rsidRPr="00E10F90">
        <w:rPr>
          <w:rFonts w:ascii="Times New Roman" w:hAnsi="Times New Roman"/>
          <w:lang w:val="sl-SI"/>
        </w:rPr>
        <w:t>e.g</w:t>
      </w:r>
      <w:proofErr w:type="spellEnd"/>
      <w:r w:rsidRPr="00E10F90">
        <w:rPr>
          <w:rFonts w:ascii="Times New Roman" w:hAnsi="Times New Roman"/>
          <w:lang w:val="sl-SI"/>
        </w:rPr>
        <w:t xml:space="preserve">. </w:t>
      </w:r>
      <w:r w:rsidRPr="00E10F90">
        <w:rPr>
          <w:rFonts w:ascii="Times New Roman" w:hAnsi="Times New Roman"/>
        </w:rPr>
        <w:t xml:space="preserve">Jost P.J., “Limited liability and the requirement to purchase insurance,” International Review of Law and Economics 16, 1996, pp. 259-276; and </w:t>
      </w:r>
      <w:proofErr w:type="spellStart"/>
      <w:r w:rsidRPr="00E10F90">
        <w:rPr>
          <w:rFonts w:ascii="Times New Roman" w:hAnsi="Times New Roman"/>
        </w:rPr>
        <w:t>Polborn</w:t>
      </w:r>
      <w:proofErr w:type="spellEnd"/>
      <w:r w:rsidRPr="00E10F90">
        <w:rPr>
          <w:rFonts w:ascii="Times New Roman" w:hAnsi="Times New Roman"/>
        </w:rPr>
        <w:t xml:space="preserve"> M., “Mandatory insurance and the judgement-proof problem,” International review of law and economics 18, pp. 141-146.</w:t>
      </w:r>
    </w:p>
  </w:footnote>
  <w:footnote w:id="103">
    <w:p w14:paraId="2189EC29"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Shavell Steven, “On the social function and the regulation of liability insurance,” Geneva papers on risk and insurance, Issues and Practice 25, 2000, pp. 166-179.</w:t>
      </w:r>
    </w:p>
  </w:footnote>
  <w:footnote w:id="104">
    <w:p w14:paraId="43359CD6"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w:t>
      </w:r>
      <w:proofErr w:type="spellStart"/>
      <w:r w:rsidRPr="00E10F90">
        <w:rPr>
          <w:rFonts w:ascii="Times New Roman" w:hAnsi="Times New Roman"/>
          <w:lang w:val="sl-SI"/>
        </w:rPr>
        <w:t>See</w:t>
      </w:r>
      <w:proofErr w:type="spellEnd"/>
      <w:r w:rsidRPr="00E10F90">
        <w:rPr>
          <w:rFonts w:ascii="Times New Roman" w:hAnsi="Times New Roman"/>
          <w:lang w:val="sl-SI"/>
        </w:rPr>
        <w:t xml:space="preserve"> </w:t>
      </w:r>
      <w:proofErr w:type="spellStart"/>
      <w:r w:rsidRPr="00E10F90">
        <w:rPr>
          <w:rFonts w:ascii="Times New Roman" w:hAnsi="Times New Roman"/>
          <w:lang w:val="sl-SI"/>
        </w:rPr>
        <w:t>e.g</w:t>
      </w:r>
      <w:proofErr w:type="spellEnd"/>
      <w:r w:rsidRPr="00E10F90">
        <w:rPr>
          <w:rFonts w:ascii="Times New Roman" w:hAnsi="Times New Roman"/>
          <w:lang w:val="sl-SI"/>
        </w:rPr>
        <w:t xml:space="preserve">. </w:t>
      </w:r>
      <w:r w:rsidRPr="00E10F90">
        <w:rPr>
          <w:rFonts w:ascii="Times New Roman" w:hAnsi="Times New Roman"/>
        </w:rPr>
        <w:t xml:space="preserve">Shavell Steven, “Minimum assets requirements,” </w:t>
      </w:r>
      <w:bookmarkStart w:id="28" w:name="_Hlk1031998"/>
      <w:r w:rsidRPr="00E10F90">
        <w:rPr>
          <w:rFonts w:ascii="Times New Roman" w:hAnsi="Times New Roman"/>
        </w:rPr>
        <w:t xml:space="preserve">Working paper, John M. Olin </w:t>
      </w:r>
      <w:proofErr w:type="spellStart"/>
      <w:r w:rsidRPr="00E10F90">
        <w:rPr>
          <w:rFonts w:ascii="Times New Roman" w:hAnsi="Times New Roman"/>
        </w:rPr>
        <w:t>Center</w:t>
      </w:r>
      <w:proofErr w:type="spellEnd"/>
      <w:r w:rsidRPr="00E10F90">
        <w:rPr>
          <w:rFonts w:ascii="Times New Roman" w:hAnsi="Times New Roman"/>
        </w:rPr>
        <w:t xml:space="preserve"> for Law and Economics, and Business, Harvard Law School, 2002</w:t>
      </w:r>
      <w:bookmarkEnd w:id="28"/>
      <w:r w:rsidRPr="00E10F90">
        <w:rPr>
          <w:rFonts w:ascii="Times New Roman" w:hAnsi="Times New Roman"/>
        </w:rPr>
        <w:t xml:space="preserve">; and Shavell Steven, “Minimum assets requirement and compulsory liability insurance as solutions to the judgement-proof problem,” Working paper, John M. Olin </w:t>
      </w:r>
      <w:proofErr w:type="spellStart"/>
      <w:r w:rsidRPr="00E10F90">
        <w:rPr>
          <w:rFonts w:ascii="Times New Roman" w:hAnsi="Times New Roman"/>
        </w:rPr>
        <w:t>Center</w:t>
      </w:r>
      <w:proofErr w:type="spellEnd"/>
      <w:r w:rsidRPr="00E10F90">
        <w:rPr>
          <w:rFonts w:ascii="Times New Roman" w:hAnsi="Times New Roman"/>
        </w:rPr>
        <w:t xml:space="preserve"> for Law and Economics, and Business, Harvard Law School, 2004.</w:t>
      </w:r>
    </w:p>
  </w:footnote>
  <w:footnote w:id="105">
    <w:p w14:paraId="7ACEA391"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Pitchford R., “How liable should a lender be? The case of judgement-proof firms and environmental risk,” American Economic Review 85, 1995, pp. 1171-1186.</w:t>
      </w:r>
    </w:p>
  </w:footnote>
  <w:footnote w:id="106">
    <w:p w14:paraId="6465EC1B" w14:textId="77777777" w:rsidR="00290F7C" w:rsidRPr="00E10F90" w:rsidRDefault="00290F7C" w:rsidP="00290F7C">
      <w:pPr>
        <w:pStyle w:val="Sprotnaopomba-besedilo"/>
        <w:rPr>
          <w:rFonts w:ascii="Times New Roman" w:hAnsi="Times New Roman"/>
        </w:rPr>
      </w:pPr>
      <w:r w:rsidRPr="00E10F90">
        <w:rPr>
          <w:rStyle w:val="Sprotnaopomba-sklic"/>
          <w:rFonts w:ascii="Times New Roman" w:hAnsi="Times New Roman"/>
        </w:rPr>
        <w:footnoteRef/>
      </w:r>
      <w:r w:rsidRPr="00E10F90">
        <w:rPr>
          <w:rFonts w:ascii="Times New Roman" w:hAnsi="Times New Roman"/>
        </w:rPr>
        <w:t xml:space="preserve"> </w:t>
      </w:r>
      <w:proofErr w:type="spellStart"/>
      <w:r w:rsidRPr="00E10F90">
        <w:rPr>
          <w:rFonts w:ascii="Times New Roman" w:hAnsi="Times New Roman"/>
        </w:rPr>
        <w:t>Hiriart</w:t>
      </w:r>
      <w:proofErr w:type="spellEnd"/>
      <w:r w:rsidRPr="00E10F90">
        <w:rPr>
          <w:rFonts w:ascii="Times New Roman" w:hAnsi="Times New Roman"/>
        </w:rPr>
        <w:t xml:space="preserve"> Y., and D. </w:t>
      </w:r>
      <w:proofErr w:type="spellStart"/>
      <w:r w:rsidRPr="00E10F90">
        <w:rPr>
          <w:rFonts w:ascii="Times New Roman" w:hAnsi="Times New Roman"/>
        </w:rPr>
        <w:t>Martimort</w:t>
      </w:r>
      <w:proofErr w:type="spellEnd"/>
      <w:r w:rsidRPr="00E10F90">
        <w:rPr>
          <w:rFonts w:ascii="Times New Roman" w:hAnsi="Times New Roman"/>
        </w:rPr>
        <w:t xml:space="preserve">, “The benefits of extended liability,” WP University of </w:t>
      </w:r>
      <w:proofErr w:type="spellStart"/>
      <w:r w:rsidRPr="00E10F90">
        <w:rPr>
          <w:rFonts w:ascii="Times New Roman" w:hAnsi="Times New Roman"/>
        </w:rPr>
        <w:t>Touluse</w:t>
      </w:r>
      <w:proofErr w:type="spellEnd"/>
      <w:r w:rsidRPr="00E10F90">
        <w:rPr>
          <w:rFonts w:ascii="Times New Roman" w:hAnsi="Times New Roman"/>
        </w:rPr>
        <w:t>, 2003. See also Boyer M., and D. Porrini, “Modelling the choice between regulation and liability in terms of social welfare,” 2004.</w:t>
      </w:r>
    </w:p>
  </w:footnote>
  <w:footnote w:id="107">
    <w:p w14:paraId="326B2AFC" w14:textId="7DC354E2" w:rsidR="00242D58" w:rsidRPr="00242D58" w:rsidRDefault="00242D58">
      <w:pPr>
        <w:pStyle w:val="Sprotnaopomba-besedilo"/>
        <w:rPr>
          <w:rFonts w:ascii="Times New Roman" w:hAnsi="Times New Roman"/>
        </w:rPr>
      </w:pPr>
      <w:r>
        <w:rPr>
          <w:rStyle w:val="Sprotnaopomba-sklic"/>
        </w:rPr>
        <w:footnoteRef/>
      </w:r>
      <w:r>
        <w:t xml:space="preserve"> </w:t>
      </w:r>
      <w:r w:rsidRPr="00242D58">
        <w:rPr>
          <w:rFonts w:ascii="Times New Roman" w:hAnsi="Times New Roman"/>
        </w:rPr>
        <w:t>Viscusi W. Kip and Michael J. Moore, “Product Liability, Research and Development, and Innovation,” 101 Journal of Political Economy 1, 1993.</w:t>
      </w:r>
    </w:p>
  </w:footnote>
  <w:footnote w:id="108">
    <w:p w14:paraId="74C53BD6" w14:textId="4A9D3AF6" w:rsidR="00242D58" w:rsidRPr="00242D58" w:rsidRDefault="00242D58">
      <w:pPr>
        <w:pStyle w:val="Sprotnaopomba-besedilo"/>
        <w:rPr>
          <w:rFonts w:ascii="Times New Roman" w:hAnsi="Times New Roman"/>
        </w:rPr>
      </w:pPr>
      <w:r w:rsidRPr="00242D58">
        <w:rPr>
          <w:rStyle w:val="Sprotnaopomba-sklic"/>
          <w:rFonts w:ascii="Times New Roman" w:hAnsi="Times New Roman"/>
        </w:rPr>
        <w:footnoteRef/>
      </w:r>
      <w:r w:rsidRPr="00242D58">
        <w:rPr>
          <w:rFonts w:ascii="Times New Roman" w:hAnsi="Times New Roman"/>
        </w:rPr>
        <w:t xml:space="preserve"> Whereas, at very high levels of liability costs, the effect is negative. Moreover, they show that at the sample mean, liability costs increase R &amp; D intensity by 15 percent. The greater linkage of these effects to product R &amp; D rather than process R &amp; D is consistent with the increased prominence of the design defect </w:t>
      </w:r>
      <w:proofErr w:type="gramStart"/>
      <w:r w:rsidRPr="00242D58">
        <w:rPr>
          <w:rFonts w:ascii="Times New Roman" w:hAnsi="Times New Roman"/>
        </w:rPr>
        <w:t>doctrine;</w:t>
      </w:r>
      <w:proofErr w:type="gramEnd"/>
      <w:r w:rsidRPr="00242D58">
        <w:rPr>
          <w:rFonts w:ascii="Times New Roman" w:hAnsi="Times New Roman"/>
        </w:rPr>
        <w:t xml:space="preserve"> ibid.</w:t>
      </w:r>
    </w:p>
  </w:footnote>
  <w:footnote w:id="109">
    <w:p w14:paraId="2DF12D1D" w14:textId="6FB85C95" w:rsidR="00E10F90" w:rsidRPr="00E10F90" w:rsidRDefault="00E10F90">
      <w:pPr>
        <w:pStyle w:val="Sprotnaopomba-besedilo"/>
        <w:rPr>
          <w:rFonts w:ascii="Times New Roman" w:hAnsi="Times New Roman"/>
          <w:lang w:val="sl-SI"/>
        </w:rPr>
      </w:pPr>
      <w:r>
        <w:rPr>
          <w:rStyle w:val="Sprotnaopomba-sklic"/>
        </w:rPr>
        <w:footnoteRef/>
      </w:r>
      <w:r>
        <w:t xml:space="preserve"> </w:t>
      </w:r>
      <w:r w:rsidRPr="00E10F90">
        <w:rPr>
          <w:rFonts w:ascii="Times New Roman" w:hAnsi="Times New Roman"/>
        </w:rPr>
        <w:t xml:space="preserve">The results reveal that higher litigation and liability costs across firms, combined with damage caps, reversed causality, limited class actions and broad statutory excuses, between and within countries have a positive effect on the validation rate, application rate and on the stock of EPO patents; Kovac, Mitja, Datta, Salvini, Spruk, Rok. Pharmaceutical product liability, litigation regimes, and the propensity to </w:t>
      </w:r>
      <w:proofErr w:type="gramStart"/>
      <w:r w:rsidRPr="00E10F90">
        <w:rPr>
          <w:rFonts w:ascii="Times New Roman" w:hAnsi="Times New Roman"/>
        </w:rPr>
        <w:t>patent :</w:t>
      </w:r>
      <w:proofErr w:type="gramEnd"/>
      <w:r w:rsidRPr="00E10F90">
        <w:rPr>
          <w:rFonts w:ascii="Times New Roman" w:hAnsi="Times New Roman"/>
        </w:rPr>
        <w:t xml:space="preserve"> an empirical firm-level investigation. 11 SAGE open 2, 2021. </w:t>
      </w:r>
    </w:p>
  </w:footnote>
  <w:footnote w:id="110">
    <w:p w14:paraId="494FBC8E" w14:textId="7F6CB20F" w:rsidR="00A8071C" w:rsidRPr="00A8071C" w:rsidRDefault="00A8071C">
      <w:pPr>
        <w:pStyle w:val="Sprotnaopomba-besedilo"/>
        <w:rPr>
          <w:rFonts w:ascii="Times New Roman" w:hAnsi="Times New Roman"/>
        </w:rPr>
      </w:pPr>
      <w:r>
        <w:rPr>
          <w:rStyle w:val="Sprotnaopomba-sklic"/>
        </w:rPr>
        <w:footnoteRef/>
      </w:r>
      <w:r>
        <w:t xml:space="preserve"> </w:t>
      </w:r>
      <w:r w:rsidRPr="00A8071C">
        <w:rPr>
          <w:rFonts w:ascii="Times New Roman" w:hAnsi="Times New Roman"/>
        </w:rPr>
        <w:t xml:space="preserve">Of course, regulators </w:t>
      </w:r>
      <w:proofErr w:type="gramStart"/>
      <w:r w:rsidRPr="00A8071C">
        <w:rPr>
          <w:rFonts w:ascii="Times New Roman" w:hAnsi="Times New Roman"/>
        </w:rPr>
        <w:t>have to</w:t>
      </w:r>
      <w:proofErr w:type="gramEnd"/>
      <w:r w:rsidRPr="00A8071C">
        <w:rPr>
          <w:rFonts w:ascii="Times New Roman" w:hAnsi="Times New Roman"/>
        </w:rPr>
        <w:t xml:space="preserve"> know which parts of the task they may safely delegate, for which types of risk and under what conditions; Sparrow, supra note 41, at p. 100.</w:t>
      </w:r>
      <w:r>
        <w:t xml:space="preserve"> </w:t>
      </w:r>
    </w:p>
  </w:footnote>
  <w:footnote w:id="111">
    <w:p w14:paraId="18520C20" w14:textId="23CC7FB1" w:rsidR="0071177F" w:rsidRPr="00993AB6" w:rsidRDefault="0071177F">
      <w:pPr>
        <w:pStyle w:val="Sprotnaopomba-besedilo"/>
        <w:rPr>
          <w:rFonts w:ascii="Times New Roman" w:hAnsi="Times New Roman"/>
        </w:rPr>
      </w:pPr>
      <w:r w:rsidRPr="00993AB6">
        <w:rPr>
          <w:rStyle w:val="Sprotnaopomba-sklic"/>
          <w:rFonts w:ascii="Times New Roman" w:hAnsi="Times New Roman"/>
        </w:rPr>
        <w:footnoteRef/>
      </w:r>
      <w:r w:rsidRPr="00993AB6">
        <w:rPr>
          <w:rFonts w:ascii="Times New Roman" w:hAnsi="Times New Roman"/>
        </w:rPr>
        <w:t xml:space="preserve"> See Sparrow supra note 41, and Baldwin et al., supra note 59.</w:t>
      </w:r>
    </w:p>
  </w:footnote>
  <w:footnote w:id="112">
    <w:p w14:paraId="5353C753" w14:textId="418581DA" w:rsidR="0042330C" w:rsidRPr="00993AB6" w:rsidRDefault="0042330C">
      <w:pPr>
        <w:pStyle w:val="Sprotnaopomba-besedilo"/>
        <w:rPr>
          <w:rFonts w:ascii="Times New Roman" w:hAnsi="Times New Roman"/>
        </w:rPr>
      </w:pPr>
      <w:r w:rsidRPr="00993AB6">
        <w:rPr>
          <w:rStyle w:val="Sprotnaopomba-sklic"/>
          <w:rFonts w:ascii="Times New Roman" w:hAnsi="Times New Roman"/>
        </w:rPr>
        <w:footnoteRef/>
      </w:r>
      <w:r w:rsidRPr="00993AB6">
        <w:rPr>
          <w:rFonts w:ascii="Times New Roman" w:hAnsi="Times New Roman"/>
        </w:rPr>
        <w:t xml:space="preserve"> See </w:t>
      </w:r>
      <w:proofErr w:type="gramStart"/>
      <w:r w:rsidRPr="00993AB6">
        <w:rPr>
          <w:rFonts w:ascii="Times New Roman" w:hAnsi="Times New Roman"/>
        </w:rPr>
        <w:t>e.g.</w:t>
      </w:r>
      <w:proofErr w:type="gramEnd"/>
      <w:r w:rsidRPr="00993AB6">
        <w:rPr>
          <w:rFonts w:ascii="Times New Roman" w:hAnsi="Times New Roman"/>
        </w:rPr>
        <w:t xml:space="preserve"> Ogus Anthony, “rethinking Self-regulation,” 15 OJLS 97, 1995; Ayres Ian and John Braithwaite, “Responsive </w:t>
      </w:r>
      <w:r w:rsidR="00993AB6" w:rsidRPr="00993AB6">
        <w:rPr>
          <w:rFonts w:ascii="Times New Roman" w:hAnsi="Times New Roman"/>
        </w:rPr>
        <w:t>Regulation</w:t>
      </w:r>
      <w:r w:rsidRPr="00993AB6">
        <w:rPr>
          <w:rFonts w:ascii="Times New Roman" w:hAnsi="Times New Roman"/>
        </w:rPr>
        <w:t xml:space="preserve">, Oxford: Oxford University Press, 1992; Black J., “Constitutionalising Self-Regulation,” </w:t>
      </w:r>
      <w:r w:rsidR="00993AB6" w:rsidRPr="00993AB6">
        <w:rPr>
          <w:rFonts w:ascii="Times New Roman" w:hAnsi="Times New Roman"/>
        </w:rPr>
        <w:t>59 Modern Law Review 24, 1996; and Baggot R. and L. Harrison, “The Politics of Self-Regulation,” 14 Policy and Politics 143, 1986</w:t>
      </w:r>
      <w:r w:rsidR="00993AB6">
        <w:rPr>
          <w:rFonts w:ascii="Times New Roman" w:hAnsi="Times New Roman"/>
        </w:rPr>
        <w:t>.</w:t>
      </w:r>
    </w:p>
  </w:footnote>
  <w:footnote w:id="113">
    <w:p w14:paraId="74CE9886" w14:textId="39CDCFFB" w:rsidR="00993AB6" w:rsidRPr="00C40AFB" w:rsidRDefault="00993AB6">
      <w:pPr>
        <w:pStyle w:val="Sprotnaopomba-besedilo"/>
        <w:rPr>
          <w:rFonts w:ascii="Times New Roman" w:hAnsi="Times New Roman"/>
        </w:rPr>
      </w:pPr>
      <w:r w:rsidRPr="00C40AFB">
        <w:rPr>
          <w:rStyle w:val="Sprotnaopomba-sklic"/>
          <w:rFonts w:ascii="Times New Roman" w:hAnsi="Times New Roman"/>
        </w:rPr>
        <w:footnoteRef/>
      </w:r>
      <w:r w:rsidRPr="00C40AFB">
        <w:rPr>
          <w:rFonts w:ascii="Times New Roman" w:hAnsi="Times New Roman"/>
        </w:rPr>
        <w:t xml:space="preserve"> Whereas shortcomings of self-regulation tend to centre on concerns relating to mandates, </w:t>
      </w:r>
      <w:proofErr w:type="gramStart"/>
      <w:r w:rsidRPr="00C40AFB">
        <w:rPr>
          <w:rFonts w:ascii="Times New Roman" w:hAnsi="Times New Roman"/>
        </w:rPr>
        <w:t>accountability</w:t>
      </w:r>
      <w:proofErr w:type="gramEnd"/>
      <w:r w:rsidRPr="00C40AFB">
        <w:rPr>
          <w:rFonts w:ascii="Times New Roman" w:hAnsi="Times New Roman"/>
        </w:rPr>
        <w:t xml:space="preserve"> and the fairness of procedures; Ogus, supra note 111. See also </w:t>
      </w:r>
      <w:bookmarkStart w:id="30" w:name="_Hlk135842905"/>
      <w:r w:rsidRPr="00C40AFB">
        <w:rPr>
          <w:rFonts w:ascii="Times New Roman" w:hAnsi="Times New Roman"/>
        </w:rPr>
        <w:t xml:space="preserve">Baldwin et al., supra note 59, at p. 139 </w:t>
      </w:r>
      <w:bookmarkEnd w:id="30"/>
      <w:r w:rsidRPr="00C40AFB">
        <w:rPr>
          <w:rFonts w:ascii="Times New Roman" w:hAnsi="Times New Roman"/>
        </w:rPr>
        <w:t>et seq.</w:t>
      </w:r>
    </w:p>
  </w:footnote>
  <w:footnote w:id="114">
    <w:p w14:paraId="4A5E2434" w14:textId="13ED647D" w:rsidR="00993AB6" w:rsidRPr="00C40AFB" w:rsidRDefault="00993AB6">
      <w:pPr>
        <w:pStyle w:val="Sprotnaopomba-besedilo"/>
        <w:rPr>
          <w:rFonts w:ascii="Times New Roman" w:hAnsi="Times New Roman"/>
        </w:rPr>
      </w:pPr>
      <w:r w:rsidRPr="00C40AFB">
        <w:rPr>
          <w:rStyle w:val="Sprotnaopomba-sklic"/>
          <w:rFonts w:ascii="Times New Roman" w:hAnsi="Times New Roman"/>
        </w:rPr>
        <w:footnoteRef/>
      </w:r>
      <w:r w:rsidRPr="00C40AFB">
        <w:rPr>
          <w:rFonts w:ascii="Times New Roman" w:hAnsi="Times New Roman"/>
        </w:rPr>
        <w:t xml:space="preserve"> Ayres and Braithwaite, supra note 111. See also </w:t>
      </w:r>
      <w:bookmarkStart w:id="31" w:name="_Hlk135843534"/>
      <w:r w:rsidRPr="00C40AFB">
        <w:rPr>
          <w:rFonts w:ascii="Times New Roman" w:hAnsi="Times New Roman"/>
        </w:rPr>
        <w:t>Baldwin et al., supra note 59, at p. 146</w:t>
      </w:r>
      <w:bookmarkEnd w:id="31"/>
      <w:r w:rsidRPr="00C40AFB">
        <w:rPr>
          <w:rFonts w:ascii="Times New Roman" w:hAnsi="Times New Roman"/>
        </w:rPr>
        <w:t>; and Grabosky P</w:t>
      </w:r>
      <w:r w:rsidR="00C40AFB" w:rsidRPr="00C40AFB">
        <w:rPr>
          <w:rFonts w:ascii="Times New Roman" w:hAnsi="Times New Roman"/>
        </w:rPr>
        <w:t>eter</w:t>
      </w:r>
      <w:r w:rsidRPr="00C40AFB">
        <w:rPr>
          <w:rFonts w:ascii="Times New Roman" w:hAnsi="Times New Roman"/>
        </w:rPr>
        <w:t xml:space="preserve"> and J</w:t>
      </w:r>
      <w:r w:rsidR="00C40AFB" w:rsidRPr="00C40AFB">
        <w:rPr>
          <w:rFonts w:ascii="Times New Roman" w:hAnsi="Times New Roman"/>
        </w:rPr>
        <w:t>ohn</w:t>
      </w:r>
      <w:r w:rsidRPr="00C40AFB">
        <w:rPr>
          <w:rFonts w:ascii="Times New Roman" w:hAnsi="Times New Roman"/>
        </w:rPr>
        <w:t xml:space="preserve"> Braithwaite, “Of Manners Gentle: Enforcement Strategies of Australian Business Regulatory Agencies,” </w:t>
      </w:r>
      <w:r w:rsidR="00C40AFB" w:rsidRPr="00C40AFB">
        <w:rPr>
          <w:rFonts w:ascii="Times New Roman" w:hAnsi="Times New Roman"/>
        </w:rPr>
        <w:t xml:space="preserve">Oxford: Oxford University Press, 1987. </w:t>
      </w:r>
    </w:p>
  </w:footnote>
  <w:footnote w:id="115">
    <w:p w14:paraId="51B16605" w14:textId="0DCA7F71" w:rsidR="00C40AFB" w:rsidRPr="000D1542" w:rsidRDefault="00C40AFB">
      <w:pPr>
        <w:pStyle w:val="Sprotnaopomba-besedilo"/>
        <w:rPr>
          <w:rFonts w:ascii="Times New Roman" w:hAnsi="Times New Roman"/>
        </w:rPr>
      </w:pPr>
      <w:r>
        <w:rPr>
          <w:rStyle w:val="Sprotnaopomba-sklic"/>
        </w:rPr>
        <w:footnoteRef/>
      </w:r>
      <w:r>
        <w:t xml:space="preserve"> </w:t>
      </w:r>
      <w:r w:rsidRPr="000D1542">
        <w:rPr>
          <w:rFonts w:ascii="Times New Roman" w:hAnsi="Times New Roman"/>
        </w:rPr>
        <w:t>Ibid.</w:t>
      </w:r>
    </w:p>
  </w:footnote>
  <w:footnote w:id="116">
    <w:p w14:paraId="5580066D" w14:textId="1FB9A35E" w:rsidR="00C40AFB" w:rsidRPr="000D1542" w:rsidRDefault="00C40AFB">
      <w:pPr>
        <w:pStyle w:val="Sprotnaopomba-besedilo"/>
        <w:rPr>
          <w:rFonts w:ascii="Times New Roman" w:hAnsi="Times New Roman"/>
        </w:rPr>
      </w:pPr>
      <w:r w:rsidRPr="000D1542">
        <w:rPr>
          <w:rStyle w:val="Sprotnaopomba-sklic"/>
          <w:rFonts w:ascii="Times New Roman" w:hAnsi="Times New Roman"/>
        </w:rPr>
        <w:footnoteRef/>
      </w:r>
      <w:r w:rsidRPr="000D1542">
        <w:rPr>
          <w:rFonts w:ascii="Times New Roman" w:hAnsi="Times New Roman"/>
        </w:rPr>
        <w:t xml:space="preserve"> Ibid. See also Black J., “An Economic Analysis of Regulation: One View of the Cathedral,” 16 OJLS 699, 1997, p. 706.</w:t>
      </w:r>
    </w:p>
  </w:footnote>
  <w:footnote w:id="117">
    <w:p w14:paraId="4542383B" w14:textId="4919306E" w:rsidR="00C40AFB" w:rsidRPr="000D1542" w:rsidRDefault="00C40AFB">
      <w:pPr>
        <w:pStyle w:val="Sprotnaopomba-besedilo"/>
        <w:rPr>
          <w:rFonts w:ascii="Times New Roman" w:hAnsi="Times New Roman"/>
        </w:rPr>
      </w:pPr>
      <w:r w:rsidRPr="000D1542">
        <w:rPr>
          <w:rStyle w:val="Sprotnaopomba-sklic"/>
          <w:rFonts w:ascii="Times New Roman" w:hAnsi="Times New Roman"/>
        </w:rPr>
        <w:footnoteRef/>
      </w:r>
      <w:r w:rsidRPr="000D1542">
        <w:rPr>
          <w:rFonts w:ascii="Times New Roman" w:hAnsi="Times New Roman"/>
        </w:rPr>
        <w:t xml:space="preserve"> In other words, there is delegation of risk-control function to firms where the primary control responsibilities are carried out within risk management systems of firms and the regulator’s role is auditing, </w:t>
      </w:r>
      <w:proofErr w:type="gramStart"/>
      <w:r w:rsidRPr="000D1542">
        <w:rPr>
          <w:rFonts w:ascii="Times New Roman" w:hAnsi="Times New Roman"/>
        </w:rPr>
        <w:t>monitoring</w:t>
      </w:r>
      <w:proofErr w:type="gramEnd"/>
      <w:r w:rsidRPr="000D1542">
        <w:rPr>
          <w:rFonts w:ascii="Times New Roman" w:hAnsi="Times New Roman"/>
        </w:rPr>
        <w:t xml:space="preserve"> and incentivizing those firms’ systems; </w:t>
      </w:r>
      <w:bookmarkStart w:id="32" w:name="_Hlk135843676"/>
      <w:r w:rsidRPr="000D1542">
        <w:rPr>
          <w:rFonts w:ascii="Times New Roman" w:hAnsi="Times New Roman"/>
        </w:rPr>
        <w:t>Baldwin et al., supra note 59</w:t>
      </w:r>
      <w:bookmarkEnd w:id="32"/>
      <w:r w:rsidRPr="000D1542">
        <w:rPr>
          <w:rFonts w:ascii="Times New Roman" w:hAnsi="Times New Roman"/>
        </w:rPr>
        <w:t>, at p. 147. See also Osborne D., and T. Gaebler, “reinventing Government,” Boston: Harvard University Press, 1992; Parker C., “</w:t>
      </w:r>
      <w:r w:rsidR="000D1542" w:rsidRPr="000D1542">
        <w:rPr>
          <w:rFonts w:ascii="Times New Roman" w:hAnsi="Times New Roman"/>
        </w:rPr>
        <w:t>The Open Corporation,” Cambridge: Cambridge University Press, 2002; and Coglianese C. and E. Mendelson, “Meta-regulation and Self-regulation,” in Baldwin Robert, Martin Cave and Martin Lodge (eds.), “The Oxford Handbook of Regulation,” Oxford University Press, 2010.</w:t>
      </w:r>
    </w:p>
  </w:footnote>
  <w:footnote w:id="118">
    <w:p w14:paraId="386D973B" w14:textId="2769FD7A" w:rsidR="007C2695" w:rsidRPr="003A37EF" w:rsidRDefault="007C2695">
      <w:pPr>
        <w:pStyle w:val="Sprotnaopomba-besedilo"/>
        <w:rPr>
          <w:rFonts w:ascii="Times New Roman" w:hAnsi="Times New Roman"/>
        </w:rPr>
      </w:pPr>
      <w:r>
        <w:rPr>
          <w:rStyle w:val="Sprotnaopomba-sklic"/>
        </w:rPr>
        <w:footnoteRef/>
      </w:r>
      <w:r>
        <w:t xml:space="preserve"> </w:t>
      </w:r>
      <w:r w:rsidRPr="003A37EF">
        <w:rPr>
          <w:rFonts w:ascii="Times New Roman" w:hAnsi="Times New Roman"/>
        </w:rPr>
        <w:t>Coglianese Cary and Jennifer Nash, “Regulating from the Inside: Can Environmental Management Systems Achieve Policy Goals,” Washington: Routledge, 2001.</w:t>
      </w:r>
    </w:p>
  </w:footnote>
  <w:footnote w:id="119">
    <w:p w14:paraId="2F8E78BF" w14:textId="0A0024D1" w:rsidR="007C2695" w:rsidRPr="003A37EF" w:rsidRDefault="007C2695">
      <w:pPr>
        <w:pStyle w:val="Sprotnaopomba-besedilo"/>
        <w:rPr>
          <w:rFonts w:ascii="Times New Roman" w:hAnsi="Times New Roman"/>
        </w:rPr>
      </w:pPr>
      <w:r w:rsidRPr="003A37EF">
        <w:rPr>
          <w:rStyle w:val="Sprotnaopomba-sklic"/>
          <w:rFonts w:ascii="Times New Roman" w:hAnsi="Times New Roman"/>
        </w:rPr>
        <w:footnoteRef/>
      </w:r>
      <w:r w:rsidRPr="003A37EF">
        <w:rPr>
          <w:rFonts w:ascii="Times New Roman" w:hAnsi="Times New Roman"/>
        </w:rPr>
        <w:t xml:space="preserve"> Here each firm enjoys information advantage (in relation to the central regulator) and will produce a set of rules tailored to the specific context of the firm, and th</w:t>
      </w:r>
      <w:r w:rsidR="003A37EF" w:rsidRPr="003A37EF">
        <w:rPr>
          <w:rFonts w:ascii="Times New Roman" w:hAnsi="Times New Roman"/>
        </w:rPr>
        <w:t xml:space="preserve">ese rules will be scrutinized by a regulatory agency – non-uniform standards may produce better results than across the board rules, which might be </w:t>
      </w:r>
      <w:proofErr w:type="spellStart"/>
      <w:proofErr w:type="gramStart"/>
      <w:r w:rsidR="003A37EF" w:rsidRPr="003A37EF">
        <w:rPr>
          <w:rFonts w:ascii="Times New Roman" w:hAnsi="Times New Roman"/>
        </w:rPr>
        <w:t>to</w:t>
      </w:r>
      <w:proofErr w:type="spellEnd"/>
      <w:proofErr w:type="gramEnd"/>
      <w:r w:rsidR="003A37EF" w:rsidRPr="003A37EF">
        <w:rPr>
          <w:rFonts w:ascii="Times New Roman" w:hAnsi="Times New Roman"/>
        </w:rPr>
        <w:t xml:space="preserve"> restrictive or too lax; Baldwin et al., supra note 59, at p. 147. See also Coglianese and Nash, supra note 117.</w:t>
      </w:r>
    </w:p>
  </w:footnote>
  <w:footnote w:id="120">
    <w:p w14:paraId="30695926" w14:textId="7D655644" w:rsidR="005D241C" w:rsidRPr="005D241C" w:rsidRDefault="005D241C">
      <w:pPr>
        <w:pStyle w:val="Sprotnaopomba-besedilo"/>
      </w:pPr>
      <w:r>
        <w:rPr>
          <w:rStyle w:val="Sprotnaopomba-sklic"/>
        </w:rPr>
        <w:footnoteRef/>
      </w:r>
      <w:r>
        <w:t xml:space="preserve"> Ibid.</w:t>
      </w:r>
    </w:p>
  </w:footnote>
  <w:footnote w:id="121">
    <w:p w14:paraId="482C9B53" w14:textId="6F36497A" w:rsidR="005D241C" w:rsidRPr="00D66812" w:rsidRDefault="005D241C">
      <w:pPr>
        <w:pStyle w:val="Sprotnaopomba-besedilo"/>
        <w:rPr>
          <w:rFonts w:ascii="Times New Roman" w:hAnsi="Times New Roman"/>
        </w:rPr>
      </w:pPr>
      <w:r w:rsidRPr="00D66812">
        <w:rPr>
          <w:rStyle w:val="Sprotnaopomba-sklic"/>
          <w:rFonts w:ascii="Times New Roman" w:hAnsi="Times New Roman"/>
        </w:rPr>
        <w:footnoteRef/>
      </w:r>
      <w:r w:rsidRPr="00D66812">
        <w:rPr>
          <w:rFonts w:ascii="Times New Roman" w:hAnsi="Times New Roman"/>
        </w:rPr>
        <w:t xml:space="preserve"> Ibid. See also Gunningham N. and J. Rees, “Industry Self-regulation: An Institutional Perspective,” 19 Law and Policy 2, 1997, pp. 363-414.</w:t>
      </w:r>
    </w:p>
  </w:footnote>
  <w:footnote w:id="122">
    <w:p w14:paraId="7187C22B" w14:textId="35C094D1" w:rsidR="00092648" w:rsidRPr="00D66812" w:rsidRDefault="00092648">
      <w:pPr>
        <w:pStyle w:val="Sprotnaopomba-besedilo"/>
        <w:rPr>
          <w:rFonts w:ascii="Times New Roman" w:hAnsi="Times New Roman"/>
        </w:rPr>
      </w:pPr>
      <w:r w:rsidRPr="00D66812">
        <w:rPr>
          <w:rStyle w:val="Sprotnaopomba-sklic"/>
          <w:rFonts w:ascii="Times New Roman" w:hAnsi="Times New Roman"/>
        </w:rPr>
        <w:footnoteRef/>
      </w:r>
      <w:r w:rsidRPr="00D66812">
        <w:rPr>
          <w:rFonts w:ascii="Times New Roman" w:hAnsi="Times New Roman"/>
        </w:rPr>
        <w:t xml:space="preserve"> Ayres and Braithwaite, supra note 111, at p. 120 et seq. See also Fairman R. and C. Yapp, “Enforced Self-regulation, Prescription and Conception of Compliance within Small Businesses,” 27 Law and Policy 1, 2005, pp. 491-519; and Black J., “Talking about Regulation,” Public Law 77, 1998.</w:t>
      </w:r>
    </w:p>
  </w:footnote>
  <w:footnote w:id="123">
    <w:p w14:paraId="6B45C9CB" w14:textId="11FBC4F4" w:rsidR="008B71E2" w:rsidRPr="00D66812" w:rsidRDefault="008B71E2">
      <w:pPr>
        <w:pStyle w:val="Sprotnaopomba-besedilo"/>
        <w:rPr>
          <w:rFonts w:ascii="Times New Roman" w:hAnsi="Times New Roman"/>
        </w:rPr>
      </w:pPr>
      <w:r w:rsidRPr="00D66812">
        <w:rPr>
          <w:rStyle w:val="Sprotnaopomba-sklic"/>
          <w:rFonts w:ascii="Times New Roman" w:hAnsi="Times New Roman"/>
        </w:rPr>
        <w:footnoteRef/>
      </w:r>
      <w:r w:rsidRPr="00D66812">
        <w:rPr>
          <w:rFonts w:ascii="Times New Roman" w:hAnsi="Times New Roman"/>
        </w:rPr>
        <w:t xml:space="preserve"> See </w:t>
      </w:r>
      <w:proofErr w:type="gramStart"/>
      <w:r w:rsidRPr="00D66812">
        <w:rPr>
          <w:rFonts w:ascii="Times New Roman" w:hAnsi="Times New Roman"/>
        </w:rPr>
        <w:t>e.g.</w:t>
      </w:r>
      <w:proofErr w:type="gramEnd"/>
      <w:r w:rsidRPr="00D66812">
        <w:rPr>
          <w:rFonts w:ascii="Times New Roman" w:hAnsi="Times New Roman"/>
        </w:rPr>
        <w:t xml:space="preserve"> Murray A. and C. Scott, “Controlling the New Media: Hybrid Responses to New Forms of Power,” 65 Modern Law Review 1, 2002, pp. 491-516.</w:t>
      </w:r>
    </w:p>
  </w:footnote>
  <w:footnote w:id="124">
    <w:p w14:paraId="51F0D815" w14:textId="6EAEFE25" w:rsidR="00D66812" w:rsidRPr="00D66812" w:rsidRDefault="00D66812">
      <w:pPr>
        <w:pStyle w:val="Sprotnaopomba-besedilo"/>
        <w:rPr>
          <w:rFonts w:ascii="Times New Roman" w:hAnsi="Times New Roman"/>
        </w:rPr>
      </w:pPr>
      <w:r w:rsidRPr="00D66812">
        <w:rPr>
          <w:rStyle w:val="Sprotnaopomba-sklic"/>
          <w:rFonts w:ascii="Times New Roman" w:hAnsi="Times New Roman"/>
        </w:rPr>
        <w:footnoteRef/>
      </w:r>
      <w:r w:rsidRPr="00D66812">
        <w:rPr>
          <w:rFonts w:ascii="Times New Roman" w:hAnsi="Times New Roman"/>
        </w:rPr>
        <w:t xml:space="preserve"> See </w:t>
      </w:r>
      <w:proofErr w:type="gramStart"/>
      <w:r w:rsidRPr="00D66812">
        <w:rPr>
          <w:rFonts w:ascii="Times New Roman" w:hAnsi="Times New Roman"/>
        </w:rPr>
        <w:t>e.g.</w:t>
      </w:r>
      <w:proofErr w:type="gramEnd"/>
      <w:r w:rsidRPr="00D66812">
        <w:rPr>
          <w:rFonts w:ascii="Times New Roman" w:hAnsi="Times New Roman"/>
        </w:rPr>
        <w:t xml:space="preserve"> Gunningham N. and P. Grabosky, “Smart Regulation,” Oxford: Oxford University Press, 1998, pp. 422-53.</w:t>
      </w:r>
    </w:p>
  </w:footnote>
  <w:footnote w:id="125">
    <w:p w14:paraId="6CE98386" w14:textId="32402B48" w:rsidR="00D829C6" w:rsidRPr="00D829C6" w:rsidRDefault="00D829C6">
      <w:pPr>
        <w:pStyle w:val="Sprotnaopomba-besedilo"/>
        <w:rPr>
          <w:rFonts w:ascii="Times New Roman" w:hAnsi="Times New Roman"/>
        </w:rPr>
      </w:pPr>
      <w:r>
        <w:rPr>
          <w:rStyle w:val="Sprotnaopomba-sklic"/>
        </w:rPr>
        <w:footnoteRef/>
      </w:r>
      <w:r>
        <w:t xml:space="preserve"> </w:t>
      </w:r>
      <w:r w:rsidRPr="00D829C6">
        <w:rPr>
          <w:rFonts w:ascii="Times New Roman" w:hAnsi="Times New Roman"/>
        </w:rPr>
        <w:t xml:space="preserve">Sparrow also advocates the dynamic nature of the risk control game and targeting key problems and solve these by developing interventions; Sparrow K. Malcolm, “The Regulatory Craft: Controlling Risks, Solving Problems, and Managing Compliance,” Washington: Brookings Institution Press 2003. </w:t>
      </w:r>
    </w:p>
  </w:footnote>
  <w:footnote w:id="126">
    <w:p w14:paraId="1F26DAB6" w14:textId="44756892" w:rsidR="0018181C" w:rsidRPr="0018181C" w:rsidRDefault="0018181C">
      <w:pPr>
        <w:pStyle w:val="Sprotnaopomba-besedilo"/>
        <w:rPr>
          <w:rFonts w:ascii="Times New Roman" w:hAnsi="Times New Roman"/>
        </w:rPr>
      </w:pPr>
      <w:r w:rsidRPr="0018181C">
        <w:rPr>
          <w:rStyle w:val="Sprotnaopomba-sklic"/>
          <w:rFonts w:ascii="Times New Roman" w:hAnsi="Times New Roman"/>
        </w:rPr>
        <w:footnoteRef/>
      </w:r>
      <w:r w:rsidRPr="0018181C">
        <w:rPr>
          <w:rFonts w:ascii="Times New Roman" w:hAnsi="Times New Roman"/>
        </w:rPr>
        <w:t xml:space="preserve"> Moreover, regulatory design should take into account the detection of undesirable or non-compliant behaviour, developing tools and strategies for responding to that behaviour, enforcing those tools and strategies on the ground, assessing their success or failure, and modifying </w:t>
      </w:r>
      <w:proofErr w:type="gramStart"/>
      <w:r w:rsidRPr="0018181C">
        <w:rPr>
          <w:rFonts w:ascii="Times New Roman" w:hAnsi="Times New Roman"/>
        </w:rPr>
        <w:t>them accordingly;</w:t>
      </w:r>
      <w:proofErr w:type="gramEnd"/>
      <w:r w:rsidRPr="0018181C">
        <w:rPr>
          <w:rFonts w:ascii="Times New Roman" w:hAnsi="Times New Roman"/>
        </w:rPr>
        <w:t xml:space="preserve"> Baldwin et al., supra note 59, at p. 159. See also Black J., “Decentring Regulation: The Role of Regulation and Self-Regulation in a Post-Regulatory World,” Current Legal Problems, 2001, pp. 103-146.</w:t>
      </w:r>
    </w:p>
  </w:footnote>
  <w:footnote w:id="127">
    <w:p w14:paraId="29DAF1D6" w14:textId="359B2C79" w:rsidR="00E14ECC" w:rsidRPr="00E14ECC" w:rsidRDefault="00E14ECC" w:rsidP="00E14ECC">
      <w:pPr>
        <w:pStyle w:val="Sprotnaopomba-besedilo"/>
        <w:rPr>
          <w:rFonts w:ascii="Times New Roman" w:hAnsi="Times New Roman"/>
        </w:rPr>
      </w:pPr>
      <w:r>
        <w:rPr>
          <w:rStyle w:val="Sprotnaopomba-sklic"/>
        </w:rPr>
        <w:footnoteRef/>
      </w:r>
      <w:r>
        <w:t xml:space="preserve"> </w:t>
      </w:r>
      <w:proofErr w:type="spellStart"/>
      <w:proofErr w:type="gramStart"/>
      <w:r w:rsidRPr="00E14ECC">
        <w:rPr>
          <w:rFonts w:ascii="Times New Roman" w:hAnsi="Times New Roman"/>
        </w:rPr>
        <w:t>O'Shauhnessy</w:t>
      </w:r>
      <w:proofErr w:type="spellEnd"/>
      <w:r w:rsidRPr="00E14ECC">
        <w:rPr>
          <w:rFonts w:ascii="Times New Roman" w:hAnsi="Times New Roman"/>
        </w:rPr>
        <w:t xml:space="preserve">  Matt</w:t>
      </w:r>
      <w:proofErr w:type="gramEnd"/>
      <w:r w:rsidRPr="00E14ECC">
        <w:rPr>
          <w:rFonts w:ascii="Times New Roman" w:hAnsi="Times New Roman"/>
        </w:rPr>
        <w:t xml:space="preserve"> and Matt Sheehan, </w:t>
      </w:r>
      <w:r>
        <w:rPr>
          <w:rFonts w:ascii="Times New Roman" w:hAnsi="Times New Roman"/>
        </w:rPr>
        <w:t>“</w:t>
      </w:r>
      <w:r w:rsidRPr="00E14ECC">
        <w:rPr>
          <w:rFonts w:ascii="Times New Roman" w:hAnsi="Times New Roman"/>
        </w:rPr>
        <w:t>Lessons From the World’s Two Experiments in AI Governance,” Carnegie Endowment for International Piece, 2023.</w:t>
      </w:r>
    </w:p>
  </w:footnote>
  <w:footnote w:id="128">
    <w:p w14:paraId="2CCA4FE5" w14:textId="6A545718" w:rsidR="00E14ECC" w:rsidRPr="00E14ECC" w:rsidRDefault="00E14ECC">
      <w:pPr>
        <w:pStyle w:val="Sprotnaopomba-besedilo"/>
        <w:rPr>
          <w:rFonts w:ascii="Times New Roman" w:hAnsi="Times New Roman"/>
        </w:rPr>
      </w:pPr>
      <w:r>
        <w:rPr>
          <w:rStyle w:val="Sprotnaopomba-sklic"/>
        </w:rPr>
        <w:footnoteRef/>
      </w:r>
      <w:r>
        <w:t xml:space="preserve"> </w:t>
      </w:r>
      <w:r w:rsidRPr="00E14ECC">
        <w:rPr>
          <w:rFonts w:ascii="Times New Roman" w:hAnsi="Times New Roman"/>
        </w:rPr>
        <w:t>Ibid.</w:t>
      </w:r>
    </w:p>
  </w:footnote>
  <w:footnote w:id="129">
    <w:p w14:paraId="6B906537" w14:textId="649ADE65" w:rsidR="00E14ECC" w:rsidRPr="00E14ECC" w:rsidRDefault="00E14ECC">
      <w:pPr>
        <w:pStyle w:val="Sprotnaopomba-besedilo"/>
        <w:rPr>
          <w:rFonts w:ascii="Times New Roman" w:hAnsi="Times New Roman"/>
        </w:rPr>
      </w:pPr>
      <w:r w:rsidRPr="00E14ECC">
        <w:rPr>
          <w:rStyle w:val="Sprotnaopomba-sklic"/>
          <w:rFonts w:ascii="Times New Roman" w:hAnsi="Times New Roman"/>
        </w:rPr>
        <w:footnoteRef/>
      </w:r>
      <w:r w:rsidRPr="00E14ECC">
        <w:rPr>
          <w:rFonts w:ascii="Times New Roman" w:hAnsi="Times New Roman"/>
        </w:rPr>
        <w:t xml:space="preserve"> The EU and U.S. strategies for AI risk management have some commonalities in terms of a risk-based approach, trustworthiness principles, and recognition of international standards. However, there are more differences than similarities in the specific regulations and practices of these regimes. The EU and U.S. are particularly divergent in their approaches to AI applications in areas such as socioeconomic processes and online platforms, indicating a significant misalignment between the two; Engler Alex, “Early thoughts on regulating generative AI like ChatGPT,” Brookings, 2023.</w:t>
      </w:r>
    </w:p>
  </w:footnote>
  <w:footnote w:id="130">
    <w:p w14:paraId="1649EAE4" w14:textId="4B0748AB" w:rsidR="00EB5162" w:rsidRPr="008F62E6" w:rsidRDefault="00EB5162">
      <w:pPr>
        <w:pStyle w:val="Sprotnaopomba-besedilo"/>
        <w:rPr>
          <w:rFonts w:ascii="Times New Roman" w:hAnsi="Times New Roman"/>
        </w:rPr>
      </w:pPr>
      <w:r w:rsidRPr="008F62E6">
        <w:rPr>
          <w:rStyle w:val="Sprotnaopomba-sklic"/>
          <w:rFonts w:ascii="Times New Roman" w:hAnsi="Times New Roman"/>
        </w:rPr>
        <w:footnoteRef/>
      </w:r>
      <w:r w:rsidRPr="008F62E6">
        <w:rPr>
          <w:rFonts w:ascii="Times New Roman" w:hAnsi="Times New Roman"/>
        </w:rPr>
        <w:t xml:space="preserve"> The Office of Management and Budget (OMB) provided guidance (M-21-06) in November 2020, which followed the February 2019 executive order (EO 13859) titled "Maintaining American Leadership in Artificial Intelligence." This executive order marked the initial federal strategy for overseeing artificial intelligence (AI). The OMB guidance, though delayed by 15 months, outlined a risk-based approach for AI regulation and management; ibid.</w:t>
      </w:r>
    </w:p>
  </w:footnote>
  <w:footnote w:id="131">
    <w:p w14:paraId="1818C514" w14:textId="075780ED" w:rsidR="001A61D4" w:rsidRPr="001A61D4" w:rsidRDefault="001A61D4">
      <w:pPr>
        <w:pStyle w:val="Sprotnaopomba-besedilo"/>
        <w:rPr>
          <w:rFonts w:ascii="Times New Roman" w:hAnsi="Times New Roman"/>
        </w:rPr>
      </w:pPr>
      <w:r>
        <w:rPr>
          <w:rStyle w:val="Sprotnaopomba-sklic"/>
        </w:rPr>
        <w:footnoteRef/>
      </w:r>
      <w:r>
        <w:t xml:space="preserve"> </w:t>
      </w:r>
      <w:r w:rsidRPr="001A61D4">
        <w:rPr>
          <w:rFonts w:ascii="Times New Roman" w:hAnsi="Times New Roman"/>
        </w:rPr>
        <w:t>Brynjolfsson Erik, Danielle Li &amp; Lindsey R. Raymond, “Generative AI at Work,” NBER Working Paper 31161, April 2023.</w:t>
      </w:r>
    </w:p>
  </w:footnote>
  <w:footnote w:id="132">
    <w:p w14:paraId="5CAB8746" w14:textId="148CF3EB" w:rsidR="00EB5162" w:rsidRPr="008F62E6" w:rsidRDefault="00EB5162" w:rsidP="00EB5162">
      <w:pPr>
        <w:pStyle w:val="Sprotnaopomba-besedilo"/>
        <w:rPr>
          <w:rFonts w:ascii="Times New Roman" w:hAnsi="Times New Roman"/>
        </w:rPr>
      </w:pPr>
      <w:r w:rsidRPr="008F62E6">
        <w:rPr>
          <w:rStyle w:val="Sprotnaopomba-sklic"/>
          <w:rFonts w:ascii="Times New Roman" w:hAnsi="Times New Roman"/>
        </w:rPr>
        <w:footnoteRef/>
      </w:r>
      <w:r w:rsidRPr="008F62E6">
        <w:rPr>
          <w:rFonts w:ascii="Times New Roman" w:hAnsi="Times New Roman"/>
        </w:rPr>
        <w:t xml:space="preserve"> In its press release, the UK government says: “The government will avoid heavy-handed legislation which could stifle innovation and take an adaptable approach to regulating AI. Instead of giving responsibility for AI governance to a new single regulator, the government will empower existing regulators – such as the Health and Safety Executive, Equality and Human Rights Commission and Competition and Markets Authority – to come up with tailored, context-specific approaches that suit the way AI is </w:t>
      </w:r>
      <w:proofErr w:type="gramStart"/>
      <w:r w:rsidRPr="008F62E6">
        <w:rPr>
          <w:rFonts w:ascii="Times New Roman" w:hAnsi="Times New Roman"/>
        </w:rPr>
        <w:t>actually being</w:t>
      </w:r>
      <w:proofErr w:type="gramEnd"/>
      <w:r w:rsidRPr="008F62E6">
        <w:rPr>
          <w:rFonts w:ascii="Times New Roman" w:hAnsi="Times New Roman"/>
        </w:rPr>
        <w:t xml:space="preserve"> used in their sectors.”</w:t>
      </w:r>
    </w:p>
  </w:footnote>
  <w:footnote w:id="133">
    <w:p w14:paraId="05980DE7" w14:textId="48C070AE" w:rsidR="008F62E6" w:rsidRPr="008F62E6" w:rsidRDefault="008F62E6">
      <w:pPr>
        <w:pStyle w:val="Sprotnaopomba-besedilo"/>
        <w:rPr>
          <w:rFonts w:ascii="Times New Roman" w:hAnsi="Times New Roman"/>
        </w:rPr>
      </w:pPr>
      <w:r w:rsidRPr="008F62E6">
        <w:rPr>
          <w:rStyle w:val="Sprotnaopomba-sklic"/>
          <w:rFonts w:ascii="Times New Roman" w:hAnsi="Times New Roman"/>
        </w:rPr>
        <w:footnoteRef/>
      </w:r>
      <w:r w:rsidRPr="008F62E6">
        <w:rPr>
          <w:rFonts w:ascii="Times New Roman" w:hAnsi="Times New Roman"/>
        </w:rPr>
        <w:t xml:space="preserve"> Michelle Donelan MP, Secretary of State for Science, Innovation and Technology, considers that this this light-touch, principles-based approach “will enable . . . [the UK] to adapt as needed while providing industry with the clarity needed to innovate.”</w:t>
      </w:r>
    </w:p>
  </w:footnote>
  <w:footnote w:id="134">
    <w:p w14:paraId="415B9028" w14:textId="108C5ED9" w:rsidR="00331EE5" w:rsidRPr="00331EE5" w:rsidRDefault="00331EE5">
      <w:pPr>
        <w:pStyle w:val="Sprotnaopomba-besedilo"/>
        <w:rPr>
          <w:rFonts w:ascii="Times New Roman" w:hAnsi="Times New Roman"/>
        </w:rPr>
      </w:pPr>
      <w:r>
        <w:rPr>
          <w:rStyle w:val="Sprotnaopomba-sklic"/>
        </w:rPr>
        <w:footnoteRef/>
      </w:r>
      <w:r>
        <w:t xml:space="preserve"> </w:t>
      </w:r>
      <w:r w:rsidRPr="00331EE5">
        <w:rPr>
          <w:rFonts w:ascii="Times New Roman" w:hAnsi="Times New Roman"/>
        </w:rPr>
        <w:t>We have performed series of in-depth interviews with different stakeholders in</w:t>
      </w:r>
      <w:r>
        <w:rPr>
          <w:rFonts w:ascii="Times New Roman" w:hAnsi="Times New Roman"/>
        </w:rPr>
        <w:t xml:space="preserve"> Slovene-Austrian-German</w:t>
      </w:r>
      <w:r w:rsidRPr="00331EE5">
        <w:t xml:space="preserve"> </w:t>
      </w:r>
      <w:r w:rsidRPr="00331EE5">
        <w:rPr>
          <w:rFonts w:ascii="Times New Roman" w:hAnsi="Times New Roman"/>
        </w:rPr>
        <w:t>transport, automation, process control and digitalization (in industry and buildings) industries</w:t>
      </w:r>
      <w:r>
        <w:rPr>
          <w:rFonts w:ascii="Times New Roman" w:hAnsi="Times New Roman"/>
        </w:rPr>
        <w:t>.</w:t>
      </w:r>
    </w:p>
  </w:footnote>
  <w:footnote w:id="135">
    <w:p w14:paraId="105D3A1A" w14:textId="2A953796" w:rsidR="008304BB" w:rsidRPr="008304BB" w:rsidRDefault="008304BB">
      <w:pPr>
        <w:pStyle w:val="Sprotnaopomba-besedilo"/>
        <w:rPr>
          <w:rFonts w:ascii="Times New Roman" w:hAnsi="Times New Roman"/>
        </w:rPr>
      </w:pPr>
      <w:r>
        <w:rPr>
          <w:rStyle w:val="Sprotnaopomba-sklic"/>
        </w:rPr>
        <w:footnoteRef/>
      </w:r>
      <w:r>
        <w:t xml:space="preserve"> </w:t>
      </w:r>
      <w:r w:rsidRPr="008304BB">
        <w:rPr>
          <w:rFonts w:ascii="Times New Roman" w:hAnsi="Times New Roman"/>
        </w:rPr>
        <w:t xml:space="preserve">See </w:t>
      </w:r>
      <w:proofErr w:type="gramStart"/>
      <w:r w:rsidRPr="008304BB">
        <w:rPr>
          <w:rFonts w:ascii="Times New Roman" w:hAnsi="Times New Roman"/>
        </w:rPr>
        <w:t>e.g.</w:t>
      </w:r>
      <w:proofErr w:type="gramEnd"/>
      <w:r w:rsidRPr="008304BB">
        <w:rPr>
          <w:rFonts w:ascii="Times New Roman" w:hAnsi="Times New Roman"/>
        </w:rPr>
        <w:t xml:space="preserve"> Eberhard, Anton. 2007. Matching Regulatory Design to Country Circumstances: The Potential of Hybrid and Transitional Models. Gridlines; No. 23. © World Bank, Washington, DC.</w:t>
      </w:r>
    </w:p>
  </w:footnote>
  <w:footnote w:id="136">
    <w:p w14:paraId="03BCE8E1" w14:textId="786B475F" w:rsidR="008E71A5" w:rsidRPr="008E71A5" w:rsidRDefault="008E71A5">
      <w:pPr>
        <w:pStyle w:val="Sprotnaopomba-besedilo"/>
        <w:rPr>
          <w:rFonts w:ascii="Times New Roman" w:hAnsi="Times New Roman"/>
          <w:lang w:val="sl-SI"/>
        </w:rPr>
      </w:pPr>
      <w:r>
        <w:rPr>
          <w:rStyle w:val="Sprotnaopomba-sklic"/>
        </w:rPr>
        <w:footnoteRef/>
      </w:r>
      <w:r>
        <w:t xml:space="preserve"> </w:t>
      </w:r>
      <w:r w:rsidRPr="008E71A5">
        <w:rPr>
          <w:rFonts w:ascii="Times New Roman" w:hAnsi="Times New Roman"/>
        </w:rPr>
        <w:t xml:space="preserve">For </w:t>
      </w:r>
      <w:r>
        <w:rPr>
          <w:rFonts w:ascii="Times New Roman" w:hAnsi="Times New Roman"/>
        </w:rPr>
        <w:t>e</w:t>
      </w:r>
      <w:r w:rsidRPr="008E71A5">
        <w:rPr>
          <w:rFonts w:ascii="Times New Roman" w:hAnsi="Times New Roman"/>
        </w:rPr>
        <w:t>xample</w:t>
      </w:r>
      <w:r>
        <w:rPr>
          <w:rFonts w:ascii="Times New Roman" w:hAnsi="Times New Roman"/>
        </w:rPr>
        <w:t xml:space="preserve">, </w:t>
      </w:r>
      <w:r w:rsidRPr="008E71A5">
        <w:rPr>
          <w:rFonts w:ascii="Times New Roman" w:hAnsi="Times New Roman"/>
        </w:rPr>
        <w:t>Google is already making sure that they develop and deploy the technology responsibly, reflecting our deep commitment to earning the trust of our users. That’s why we published AI principles in 2018, rooted in a belief that AI should be developed to benefit society while avoiding harmful applications; Sundar Pichai, Google CEO: Building AI responsibly is the only race that really matters, Financial Times, 23.5.2023.</w:t>
      </w:r>
    </w:p>
  </w:footnote>
  <w:footnote w:id="137">
    <w:p w14:paraId="2EE48960" w14:textId="5B4E762A" w:rsidR="003029B1" w:rsidRPr="00D6634E" w:rsidRDefault="003029B1">
      <w:pPr>
        <w:pStyle w:val="Sprotnaopomba-besedilo"/>
        <w:rPr>
          <w:rFonts w:ascii="Times New Roman" w:hAnsi="Times New Roman"/>
          <w:lang w:val="sl-SI"/>
        </w:rPr>
      </w:pPr>
      <w:r>
        <w:rPr>
          <w:rStyle w:val="Sprotnaopomba-sklic"/>
        </w:rPr>
        <w:footnoteRef/>
      </w:r>
      <w:r>
        <w:t xml:space="preserve"> </w:t>
      </w:r>
      <w:r w:rsidRPr="00D6634E">
        <w:rPr>
          <w:rFonts w:ascii="Times New Roman" w:hAnsi="Times New Roman"/>
        </w:rPr>
        <w:t xml:space="preserve">GAIA </w:t>
      </w:r>
      <w:r w:rsidR="00D6634E" w:rsidRPr="00D6634E">
        <w:rPr>
          <w:rFonts w:ascii="Times New Roman" w:hAnsi="Times New Roman"/>
        </w:rPr>
        <w:t>- a</w:t>
      </w:r>
      <w:r w:rsidRPr="00D6634E">
        <w:rPr>
          <w:rFonts w:ascii="Times New Roman" w:hAnsi="Times New Roman"/>
        </w:rPr>
        <w:t xml:space="preserve"> Global Alliance of Intelligence Augmentation - Guided by humanistic values, this new international body would bring together a broad array of leaders and experts: not just politicians and AI researchers, but also economists, sociologists, political </w:t>
      </w:r>
      <w:proofErr w:type="gramStart"/>
      <w:r w:rsidRPr="00D6634E">
        <w:rPr>
          <w:rFonts w:ascii="Times New Roman" w:hAnsi="Times New Roman"/>
        </w:rPr>
        <w:t>scientists</w:t>
      </w:r>
      <w:proofErr w:type="gramEnd"/>
      <w:r w:rsidRPr="00D6634E">
        <w:rPr>
          <w:rFonts w:ascii="Times New Roman" w:hAnsi="Times New Roman"/>
        </w:rPr>
        <w:t xml:space="preserve"> and futurists.”</w:t>
      </w:r>
    </w:p>
  </w:footnote>
  <w:footnote w:id="138">
    <w:p w14:paraId="51E43079" w14:textId="77777777" w:rsidR="00994C12" w:rsidRPr="00BF6969" w:rsidRDefault="00994C12" w:rsidP="00994C12">
      <w:pPr>
        <w:pStyle w:val="Sprotnaopomba-besedilo"/>
        <w:rPr>
          <w:rFonts w:ascii="Times New Roman" w:hAnsi="Times New Roman"/>
        </w:rPr>
      </w:pPr>
      <w:r w:rsidRPr="00947545">
        <w:rPr>
          <w:rStyle w:val="Sprotnaopomba-sklic"/>
          <w:rFonts w:ascii="Times New Roman" w:hAnsi="Times New Roman"/>
        </w:rPr>
        <w:footnoteRef/>
      </w:r>
      <w:r w:rsidRPr="00947545">
        <w:rPr>
          <w:rFonts w:ascii="Times New Roman" w:hAnsi="Times New Roman"/>
        </w:rPr>
        <w:t xml:space="preserve"> </w:t>
      </w:r>
      <w:r w:rsidRPr="00BF6969">
        <w:rPr>
          <w:rFonts w:ascii="Times New Roman" w:hAnsi="Times New Roman"/>
        </w:rPr>
        <w:t xml:space="preserve">See </w:t>
      </w:r>
      <w:proofErr w:type="gramStart"/>
      <w:r w:rsidRPr="00BF6969">
        <w:rPr>
          <w:rFonts w:ascii="Times New Roman" w:hAnsi="Times New Roman"/>
        </w:rPr>
        <w:t>e.g.</w:t>
      </w:r>
      <w:proofErr w:type="gramEnd"/>
      <w:r w:rsidRPr="00BF6969">
        <w:rPr>
          <w:rFonts w:ascii="Times New Roman" w:hAnsi="Times New Roman"/>
        </w:rPr>
        <w:t xml:space="preserve"> </w:t>
      </w:r>
      <w:bookmarkStart w:id="37" w:name="_Hlk92298623"/>
      <w:r w:rsidRPr="00BF6969">
        <w:rPr>
          <w:rFonts w:ascii="Times New Roman" w:hAnsi="Times New Roman"/>
        </w:rPr>
        <w:t>Mark A Lemley and Bryan Casey, ‘Remedies for Robots’ (2019) 86 The University of Chicago Law Review 1311</w:t>
      </w:r>
      <w:bookmarkEnd w:id="37"/>
      <w:r w:rsidRPr="00BF6969">
        <w:rPr>
          <w:rFonts w:ascii="Times New Roman" w:hAnsi="Times New Roman"/>
        </w:rPr>
        <w:t>; and Eric Talley, ‘</w:t>
      </w:r>
      <w:proofErr w:type="spellStart"/>
      <w:r w:rsidRPr="00BF6969">
        <w:rPr>
          <w:rFonts w:ascii="Times New Roman" w:hAnsi="Times New Roman"/>
        </w:rPr>
        <w:t>Automators</w:t>
      </w:r>
      <w:proofErr w:type="spellEnd"/>
      <w:r w:rsidRPr="00BF6969">
        <w:rPr>
          <w:rFonts w:ascii="Times New Roman" w:hAnsi="Times New Roman"/>
        </w:rPr>
        <w:t>: How Should Accident Law Adapt to Autonomous Vehicles? Lessons from Law and Economics’ (2019) Columbia Law School Working Papers Series No. 19002.</w:t>
      </w:r>
    </w:p>
  </w:footnote>
  <w:footnote w:id="139">
    <w:p w14:paraId="3A246893" w14:textId="77777777" w:rsidR="00994C12" w:rsidRPr="00947545" w:rsidRDefault="00994C12" w:rsidP="00994C12">
      <w:pPr>
        <w:pStyle w:val="Sprotnaopomba-besedilo"/>
        <w:rPr>
          <w:rFonts w:ascii="Times New Roman" w:hAnsi="Times New Roman"/>
        </w:rPr>
      </w:pPr>
      <w:r w:rsidRPr="00947545">
        <w:rPr>
          <w:rStyle w:val="Sprotnaopomba-sklic"/>
          <w:rFonts w:ascii="Times New Roman" w:hAnsi="Times New Roman"/>
        </w:rPr>
        <w:footnoteRef/>
      </w:r>
      <w:r w:rsidRPr="00947545">
        <w:rPr>
          <w:rFonts w:ascii="Times New Roman" w:hAnsi="Times New Roman"/>
        </w:rPr>
        <w:t xml:space="preserve"> </w:t>
      </w:r>
      <w:r w:rsidRPr="00BF6969">
        <w:rPr>
          <w:rFonts w:ascii="Times New Roman" w:hAnsi="Times New Roman"/>
        </w:rPr>
        <w:t xml:space="preserve">Steven Shavell, ‘On the Redesign of Accident Liability for the World of Autonomous Vehicles’ (2020) 49 The Journal of Legal </w:t>
      </w:r>
      <w:r w:rsidRPr="00947545">
        <w:rPr>
          <w:rFonts w:ascii="Times New Roman" w:hAnsi="Times New Roman"/>
        </w:rPr>
        <w:t>Studies 243-285.</w:t>
      </w:r>
    </w:p>
  </w:footnote>
  <w:footnote w:id="140">
    <w:p w14:paraId="21CCA858" w14:textId="77777777" w:rsidR="00994C12" w:rsidRPr="00BF6969" w:rsidRDefault="00994C12" w:rsidP="00994C12">
      <w:pPr>
        <w:pStyle w:val="Sprotnaopomba-besedilo"/>
        <w:rPr>
          <w:rFonts w:ascii="Times New Roman" w:hAnsi="Times New Roman"/>
        </w:rPr>
      </w:pPr>
      <w:r w:rsidRPr="00947545">
        <w:rPr>
          <w:rStyle w:val="Sprotnaopomba-sklic"/>
          <w:rFonts w:ascii="Times New Roman" w:hAnsi="Times New Roman"/>
        </w:rPr>
        <w:footnoteRef/>
      </w:r>
      <w:r w:rsidRPr="00947545">
        <w:rPr>
          <w:rFonts w:ascii="Times New Roman" w:hAnsi="Times New Roman"/>
        </w:rPr>
        <w:t xml:space="preserve"> </w:t>
      </w:r>
      <w:bookmarkStart w:id="39" w:name="_Hlk92298722"/>
      <w:r w:rsidRPr="00BF6969">
        <w:rPr>
          <w:rFonts w:ascii="Times New Roman" w:hAnsi="Times New Roman"/>
        </w:rPr>
        <w:t>Michael Faure, Louis Visscher and Franziska Weber, ‘Liability for Unknown Risk – A Law and Economics Perspective’ (2016) 7 Journal of European Tort Law 198.</w:t>
      </w:r>
    </w:p>
    <w:bookmarkEnd w:id="39"/>
  </w:footnote>
  <w:footnote w:id="141">
    <w:p w14:paraId="436302BF" w14:textId="77777777" w:rsidR="00994C12" w:rsidRPr="00BF6969" w:rsidRDefault="00994C12" w:rsidP="00994C12">
      <w:pPr>
        <w:pStyle w:val="Sprotnaopomba-besedilo"/>
        <w:rPr>
          <w:rFonts w:ascii="Times New Roman" w:hAnsi="Times New Roman"/>
        </w:rPr>
      </w:pPr>
      <w:r w:rsidRPr="00BF6969">
        <w:rPr>
          <w:rStyle w:val="Sprotnaopomba-sklic"/>
          <w:rFonts w:ascii="Times New Roman" w:hAnsi="Times New Roman"/>
        </w:rPr>
        <w:footnoteRef/>
      </w:r>
      <w:r w:rsidRPr="00BF6969">
        <w:rPr>
          <w:rFonts w:ascii="Times New Roman" w:hAnsi="Times New Roman"/>
        </w:rPr>
        <w:t xml:space="preserve"> </w:t>
      </w:r>
      <w:bookmarkStart w:id="40" w:name="_Hlk92298757"/>
      <w:r w:rsidRPr="00BF6969">
        <w:rPr>
          <w:rFonts w:ascii="Times New Roman" w:hAnsi="Times New Roman"/>
        </w:rPr>
        <w:t xml:space="preserve">William M Landes and Richard A Posner, ‘A Positive Economic Analysis of Products Liability’ (1985) 14 The Journal of Legal Studies 535. </w:t>
      </w:r>
      <w:bookmarkEnd w:id="40"/>
    </w:p>
  </w:footnote>
  <w:footnote w:id="142">
    <w:p w14:paraId="486D3DDE" w14:textId="77777777" w:rsidR="00994C12" w:rsidRPr="00BF6969" w:rsidRDefault="00994C12" w:rsidP="00994C12">
      <w:pPr>
        <w:pStyle w:val="Sprotnaopomba-besedilo"/>
        <w:rPr>
          <w:rFonts w:ascii="Times New Roman" w:hAnsi="Times New Roman"/>
        </w:rPr>
      </w:pPr>
      <w:r w:rsidRPr="00947545">
        <w:rPr>
          <w:rStyle w:val="Sprotnaopomba-sklic"/>
          <w:rFonts w:ascii="Times New Roman" w:hAnsi="Times New Roman"/>
        </w:rPr>
        <w:footnoteRef/>
      </w:r>
      <w:r w:rsidRPr="00947545">
        <w:rPr>
          <w:rFonts w:ascii="Times New Roman" w:hAnsi="Times New Roman"/>
        </w:rPr>
        <w:t xml:space="preserve"> Alice G</w:t>
      </w:r>
      <w:r w:rsidRPr="00BF6969">
        <w:rPr>
          <w:rFonts w:ascii="Times New Roman" w:hAnsi="Times New Roman"/>
        </w:rPr>
        <w:t>uerra, Francesco Parisi and Daniel Pi, ‘Liability for Robots II: An Economic Analysis’ (2021) 18(4) Journal of Institutional Economics 553, 554.</w:t>
      </w:r>
    </w:p>
  </w:footnote>
  <w:footnote w:id="143">
    <w:p w14:paraId="21EB3761" w14:textId="77777777" w:rsidR="00994C12" w:rsidRPr="00BF6969" w:rsidRDefault="00994C12" w:rsidP="00994C12">
      <w:pPr>
        <w:pStyle w:val="Sprotnaopomba-besedilo"/>
        <w:rPr>
          <w:rFonts w:ascii="Times New Roman" w:hAnsi="Times New Roman"/>
        </w:rPr>
      </w:pPr>
      <w:r w:rsidRPr="00947545">
        <w:rPr>
          <w:rStyle w:val="Sprotnaopomba-sklic"/>
          <w:rFonts w:ascii="Times New Roman" w:hAnsi="Times New Roman"/>
        </w:rPr>
        <w:footnoteRef/>
      </w:r>
      <w:r w:rsidRPr="00947545">
        <w:rPr>
          <w:rFonts w:ascii="Times New Roman" w:hAnsi="Times New Roman"/>
        </w:rPr>
        <w:t xml:space="preserve"> </w:t>
      </w:r>
      <w:r w:rsidRPr="00BF6969">
        <w:rPr>
          <w:rFonts w:ascii="Times New Roman" w:hAnsi="Times New Roman"/>
        </w:rPr>
        <w:t>ibid 2.</w:t>
      </w:r>
    </w:p>
  </w:footnote>
  <w:footnote w:id="144">
    <w:p w14:paraId="57B853E3" w14:textId="77777777" w:rsidR="00994C12" w:rsidRPr="00BF6969" w:rsidRDefault="00994C12" w:rsidP="00994C12">
      <w:pPr>
        <w:pStyle w:val="Sprotnaopomba-besedilo"/>
        <w:rPr>
          <w:rFonts w:ascii="Times New Roman" w:hAnsi="Times New Roman"/>
        </w:rPr>
      </w:pPr>
      <w:r w:rsidRPr="00BF6969">
        <w:rPr>
          <w:rStyle w:val="Sprotnaopomba-sklic"/>
          <w:rFonts w:ascii="Times New Roman" w:hAnsi="Times New Roman"/>
        </w:rPr>
        <w:footnoteRef/>
      </w:r>
      <w:r w:rsidRPr="00BF6969">
        <w:rPr>
          <w:rFonts w:ascii="Times New Roman" w:hAnsi="Times New Roman"/>
        </w:rPr>
        <w:t xml:space="preserve"> Such a liability regime makes operators and victims liable for accidents due to their negligence – hence, incentivising them to act diligently; and makes manufacturers residually liable for non-negligent accidents – thus, incentivising them to make optimal investments in R&amp;D for robots’ safety. In turn, as Guerra, Parisi, and Pi argue, such a rule would bring down the price of safer robots, driving unsafe technology out of the market and, due to the percolation effect of residual liability, would induce operators to adopt optimal activity levels in AI usage; ibid 2. See also </w:t>
      </w:r>
      <w:bookmarkStart w:id="43" w:name="_Hlk92298835"/>
      <w:r w:rsidRPr="00BF6969">
        <w:rPr>
          <w:rFonts w:ascii="Times New Roman" w:hAnsi="Times New Roman"/>
        </w:rPr>
        <w:t xml:space="preserve">Alice Guerra, Francesco Parisi and Daniel Pi, ‘Liability for Robots I: Legal Challenges’ (2021) 18(3) Journal of Institutional Economics </w:t>
      </w:r>
      <w:proofErr w:type="gramStart"/>
      <w:r w:rsidRPr="00BF6969">
        <w:rPr>
          <w:rFonts w:ascii="Times New Roman" w:hAnsi="Times New Roman"/>
        </w:rPr>
        <w:t xml:space="preserve">331 </w:t>
      </w:r>
      <w:bookmarkEnd w:id="43"/>
      <w:r w:rsidRPr="00BF6969">
        <w:rPr>
          <w:rFonts w:ascii="Times New Roman" w:hAnsi="Times New Roman"/>
        </w:rPr>
        <w:t>.</w:t>
      </w:r>
      <w:proofErr w:type="gramEnd"/>
    </w:p>
  </w:footnote>
  <w:footnote w:id="145">
    <w:p w14:paraId="55770886" w14:textId="77777777" w:rsidR="00994C12" w:rsidRPr="00BF6969" w:rsidRDefault="00994C12" w:rsidP="00994C12">
      <w:pPr>
        <w:pStyle w:val="Sprotnaopomba-besedilo"/>
        <w:rPr>
          <w:rFonts w:ascii="Times New Roman" w:hAnsi="Times New Roman"/>
        </w:rPr>
      </w:pPr>
      <w:r w:rsidRPr="00947545">
        <w:rPr>
          <w:rStyle w:val="Sprotnaopomba-sklic"/>
          <w:rFonts w:ascii="Times New Roman" w:hAnsi="Times New Roman"/>
        </w:rPr>
        <w:footnoteRef/>
      </w:r>
      <w:r w:rsidRPr="00947545">
        <w:rPr>
          <w:rFonts w:ascii="Times New Roman" w:hAnsi="Times New Roman"/>
        </w:rPr>
        <w:t xml:space="preserve"> </w:t>
      </w:r>
      <w:r w:rsidRPr="00BF6969">
        <w:rPr>
          <w:rFonts w:ascii="Times New Roman" w:hAnsi="Times New Roman"/>
        </w:rPr>
        <w:t>Malfunctions should be dealt with by ordinary product liability law already in place where victims may sue manufacturers directly or by allowing operators to sue manufacturers in subrogating when operators face direct liability under conventional tort law; ibid 6.</w:t>
      </w:r>
    </w:p>
  </w:footnote>
  <w:footnote w:id="146">
    <w:p w14:paraId="528EED72" w14:textId="77777777" w:rsidR="00994C12" w:rsidRPr="00BF6969" w:rsidRDefault="00994C12" w:rsidP="00994C12">
      <w:pPr>
        <w:pStyle w:val="Sprotnaopomba-besedilo"/>
        <w:rPr>
          <w:rFonts w:ascii="Times New Roman" w:hAnsi="Times New Roman"/>
        </w:rPr>
      </w:pPr>
      <w:r w:rsidRPr="00947545">
        <w:rPr>
          <w:rStyle w:val="Sprotnaopomba-sklic"/>
          <w:rFonts w:ascii="Times New Roman" w:hAnsi="Times New Roman"/>
        </w:rPr>
        <w:footnoteRef/>
      </w:r>
      <w:r w:rsidRPr="00947545">
        <w:rPr>
          <w:rFonts w:ascii="Times New Roman" w:hAnsi="Times New Roman"/>
        </w:rPr>
        <w:t xml:space="preserve"> </w:t>
      </w:r>
      <w:r w:rsidRPr="00BF6969">
        <w:rPr>
          <w:rFonts w:ascii="Times New Roman" w:hAnsi="Times New Roman"/>
        </w:rPr>
        <w:t>Design limitations refer to accidents that occur when AI encounters a new unforeseen circumstance that causes it to behave in an undesired manner; ibid 6.</w:t>
      </w:r>
    </w:p>
  </w:footnote>
  <w:footnote w:id="147">
    <w:p w14:paraId="5038166A" w14:textId="77777777" w:rsidR="00994C12" w:rsidRPr="00BF6969" w:rsidRDefault="00994C12" w:rsidP="00994C12">
      <w:pPr>
        <w:pStyle w:val="Sprotnaopomba-besedilo"/>
        <w:rPr>
          <w:rFonts w:ascii="Times New Roman" w:hAnsi="Times New Roman"/>
        </w:rPr>
      </w:pPr>
      <w:r w:rsidRPr="00BF6969">
        <w:rPr>
          <w:rStyle w:val="Sprotnaopomba-sklic"/>
          <w:rFonts w:ascii="Times New Roman" w:hAnsi="Times New Roman"/>
        </w:rPr>
        <w:footnoteRef/>
      </w:r>
      <w:r w:rsidRPr="00BF6969">
        <w:rPr>
          <w:rFonts w:ascii="Times New Roman" w:hAnsi="Times New Roman"/>
        </w:rPr>
        <w:t xml:space="preserve"> ibid 3. In addition, Cooter and Porat offer a ‘total liability for excessive harm’ rule for instances of multiple tortfeasors where officials can verify the total harm caused by all injurers but not the harm caused by an individual injurer. Under the ‘total liability for excessive harm’ rule, each individual injurer should be liable for the total harm that everyone causes </w:t>
      </w:r>
      <w:proofErr w:type="gramStart"/>
      <w:r w:rsidRPr="00BF6969">
        <w:rPr>
          <w:rFonts w:ascii="Times New Roman" w:hAnsi="Times New Roman"/>
        </w:rPr>
        <w:t>in excess of</w:t>
      </w:r>
      <w:proofErr w:type="gramEnd"/>
      <w:r w:rsidRPr="00BF6969">
        <w:rPr>
          <w:rFonts w:ascii="Times New Roman" w:hAnsi="Times New Roman"/>
        </w:rPr>
        <w:t xml:space="preserve"> the optimal harm. They suggest that a remarkable consequence of such a rule is that injurers respond to it by causing the optimal harm and their liability is nil; </w:t>
      </w:r>
      <w:bookmarkStart w:id="44" w:name="_Hlk92817695"/>
      <w:r w:rsidRPr="00BF6969">
        <w:rPr>
          <w:rFonts w:ascii="Times New Roman" w:hAnsi="Times New Roman"/>
        </w:rPr>
        <w:t xml:space="preserve">Robert D Cooter and Ariel Porat, </w:t>
      </w:r>
      <w:r w:rsidRPr="00BF6969">
        <w:rPr>
          <w:rFonts w:ascii="Times New Roman" w:hAnsi="Times New Roman"/>
          <w:i/>
          <w:iCs/>
        </w:rPr>
        <w:t>Getting Incentives Right: Improving Torts, Contracts and Restitution</w:t>
      </w:r>
      <w:r w:rsidRPr="00BF6969">
        <w:rPr>
          <w:rFonts w:ascii="Times New Roman" w:hAnsi="Times New Roman"/>
        </w:rPr>
        <w:t xml:space="preserve"> (Princeton University Press 2014</w:t>
      </w:r>
      <w:bookmarkEnd w:id="44"/>
      <w:r w:rsidRPr="00BF6969">
        <w:rPr>
          <w:rFonts w:ascii="Times New Roman" w:hAnsi="Times New Roman"/>
        </w:rPr>
        <w:t xml:space="preserve">) 74-89. For example, an AI agency could establish a safety target and announce that each producer of AI systems in a certain area is liable for the damage caused by all producers of AI systems </w:t>
      </w:r>
      <w:proofErr w:type="gramStart"/>
      <w:r w:rsidRPr="00BF6969">
        <w:rPr>
          <w:rFonts w:ascii="Times New Roman" w:hAnsi="Times New Roman"/>
        </w:rPr>
        <w:t>in excess of</w:t>
      </w:r>
      <w:proofErr w:type="gramEnd"/>
      <w:r w:rsidRPr="00BF6969">
        <w:rPr>
          <w:rFonts w:ascii="Times New Roman" w:hAnsi="Times New Roman"/>
        </w:rPr>
        <w:t xml:space="preserve"> the target. As Cooter and Porat suggest, the agency gains control over the damages (</w:t>
      </w:r>
      <w:proofErr w:type="gramStart"/>
      <w:r w:rsidRPr="00BF6969">
        <w:rPr>
          <w:rFonts w:ascii="Times New Roman" w:hAnsi="Times New Roman"/>
        </w:rPr>
        <w:t>i.e.</w:t>
      </w:r>
      <w:proofErr w:type="gramEnd"/>
      <w:r w:rsidRPr="00BF6969">
        <w:rPr>
          <w:rFonts w:ascii="Times New Roman" w:hAnsi="Times New Roman"/>
        </w:rPr>
        <w:t xml:space="preserve"> negative externalities) without having to monitor individual producers, while the producers do not have to pay damages or comply with bureaucratic regulations; ibid 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7082"/>
    <w:multiLevelType w:val="hybridMultilevel"/>
    <w:tmpl w:val="4BF0A6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9E53D09"/>
    <w:multiLevelType w:val="hybridMultilevel"/>
    <w:tmpl w:val="D1BEDF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77218751">
    <w:abstractNumId w:val="0"/>
  </w:num>
  <w:num w:numId="2" w16cid:durableId="21320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24"/>
    <w:rsid w:val="00056DF7"/>
    <w:rsid w:val="00060BCE"/>
    <w:rsid w:val="00070C6A"/>
    <w:rsid w:val="00082024"/>
    <w:rsid w:val="00092648"/>
    <w:rsid w:val="000949BB"/>
    <w:rsid w:val="000B0029"/>
    <w:rsid w:val="000D1542"/>
    <w:rsid w:val="000D19D4"/>
    <w:rsid w:val="000E6021"/>
    <w:rsid w:val="001200B8"/>
    <w:rsid w:val="00123EE0"/>
    <w:rsid w:val="0013343E"/>
    <w:rsid w:val="0016648B"/>
    <w:rsid w:val="0018181C"/>
    <w:rsid w:val="0019047A"/>
    <w:rsid w:val="00191B73"/>
    <w:rsid w:val="001A61D4"/>
    <w:rsid w:val="00211F22"/>
    <w:rsid w:val="00223746"/>
    <w:rsid w:val="00227AF6"/>
    <w:rsid w:val="00242D58"/>
    <w:rsid w:val="002523AB"/>
    <w:rsid w:val="002759A9"/>
    <w:rsid w:val="00290F7C"/>
    <w:rsid w:val="002D238C"/>
    <w:rsid w:val="002E23CC"/>
    <w:rsid w:val="003029B1"/>
    <w:rsid w:val="00315275"/>
    <w:rsid w:val="00327D8E"/>
    <w:rsid w:val="00331EE5"/>
    <w:rsid w:val="00333E4A"/>
    <w:rsid w:val="0033787D"/>
    <w:rsid w:val="00370EB4"/>
    <w:rsid w:val="00377A6F"/>
    <w:rsid w:val="003A37EF"/>
    <w:rsid w:val="003B560B"/>
    <w:rsid w:val="003B5AFB"/>
    <w:rsid w:val="003D2D52"/>
    <w:rsid w:val="003E12F7"/>
    <w:rsid w:val="0042330C"/>
    <w:rsid w:val="00441BCA"/>
    <w:rsid w:val="00532A92"/>
    <w:rsid w:val="0056413E"/>
    <w:rsid w:val="005713E7"/>
    <w:rsid w:val="005738DD"/>
    <w:rsid w:val="005D241C"/>
    <w:rsid w:val="005D380B"/>
    <w:rsid w:val="00664C6B"/>
    <w:rsid w:val="00696A82"/>
    <w:rsid w:val="006B3A8A"/>
    <w:rsid w:val="006B751E"/>
    <w:rsid w:val="006D4895"/>
    <w:rsid w:val="006F0A9B"/>
    <w:rsid w:val="006F6CFE"/>
    <w:rsid w:val="006F7830"/>
    <w:rsid w:val="00701B56"/>
    <w:rsid w:val="0071177F"/>
    <w:rsid w:val="007141E9"/>
    <w:rsid w:val="0072039A"/>
    <w:rsid w:val="00725B87"/>
    <w:rsid w:val="00734DD5"/>
    <w:rsid w:val="00747AFD"/>
    <w:rsid w:val="00756D8B"/>
    <w:rsid w:val="00765B57"/>
    <w:rsid w:val="00771392"/>
    <w:rsid w:val="007B2C85"/>
    <w:rsid w:val="007C2695"/>
    <w:rsid w:val="007D2DE7"/>
    <w:rsid w:val="007D523B"/>
    <w:rsid w:val="007E001C"/>
    <w:rsid w:val="007E0CB5"/>
    <w:rsid w:val="007F5203"/>
    <w:rsid w:val="008304BB"/>
    <w:rsid w:val="00884B86"/>
    <w:rsid w:val="008B71E2"/>
    <w:rsid w:val="008E71A5"/>
    <w:rsid w:val="008F62E6"/>
    <w:rsid w:val="009119D6"/>
    <w:rsid w:val="00916B6A"/>
    <w:rsid w:val="00926E51"/>
    <w:rsid w:val="00933F25"/>
    <w:rsid w:val="00970D1B"/>
    <w:rsid w:val="00971A99"/>
    <w:rsid w:val="00993AB6"/>
    <w:rsid w:val="00994C12"/>
    <w:rsid w:val="009A27D1"/>
    <w:rsid w:val="009D32E0"/>
    <w:rsid w:val="009F45CF"/>
    <w:rsid w:val="00A0250C"/>
    <w:rsid w:val="00A532AB"/>
    <w:rsid w:val="00A8071C"/>
    <w:rsid w:val="00AD2E68"/>
    <w:rsid w:val="00AF2A91"/>
    <w:rsid w:val="00B1200C"/>
    <w:rsid w:val="00B3181C"/>
    <w:rsid w:val="00B4578A"/>
    <w:rsid w:val="00BC1726"/>
    <w:rsid w:val="00C037C3"/>
    <w:rsid w:val="00C06DB3"/>
    <w:rsid w:val="00C27EB7"/>
    <w:rsid w:val="00C35A72"/>
    <w:rsid w:val="00C40AFB"/>
    <w:rsid w:val="00C622D8"/>
    <w:rsid w:val="00C7111D"/>
    <w:rsid w:val="00C749FB"/>
    <w:rsid w:val="00C801C4"/>
    <w:rsid w:val="00C840E7"/>
    <w:rsid w:val="00C93B41"/>
    <w:rsid w:val="00CC1B76"/>
    <w:rsid w:val="00CD585F"/>
    <w:rsid w:val="00CE1FD4"/>
    <w:rsid w:val="00D11F06"/>
    <w:rsid w:val="00D30D82"/>
    <w:rsid w:val="00D556A8"/>
    <w:rsid w:val="00D6565D"/>
    <w:rsid w:val="00D6634E"/>
    <w:rsid w:val="00D66812"/>
    <w:rsid w:val="00D7745A"/>
    <w:rsid w:val="00D829C6"/>
    <w:rsid w:val="00D90907"/>
    <w:rsid w:val="00DB2B80"/>
    <w:rsid w:val="00DE4BF5"/>
    <w:rsid w:val="00E10F90"/>
    <w:rsid w:val="00E14ECC"/>
    <w:rsid w:val="00E23EB3"/>
    <w:rsid w:val="00E308C5"/>
    <w:rsid w:val="00EB5162"/>
    <w:rsid w:val="00ED2315"/>
    <w:rsid w:val="00ED460C"/>
    <w:rsid w:val="00F1104D"/>
    <w:rsid w:val="00F14E46"/>
    <w:rsid w:val="00F43F5C"/>
    <w:rsid w:val="00F47FA7"/>
    <w:rsid w:val="00F63705"/>
    <w:rsid w:val="00F840B6"/>
    <w:rsid w:val="00FA0571"/>
    <w:rsid w:val="00FE735D"/>
    <w:rsid w:val="00FF0DE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34F6"/>
  <w15:chartTrackingRefBased/>
  <w15:docId w15:val="{2B43F918-02A4-4A52-9F0C-F29B350B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D523B"/>
    <w:rPr>
      <w:color w:val="0563C1" w:themeColor="hyperlink"/>
      <w:u w:val="single"/>
    </w:rPr>
  </w:style>
  <w:style w:type="character" w:styleId="Nerazreenaomemba">
    <w:name w:val="Unresolved Mention"/>
    <w:basedOn w:val="Privzetapisavaodstavka"/>
    <w:uiPriority w:val="99"/>
    <w:semiHidden/>
    <w:unhideWhenUsed/>
    <w:rsid w:val="007D523B"/>
    <w:rPr>
      <w:color w:val="605E5C"/>
      <w:shd w:val="clear" w:color="auto" w:fill="E1DFDD"/>
    </w:rPr>
  </w:style>
  <w:style w:type="paragraph" w:styleId="Odstavekseznama">
    <w:name w:val="List Paragraph"/>
    <w:basedOn w:val="Navaden"/>
    <w:uiPriority w:val="34"/>
    <w:qFormat/>
    <w:rsid w:val="00771392"/>
    <w:pPr>
      <w:ind w:left="720"/>
      <w:contextualSpacing/>
    </w:pPr>
  </w:style>
  <w:style w:type="paragraph" w:styleId="Sprotnaopomba-besedilo">
    <w:name w:val="footnote text"/>
    <w:basedOn w:val="Navaden"/>
    <w:link w:val="Sprotnaopomba-besediloZnak"/>
    <w:uiPriority w:val="99"/>
    <w:unhideWhenUsed/>
    <w:rsid w:val="003D2D52"/>
    <w:pPr>
      <w:spacing w:after="0" w:line="240" w:lineRule="auto"/>
    </w:pPr>
    <w:rPr>
      <w:rFonts w:ascii="Calibri" w:eastAsia="Calibri" w:hAnsi="Calibri" w:cs="Times New Roman"/>
      <w:sz w:val="20"/>
      <w:szCs w:val="20"/>
      <w:lang w:val="en-GB"/>
    </w:rPr>
  </w:style>
  <w:style w:type="character" w:customStyle="1" w:styleId="Sprotnaopomba-besediloZnak">
    <w:name w:val="Sprotna opomba - besedilo Znak"/>
    <w:basedOn w:val="Privzetapisavaodstavka"/>
    <w:link w:val="Sprotnaopomba-besedilo"/>
    <w:uiPriority w:val="99"/>
    <w:rsid w:val="003D2D52"/>
    <w:rPr>
      <w:rFonts w:ascii="Calibri" w:eastAsia="Calibri" w:hAnsi="Calibri" w:cs="Times New Roman"/>
      <w:sz w:val="20"/>
      <w:szCs w:val="20"/>
      <w:lang w:val="en-GB"/>
    </w:rPr>
  </w:style>
  <w:style w:type="character" w:styleId="Sprotnaopomba-sklic">
    <w:name w:val="footnote reference"/>
    <w:aliases w:val="*"/>
    <w:basedOn w:val="Privzetapisavaodstavka"/>
    <w:unhideWhenUsed/>
    <w:rsid w:val="003D2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2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ja.kovac@ef.uni-l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ronik.net/company-profile/" TargetMode="External"/><Relationship Id="rId5" Type="http://schemas.openxmlformats.org/officeDocument/2006/relationships/webSettings" Target="webSettings.xml"/><Relationship Id="rId10" Type="http://schemas.openxmlformats.org/officeDocument/2006/relationships/hyperlink" Target="mailto:svjetlana.maksimovich@gmail.com" TargetMode="External"/><Relationship Id="rId4" Type="http://schemas.openxmlformats.org/officeDocument/2006/relationships/settings" Target="settings.xml"/><Relationship Id="rId9" Type="http://schemas.openxmlformats.org/officeDocument/2006/relationships/hyperlink" Target="mailto:katarina.jevsjak@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02F7129-4354-4758-A2D5-84C46FE0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10362</Words>
  <Characters>59066</Characters>
  <Application>Microsoft Office Word</Application>
  <DocSecurity>0</DocSecurity>
  <Lines>492</Lines>
  <Paragraphs>138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Kovač, Mitja</dc:creator>
  <cp:keywords/>
  <dc:description/>
  <cp:lastModifiedBy>Kovač, Mitja</cp:lastModifiedBy>
  <cp:revision>2</cp:revision>
  <dcterms:created xsi:type="dcterms:W3CDTF">2023-09-29T06:00:00Z</dcterms:created>
  <dcterms:modified xsi:type="dcterms:W3CDTF">2023-09-29T06:00:00Z</dcterms:modified>
</cp:coreProperties>
</file>