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9F22" w14:textId="23506A35" w:rsidR="00DD5C6A" w:rsidRDefault="00325BA3" w:rsidP="00325BA3">
      <w:pPr>
        <w:spacing w:line="360" w:lineRule="auto"/>
        <w:jc w:val="center"/>
        <w:rPr>
          <w:rFonts w:ascii="Times New Roman" w:hAnsi="Times New Roman"/>
          <w:sz w:val="24"/>
        </w:rPr>
      </w:pPr>
      <w:bookmarkStart w:id="0" w:name="OLE_LINK1"/>
      <w:r w:rsidRPr="00325BA3">
        <w:rPr>
          <w:rFonts w:ascii="Times New Roman" w:hAnsi="Times New Roman"/>
          <w:sz w:val="30"/>
          <w:szCs w:val="30"/>
        </w:rPr>
        <w:t>Exploring Challenges in China's Financial Regulatory Landscape: An Interdisciplinary Investigation into Emerging Markets, Bureaucratic Regulatory Structure, and Reform Initiatives</w:t>
      </w:r>
    </w:p>
    <w:p w14:paraId="35172F8C" w14:textId="77777777" w:rsidR="00325BA3" w:rsidRDefault="00325BA3" w:rsidP="00DD5C6A">
      <w:pPr>
        <w:spacing w:line="360" w:lineRule="auto"/>
        <w:rPr>
          <w:rFonts w:ascii="Times New Roman" w:hAnsi="Times New Roman"/>
          <w:sz w:val="24"/>
        </w:rPr>
      </w:pPr>
    </w:p>
    <w:p w14:paraId="08DBE1D1" w14:textId="5F07460C" w:rsidR="00DD5C6A" w:rsidRDefault="0009021F" w:rsidP="00DD5C6A">
      <w:pPr>
        <w:spacing w:line="360" w:lineRule="auto"/>
        <w:rPr>
          <w:rFonts w:ascii="Times New Roman" w:hAnsi="Times New Roman"/>
          <w:sz w:val="24"/>
        </w:rPr>
      </w:pPr>
      <w:r w:rsidRPr="00524C5A">
        <w:rPr>
          <w:rFonts w:ascii="Times New Roman" w:hAnsi="Times New Roman"/>
          <w:sz w:val="24"/>
        </w:rPr>
        <w:t xml:space="preserve">The integration of technology within the financial industry has engendered a diverse array of pioneering financial products, including third-party payment systems, online peer-to-peer (P2P) lending, and equity crowdfunding (ECF). These financial technology (fintech) innovations, characterised by decentralised structures, facilitate direct peer-to-peer interactions, thereby augmenting the levels of financial inclusiveness and accessibility. Nevertheless, the convergence of technology and finance also introduces a host of associated risks and uncertainties, </w:t>
      </w:r>
      <w:r>
        <w:rPr>
          <w:rFonts w:ascii="Times New Roman" w:hAnsi="Times New Roman"/>
          <w:sz w:val="24"/>
        </w:rPr>
        <w:t>posing a</w:t>
      </w:r>
      <w:r w:rsidRPr="00524C5A">
        <w:rPr>
          <w:rFonts w:ascii="Times New Roman" w:hAnsi="Times New Roman"/>
          <w:sz w:val="24"/>
        </w:rPr>
        <w:t xml:space="preserve"> formidable challenge</w:t>
      </w:r>
      <w:r>
        <w:rPr>
          <w:rFonts w:ascii="Times New Roman" w:hAnsi="Times New Roman"/>
          <w:sz w:val="24"/>
        </w:rPr>
        <w:t xml:space="preserve"> to existing</w:t>
      </w:r>
      <w:r w:rsidRPr="00524C5A">
        <w:rPr>
          <w:rFonts w:ascii="Times New Roman" w:hAnsi="Times New Roman"/>
          <w:sz w:val="24"/>
        </w:rPr>
        <w:t xml:space="preserve"> financial regulatory frameworks and governance structures.</w:t>
      </w:r>
      <w:r>
        <w:rPr>
          <w:rFonts w:ascii="Times New Roman" w:hAnsi="Times New Roman"/>
          <w:sz w:val="24"/>
        </w:rPr>
        <w:t xml:space="preserve"> </w:t>
      </w:r>
      <w:r w:rsidRPr="008A28A4">
        <w:rPr>
          <w:rFonts w:ascii="Times New Roman" w:hAnsi="Times New Roman"/>
          <w:sz w:val="24"/>
        </w:rPr>
        <w:t>This research combines empirical investigations into China's emerging experimental equity financing market (P2P and ECF) with</w:t>
      </w:r>
      <w:r w:rsidRPr="00682BAA">
        <w:rPr>
          <w:rFonts w:ascii="Times New Roman" w:hAnsi="Times New Roman"/>
          <w:sz w:val="24"/>
        </w:rPr>
        <w:t xml:space="preserve"> theoretical studies in economics and political regulatory frameworks</w:t>
      </w:r>
      <w:r w:rsidRPr="008A28A4">
        <w:rPr>
          <w:rFonts w:ascii="Times New Roman" w:hAnsi="Times New Roman"/>
          <w:sz w:val="24"/>
        </w:rPr>
        <w:t xml:space="preserve"> to comprehensively understand how economic and political forces interact and shape regulatory outcomes. Specifically, it examines the operational logic of China's financial regulatory system, analyses the dynamics and outcomes of the interaction between fintech innovations and regulation, and critically evaluates the feasibility and appropriateness of prevailing regulatory frameworks, regulatory responses an</w:t>
      </w:r>
      <w:r w:rsidRPr="0009021F">
        <w:rPr>
          <w:rFonts w:ascii="Times New Roman" w:hAnsi="Times New Roman"/>
          <w:sz w:val="24"/>
        </w:rPr>
        <w:t>d remedial measures. A comprehensive examination of the experimental equity financing market reveals an increase of financial market risks and illicit activities, exposing regulatory failures where authorities have been unable to achieve the expected regulatory outcomes and objectives associated with fintech innovations within reasonable costs. Regulators face challenges in striking a balance between regulating fintech innovations and implementing appropriate protective regulations, impeding the achievement of goals such as financial market stability, consumer rights protection, and promotion of financial innovation.</w:t>
      </w:r>
      <w:r w:rsidRPr="0009021F">
        <w:rPr>
          <w:rFonts w:ascii="Times New Roman" w:hAnsi="Times New Roman" w:hint="eastAsia"/>
          <w:sz w:val="24"/>
        </w:rPr>
        <w:t xml:space="preserve"> </w:t>
      </w:r>
      <w:r w:rsidR="00DD5C6A">
        <w:rPr>
          <w:rFonts w:ascii="Times New Roman" w:hAnsi="Times New Roman"/>
          <w:sz w:val="24"/>
        </w:rPr>
        <w:t>T</w:t>
      </w:r>
      <w:r w:rsidR="00DD5C6A" w:rsidRPr="0009021F">
        <w:rPr>
          <w:rFonts w:ascii="Times New Roman" w:hAnsi="Times New Roman"/>
          <w:sz w:val="24"/>
        </w:rPr>
        <w:t>hrough a synthesis of empirical research and theoretical analysis, this</w:t>
      </w:r>
      <w:r w:rsidR="00DD5C6A" w:rsidRPr="00DD5C6A">
        <w:rPr>
          <w:rFonts w:ascii="Times New Roman" w:hAnsi="Times New Roman"/>
          <w:sz w:val="24"/>
        </w:rPr>
        <w:t xml:space="preserve"> </w:t>
      </w:r>
      <w:r w:rsidR="00DD5C6A" w:rsidRPr="008A28A4">
        <w:rPr>
          <w:rFonts w:ascii="Times New Roman" w:hAnsi="Times New Roman"/>
          <w:sz w:val="24"/>
        </w:rPr>
        <w:t xml:space="preserve">research </w:t>
      </w:r>
      <w:r w:rsidR="00DD5C6A" w:rsidRPr="0009021F">
        <w:rPr>
          <w:rFonts w:ascii="Times New Roman" w:hAnsi="Times New Roman"/>
          <w:sz w:val="24"/>
        </w:rPr>
        <w:t xml:space="preserve">reveals three prominent regulatory challenges that emerge from fintech innovations in the Chinese context. Firstly, the convergence of </w:t>
      </w:r>
      <w:r w:rsidR="00DD5C6A" w:rsidRPr="0009021F">
        <w:rPr>
          <w:rFonts w:ascii="Times New Roman" w:hAnsi="Times New Roman"/>
          <w:sz w:val="24"/>
        </w:rPr>
        <w:lastRenderedPageBreak/>
        <w:t>technology and finance introduces uncertainties, disrupts conventional regulatory frameworks, and presents significant hurdles in terms of risk identification, regulatory decision-making, and the establishment of appropriate regulatory frameworks. Secondly, determining the rationality of regulatory intervention stages and timing requires a delicate balance between anticipation (identifying and minimising risks) and resilience (mitigating the impact of harm). Lastly, overcoming the impediments posed by party preferences and conservative ideological tendencies within the bureaucratic regulatory system is crucial for facilitating regulatory refor</w:t>
      </w:r>
      <w:r w:rsidR="00DD5C6A" w:rsidRPr="000D0A51">
        <w:rPr>
          <w:rFonts w:ascii="Times New Roman" w:hAnsi="Times New Roman"/>
          <w:sz w:val="24"/>
        </w:rPr>
        <w:t>ms and enhancements.</w:t>
      </w:r>
    </w:p>
    <w:p w14:paraId="77AFCC9B" w14:textId="77777777" w:rsidR="00DD5C6A" w:rsidRDefault="00DD5C6A" w:rsidP="0009021F">
      <w:pPr>
        <w:spacing w:line="360" w:lineRule="auto"/>
        <w:rPr>
          <w:rFonts w:ascii="Times New Roman" w:hAnsi="Times New Roman" w:hint="eastAsia"/>
          <w:sz w:val="24"/>
        </w:rPr>
      </w:pPr>
    </w:p>
    <w:p w14:paraId="304DA4DA" w14:textId="206DBF21" w:rsidR="00DD5C6A" w:rsidRPr="00DD5C6A" w:rsidRDefault="00DD5C6A" w:rsidP="00DD5C6A">
      <w:pPr>
        <w:spacing w:line="360" w:lineRule="auto"/>
        <w:rPr>
          <w:rFonts w:ascii="Times New Roman" w:hAnsi="Times New Roman"/>
          <w:sz w:val="24"/>
        </w:rPr>
      </w:pPr>
      <w:r w:rsidRPr="00DD5C6A">
        <w:rPr>
          <w:rFonts w:ascii="Times New Roman" w:hAnsi="Times New Roman"/>
          <w:sz w:val="24"/>
        </w:rPr>
        <w:t xml:space="preserve">To thoroughly investigate the root causes behind these regulatory failures, </w:t>
      </w:r>
      <w:r>
        <w:rPr>
          <w:rFonts w:ascii="Times New Roman" w:hAnsi="Times New Roman"/>
          <w:sz w:val="24"/>
        </w:rPr>
        <w:t xml:space="preserve">this </w:t>
      </w:r>
      <w:r w:rsidRPr="008A28A4">
        <w:rPr>
          <w:rFonts w:ascii="Times New Roman" w:hAnsi="Times New Roman"/>
          <w:sz w:val="24"/>
        </w:rPr>
        <w:t xml:space="preserve">research </w:t>
      </w:r>
      <w:r w:rsidRPr="00DD5C6A">
        <w:rPr>
          <w:rFonts w:ascii="Times New Roman" w:hAnsi="Times New Roman"/>
          <w:sz w:val="24"/>
        </w:rPr>
        <w:t>engages in a detailed examination of the sector-based regulatory framework that operated alongside the timeline of ECF. The analysis dissects the operational mode, underlying rationale, limitations, and effects of that framework. It reveals that the sector-based regulation adhered to a rigid paradigm of allocating regulatory obligations to conventionally delineated economic sectors such as banking, insurance, and securities. Such rigidity poses a significant impediment to the effective oversight of emerging cross-industry financial instruments like ECF, thereby giving rise to regulatory gaps, poor collaboration among regulators, and regulators evading their responsibilities. However, the issues endogenous to the sector-based regulatory model merely serve as a prelude to the deeper regulatory failures that can be observed in these case studies. The prevalent regulatory failures in the Chinese financial market ultimately emanate from the deeply entrenched bureaucratic structure within which the regulatory scheme is embedded.</w:t>
      </w:r>
    </w:p>
    <w:p w14:paraId="2DBA057B" w14:textId="77777777" w:rsidR="00DD5C6A" w:rsidRPr="00DD5C6A" w:rsidRDefault="00DD5C6A" w:rsidP="00DD5C6A">
      <w:pPr>
        <w:spacing w:line="360" w:lineRule="auto"/>
        <w:rPr>
          <w:rFonts w:ascii="Times New Roman" w:hAnsi="Times New Roman"/>
          <w:sz w:val="24"/>
        </w:rPr>
      </w:pPr>
    </w:p>
    <w:p w14:paraId="0CA65803" w14:textId="564B6FA2" w:rsidR="00640D89" w:rsidRDefault="00DD5C6A" w:rsidP="00DD5C6A">
      <w:pPr>
        <w:spacing w:line="360" w:lineRule="auto"/>
        <w:rPr>
          <w:rFonts w:ascii="Times New Roman" w:hAnsi="Times New Roman"/>
          <w:sz w:val="24"/>
        </w:rPr>
      </w:pPr>
      <w:r>
        <w:rPr>
          <w:rFonts w:ascii="Times New Roman" w:hAnsi="Times New Roman"/>
          <w:sz w:val="24"/>
        </w:rPr>
        <w:t xml:space="preserve">It then </w:t>
      </w:r>
      <w:r w:rsidRPr="00DD5C6A">
        <w:rPr>
          <w:rFonts w:ascii="Times New Roman" w:hAnsi="Times New Roman"/>
          <w:sz w:val="24"/>
        </w:rPr>
        <w:t xml:space="preserve">employs an interdisciplinary perspective, combining theories from law, political science, and economics. This approach aims to provide a detailed analysis of China's financial regulatory system, including its operational model, rationale, supporting tools, reforms, and potential issues. Through the lenses of classical bureaucratic institutional theories such as Max Weber's rational bureaucracy theory and Anthony Downs' bureaucracy theory, it is evident that China's financial regulatory system is essentially </w:t>
      </w:r>
      <w:r w:rsidRPr="00DD5C6A">
        <w:rPr>
          <w:rFonts w:ascii="Times New Roman" w:hAnsi="Times New Roman"/>
          <w:sz w:val="24"/>
        </w:rPr>
        <w:lastRenderedPageBreak/>
        <w:t>a tightly structured bureaucratic organisation. The political party occupies the highest position within this organisation, distributing regulatory power from top to bottom to enforce authoritarian rule. Moreover, the prevalence of personalised governance and the existence of informal structures within this regulatory framework give rise to a range of challenges. These challenges include excessive political intervention, excessive regulatory elasticity and selective enforcement, bureaucratic conservatism, political inertia, antiquated regulatory ideologies, and the overuse of emergency regulatory tools.</w:t>
      </w:r>
      <w:bookmarkEnd w:id="0"/>
      <w:r>
        <w:rPr>
          <w:rFonts w:ascii="Times New Roman" w:hAnsi="Times New Roman"/>
          <w:sz w:val="24"/>
        </w:rPr>
        <w:t xml:space="preserve"> </w:t>
      </w:r>
      <w:r w:rsidRPr="00DD5C6A">
        <w:rPr>
          <w:rFonts w:ascii="Times New Roman" w:hAnsi="Times New Roman"/>
          <w:sz w:val="24"/>
        </w:rPr>
        <w:t>Firstly</w:t>
      </w:r>
      <w:r>
        <w:rPr>
          <w:rFonts w:ascii="Times New Roman" w:hAnsi="Times New Roman"/>
          <w:sz w:val="24"/>
        </w:rPr>
        <w:t>,</w:t>
      </w:r>
      <w:r w:rsidRPr="00DD5C6A">
        <w:rPr>
          <w:rFonts w:ascii="Times New Roman" w:hAnsi="Times New Roman"/>
          <w:sz w:val="24"/>
        </w:rPr>
        <w:t xml:space="preserve"> the highest tier of the system sees the political party exercising its influence through structured hierarchical connections and the transmission of preferences.</w:t>
      </w:r>
      <w:r w:rsidR="00F70397">
        <w:rPr>
          <w:rFonts w:ascii="Times New Roman" w:hAnsi="Times New Roman"/>
          <w:sz w:val="24"/>
        </w:rPr>
        <w:t xml:space="preserve"> </w:t>
      </w:r>
      <w:r w:rsidRPr="00DD5C6A">
        <w:rPr>
          <w:rFonts w:ascii="Times New Roman" w:hAnsi="Times New Roman"/>
          <w:sz w:val="24"/>
        </w:rPr>
        <w:t>Secondly, within the bureaucratic regulatory system, regulators enjoy wide discretion and possess significant leeway, leading to excessive regulatory elasticity. Driven by personal interests, this elasticity can foster selective regulatory practices and inconsistent oversight. Thirdly, regulators within the bureaucratic regulatory system tend to adhere to conservative and outdated ideologies. This inclination is rooted in their historical behavioural patterns</w:t>
      </w:r>
      <w:r w:rsidR="00F70397">
        <w:rPr>
          <w:rFonts w:ascii="Times New Roman" w:hAnsi="Times New Roman"/>
          <w:sz w:val="24"/>
        </w:rPr>
        <w:t>,</w:t>
      </w:r>
      <w:r w:rsidRPr="00DD5C6A">
        <w:rPr>
          <w:rFonts w:ascii="Times New Roman" w:hAnsi="Times New Roman"/>
          <w:sz w:val="24"/>
        </w:rPr>
        <w:t xml:space="preserve"> past experiences and prevailing political inertia, leading to a propensity for resisting innovation and perpetuating established norms. This, in turn, creates a discernible gap between the existing regulatory framework and the dynamically evolving market and institutional environmen</w:t>
      </w:r>
      <w:r w:rsidR="00D74AAB">
        <w:rPr>
          <w:rFonts w:ascii="Times New Roman" w:hAnsi="Times New Roman"/>
          <w:sz w:val="24"/>
        </w:rPr>
        <w:t>t</w:t>
      </w:r>
      <w:r w:rsidRPr="00DD5C6A">
        <w:rPr>
          <w:rFonts w:ascii="Times New Roman" w:hAnsi="Times New Roman"/>
          <w:sz w:val="24"/>
        </w:rPr>
        <w:t xml:space="preserve">. Fourthly, to accommodate the operation of this massive bureaucratic regulatory system, regulators consistently employ campaign-style enforcement as a means of addressing emergencies and achieving authoritarian control. However, the excessive use of campaign-style enforcement not only severely affects the development of specific industries and market order, but also proves inadequate in fundamentally addressing the underlying market conflicts. </w:t>
      </w:r>
      <w:r>
        <w:rPr>
          <w:rFonts w:ascii="Times New Roman" w:hAnsi="Times New Roman"/>
          <w:sz w:val="24"/>
        </w:rPr>
        <w:t xml:space="preserve">It </w:t>
      </w:r>
      <w:r w:rsidRPr="00DD5C6A">
        <w:rPr>
          <w:rFonts w:ascii="Times New Roman" w:hAnsi="Times New Roman"/>
          <w:sz w:val="24"/>
        </w:rPr>
        <w:t>concludes that China's financial regulatory system exhibits a distinct hierarchical bureaucratic organisational structure. The deeply entrenched bureaucratic issues within it are key factors contributing to the observed regulatory failures in the case study.</w:t>
      </w:r>
    </w:p>
    <w:p w14:paraId="24AC1A35" w14:textId="77777777" w:rsidR="00DD5C6A" w:rsidRDefault="00DD5C6A" w:rsidP="00DD5C6A">
      <w:pPr>
        <w:spacing w:line="360" w:lineRule="auto"/>
        <w:rPr>
          <w:rFonts w:ascii="Times New Roman" w:hAnsi="Times New Roman"/>
          <w:sz w:val="24"/>
        </w:rPr>
      </w:pPr>
    </w:p>
    <w:p w14:paraId="39570B01" w14:textId="2CBF1B1B" w:rsidR="00DD5C6A" w:rsidRPr="00DD5C6A" w:rsidRDefault="00DD5C6A" w:rsidP="00DD5C6A">
      <w:pPr>
        <w:spacing w:line="360" w:lineRule="auto"/>
        <w:rPr>
          <w:rFonts w:ascii="Times New Roman" w:hAnsi="Times New Roman" w:hint="eastAsia"/>
          <w:sz w:val="24"/>
        </w:rPr>
      </w:pPr>
      <w:r w:rsidRPr="00DD5C6A">
        <w:rPr>
          <w:rFonts w:ascii="Times New Roman" w:hAnsi="Times New Roman"/>
          <w:sz w:val="24"/>
        </w:rPr>
        <w:t xml:space="preserve">In response to historical regulatory obstacles and enhance regulatory efficiency, Chinese authorities initiated comprehensive financial regulatory system reforms in </w:t>
      </w:r>
      <w:r w:rsidRPr="00DD5C6A">
        <w:rPr>
          <w:rFonts w:ascii="Times New Roman" w:hAnsi="Times New Roman"/>
          <w:sz w:val="24"/>
        </w:rPr>
        <w:lastRenderedPageBreak/>
        <w:t>March 2023.</w:t>
      </w:r>
      <w:r>
        <w:rPr>
          <w:rFonts w:ascii="Times New Roman" w:hAnsi="Times New Roman"/>
          <w:sz w:val="24"/>
        </w:rPr>
        <w:t xml:space="preserve"> This research</w:t>
      </w:r>
      <w:r w:rsidRPr="00DD5C6A">
        <w:rPr>
          <w:rFonts w:ascii="Times New Roman" w:hAnsi="Times New Roman"/>
          <w:sz w:val="24"/>
        </w:rPr>
        <w:t xml:space="preserve"> employs Ronald Coase's cost-benefit theory and comparative institutional analysis as a logical framework, integrating recognised key elements of effective regulatory systems to assess the reformed system. This assessment endeavours to investigate whether the restructured system can attain its intended objectives, rectify previous shortcomings, and enhance the operational efficiency of the framework. The ultimate conclusion drawn is that while the 2023 regulatory system reform demonstrates signs of improvement, it remains fundamentally reminiscent of old wine in a new bottle. This reform not only falls short of fully redressing historical regulatory inadequacies but also exacerbates preexisting bureaucratic issues.</w:t>
      </w:r>
      <w:r>
        <w:rPr>
          <w:rFonts w:ascii="Times New Roman" w:hAnsi="Times New Roman"/>
          <w:sz w:val="24"/>
        </w:rPr>
        <w:t xml:space="preserve"> </w:t>
      </w:r>
      <w:r w:rsidRPr="00DD5C6A">
        <w:rPr>
          <w:rFonts w:ascii="Times New Roman" w:hAnsi="Times New Roman"/>
          <w:sz w:val="24"/>
        </w:rPr>
        <w:t>Notably, the reformed regulatory framework demonstrates a significant trend towards a twin peaks regulatory model, combining behavioural regulation and prudential supervision. This transformation is evidently inspired by regulatory experiences elsewhere in the world, highlighting the importance for regulatory paradigms to align and evolve with the evolving economic dynamics. However, the pursuit of a comprehensive, independent, and systemic regulatory framework remains a massive endeavour. Consequently, a more profound investigation into regulatory insights and experiences from other jurisdictions becomes imperative to effectively tackle current challenges and refine China's regulatory structure.</w:t>
      </w:r>
    </w:p>
    <w:sectPr w:rsidR="00DD5C6A" w:rsidRPr="00DD5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653A" w14:textId="77777777" w:rsidR="006202FD" w:rsidRDefault="006202FD" w:rsidP="003F6ADF">
      <w:r>
        <w:separator/>
      </w:r>
    </w:p>
  </w:endnote>
  <w:endnote w:type="continuationSeparator" w:id="0">
    <w:p w14:paraId="32729F4E" w14:textId="77777777" w:rsidR="006202FD" w:rsidRDefault="006202FD" w:rsidP="003F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A2E1" w14:textId="77777777" w:rsidR="006202FD" w:rsidRDefault="006202FD" w:rsidP="003F6ADF">
      <w:r>
        <w:separator/>
      </w:r>
    </w:p>
  </w:footnote>
  <w:footnote w:type="continuationSeparator" w:id="0">
    <w:p w14:paraId="5129BD75" w14:textId="77777777" w:rsidR="006202FD" w:rsidRDefault="006202FD" w:rsidP="003F6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1F"/>
    <w:rsid w:val="000167E5"/>
    <w:rsid w:val="00064F68"/>
    <w:rsid w:val="0009021F"/>
    <w:rsid w:val="00325BA3"/>
    <w:rsid w:val="003F6ADF"/>
    <w:rsid w:val="006202FD"/>
    <w:rsid w:val="00640D89"/>
    <w:rsid w:val="006D5FF6"/>
    <w:rsid w:val="008A4B1F"/>
    <w:rsid w:val="00D74AAB"/>
    <w:rsid w:val="00DD5C6A"/>
    <w:rsid w:val="00F70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EDA7"/>
  <w15:chartTrackingRefBased/>
  <w15:docId w15:val="{F2494019-99BC-40D6-B620-A4E5F0FC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ADF"/>
    <w:pPr>
      <w:jc w:val="both"/>
    </w:pPr>
    <w:rPr>
      <w:rFonts w:ascii="Calibri" w:eastAsia="宋体" w:hAnsi="Calibri"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ADF"/>
    <w:pPr>
      <w:widowControl w:val="0"/>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F6ADF"/>
    <w:rPr>
      <w:sz w:val="18"/>
      <w:szCs w:val="18"/>
      <w:lang w:val="en-GB"/>
    </w:rPr>
  </w:style>
  <w:style w:type="paragraph" w:styleId="a5">
    <w:name w:val="footer"/>
    <w:basedOn w:val="a"/>
    <w:link w:val="a6"/>
    <w:uiPriority w:val="99"/>
    <w:unhideWhenUsed/>
    <w:rsid w:val="003F6ADF"/>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F6ADF"/>
    <w:rPr>
      <w:sz w:val="18"/>
      <w:szCs w:val="18"/>
      <w:lang w:val="en-GB"/>
    </w:rPr>
  </w:style>
  <w:style w:type="paragraph" w:styleId="a7">
    <w:name w:val="footnote text"/>
    <w:basedOn w:val="a"/>
    <w:link w:val="a8"/>
    <w:uiPriority w:val="99"/>
    <w:unhideWhenUsed/>
    <w:qFormat/>
    <w:rsid w:val="003F6ADF"/>
    <w:pPr>
      <w:snapToGrid w:val="0"/>
      <w:jc w:val="left"/>
    </w:pPr>
    <w:rPr>
      <w:rFonts w:ascii="等线" w:eastAsia="等线" w:hAnsi="等线"/>
      <w:sz w:val="18"/>
      <w:szCs w:val="18"/>
    </w:rPr>
  </w:style>
  <w:style w:type="character" w:customStyle="1" w:styleId="a8">
    <w:name w:val="脚注文本 字符"/>
    <w:basedOn w:val="a0"/>
    <w:link w:val="a7"/>
    <w:uiPriority w:val="99"/>
    <w:qFormat/>
    <w:rsid w:val="003F6ADF"/>
    <w:rPr>
      <w:rFonts w:ascii="等线" w:eastAsia="等线" w:hAnsi="等线" w:cs="Times New Roman"/>
      <w:sz w:val="18"/>
      <w:szCs w:val="18"/>
      <w:lang w:val="en-GB"/>
    </w:rPr>
  </w:style>
  <w:style w:type="character" w:styleId="a9">
    <w:name w:val="Hyperlink"/>
    <w:unhideWhenUsed/>
    <w:qFormat/>
    <w:rsid w:val="003F6ADF"/>
    <w:rPr>
      <w:color w:val="0563C1"/>
      <w:u w:val="single"/>
    </w:rPr>
  </w:style>
  <w:style w:type="character" w:styleId="aa">
    <w:name w:val="footnote reference"/>
    <w:uiPriority w:val="99"/>
    <w:unhideWhenUsed/>
    <w:qFormat/>
    <w:rsid w:val="003F6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盼盼 孙</dc:creator>
  <cp:keywords/>
  <dc:description/>
  <cp:lastModifiedBy>盼盼 孙</cp:lastModifiedBy>
  <cp:revision>7</cp:revision>
  <dcterms:created xsi:type="dcterms:W3CDTF">2023-09-25T09:32:00Z</dcterms:created>
  <dcterms:modified xsi:type="dcterms:W3CDTF">2023-09-25T10:25:00Z</dcterms:modified>
</cp:coreProperties>
</file>