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8F486" w14:textId="2160E693" w:rsidR="007B7208" w:rsidRDefault="009945DA" w:rsidP="00846382">
      <w:pPr>
        <w:pStyle w:val="Title"/>
        <w:spacing w:line="480" w:lineRule="auto"/>
        <w:rPr>
          <w:rFonts w:ascii="Times New Roman" w:hAnsi="Times New Roman" w:cs="Times New Roman"/>
          <w:caps/>
          <w:sz w:val="24"/>
          <w:szCs w:val="24"/>
        </w:rPr>
      </w:pPr>
      <w:r w:rsidRPr="007B7208">
        <w:rPr>
          <w:rFonts w:ascii="Times New Roman" w:hAnsi="Times New Roman" w:cs="Times New Roman"/>
          <w:caps/>
          <w:sz w:val="24"/>
          <w:szCs w:val="24"/>
        </w:rPr>
        <w:t>Killer Acquisitions</w:t>
      </w:r>
      <w:r w:rsidR="00B80445">
        <w:rPr>
          <w:rFonts w:ascii="Times New Roman" w:hAnsi="Times New Roman" w:cs="Times New Roman"/>
          <w:caps/>
          <w:sz w:val="24"/>
          <w:szCs w:val="24"/>
        </w:rPr>
        <w:t>:</w:t>
      </w:r>
      <w:r w:rsidR="00BB6A22" w:rsidRPr="007B7208">
        <w:rPr>
          <w:rFonts w:ascii="Times New Roman" w:hAnsi="Times New Roman" w:cs="Times New Roman"/>
          <w:caps/>
          <w:sz w:val="24"/>
          <w:szCs w:val="24"/>
        </w:rPr>
        <w:t xml:space="preserve"> </w:t>
      </w:r>
    </w:p>
    <w:p w14:paraId="1E8B057F" w14:textId="18798244" w:rsidR="00034DCC" w:rsidRPr="007B7208" w:rsidRDefault="00D03194" w:rsidP="00846382">
      <w:pPr>
        <w:pStyle w:val="Title"/>
        <w:spacing w:line="480" w:lineRule="auto"/>
        <w:rPr>
          <w:rFonts w:ascii="Times New Roman" w:hAnsi="Times New Roman" w:cs="Times New Roman"/>
          <w:caps/>
          <w:sz w:val="24"/>
          <w:szCs w:val="24"/>
        </w:rPr>
      </w:pPr>
      <w:r w:rsidRPr="007B7208">
        <w:rPr>
          <w:rFonts w:ascii="Times New Roman" w:hAnsi="Times New Roman" w:cs="Times New Roman"/>
          <w:caps/>
          <w:sz w:val="24"/>
          <w:szCs w:val="24"/>
        </w:rPr>
        <w:t xml:space="preserve">Evidence from </w:t>
      </w:r>
      <w:r w:rsidR="00B80445">
        <w:rPr>
          <w:rFonts w:ascii="Times New Roman" w:hAnsi="Times New Roman" w:cs="Times New Roman"/>
          <w:caps/>
          <w:sz w:val="24"/>
          <w:szCs w:val="24"/>
        </w:rPr>
        <w:t xml:space="preserve">EUROPEAN </w:t>
      </w:r>
      <w:r w:rsidR="00F940F5" w:rsidRPr="007B7208">
        <w:rPr>
          <w:rFonts w:ascii="Times New Roman" w:hAnsi="Times New Roman" w:cs="Times New Roman"/>
          <w:caps/>
          <w:sz w:val="24"/>
          <w:szCs w:val="24"/>
        </w:rPr>
        <w:t xml:space="preserve">Merger </w:t>
      </w:r>
      <w:r w:rsidRPr="007B7208">
        <w:rPr>
          <w:rFonts w:ascii="Times New Roman" w:hAnsi="Times New Roman" w:cs="Times New Roman"/>
          <w:caps/>
          <w:sz w:val="24"/>
          <w:szCs w:val="24"/>
        </w:rPr>
        <w:t xml:space="preserve">Cases </w:t>
      </w:r>
    </w:p>
    <w:p w14:paraId="4AFB15B8" w14:textId="341BCE0B" w:rsidR="00C235E5" w:rsidRPr="00846382" w:rsidRDefault="00C235E5" w:rsidP="00846382">
      <w:pPr>
        <w:spacing w:line="480" w:lineRule="auto"/>
        <w:jc w:val="center"/>
        <w:rPr>
          <w:rFonts w:ascii="Times New Roman" w:eastAsia="Times New Roman" w:hAnsi="Times New Roman" w:cs="Times New Roman"/>
          <w:b/>
          <w:bCs/>
          <w:color w:val="000000"/>
          <w:sz w:val="24"/>
          <w:szCs w:val="24"/>
        </w:rPr>
      </w:pPr>
      <w:r w:rsidRPr="007B7208">
        <w:rPr>
          <w:rFonts w:ascii="Times New Roman" w:hAnsi="Times New Roman" w:cs="Times New Roman"/>
          <w:b/>
          <w:bCs/>
          <w:sz w:val="24"/>
          <w:szCs w:val="24"/>
        </w:rPr>
        <w:t>Marc Ivaldi,</w:t>
      </w:r>
      <w:r w:rsidR="007B7208">
        <w:rPr>
          <w:rStyle w:val="FootnoteReference"/>
          <w:rFonts w:ascii="Times New Roman" w:hAnsi="Times New Roman" w:cs="Times New Roman"/>
          <w:b/>
          <w:bCs/>
          <w:sz w:val="24"/>
          <w:szCs w:val="24"/>
        </w:rPr>
        <w:footnoteReference w:customMarkFollows="1" w:id="1"/>
        <w:t>*</w:t>
      </w:r>
      <w:r w:rsidRPr="007B7208">
        <w:rPr>
          <w:rFonts w:ascii="Times New Roman" w:hAnsi="Times New Roman" w:cs="Times New Roman"/>
          <w:b/>
          <w:bCs/>
          <w:sz w:val="24"/>
          <w:szCs w:val="24"/>
        </w:rPr>
        <w:t xml:space="preserve"> Nicolas Petit,</w:t>
      </w:r>
      <w:r w:rsidR="007B7208">
        <w:rPr>
          <w:rStyle w:val="FootnoteReference"/>
          <w:rFonts w:ascii="Times New Roman" w:hAnsi="Times New Roman" w:cs="Times New Roman"/>
          <w:b/>
          <w:bCs/>
          <w:sz w:val="24"/>
          <w:szCs w:val="24"/>
        </w:rPr>
        <w:footnoteReference w:customMarkFollows="1" w:id="2"/>
        <w:t>**</w:t>
      </w:r>
      <w:r w:rsidRPr="007B7208">
        <w:rPr>
          <w:rFonts w:ascii="Times New Roman" w:hAnsi="Times New Roman" w:cs="Times New Roman"/>
          <w:b/>
          <w:bCs/>
          <w:sz w:val="24"/>
          <w:szCs w:val="24"/>
        </w:rPr>
        <w:t xml:space="preserve"> and </w:t>
      </w:r>
      <w:r w:rsidRPr="007B7208">
        <w:rPr>
          <w:rFonts w:ascii="Times New Roman" w:eastAsia="Times New Roman" w:hAnsi="Times New Roman" w:cs="Times New Roman"/>
          <w:b/>
          <w:bCs/>
          <w:color w:val="000000"/>
          <w:sz w:val="24"/>
          <w:szCs w:val="24"/>
        </w:rPr>
        <w:t>Selçukhan Ünekbaş</w:t>
      </w:r>
      <w:r w:rsidR="007B7208">
        <w:rPr>
          <w:rStyle w:val="FootnoteReference"/>
          <w:rFonts w:ascii="Times New Roman" w:eastAsia="Times New Roman" w:hAnsi="Times New Roman" w:cs="Times New Roman"/>
          <w:b/>
          <w:bCs/>
          <w:color w:val="000000"/>
          <w:sz w:val="24"/>
          <w:szCs w:val="24"/>
        </w:rPr>
        <w:footnoteReference w:customMarkFollows="1" w:id="3"/>
        <w:t>***</w:t>
      </w:r>
    </w:p>
    <w:p w14:paraId="0C550C48" w14:textId="407CA71D" w:rsidR="005B272F" w:rsidRDefault="00061A85" w:rsidP="0084638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This version, </w:t>
      </w:r>
      <w:r w:rsidR="009E03D4">
        <w:rPr>
          <w:rFonts w:ascii="Times New Roman" w:hAnsi="Times New Roman" w:cs="Times New Roman"/>
          <w:b/>
          <w:bCs/>
          <w:sz w:val="24"/>
          <w:szCs w:val="24"/>
          <w:highlight w:val="yellow"/>
        </w:rPr>
        <w:t>September</w:t>
      </w:r>
      <w:r w:rsidR="009E03D4" w:rsidRPr="00D66E56">
        <w:rPr>
          <w:rFonts w:ascii="Times New Roman" w:hAnsi="Times New Roman" w:cs="Times New Roman"/>
          <w:b/>
          <w:bCs/>
          <w:sz w:val="24"/>
          <w:szCs w:val="24"/>
          <w:highlight w:val="yellow"/>
        </w:rPr>
        <w:t xml:space="preserve"> </w:t>
      </w:r>
      <w:r w:rsidR="009E03D4">
        <w:rPr>
          <w:rFonts w:ascii="Times New Roman" w:hAnsi="Times New Roman" w:cs="Times New Roman"/>
          <w:b/>
          <w:bCs/>
          <w:sz w:val="24"/>
          <w:szCs w:val="24"/>
          <w:highlight w:val="yellow"/>
        </w:rPr>
        <w:t>5</w:t>
      </w:r>
      <w:r w:rsidR="00D66E56" w:rsidRPr="00D66E56">
        <w:rPr>
          <w:rFonts w:ascii="Times New Roman" w:hAnsi="Times New Roman" w:cs="Times New Roman"/>
          <w:b/>
          <w:bCs/>
          <w:sz w:val="24"/>
          <w:szCs w:val="24"/>
          <w:highlight w:val="yellow"/>
        </w:rPr>
        <w:t>, 2023</w:t>
      </w:r>
    </w:p>
    <w:p w14:paraId="239FFCDB" w14:textId="2A09F423" w:rsidR="005B272F" w:rsidRPr="005B272F" w:rsidRDefault="005B272F" w:rsidP="00846382">
      <w:pPr>
        <w:spacing w:line="480" w:lineRule="auto"/>
        <w:jc w:val="center"/>
        <w:rPr>
          <w:rFonts w:ascii="Times New Roman" w:hAnsi="Times New Roman" w:cs="Times New Roman"/>
          <w:b/>
          <w:bCs/>
          <w:sz w:val="24"/>
          <w:szCs w:val="24"/>
        </w:rPr>
      </w:pPr>
      <w:r w:rsidRPr="005B272F">
        <w:rPr>
          <w:rFonts w:ascii="Times New Roman" w:hAnsi="Times New Roman" w:cs="Times New Roman"/>
          <w:b/>
          <w:bCs/>
          <w:sz w:val="24"/>
          <w:szCs w:val="24"/>
        </w:rPr>
        <w:t>Abstract</w:t>
      </w:r>
    </w:p>
    <w:p w14:paraId="08D66785" w14:textId="044F3214" w:rsidR="005B272F" w:rsidRPr="0063447E" w:rsidRDefault="0063447E" w:rsidP="00846382">
      <w:pPr>
        <w:spacing w:before="120" w:after="120" w:line="480" w:lineRule="auto"/>
        <w:jc w:val="both"/>
        <w:rPr>
          <w:rFonts w:ascii="Times New Roman" w:hAnsi="Times New Roman" w:cs="Times New Roman"/>
          <w:sz w:val="24"/>
          <w:szCs w:val="24"/>
        </w:rPr>
      </w:pPr>
      <w:r w:rsidRPr="0063447E">
        <w:rPr>
          <w:rFonts w:ascii="Times New Roman" w:hAnsi="Times New Roman" w:cs="Times New Roman"/>
          <w:sz w:val="24"/>
          <w:szCs w:val="24"/>
        </w:rPr>
        <w:t>The “killer acquisitions” theory states that established firms buy new businesses to pre-empt future competition, particularly in pharmaceutical and digital industries. The killer acquisitions theory fuels demands for restrictive merger policy. But should merger policy be concerned about killer acquisitions? The answer to that question should depend on empirical facts about the plausibility of the killer acquisitions theory. This paper studies merger control cases to document facts and patterns about killer acquisitions. We focus on transactions reviewed by the European Commission in information and communication technology industries. Pursuant to the theory of killer acquisitions, some of these cases should have led to reduced competition. Focusing on publicly available information through financial disclosures, our analysis suggests that no transaction was followed by the disappearance of the target’s products, a weakening of competing firms, and/or a post-merger lowering or absence of entry and innovation. Skepticism about the killer acquisitions theory should prevail.</w:t>
      </w:r>
    </w:p>
    <w:p w14:paraId="11F3AFB3" w14:textId="174F9E06" w:rsidR="00453781" w:rsidRDefault="00453781" w:rsidP="00846382">
      <w:pPr>
        <w:spacing w:line="480" w:lineRule="auto"/>
        <w:rPr>
          <w:rFonts w:ascii="Times New Roman" w:hAnsi="Times New Roman" w:cs="Times New Roman"/>
          <w:sz w:val="24"/>
          <w:szCs w:val="24"/>
        </w:rPr>
      </w:pPr>
      <w:r w:rsidRPr="00453781">
        <w:rPr>
          <w:rFonts w:ascii="Times New Roman" w:hAnsi="Times New Roman" w:cs="Times New Roman"/>
          <w:b/>
          <w:bCs/>
          <w:sz w:val="24"/>
          <w:szCs w:val="24"/>
        </w:rPr>
        <w:lastRenderedPageBreak/>
        <w:t>Keyword</w:t>
      </w:r>
      <w:r w:rsidR="003368F1">
        <w:rPr>
          <w:rFonts w:ascii="Times New Roman" w:hAnsi="Times New Roman" w:cs="Times New Roman"/>
          <w:b/>
          <w:bCs/>
          <w:sz w:val="24"/>
          <w:szCs w:val="24"/>
        </w:rPr>
        <w:t>s</w:t>
      </w:r>
      <w:r>
        <w:rPr>
          <w:rFonts w:ascii="Times New Roman" w:hAnsi="Times New Roman" w:cs="Times New Roman"/>
          <w:sz w:val="24"/>
          <w:szCs w:val="24"/>
        </w:rPr>
        <w:t xml:space="preserve">: </w:t>
      </w:r>
      <w:r w:rsidR="00AE4A19">
        <w:rPr>
          <w:rFonts w:ascii="Times New Roman" w:hAnsi="Times New Roman" w:cs="Times New Roman"/>
          <w:sz w:val="24"/>
          <w:szCs w:val="24"/>
        </w:rPr>
        <w:t>k</w:t>
      </w:r>
      <w:r>
        <w:rPr>
          <w:rFonts w:ascii="Times New Roman" w:hAnsi="Times New Roman" w:cs="Times New Roman"/>
          <w:sz w:val="24"/>
          <w:szCs w:val="24"/>
        </w:rPr>
        <w:t xml:space="preserve">iller </w:t>
      </w:r>
      <w:r w:rsidR="00AE4A19">
        <w:rPr>
          <w:rFonts w:ascii="Times New Roman" w:hAnsi="Times New Roman" w:cs="Times New Roman"/>
          <w:sz w:val="24"/>
          <w:szCs w:val="24"/>
        </w:rPr>
        <w:t>a</w:t>
      </w:r>
      <w:r>
        <w:rPr>
          <w:rFonts w:ascii="Times New Roman" w:hAnsi="Times New Roman" w:cs="Times New Roman"/>
          <w:sz w:val="24"/>
          <w:szCs w:val="24"/>
        </w:rPr>
        <w:t>cquisition</w:t>
      </w:r>
      <w:r w:rsidR="00AE4A19">
        <w:rPr>
          <w:rFonts w:ascii="Times New Roman" w:hAnsi="Times New Roman" w:cs="Times New Roman"/>
          <w:sz w:val="24"/>
          <w:szCs w:val="24"/>
        </w:rPr>
        <w:t>s</w:t>
      </w:r>
      <w:r>
        <w:rPr>
          <w:rFonts w:ascii="Times New Roman" w:hAnsi="Times New Roman" w:cs="Times New Roman"/>
          <w:sz w:val="24"/>
          <w:szCs w:val="24"/>
        </w:rPr>
        <w:t xml:space="preserve">, </w:t>
      </w:r>
      <w:r w:rsidR="00F05734">
        <w:rPr>
          <w:rFonts w:ascii="Times New Roman" w:hAnsi="Times New Roman" w:cs="Times New Roman"/>
          <w:sz w:val="24"/>
          <w:szCs w:val="24"/>
        </w:rPr>
        <w:t xml:space="preserve">case study, </w:t>
      </w:r>
      <w:r w:rsidR="00AE4A19">
        <w:rPr>
          <w:rFonts w:ascii="Times New Roman" w:hAnsi="Times New Roman" w:cs="Times New Roman"/>
          <w:sz w:val="24"/>
          <w:szCs w:val="24"/>
        </w:rPr>
        <w:t>d</w:t>
      </w:r>
      <w:r>
        <w:rPr>
          <w:rFonts w:ascii="Times New Roman" w:hAnsi="Times New Roman" w:cs="Times New Roman"/>
          <w:sz w:val="24"/>
          <w:szCs w:val="24"/>
        </w:rPr>
        <w:t xml:space="preserve">ynamic </w:t>
      </w:r>
      <w:r w:rsidR="00AE4A19">
        <w:rPr>
          <w:rFonts w:ascii="Times New Roman" w:hAnsi="Times New Roman" w:cs="Times New Roman"/>
          <w:sz w:val="24"/>
          <w:szCs w:val="24"/>
        </w:rPr>
        <w:t>c</w:t>
      </w:r>
      <w:r>
        <w:rPr>
          <w:rFonts w:ascii="Times New Roman" w:hAnsi="Times New Roman" w:cs="Times New Roman"/>
          <w:sz w:val="24"/>
          <w:szCs w:val="24"/>
        </w:rPr>
        <w:t>ompetition</w:t>
      </w:r>
      <w:r w:rsidR="001C3A39">
        <w:rPr>
          <w:rFonts w:ascii="Times New Roman" w:hAnsi="Times New Roman" w:cs="Times New Roman"/>
          <w:sz w:val="24"/>
          <w:szCs w:val="24"/>
        </w:rPr>
        <w:t xml:space="preserve">, </w:t>
      </w:r>
      <w:r w:rsidR="00AE4A19">
        <w:rPr>
          <w:rFonts w:ascii="Times New Roman" w:hAnsi="Times New Roman" w:cs="Times New Roman"/>
          <w:sz w:val="24"/>
          <w:szCs w:val="24"/>
        </w:rPr>
        <w:t>innovation, m</w:t>
      </w:r>
      <w:r w:rsidR="001C3A39">
        <w:rPr>
          <w:rFonts w:ascii="Times New Roman" w:hAnsi="Times New Roman" w:cs="Times New Roman"/>
          <w:sz w:val="24"/>
          <w:szCs w:val="24"/>
        </w:rPr>
        <w:t xml:space="preserve">ergers and </w:t>
      </w:r>
      <w:r w:rsidR="00AE4A19">
        <w:rPr>
          <w:rFonts w:ascii="Times New Roman" w:hAnsi="Times New Roman" w:cs="Times New Roman"/>
          <w:sz w:val="24"/>
          <w:szCs w:val="24"/>
        </w:rPr>
        <w:t>a</w:t>
      </w:r>
      <w:r w:rsidR="001C3A39">
        <w:rPr>
          <w:rFonts w:ascii="Times New Roman" w:hAnsi="Times New Roman" w:cs="Times New Roman"/>
          <w:sz w:val="24"/>
          <w:szCs w:val="24"/>
        </w:rPr>
        <w:t xml:space="preserve">cquisitions, </w:t>
      </w:r>
      <w:r w:rsidR="00AE4A19">
        <w:rPr>
          <w:rFonts w:ascii="Times New Roman" w:hAnsi="Times New Roman" w:cs="Times New Roman"/>
          <w:sz w:val="24"/>
          <w:szCs w:val="24"/>
        </w:rPr>
        <w:t>nascent competitors</w:t>
      </w:r>
    </w:p>
    <w:p w14:paraId="638EABAC" w14:textId="0573334B" w:rsidR="00792D53" w:rsidRDefault="00453781" w:rsidP="00F326B8">
      <w:pPr>
        <w:spacing w:line="480" w:lineRule="auto"/>
        <w:rPr>
          <w:rFonts w:ascii="Times New Roman" w:hAnsi="Times New Roman" w:cs="Times New Roman"/>
          <w:sz w:val="24"/>
          <w:szCs w:val="24"/>
          <w:lang w:val="fr-FR"/>
        </w:rPr>
      </w:pPr>
      <w:r w:rsidRPr="001C3A39">
        <w:rPr>
          <w:rFonts w:ascii="Times New Roman" w:hAnsi="Times New Roman" w:cs="Times New Roman"/>
          <w:b/>
          <w:bCs/>
          <w:sz w:val="24"/>
          <w:szCs w:val="24"/>
          <w:lang w:val="fr-FR"/>
        </w:rPr>
        <w:t xml:space="preserve">JEL </w:t>
      </w:r>
      <w:r w:rsidR="001C3A39">
        <w:rPr>
          <w:rFonts w:ascii="Times New Roman" w:hAnsi="Times New Roman" w:cs="Times New Roman"/>
          <w:b/>
          <w:bCs/>
          <w:sz w:val="24"/>
          <w:szCs w:val="24"/>
          <w:lang w:val="fr-FR"/>
        </w:rPr>
        <w:t>Classification</w:t>
      </w:r>
      <w:r w:rsidRPr="001C3A39">
        <w:rPr>
          <w:rFonts w:ascii="Times New Roman" w:hAnsi="Times New Roman" w:cs="Times New Roman"/>
          <w:sz w:val="24"/>
          <w:szCs w:val="24"/>
          <w:lang w:val="fr-FR"/>
        </w:rPr>
        <w:t xml:space="preserve">: </w:t>
      </w:r>
      <w:r w:rsidR="001C3A39" w:rsidRPr="001C3A39">
        <w:rPr>
          <w:rFonts w:ascii="Times New Roman" w:hAnsi="Times New Roman" w:cs="Times New Roman"/>
          <w:sz w:val="24"/>
          <w:szCs w:val="24"/>
          <w:lang w:val="fr-FR"/>
        </w:rPr>
        <w:t xml:space="preserve">G34, L41, </w:t>
      </w:r>
      <w:r w:rsidR="001C3A39">
        <w:rPr>
          <w:rFonts w:ascii="Times New Roman" w:hAnsi="Times New Roman" w:cs="Times New Roman"/>
          <w:sz w:val="24"/>
          <w:szCs w:val="24"/>
          <w:lang w:val="fr-FR"/>
        </w:rPr>
        <w:t xml:space="preserve">L86, </w:t>
      </w:r>
      <w:r w:rsidR="001C3A39" w:rsidRPr="001C3A39">
        <w:rPr>
          <w:rFonts w:ascii="Times New Roman" w:hAnsi="Times New Roman" w:cs="Times New Roman"/>
          <w:sz w:val="24"/>
          <w:szCs w:val="24"/>
          <w:lang w:val="fr-FR"/>
        </w:rPr>
        <w:t>O</w:t>
      </w:r>
      <w:r w:rsidR="001C3A39">
        <w:rPr>
          <w:rFonts w:ascii="Times New Roman" w:hAnsi="Times New Roman" w:cs="Times New Roman"/>
          <w:sz w:val="24"/>
          <w:szCs w:val="24"/>
          <w:lang w:val="fr-FR"/>
        </w:rPr>
        <w:t>31</w:t>
      </w:r>
    </w:p>
    <w:p w14:paraId="50025B3E" w14:textId="2A1B04F8" w:rsidR="00453781" w:rsidRPr="001C3A39" w:rsidRDefault="00792D53" w:rsidP="00792D53">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325FF3C9" w14:textId="09F14F59" w:rsidR="00034DCC" w:rsidRPr="00C235E5" w:rsidRDefault="00034DCC" w:rsidP="00210086">
      <w:pPr>
        <w:pStyle w:val="Heading1"/>
        <w:numPr>
          <w:ilvl w:val="0"/>
          <w:numId w:val="19"/>
        </w:numPr>
        <w:rPr>
          <w:rFonts w:ascii="Times New Roman" w:hAnsi="Times New Roman" w:cs="Times New Roman"/>
          <w:b w:val="0"/>
          <w:sz w:val="24"/>
          <w:szCs w:val="24"/>
        </w:rPr>
      </w:pPr>
      <w:r w:rsidRPr="00C235E5">
        <w:rPr>
          <w:rFonts w:ascii="Times New Roman" w:hAnsi="Times New Roman" w:cs="Times New Roman"/>
          <w:sz w:val="24"/>
          <w:szCs w:val="24"/>
        </w:rPr>
        <w:lastRenderedPageBreak/>
        <w:t>Introduction</w:t>
      </w:r>
    </w:p>
    <w:p w14:paraId="606E2B3C" w14:textId="71E30F4C" w:rsidR="0000211A" w:rsidRPr="00C235E5" w:rsidRDefault="000C3CAE"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This paper studies whether large technology firms acquire </w:t>
      </w:r>
      <w:r w:rsidR="00243094">
        <w:rPr>
          <w:rFonts w:ascii="Times New Roman" w:hAnsi="Times New Roman" w:cs="Times New Roman"/>
          <w:sz w:val="24"/>
          <w:szCs w:val="24"/>
        </w:rPr>
        <w:t>small</w:t>
      </w:r>
      <w:r w:rsidRPr="00C235E5">
        <w:rPr>
          <w:rFonts w:ascii="Times New Roman" w:hAnsi="Times New Roman" w:cs="Times New Roman"/>
          <w:sz w:val="24"/>
          <w:szCs w:val="24"/>
        </w:rPr>
        <w:t xml:space="preserve"> </w:t>
      </w:r>
      <w:r w:rsidR="00B82BD7" w:rsidRPr="00C235E5">
        <w:rPr>
          <w:rFonts w:ascii="Times New Roman" w:hAnsi="Times New Roman" w:cs="Times New Roman"/>
          <w:sz w:val="24"/>
          <w:szCs w:val="24"/>
        </w:rPr>
        <w:t xml:space="preserve">firms </w:t>
      </w:r>
      <w:r w:rsidR="000B6289" w:rsidRPr="00C235E5">
        <w:rPr>
          <w:rFonts w:ascii="Times New Roman" w:hAnsi="Times New Roman" w:cs="Times New Roman"/>
          <w:sz w:val="24"/>
          <w:szCs w:val="24"/>
        </w:rPr>
        <w:t xml:space="preserve">that could become their competitors </w:t>
      </w:r>
      <w:r w:rsidR="008B303F" w:rsidRPr="00C235E5">
        <w:rPr>
          <w:rFonts w:ascii="Times New Roman" w:hAnsi="Times New Roman" w:cs="Times New Roman"/>
          <w:sz w:val="24"/>
          <w:szCs w:val="24"/>
        </w:rPr>
        <w:t xml:space="preserve">in order </w:t>
      </w:r>
      <w:r w:rsidR="000B6289" w:rsidRPr="00C235E5">
        <w:rPr>
          <w:rFonts w:ascii="Times New Roman" w:hAnsi="Times New Roman" w:cs="Times New Roman"/>
          <w:sz w:val="24"/>
          <w:szCs w:val="24"/>
        </w:rPr>
        <w:t>to discontinue them</w:t>
      </w:r>
      <w:r w:rsidRPr="00C235E5">
        <w:rPr>
          <w:rFonts w:ascii="Times New Roman" w:hAnsi="Times New Roman" w:cs="Times New Roman"/>
          <w:sz w:val="24"/>
          <w:szCs w:val="24"/>
        </w:rPr>
        <w:t xml:space="preserve">. Known as “killer acquisitions”, </w:t>
      </w:r>
      <w:r w:rsidR="00D82810" w:rsidRPr="00C235E5">
        <w:rPr>
          <w:rFonts w:ascii="Times New Roman" w:hAnsi="Times New Roman" w:cs="Times New Roman"/>
          <w:sz w:val="24"/>
          <w:szCs w:val="24"/>
        </w:rPr>
        <w:t>the</w:t>
      </w:r>
      <w:r w:rsidRPr="00C235E5">
        <w:rPr>
          <w:rFonts w:ascii="Times New Roman" w:hAnsi="Times New Roman" w:cs="Times New Roman"/>
          <w:sz w:val="24"/>
          <w:szCs w:val="24"/>
        </w:rPr>
        <w:t xml:space="preserve"> </w:t>
      </w:r>
      <w:r w:rsidR="00D82810" w:rsidRPr="00C235E5">
        <w:rPr>
          <w:rFonts w:ascii="Times New Roman" w:hAnsi="Times New Roman" w:cs="Times New Roman"/>
          <w:sz w:val="24"/>
          <w:szCs w:val="24"/>
        </w:rPr>
        <w:t xml:space="preserve">issue </w:t>
      </w:r>
      <w:r w:rsidR="002F24FF" w:rsidRPr="00C235E5">
        <w:rPr>
          <w:rFonts w:ascii="Times New Roman" w:hAnsi="Times New Roman" w:cs="Times New Roman"/>
          <w:sz w:val="24"/>
          <w:szCs w:val="24"/>
        </w:rPr>
        <w:t xml:space="preserve">occupies center </w:t>
      </w:r>
      <w:r w:rsidR="00FE0AE7" w:rsidRPr="00C235E5">
        <w:rPr>
          <w:rFonts w:ascii="Times New Roman" w:hAnsi="Times New Roman" w:cs="Times New Roman"/>
          <w:sz w:val="24"/>
          <w:szCs w:val="24"/>
        </w:rPr>
        <w:t>stage</w:t>
      </w:r>
      <w:r w:rsidRPr="00C235E5">
        <w:rPr>
          <w:rFonts w:ascii="Times New Roman" w:hAnsi="Times New Roman" w:cs="Times New Roman"/>
          <w:sz w:val="24"/>
          <w:szCs w:val="24"/>
        </w:rPr>
        <w:t xml:space="preserve"> </w:t>
      </w:r>
      <w:r w:rsidR="002F24FF" w:rsidRPr="00C235E5">
        <w:rPr>
          <w:rFonts w:ascii="Times New Roman" w:hAnsi="Times New Roman" w:cs="Times New Roman"/>
          <w:sz w:val="24"/>
          <w:szCs w:val="24"/>
        </w:rPr>
        <w:t xml:space="preserve">in </w:t>
      </w:r>
      <w:r w:rsidRPr="00C235E5">
        <w:rPr>
          <w:rFonts w:ascii="Times New Roman" w:hAnsi="Times New Roman" w:cs="Times New Roman"/>
          <w:sz w:val="24"/>
          <w:szCs w:val="24"/>
        </w:rPr>
        <w:t xml:space="preserve">competition </w:t>
      </w:r>
      <w:r w:rsidR="00FE0AE7" w:rsidRPr="00C235E5">
        <w:rPr>
          <w:rFonts w:ascii="Times New Roman" w:hAnsi="Times New Roman" w:cs="Times New Roman"/>
          <w:sz w:val="24"/>
          <w:szCs w:val="24"/>
        </w:rPr>
        <w:t>policy</w:t>
      </w:r>
      <w:r w:rsidRPr="00C235E5">
        <w:rPr>
          <w:rFonts w:ascii="Times New Roman" w:hAnsi="Times New Roman" w:cs="Times New Roman"/>
          <w:sz w:val="24"/>
          <w:szCs w:val="24"/>
        </w:rPr>
        <w:t xml:space="preserve"> debates</w:t>
      </w:r>
      <w:r w:rsidR="00E1071F" w:rsidRPr="00C235E5">
        <w:rPr>
          <w:rFonts w:ascii="Times New Roman" w:hAnsi="Times New Roman" w:cs="Times New Roman"/>
          <w:sz w:val="24"/>
          <w:szCs w:val="24"/>
        </w:rPr>
        <w:t xml:space="preserve"> </w:t>
      </w:r>
      <w:r w:rsidRPr="00C235E5">
        <w:rPr>
          <w:rFonts w:ascii="Times New Roman" w:hAnsi="Times New Roman" w:cs="Times New Roman"/>
          <w:sz w:val="24"/>
          <w:szCs w:val="24"/>
        </w:rPr>
        <w:t xml:space="preserve">across the globe. A legitimate concern is that </w:t>
      </w:r>
      <w:r w:rsidR="00F6674E" w:rsidRPr="00C235E5">
        <w:rPr>
          <w:rFonts w:ascii="Times New Roman" w:hAnsi="Times New Roman" w:cs="Times New Roman"/>
          <w:sz w:val="24"/>
          <w:szCs w:val="24"/>
        </w:rPr>
        <w:t xml:space="preserve">some of these </w:t>
      </w:r>
      <w:r w:rsidRPr="00C235E5">
        <w:rPr>
          <w:rFonts w:ascii="Times New Roman" w:hAnsi="Times New Roman" w:cs="Times New Roman"/>
          <w:sz w:val="24"/>
          <w:szCs w:val="24"/>
        </w:rPr>
        <w:t xml:space="preserve">mergers and acquisitions </w:t>
      </w:r>
      <w:r w:rsidR="00163ADB" w:rsidRPr="00C235E5">
        <w:rPr>
          <w:rFonts w:ascii="Times New Roman" w:hAnsi="Times New Roman" w:cs="Times New Roman"/>
          <w:sz w:val="24"/>
          <w:szCs w:val="24"/>
        </w:rPr>
        <w:t>(‘”</w:t>
      </w:r>
      <w:r w:rsidR="00163ADB" w:rsidRPr="00C235E5">
        <w:rPr>
          <w:rFonts w:ascii="Times New Roman" w:hAnsi="Times New Roman" w:cs="Times New Roman"/>
          <w:b/>
          <w:bCs/>
          <w:sz w:val="24"/>
          <w:szCs w:val="24"/>
        </w:rPr>
        <w:t>M&amp;A</w:t>
      </w:r>
      <w:r w:rsidR="00163ADB" w:rsidRPr="00C235E5">
        <w:rPr>
          <w:rFonts w:ascii="Times New Roman" w:hAnsi="Times New Roman" w:cs="Times New Roman"/>
          <w:sz w:val="24"/>
          <w:szCs w:val="24"/>
        </w:rPr>
        <w:t xml:space="preserve">”) </w:t>
      </w:r>
      <w:r w:rsidR="00F6674E" w:rsidRPr="00C235E5">
        <w:rPr>
          <w:rFonts w:ascii="Times New Roman" w:hAnsi="Times New Roman" w:cs="Times New Roman"/>
          <w:sz w:val="24"/>
          <w:szCs w:val="24"/>
        </w:rPr>
        <w:t xml:space="preserve">transactions might </w:t>
      </w:r>
      <w:r w:rsidRPr="00C235E5">
        <w:rPr>
          <w:rFonts w:ascii="Times New Roman" w:hAnsi="Times New Roman" w:cs="Times New Roman"/>
          <w:sz w:val="24"/>
          <w:szCs w:val="24"/>
        </w:rPr>
        <w:t xml:space="preserve">remove independent sources of </w:t>
      </w:r>
      <w:r w:rsidR="0000211A" w:rsidRPr="00C235E5">
        <w:rPr>
          <w:rFonts w:ascii="Times New Roman" w:hAnsi="Times New Roman" w:cs="Times New Roman"/>
          <w:i/>
          <w:iCs/>
          <w:sz w:val="24"/>
          <w:szCs w:val="24"/>
        </w:rPr>
        <w:t>future</w:t>
      </w:r>
      <w:r w:rsidR="0000211A" w:rsidRPr="00C235E5">
        <w:rPr>
          <w:rFonts w:ascii="Times New Roman" w:hAnsi="Times New Roman" w:cs="Times New Roman"/>
          <w:sz w:val="24"/>
          <w:szCs w:val="24"/>
        </w:rPr>
        <w:t xml:space="preserve"> </w:t>
      </w:r>
      <w:r w:rsidRPr="00C235E5">
        <w:rPr>
          <w:rFonts w:ascii="Times New Roman" w:hAnsi="Times New Roman" w:cs="Times New Roman"/>
          <w:sz w:val="24"/>
          <w:szCs w:val="24"/>
        </w:rPr>
        <w:t xml:space="preserve">competition </w:t>
      </w:r>
      <w:r w:rsidR="000B58D7">
        <w:rPr>
          <w:rFonts w:ascii="Times New Roman" w:hAnsi="Times New Roman" w:cs="Times New Roman"/>
          <w:sz w:val="24"/>
          <w:szCs w:val="24"/>
        </w:rPr>
        <w:t>on firms</w:t>
      </w:r>
      <w:r w:rsidR="000B58D7" w:rsidRPr="00C235E5">
        <w:rPr>
          <w:rFonts w:ascii="Times New Roman" w:hAnsi="Times New Roman" w:cs="Times New Roman"/>
          <w:sz w:val="24"/>
          <w:szCs w:val="24"/>
        </w:rPr>
        <w:t xml:space="preserve"> </w:t>
      </w:r>
      <w:r w:rsidR="000B58D7">
        <w:rPr>
          <w:rFonts w:ascii="Times New Roman" w:hAnsi="Times New Roman" w:cs="Times New Roman"/>
          <w:sz w:val="24"/>
          <w:szCs w:val="24"/>
        </w:rPr>
        <w:t xml:space="preserve">holding market </w:t>
      </w:r>
      <w:r w:rsidR="0000211A" w:rsidRPr="00C235E5">
        <w:rPr>
          <w:rFonts w:ascii="Times New Roman" w:hAnsi="Times New Roman" w:cs="Times New Roman"/>
          <w:sz w:val="24"/>
          <w:szCs w:val="24"/>
        </w:rPr>
        <w:t>power</w:t>
      </w:r>
      <w:r w:rsidR="000C2F37" w:rsidRPr="00C235E5">
        <w:rPr>
          <w:rFonts w:ascii="Times New Roman" w:hAnsi="Times New Roman" w:cs="Times New Roman"/>
          <w:sz w:val="24"/>
          <w:szCs w:val="24"/>
        </w:rPr>
        <w:t xml:space="preserve"> in the </w:t>
      </w:r>
      <w:r w:rsidR="000C2F37" w:rsidRPr="00C235E5">
        <w:rPr>
          <w:rFonts w:ascii="Times New Roman" w:hAnsi="Times New Roman" w:cs="Times New Roman"/>
          <w:i/>
          <w:iCs/>
          <w:sz w:val="24"/>
          <w:szCs w:val="24"/>
        </w:rPr>
        <w:t>present</w:t>
      </w:r>
      <w:r w:rsidR="0000211A" w:rsidRPr="00C235E5">
        <w:rPr>
          <w:rFonts w:ascii="Times New Roman" w:hAnsi="Times New Roman" w:cs="Times New Roman"/>
          <w:sz w:val="24"/>
          <w:szCs w:val="24"/>
        </w:rPr>
        <w:t>.</w:t>
      </w:r>
    </w:p>
    <w:p w14:paraId="63D2C25F" w14:textId="2386669D" w:rsidR="007F16B7" w:rsidRPr="00C235E5" w:rsidRDefault="007D3701" w:rsidP="00792D53">
      <w:pPr>
        <w:spacing w:before="120" w:after="120" w:line="480" w:lineRule="auto"/>
        <w:jc w:val="both"/>
        <w:rPr>
          <w:rFonts w:ascii="Times New Roman" w:hAnsi="Times New Roman" w:cs="Times New Roman"/>
          <w:sz w:val="24"/>
          <w:szCs w:val="24"/>
        </w:rPr>
      </w:pPr>
      <w:r w:rsidRPr="00C235E5">
        <w:rPr>
          <w:rFonts w:ascii="Times New Roman" w:eastAsia="Times New Roman" w:hAnsi="Times New Roman" w:cs="Times New Roman"/>
          <w:sz w:val="24"/>
          <w:szCs w:val="24"/>
        </w:rPr>
        <w:t>T</w:t>
      </w:r>
      <w:r w:rsidR="00EF0AFC" w:rsidRPr="00C235E5">
        <w:rPr>
          <w:rFonts w:ascii="Times New Roman" w:eastAsia="Times New Roman" w:hAnsi="Times New Roman" w:cs="Times New Roman"/>
          <w:sz w:val="24"/>
          <w:szCs w:val="24"/>
        </w:rPr>
        <w:t>he e</w:t>
      </w:r>
      <w:r w:rsidR="003676FA" w:rsidRPr="00C235E5">
        <w:rPr>
          <w:rFonts w:ascii="Times New Roman" w:eastAsia="Times New Roman" w:hAnsi="Times New Roman" w:cs="Times New Roman"/>
          <w:sz w:val="24"/>
          <w:szCs w:val="24"/>
        </w:rPr>
        <w:t xml:space="preserve">conomic literature suggests that killer acquisitions </w:t>
      </w:r>
      <w:r w:rsidR="008B303F" w:rsidRPr="00C235E5">
        <w:rPr>
          <w:rFonts w:ascii="Times New Roman" w:eastAsia="Times New Roman" w:hAnsi="Times New Roman" w:cs="Times New Roman"/>
          <w:sz w:val="24"/>
          <w:szCs w:val="24"/>
        </w:rPr>
        <w:t>cluster</w:t>
      </w:r>
      <w:r w:rsidR="003676FA" w:rsidRPr="00C235E5">
        <w:rPr>
          <w:rFonts w:ascii="Times New Roman" w:eastAsia="Times New Roman" w:hAnsi="Times New Roman" w:cs="Times New Roman"/>
          <w:sz w:val="24"/>
          <w:szCs w:val="24"/>
        </w:rPr>
        <w:t xml:space="preserve"> in certain industries like pharmaceutical</w:t>
      </w:r>
      <w:r w:rsidR="008B303F" w:rsidRPr="00C235E5">
        <w:rPr>
          <w:rFonts w:ascii="Times New Roman" w:eastAsia="Times New Roman" w:hAnsi="Times New Roman" w:cs="Times New Roman"/>
          <w:sz w:val="24"/>
          <w:szCs w:val="24"/>
        </w:rPr>
        <w:t>s</w:t>
      </w:r>
      <w:r w:rsidR="005E6BC0" w:rsidRPr="00C235E5">
        <w:rPr>
          <w:rStyle w:val="FootnoteReference"/>
          <w:rFonts w:ascii="Times New Roman" w:eastAsia="Times New Roman" w:hAnsi="Times New Roman" w:cs="Times New Roman"/>
          <w:sz w:val="24"/>
          <w:szCs w:val="24"/>
        </w:rPr>
        <w:footnoteReference w:id="4"/>
      </w:r>
      <w:r w:rsidR="003676FA" w:rsidRPr="00C235E5">
        <w:rPr>
          <w:rFonts w:ascii="Times New Roman" w:eastAsia="Times New Roman" w:hAnsi="Times New Roman" w:cs="Times New Roman"/>
          <w:sz w:val="24"/>
          <w:szCs w:val="24"/>
        </w:rPr>
        <w:t xml:space="preserve"> or that their competitive suppression effects require specific assumptions</w:t>
      </w:r>
      <w:r w:rsidR="00EF0AFC" w:rsidRPr="00C235E5">
        <w:rPr>
          <w:rFonts w:ascii="Times New Roman" w:eastAsia="Times New Roman" w:hAnsi="Times New Roman" w:cs="Times New Roman"/>
          <w:sz w:val="24"/>
          <w:szCs w:val="24"/>
        </w:rPr>
        <w:t xml:space="preserve"> to hold true</w:t>
      </w:r>
      <w:r w:rsidR="00A0668D" w:rsidRPr="00C235E5">
        <w:rPr>
          <w:rFonts w:ascii="Times New Roman" w:eastAsia="Times New Roman" w:hAnsi="Times New Roman" w:cs="Times New Roman"/>
          <w:sz w:val="24"/>
          <w:szCs w:val="24"/>
        </w:rPr>
        <w:t>.</w:t>
      </w:r>
      <w:r w:rsidR="00A0668D" w:rsidRPr="00C235E5">
        <w:rPr>
          <w:rStyle w:val="FootnoteReference"/>
          <w:rFonts w:ascii="Times New Roman" w:eastAsia="Times New Roman" w:hAnsi="Times New Roman" w:cs="Times New Roman"/>
          <w:sz w:val="24"/>
          <w:szCs w:val="24"/>
        </w:rPr>
        <w:footnoteReference w:id="5"/>
      </w:r>
      <w:r w:rsidR="00A0668D" w:rsidRPr="00C235E5">
        <w:rPr>
          <w:rFonts w:ascii="Times New Roman" w:eastAsia="Times New Roman" w:hAnsi="Times New Roman" w:cs="Times New Roman"/>
          <w:sz w:val="24"/>
          <w:szCs w:val="24"/>
        </w:rPr>
        <w:t xml:space="preserve"> </w:t>
      </w:r>
      <w:r w:rsidR="00633708" w:rsidRPr="00C235E5">
        <w:rPr>
          <w:rFonts w:ascii="Times New Roman" w:eastAsia="Times New Roman" w:hAnsi="Times New Roman" w:cs="Times New Roman"/>
          <w:sz w:val="24"/>
          <w:szCs w:val="24"/>
        </w:rPr>
        <w:t>Nevertheless</w:t>
      </w:r>
      <w:r w:rsidR="006B51F9" w:rsidRPr="00C235E5">
        <w:rPr>
          <w:rFonts w:ascii="Times New Roman" w:eastAsia="Times New Roman" w:hAnsi="Times New Roman" w:cs="Times New Roman"/>
          <w:sz w:val="24"/>
          <w:szCs w:val="24"/>
        </w:rPr>
        <w:t>, c</w:t>
      </w:r>
      <w:r w:rsidR="006B4EBD" w:rsidRPr="00C235E5">
        <w:rPr>
          <w:rFonts w:ascii="Times New Roman" w:eastAsia="Times New Roman" w:hAnsi="Times New Roman" w:cs="Times New Roman"/>
          <w:sz w:val="24"/>
          <w:szCs w:val="24"/>
        </w:rPr>
        <w:t xml:space="preserve">ompetition agencies </w:t>
      </w:r>
      <w:r w:rsidR="009D095B" w:rsidRPr="00C235E5">
        <w:rPr>
          <w:rFonts w:ascii="Times New Roman" w:eastAsia="Times New Roman" w:hAnsi="Times New Roman" w:cs="Times New Roman"/>
          <w:sz w:val="24"/>
          <w:szCs w:val="24"/>
        </w:rPr>
        <w:t>like the Federal Trade Commission (</w:t>
      </w:r>
      <w:r w:rsidR="00EF42BA" w:rsidRPr="00C235E5">
        <w:rPr>
          <w:rFonts w:ascii="Times New Roman" w:eastAsia="Times New Roman" w:hAnsi="Times New Roman" w:cs="Times New Roman"/>
          <w:sz w:val="24"/>
          <w:szCs w:val="24"/>
        </w:rPr>
        <w:t>“</w:t>
      </w:r>
      <w:r w:rsidR="009D095B" w:rsidRPr="00C235E5">
        <w:rPr>
          <w:rFonts w:ascii="Times New Roman" w:eastAsia="Times New Roman" w:hAnsi="Times New Roman" w:cs="Times New Roman"/>
          <w:b/>
          <w:bCs/>
          <w:sz w:val="24"/>
          <w:szCs w:val="24"/>
        </w:rPr>
        <w:t>FTC</w:t>
      </w:r>
      <w:r w:rsidR="00EF42BA" w:rsidRPr="00C235E5">
        <w:rPr>
          <w:rFonts w:ascii="Times New Roman" w:eastAsia="Times New Roman" w:hAnsi="Times New Roman" w:cs="Times New Roman"/>
          <w:sz w:val="24"/>
          <w:szCs w:val="24"/>
        </w:rPr>
        <w:t>”</w:t>
      </w:r>
      <w:r w:rsidR="009D095B" w:rsidRPr="00C235E5">
        <w:rPr>
          <w:rFonts w:ascii="Times New Roman" w:eastAsia="Times New Roman" w:hAnsi="Times New Roman" w:cs="Times New Roman"/>
          <w:sz w:val="24"/>
          <w:szCs w:val="24"/>
        </w:rPr>
        <w:t>), the Competition and Markets Authority (</w:t>
      </w:r>
      <w:r w:rsidR="00EF42BA" w:rsidRPr="00C235E5">
        <w:rPr>
          <w:rFonts w:ascii="Times New Roman" w:eastAsia="Times New Roman" w:hAnsi="Times New Roman" w:cs="Times New Roman"/>
          <w:sz w:val="24"/>
          <w:szCs w:val="24"/>
        </w:rPr>
        <w:t>“</w:t>
      </w:r>
      <w:r w:rsidR="009D095B" w:rsidRPr="00C235E5">
        <w:rPr>
          <w:rFonts w:ascii="Times New Roman" w:eastAsia="Times New Roman" w:hAnsi="Times New Roman" w:cs="Times New Roman"/>
          <w:b/>
          <w:bCs/>
          <w:sz w:val="24"/>
          <w:szCs w:val="24"/>
        </w:rPr>
        <w:t>CMA</w:t>
      </w:r>
      <w:r w:rsidR="00EF42BA" w:rsidRPr="00C235E5">
        <w:rPr>
          <w:rFonts w:ascii="Times New Roman" w:eastAsia="Times New Roman" w:hAnsi="Times New Roman" w:cs="Times New Roman"/>
          <w:sz w:val="24"/>
          <w:szCs w:val="24"/>
        </w:rPr>
        <w:t>”</w:t>
      </w:r>
      <w:r w:rsidR="009D095B" w:rsidRPr="00C235E5">
        <w:rPr>
          <w:rFonts w:ascii="Times New Roman" w:eastAsia="Times New Roman" w:hAnsi="Times New Roman" w:cs="Times New Roman"/>
          <w:sz w:val="24"/>
          <w:szCs w:val="24"/>
        </w:rPr>
        <w:t>), and the European Commission (</w:t>
      </w:r>
      <w:r w:rsidR="00EF42BA" w:rsidRPr="00C235E5">
        <w:rPr>
          <w:rFonts w:ascii="Times New Roman" w:eastAsia="Times New Roman" w:hAnsi="Times New Roman" w:cs="Times New Roman"/>
          <w:sz w:val="24"/>
          <w:szCs w:val="24"/>
        </w:rPr>
        <w:t>“</w:t>
      </w:r>
      <w:r w:rsidR="009D095B" w:rsidRPr="00C235E5">
        <w:rPr>
          <w:rFonts w:ascii="Times New Roman" w:eastAsia="Times New Roman" w:hAnsi="Times New Roman" w:cs="Times New Roman"/>
          <w:b/>
          <w:bCs/>
          <w:sz w:val="24"/>
          <w:szCs w:val="24"/>
        </w:rPr>
        <w:t>EC</w:t>
      </w:r>
      <w:r w:rsidR="00EF42BA" w:rsidRPr="00C235E5">
        <w:rPr>
          <w:rFonts w:ascii="Times New Roman" w:eastAsia="Times New Roman" w:hAnsi="Times New Roman" w:cs="Times New Roman"/>
          <w:sz w:val="24"/>
          <w:szCs w:val="24"/>
        </w:rPr>
        <w:t>”</w:t>
      </w:r>
      <w:r w:rsidR="009D095B" w:rsidRPr="00C235E5">
        <w:rPr>
          <w:rFonts w:ascii="Times New Roman" w:eastAsia="Times New Roman" w:hAnsi="Times New Roman" w:cs="Times New Roman"/>
          <w:sz w:val="24"/>
          <w:szCs w:val="24"/>
        </w:rPr>
        <w:t xml:space="preserve">) are challenging an increasing number of </w:t>
      </w:r>
      <w:r w:rsidR="006B51F9" w:rsidRPr="00C235E5">
        <w:rPr>
          <w:rFonts w:ascii="Times New Roman" w:eastAsia="Times New Roman" w:hAnsi="Times New Roman" w:cs="Times New Roman"/>
          <w:sz w:val="24"/>
          <w:szCs w:val="24"/>
        </w:rPr>
        <w:t xml:space="preserve">mergers </w:t>
      </w:r>
      <w:r w:rsidR="001314FD" w:rsidRPr="00C235E5">
        <w:rPr>
          <w:rFonts w:ascii="Times New Roman" w:eastAsia="Times New Roman" w:hAnsi="Times New Roman" w:cs="Times New Roman"/>
          <w:sz w:val="24"/>
          <w:szCs w:val="24"/>
        </w:rPr>
        <w:t xml:space="preserve">in </w:t>
      </w:r>
      <w:r w:rsidR="006B51F9" w:rsidRPr="00C235E5">
        <w:rPr>
          <w:rFonts w:ascii="Times New Roman" w:eastAsia="Times New Roman" w:hAnsi="Times New Roman" w:cs="Times New Roman"/>
          <w:sz w:val="24"/>
          <w:szCs w:val="24"/>
        </w:rPr>
        <w:t xml:space="preserve">all </w:t>
      </w:r>
      <w:r w:rsidR="001314FD" w:rsidRPr="00C235E5">
        <w:rPr>
          <w:rFonts w:ascii="Times New Roman" w:eastAsia="Times New Roman" w:hAnsi="Times New Roman" w:cs="Times New Roman"/>
          <w:sz w:val="24"/>
          <w:szCs w:val="24"/>
        </w:rPr>
        <w:t xml:space="preserve">technology </w:t>
      </w:r>
      <w:r w:rsidR="006B51F9" w:rsidRPr="00C235E5">
        <w:rPr>
          <w:rFonts w:ascii="Times New Roman" w:eastAsia="Times New Roman" w:hAnsi="Times New Roman" w:cs="Times New Roman"/>
          <w:sz w:val="24"/>
          <w:szCs w:val="24"/>
        </w:rPr>
        <w:t>industries</w:t>
      </w:r>
      <w:r w:rsidR="004C3B66">
        <w:rPr>
          <w:rFonts w:ascii="Times New Roman" w:eastAsia="Times New Roman" w:hAnsi="Times New Roman" w:cs="Times New Roman"/>
          <w:sz w:val="24"/>
          <w:szCs w:val="24"/>
        </w:rPr>
        <w:t xml:space="preserve"> by </w:t>
      </w:r>
      <w:r w:rsidR="008B303F" w:rsidRPr="00C235E5">
        <w:rPr>
          <w:rFonts w:ascii="Times New Roman" w:eastAsia="Times New Roman" w:hAnsi="Times New Roman" w:cs="Times New Roman"/>
          <w:sz w:val="24"/>
          <w:szCs w:val="24"/>
        </w:rPr>
        <w:t>relax</w:t>
      </w:r>
      <w:r w:rsidR="004C3B66">
        <w:rPr>
          <w:rFonts w:ascii="Times New Roman" w:eastAsia="Times New Roman" w:hAnsi="Times New Roman" w:cs="Times New Roman"/>
          <w:sz w:val="24"/>
          <w:szCs w:val="24"/>
        </w:rPr>
        <w:t>ing</w:t>
      </w:r>
      <w:r w:rsidR="008B303F" w:rsidRPr="00C235E5">
        <w:rPr>
          <w:rFonts w:ascii="Times New Roman" w:eastAsia="Times New Roman" w:hAnsi="Times New Roman" w:cs="Times New Roman"/>
          <w:sz w:val="24"/>
          <w:szCs w:val="24"/>
        </w:rPr>
        <w:t xml:space="preserve"> </w:t>
      </w:r>
      <w:r w:rsidR="001314FD" w:rsidRPr="00C235E5">
        <w:rPr>
          <w:rFonts w:ascii="Times New Roman" w:eastAsia="Times New Roman" w:hAnsi="Times New Roman" w:cs="Times New Roman"/>
          <w:sz w:val="24"/>
          <w:szCs w:val="24"/>
        </w:rPr>
        <w:t xml:space="preserve">the </w:t>
      </w:r>
      <w:r w:rsidR="00F940F5" w:rsidRPr="00C235E5">
        <w:rPr>
          <w:rFonts w:ascii="Times New Roman" w:eastAsia="Times New Roman" w:hAnsi="Times New Roman" w:cs="Times New Roman"/>
          <w:sz w:val="24"/>
          <w:szCs w:val="24"/>
        </w:rPr>
        <w:t>exist</w:t>
      </w:r>
      <w:r w:rsidR="00E5682D">
        <w:rPr>
          <w:rFonts w:ascii="Times New Roman" w:eastAsia="Times New Roman" w:hAnsi="Times New Roman" w:cs="Times New Roman"/>
          <w:sz w:val="24"/>
          <w:szCs w:val="24"/>
        </w:rPr>
        <w:t>ing</w:t>
      </w:r>
      <w:r w:rsidR="00F940F5" w:rsidRPr="00C235E5">
        <w:rPr>
          <w:rFonts w:ascii="Times New Roman" w:eastAsia="Times New Roman" w:hAnsi="Times New Roman" w:cs="Times New Roman"/>
          <w:sz w:val="24"/>
          <w:szCs w:val="24"/>
        </w:rPr>
        <w:t xml:space="preserve"> conditions</w:t>
      </w:r>
      <w:r w:rsidR="008B303F" w:rsidRPr="00C235E5">
        <w:rPr>
          <w:rFonts w:ascii="Times New Roman" w:eastAsia="Times New Roman" w:hAnsi="Times New Roman" w:cs="Times New Roman"/>
          <w:sz w:val="24"/>
          <w:szCs w:val="24"/>
        </w:rPr>
        <w:t xml:space="preserve"> discussed in </w:t>
      </w:r>
      <w:r w:rsidR="001314FD" w:rsidRPr="00C235E5">
        <w:rPr>
          <w:rFonts w:ascii="Times New Roman" w:eastAsia="Times New Roman" w:hAnsi="Times New Roman" w:cs="Times New Roman"/>
          <w:sz w:val="24"/>
          <w:szCs w:val="24"/>
        </w:rPr>
        <w:t>economic literature.</w:t>
      </w:r>
      <w:r w:rsidR="00D93D0E" w:rsidRPr="00C235E5">
        <w:rPr>
          <w:rStyle w:val="FootnoteReference"/>
          <w:rFonts w:ascii="Times New Roman" w:eastAsia="Times New Roman" w:hAnsi="Times New Roman" w:cs="Times New Roman"/>
          <w:sz w:val="24"/>
          <w:szCs w:val="24"/>
        </w:rPr>
        <w:footnoteReference w:id="6"/>
      </w:r>
      <w:r w:rsidR="008B303F" w:rsidRPr="00C235E5">
        <w:rPr>
          <w:rFonts w:ascii="Times New Roman" w:eastAsia="Times New Roman" w:hAnsi="Times New Roman" w:cs="Times New Roman"/>
          <w:sz w:val="24"/>
          <w:szCs w:val="24"/>
        </w:rPr>
        <w:t xml:space="preserve"> </w:t>
      </w:r>
      <w:r w:rsidR="007A5717" w:rsidRPr="00C235E5">
        <w:rPr>
          <w:rFonts w:ascii="Times New Roman" w:eastAsia="Times New Roman" w:hAnsi="Times New Roman" w:cs="Times New Roman"/>
          <w:sz w:val="24"/>
          <w:szCs w:val="24"/>
        </w:rPr>
        <w:t xml:space="preserve">Last year, the CMA successfully prohibited the merger between Meta and the </w:t>
      </w:r>
      <w:r w:rsidR="00653FB4" w:rsidRPr="00C235E5">
        <w:rPr>
          <w:rFonts w:ascii="Times New Roman" w:eastAsia="Times New Roman" w:hAnsi="Times New Roman" w:cs="Times New Roman"/>
          <w:sz w:val="24"/>
          <w:szCs w:val="24"/>
        </w:rPr>
        <w:t xml:space="preserve">GIF </w:t>
      </w:r>
      <w:r w:rsidR="007A5717" w:rsidRPr="00C235E5">
        <w:rPr>
          <w:rFonts w:ascii="Times New Roman" w:eastAsia="Times New Roman" w:hAnsi="Times New Roman" w:cs="Times New Roman"/>
          <w:sz w:val="24"/>
          <w:szCs w:val="24"/>
        </w:rPr>
        <w:t xml:space="preserve">supplier </w:t>
      </w:r>
      <w:r w:rsidR="000D2065" w:rsidRPr="00C235E5">
        <w:rPr>
          <w:rFonts w:ascii="Times New Roman" w:eastAsia="Times New Roman" w:hAnsi="Times New Roman" w:cs="Times New Roman"/>
          <w:sz w:val="24"/>
          <w:szCs w:val="24"/>
        </w:rPr>
        <w:t>GIPHY</w:t>
      </w:r>
      <w:r w:rsidR="007A5717" w:rsidRPr="00C235E5">
        <w:rPr>
          <w:rFonts w:ascii="Times New Roman" w:eastAsia="Times New Roman" w:hAnsi="Times New Roman" w:cs="Times New Roman"/>
          <w:sz w:val="24"/>
          <w:szCs w:val="24"/>
        </w:rPr>
        <w:t>.</w:t>
      </w:r>
      <w:r w:rsidR="00653FB4" w:rsidRPr="00C235E5">
        <w:rPr>
          <w:rStyle w:val="FootnoteReference"/>
          <w:rFonts w:ascii="Times New Roman" w:eastAsia="Times New Roman" w:hAnsi="Times New Roman" w:cs="Times New Roman"/>
          <w:sz w:val="24"/>
          <w:szCs w:val="24"/>
        </w:rPr>
        <w:footnoteReference w:id="7"/>
      </w:r>
      <w:r w:rsidR="007A5717" w:rsidRPr="00C235E5">
        <w:rPr>
          <w:rFonts w:ascii="Times New Roman" w:eastAsia="Times New Roman" w:hAnsi="Times New Roman" w:cs="Times New Roman"/>
          <w:sz w:val="24"/>
          <w:szCs w:val="24"/>
        </w:rPr>
        <w:t xml:space="preserve"> In the US, the FTC </w:t>
      </w:r>
      <w:r w:rsidR="007C62E7">
        <w:rPr>
          <w:rFonts w:ascii="Times New Roman" w:eastAsia="Times New Roman" w:hAnsi="Times New Roman" w:cs="Times New Roman"/>
          <w:sz w:val="24"/>
          <w:szCs w:val="24"/>
        </w:rPr>
        <w:t xml:space="preserve">has </w:t>
      </w:r>
      <w:r w:rsidR="007C62E7" w:rsidRPr="00C235E5">
        <w:rPr>
          <w:rFonts w:ascii="Times New Roman" w:eastAsia="Times New Roman" w:hAnsi="Times New Roman" w:cs="Times New Roman"/>
          <w:sz w:val="24"/>
          <w:szCs w:val="24"/>
        </w:rPr>
        <w:t>challeng</w:t>
      </w:r>
      <w:r w:rsidR="007C62E7">
        <w:rPr>
          <w:rFonts w:ascii="Times New Roman" w:eastAsia="Times New Roman" w:hAnsi="Times New Roman" w:cs="Times New Roman"/>
          <w:sz w:val="24"/>
          <w:szCs w:val="24"/>
        </w:rPr>
        <w:t>ed</w:t>
      </w:r>
      <w:r w:rsidR="007C62E7" w:rsidRPr="00C235E5">
        <w:rPr>
          <w:rFonts w:ascii="Times New Roman" w:eastAsia="Times New Roman" w:hAnsi="Times New Roman" w:cs="Times New Roman"/>
          <w:sz w:val="24"/>
          <w:szCs w:val="24"/>
        </w:rPr>
        <w:t xml:space="preserve"> </w:t>
      </w:r>
      <w:r w:rsidR="007A5717" w:rsidRPr="00C235E5">
        <w:rPr>
          <w:rFonts w:ascii="Times New Roman" w:eastAsia="Times New Roman" w:hAnsi="Times New Roman" w:cs="Times New Roman"/>
          <w:sz w:val="24"/>
          <w:szCs w:val="24"/>
        </w:rPr>
        <w:lastRenderedPageBreak/>
        <w:t>Facebook’s acquisition of Within</w:t>
      </w:r>
      <w:r w:rsidR="00D93D0E" w:rsidRPr="00C235E5">
        <w:rPr>
          <w:rStyle w:val="FootnoteReference"/>
          <w:rFonts w:ascii="Times New Roman" w:eastAsia="Times New Roman" w:hAnsi="Times New Roman" w:cs="Times New Roman"/>
          <w:sz w:val="24"/>
          <w:szCs w:val="24"/>
        </w:rPr>
        <w:footnoteReference w:id="8"/>
      </w:r>
      <w:r w:rsidR="007A5717" w:rsidRPr="00C235E5">
        <w:rPr>
          <w:rFonts w:ascii="Times New Roman" w:eastAsia="Times New Roman" w:hAnsi="Times New Roman" w:cs="Times New Roman"/>
          <w:sz w:val="24"/>
          <w:szCs w:val="24"/>
        </w:rPr>
        <w:t xml:space="preserve"> and </w:t>
      </w:r>
      <w:r w:rsidR="000147B3" w:rsidRPr="00C235E5">
        <w:rPr>
          <w:rFonts w:ascii="Times New Roman" w:eastAsia="Times New Roman" w:hAnsi="Times New Roman" w:cs="Times New Roman"/>
          <w:sz w:val="24"/>
          <w:szCs w:val="24"/>
        </w:rPr>
        <w:t xml:space="preserve">both </w:t>
      </w:r>
      <w:r w:rsidR="007A5717" w:rsidRPr="00C235E5">
        <w:rPr>
          <w:rFonts w:ascii="Times New Roman" w:eastAsia="Times New Roman" w:hAnsi="Times New Roman" w:cs="Times New Roman"/>
          <w:sz w:val="24"/>
          <w:szCs w:val="24"/>
        </w:rPr>
        <w:t>the</w:t>
      </w:r>
      <w:r w:rsidR="000147B3" w:rsidRPr="00C235E5">
        <w:rPr>
          <w:rFonts w:ascii="Times New Roman" w:eastAsia="Times New Roman" w:hAnsi="Times New Roman" w:cs="Times New Roman"/>
          <w:sz w:val="24"/>
          <w:szCs w:val="24"/>
        </w:rPr>
        <w:t xml:space="preserve"> FTC</w:t>
      </w:r>
      <w:r w:rsidR="009F39AB" w:rsidRPr="00C235E5">
        <w:rPr>
          <w:rStyle w:val="FootnoteReference"/>
          <w:rFonts w:ascii="Times New Roman" w:eastAsia="Times New Roman" w:hAnsi="Times New Roman" w:cs="Times New Roman"/>
          <w:sz w:val="24"/>
          <w:szCs w:val="24"/>
        </w:rPr>
        <w:footnoteReference w:id="9"/>
      </w:r>
      <w:r w:rsidR="000147B3" w:rsidRPr="00C235E5">
        <w:rPr>
          <w:rFonts w:ascii="Times New Roman" w:eastAsia="Times New Roman" w:hAnsi="Times New Roman" w:cs="Times New Roman"/>
          <w:sz w:val="24"/>
          <w:szCs w:val="24"/>
        </w:rPr>
        <w:t xml:space="preserve"> and the</w:t>
      </w:r>
      <w:r w:rsidR="007A5717" w:rsidRPr="00C235E5">
        <w:rPr>
          <w:rFonts w:ascii="Times New Roman" w:eastAsia="Times New Roman" w:hAnsi="Times New Roman" w:cs="Times New Roman"/>
          <w:sz w:val="24"/>
          <w:szCs w:val="24"/>
        </w:rPr>
        <w:t xml:space="preserve"> EC</w:t>
      </w:r>
      <w:r w:rsidR="009F39AB" w:rsidRPr="00C235E5">
        <w:rPr>
          <w:rStyle w:val="FootnoteReference"/>
          <w:rFonts w:ascii="Times New Roman" w:eastAsia="Times New Roman" w:hAnsi="Times New Roman" w:cs="Times New Roman"/>
          <w:sz w:val="24"/>
          <w:szCs w:val="24"/>
        </w:rPr>
        <w:footnoteReference w:id="10"/>
      </w:r>
      <w:r w:rsidR="007A5717" w:rsidRPr="00C235E5">
        <w:rPr>
          <w:rFonts w:ascii="Times New Roman" w:eastAsia="Times New Roman" w:hAnsi="Times New Roman" w:cs="Times New Roman"/>
          <w:sz w:val="24"/>
          <w:szCs w:val="24"/>
        </w:rPr>
        <w:t xml:space="preserve"> </w:t>
      </w:r>
      <w:r w:rsidR="000147B3" w:rsidRPr="00C235E5">
        <w:rPr>
          <w:rFonts w:ascii="Times New Roman" w:eastAsia="Times New Roman" w:hAnsi="Times New Roman" w:cs="Times New Roman"/>
          <w:sz w:val="24"/>
          <w:szCs w:val="24"/>
        </w:rPr>
        <w:t xml:space="preserve">have </w:t>
      </w:r>
      <w:r w:rsidR="007A5717" w:rsidRPr="00C235E5">
        <w:rPr>
          <w:rFonts w:ascii="Times New Roman" w:eastAsia="Times New Roman" w:hAnsi="Times New Roman" w:cs="Times New Roman"/>
          <w:sz w:val="24"/>
          <w:szCs w:val="24"/>
        </w:rPr>
        <w:t xml:space="preserve">opened an </w:t>
      </w:r>
      <w:r w:rsidR="00A31F22" w:rsidRPr="00C235E5">
        <w:rPr>
          <w:rFonts w:ascii="Times New Roman" w:eastAsia="Times New Roman" w:hAnsi="Times New Roman" w:cs="Times New Roman"/>
          <w:sz w:val="24"/>
          <w:szCs w:val="24"/>
        </w:rPr>
        <w:t>in-depth</w:t>
      </w:r>
      <w:r w:rsidR="007A5717" w:rsidRPr="00C235E5">
        <w:rPr>
          <w:rFonts w:ascii="Times New Roman" w:eastAsia="Times New Roman" w:hAnsi="Times New Roman" w:cs="Times New Roman"/>
          <w:sz w:val="24"/>
          <w:szCs w:val="24"/>
        </w:rPr>
        <w:t xml:space="preserve"> investigation into Microsoft</w:t>
      </w:r>
      <w:r w:rsidR="00CA3AE1" w:rsidRPr="00C235E5">
        <w:rPr>
          <w:rFonts w:ascii="Times New Roman" w:eastAsia="Times New Roman" w:hAnsi="Times New Roman" w:cs="Times New Roman"/>
          <w:sz w:val="24"/>
          <w:szCs w:val="24"/>
        </w:rPr>
        <w:t>'s</w:t>
      </w:r>
      <w:r w:rsidR="007A5717" w:rsidRPr="00C235E5">
        <w:rPr>
          <w:rFonts w:ascii="Times New Roman" w:eastAsia="Times New Roman" w:hAnsi="Times New Roman" w:cs="Times New Roman"/>
          <w:sz w:val="24"/>
          <w:szCs w:val="24"/>
        </w:rPr>
        <w:t xml:space="preserve"> plan to buy Activision. </w:t>
      </w:r>
      <w:r w:rsidR="008B303F" w:rsidRPr="00C235E5">
        <w:rPr>
          <w:rFonts w:ascii="Times New Roman" w:eastAsia="Times New Roman" w:hAnsi="Times New Roman" w:cs="Times New Roman"/>
          <w:sz w:val="24"/>
          <w:szCs w:val="24"/>
        </w:rPr>
        <w:t>The idea that large technology firms acquire startups to suppress competitive threats</w:t>
      </w:r>
      <w:r w:rsidR="008B303F" w:rsidRPr="00C235E5" w:rsidDel="008B303F">
        <w:rPr>
          <w:rFonts w:ascii="Times New Roman" w:eastAsia="Times New Roman" w:hAnsi="Times New Roman" w:cs="Times New Roman"/>
          <w:sz w:val="24"/>
          <w:szCs w:val="24"/>
        </w:rPr>
        <w:t xml:space="preserve"> </w:t>
      </w:r>
      <w:r w:rsidR="008B303F" w:rsidRPr="00C235E5">
        <w:rPr>
          <w:rFonts w:ascii="Times New Roman" w:eastAsia="Times New Roman" w:hAnsi="Times New Roman" w:cs="Times New Roman"/>
          <w:sz w:val="24"/>
          <w:szCs w:val="24"/>
        </w:rPr>
        <w:t xml:space="preserve">is </w:t>
      </w:r>
      <w:r w:rsidRPr="00C235E5">
        <w:rPr>
          <w:rFonts w:ascii="Times New Roman" w:eastAsia="Times New Roman" w:hAnsi="Times New Roman" w:cs="Times New Roman"/>
          <w:sz w:val="24"/>
          <w:szCs w:val="24"/>
        </w:rPr>
        <w:t xml:space="preserve">driving </w:t>
      </w:r>
      <w:r w:rsidR="008B303F" w:rsidRPr="00C235E5">
        <w:rPr>
          <w:rFonts w:ascii="Times New Roman" w:eastAsia="Times New Roman" w:hAnsi="Times New Roman" w:cs="Times New Roman"/>
          <w:sz w:val="24"/>
          <w:szCs w:val="24"/>
        </w:rPr>
        <w:t>rapid change</w:t>
      </w:r>
      <w:r w:rsidRPr="00C235E5">
        <w:rPr>
          <w:rFonts w:ascii="Times New Roman" w:eastAsia="Times New Roman" w:hAnsi="Times New Roman" w:cs="Times New Roman"/>
          <w:sz w:val="24"/>
          <w:szCs w:val="24"/>
        </w:rPr>
        <w:t>s</w:t>
      </w:r>
      <w:r w:rsidR="008B303F" w:rsidRPr="00C235E5">
        <w:rPr>
          <w:rFonts w:ascii="Times New Roman" w:eastAsia="Times New Roman" w:hAnsi="Times New Roman" w:cs="Times New Roman"/>
          <w:sz w:val="24"/>
          <w:szCs w:val="24"/>
        </w:rPr>
        <w:t xml:space="preserve"> in merger policy.</w:t>
      </w:r>
      <w:r w:rsidR="0060405E">
        <w:rPr>
          <w:rStyle w:val="FootnoteReference"/>
          <w:rFonts w:ascii="Times New Roman" w:eastAsia="Times New Roman" w:hAnsi="Times New Roman" w:cs="Times New Roman"/>
          <w:sz w:val="24"/>
          <w:szCs w:val="24"/>
        </w:rPr>
        <w:footnoteReference w:id="11"/>
      </w:r>
      <w:r w:rsidR="008B303F" w:rsidRPr="00C235E5">
        <w:rPr>
          <w:rFonts w:ascii="Times New Roman" w:eastAsia="Times New Roman" w:hAnsi="Times New Roman" w:cs="Times New Roman"/>
          <w:sz w:val="24"/>
          <w:szCs w:val="24"/>
        </w:rPr>
        <w:t xml:space="preserve"> </w:t>
      </w:r>
      <w:r w:rsidR="00EF0AFC" w:rsidRPr="00C235E5">
        <w:rPr>
          <w:rFonts w:ascii="Times New Roman" w:hAnsi="Times New Roman" w:cs="Times New Roman"/>
          <w:sz w:val="24"/>
          <w:szCs w:val="24"/>
        </w:rPr>
        <w:t xml:space="preserve">The purpose of the paper is to contribute to </w:t>
      </w:r>
      <w:r w:rsidR="00914027" w:rsidRPr="00C235E5">
        <w:rPr>
          <w:rFonts w:ascii="Times New Roman" w:hAnsi="Times New Roman" w:cs="Times New Roman"/>
          <w:sz w:val="24"/>
          <w:szCs w:val="24"/>
        </w:rPr>
        <w:t xml:space="preserve">the </w:t>
      </w:r>
      <w:r w:rsidR="00701026" w:rsidRPr="00C235E5">
        <w:rPr>
          <w:rFonts w:ascii="Times New Roman" w:hAnsi="Times New Roman" w:cs="Times New Roman"/>
          <w:sz w:val="24"/>
          <w:szCs w:val="24"/>
        </w:rPr>
        <w:t>debate</w:t>
      </w:r>
      <w:r w:rsidR="00EF0AFC" w:rsidRPr="00C235E5">
        <w:rPr>
          <w:rFonts w:ascii="Times New Roman" w:hAnsi="Times New Roman" w:cs="Times New Roman"/>
          <w:sz w:val="24"/>
          <w:szCs w:val="24"/>
        </w:rPr>
        <w:t xml:space="preserve"> on </w:t>
      </w:r>
      <w:r w:rsidR="00F13DFF">
        <w:rPr>
          <w:rFonts w:ascii="Times New Roman" w:hAnsi="Times New Roman" w:cs="Times New Roman"/>
          <w:sz w:val="24"/>
          <w:szCs w:val="24"/>
        </w:rPr>
        <w:t xml:space="preserve">the competitive assessment of </w:t>
      </w:r>
      <w:r w:rsidR="00EF0AFC" w:rsidRPr="00C235E5">
        <w:rPr>
          <w:rFonts w:ascii="Times New Roman" w:hAnsi="Times New Roman" w:cs="Times New Roman"/>
          <w:sz w:val="24"/>
          <w:szCs w:val="24"/>
        </w:rPr>
        <w:t>killer acquisitions</w:t>
      </w:r>
      <w:r w:rsidR="001524FE" w:rsidRPr="00C235E5">
        <w:rPr>
          <w:rFonts w:ascii="Times New Roman" w:hAnsi="Times New Roman" w:cs="Times New Roman"/>
          <w:sz w:val="24"/>
          <w:szCs w:val="24"/>
        </w:rPr>
        <w:t xml:space="preserve"> through studying concrete cases</w:t>
      </w:r>
      <w:r w:rsidR="00EF0AFC" w:rsidRPr="00C235E5">
        <w:rPr>
          <w:rFonts w:ascii="Times New Roman" w:hAnsi="Times New Roman" w:cs="Times New Roman"/>
          <w:sz w:val="24"/>
          <w:szCs w:val="24"/>
        </w:rPr>
        <w:t xml:space="preserve">. </w:t>
      </w:r>
    </w:p>
    <w:p w14:paraId="457629C2" w14:textId="71DC1E37" w:rsidR="00ED2269" w:rsidRPr="00C235E5" w:rsidRDefault="0000211A" w:rsidP="00792D53">
      <w:pPr>
        <w:spacing w:before="120" w:after="120" w:line="480" w:lineRule="auto"/>
        <w:jc w:val="both"/>
        <w:rPr>
          <w:rFonts w:ascii="Times New Roman" w:eastAsia="Times New Roman" w:hAnsi="Times New Roman" w:cs="Times New Roman"/>
          <w:sz w:val="24"/>
          <w:szCs w:val="24"/>
        </w:rPr>
      </w:pPr>
      <w:r w:rsidRPr="00C235E5">
        <w:rPr>
          <w:rFonts w:ascii="Times New Roman" w:eastAsia="Times New Roman" w:hAnsi="Times New Roman" w:cs="Times New Roman"/>
          <w:sz w:val="24"/>
          <w:szCs w:val="24"/>
        </w:rPr>
        <w:t>We are interested in</w:t>
      </w:r>
      <w:r w:rsidR="00ED2269" w:rsidRPr="00C235E5">
        <w:rPr>
          <w:rFonts w:ascii="Times New Roman" w:eastAsia="Times New Roman" w:hAnsi="Times New Roman" w:cs="Times New Roman"/>
          <w:sz w:val="24"/>
          <w:szCs w:val="24"/>
        </w:rPr>
        <w:t xml:space="preserve"> the </w:t>
      </w:r>
      <w:r w:rsidR="0032302E" w:rsidRPr="00C235E5">
        <w:rPr>
          <w:rFonts w:ascii="Times New Roman" w:eastAsia="Times New Roman" w:hAnsi="Times New Roman" w:cs="Times New Roman"/>
          <w:sz w:val="24"/>
          <w:szCs w:val="24"/>
        </w:rPr>
        <w:t>“</w:t>
      </w:r>
      <w:r w:rsidR="000D2065" w:rsidRPr="00C235E5">
        <w:rPr>
          <w:rFonts w:ascii="Times New Roman" w:eastAsia="Times New Roman" w:hAnsi="Times New Roman" w:cs="Times New Roman"/>
          <w:i/>
          <w:iCs/>
          <w:sz w:val="24"/>
          <w:szCs w:val="24"/>
        </w:rPr>
        <w:t>kill</w:t>
      </w:r>
      <w:r w:rsidR="0032302E" w:rsidRPr="00C235E5">
        <w:rPr>
          <w:rFonts w:ascii="Times New Roman" w:eastAsia="Times New Roman" w:hAnsi="Times New Roman" w:cs="Times New Roman"/>
          <w:sz w:val="24"/>
          <w:szCs w:val="24"/>
        </w:rPr>
        <w:t>”</w:t>
      </w:r>
      <w:r w:rsidR="00D46DF3" w:rsidRPr="00C235E5">
        <w:rPr>
          <w:rFonts w:ascii="Times New Roman" w:eastAsia="Times New Roman" w:hAnsi="Times New Roman" w:cs="Times New Roman"/>
          <w:sz w:val="24"/>
          <w:szCs w:val="24"/>
        </w:rPr>
        <w:t>.</w:t>
      </w:r>
      <w:r w:rsidR="00ED2269" w:rsidRPr="00C235E5">
        <w:rPr>
          <w:rFonts w:ascii="Times New Roman" w:eastAsia="Times New Roman" w:hAnsi="Times New Roman" w:cs="Times New Roman"/>
          <w:sz w:val="24"/>
          <w:szCs w:val="24"/>
        </w:rPr>
        <w:t xml:space="preserve"> </w:t>
      </w:r>
      <w:r w:rsidR="00633708" w:rsidRPr="00C235E5">
        <w:rPr>
          <w:rFonts w:ascii="Times New Roman" w:eastAsia="Times New Roman" w:hAnsi="Times New Roman" w:cs="Times New Roman"/>
          <w:sz w:val="24"/>
          <w:szCs w:val="24"/>
        </w:rPr>
        <w:t>Let us present the issue in a logical way</w:t>
      </w:r>
      <w:r w:rsidR="00ED2269" w:rsidRPr="00C235E5">
        <w:rPr>
          <w:rFonts w:ascii="Times New Roman" w:eastAsia="Times New Roman" w:hAnsi="Times New Roman" w:cs="Times New Roman"/>
          <w:sz w:val="24"/>
          <w:szCs w:val="24"/>
        </w:rPr>
        <w:t xml:space="preserve">. </w:t>
      </w:r>
      <w:r w:rsidR="00163ADB" w:rsidRPr="00C235E5">
        <w:rPr>
          <w:rFonts w:ascii="Times New Roman" w:eastAsia="Times New Roman" w:hAnsi="Times New Roman" w:cs="Times New Roman"/>
          <w:sz w:val="24"/>
          <w:szCs w:val="24"/>
        </w:rPr>
        <w:t>I</w:t>
      </w:r>
      <w:r w:rsidR="0032302E" w:rsidRPr="00C235E5">
        <w:rPr>
          <w:rFonts w:ascii="Times New Roman" w:eastAsia="Times New Roman" w:hAnsi="Times New Roman" w:cs="Times New Roman"/>
          <w:sz w:val="24"/>
          <w:szCs w:val="24"/>
        </w:rPr>
        <w:t xml:space="preserve">f </w:t>
      </w:r>
      <w:r w:rsidR="00167B75" w:rsidRPr="00C235E5">
        <w:rPr>
          <w:rFonts w:ascii="Times New Roman" w:eastAsia="Times New Roman" w:hAnsi="Times New Roman" w:cs="Times New Roman"/>
          <w:sz w:val="24"/>
          <w:szCs w:val="24"/>
        </w:rPr>
        <w:t xml:space="preserve">the kill </w:t>
      </w:r>
      <w:r w:rsidR="00ED2269" w:rsidRPr="00C235E5">
        <w:rPr>
          <w:rFonts w:ascii="Times New Roman" w:eastAsia="Times New Roman" w:hAnsi="Times New Roman" w:cs="Times New Roman"/>
          <w:sz w:val="24"/>
          <w:szCs w:val="24"/>
        </w:rPr>
        <w:t xml:space="preserve">targets a </w:t>
      </w:r>
      <w:r w:rsidR="0063531F" w:rsidRPr="00C235E5">
        <w:rPr>
          <w:rFonts w:ascii="Times New Roman" w:eastAsia="Times New Roman" w:hAnsi="Times New Roman" w:cs="Times New Roman"/>
          <w:sz w:val="24"/>
          <w:szCs w:val="24"/>
        </w:rPr>
        <w:t xml:space="preserve">future </w:t>
      </w:r>
      <w:r w:rsidR="0032302E" w:rsidRPr="00C235E5">
        <w:rPr>
          <w:rFonts w:ascii="Times New Roman" w:eastAsia="Times New Roman" w:hAnsi="Times New Roman" w:cs="Times New Roman"/>
          <w:sz w:val="24"/>
          <w:szCs w:val="24"/>
        </w:rPr>
        <w:t>“</w:t>
      </w:r>
      <w:r w:rsidR="00ED2269" w:rsidRPr="00C235E5">
        <w:rPr>
          <w:rFonts w:ascii="Times New Roman" w:eastAsia="Times New Roman" w:hAnsi="Times New Roman" w:cs="Times New Roman"/>
          <w:i/>
          <w:iCs/>
          <w:sz w:val="24"/>
          <w:szCs w:val="24"/>
        </w:rPr>
        <w:t>competitor</w:t>
      </w:r>
      <w:r w:rsidR="00F64C0B" w:rsidRPr="00C235E5">
        <w:rPr>
          <w:rFonts w:ascii="Times New Roman" w:eastAsia="Times New Roman" w:hAnsi="Times New Roman" w:cs="Times New Roman"/>
          <w:i/>
          <w:iCs/>
          <w:sz w:val="24"/>
          <w:szCs w:val="24"/>
        </w:rPr>
        <w:t>,</w:t>
      </w:r>
      <w:r w:rsidR="0032302E" w:rsidRPr="00C235E5">
        <w:rPr>
          <w:rFonts w:ascii="Times New Roman" w:eastAsia="Times New Roman" w:hAnsi="Times New Roman" w:cs="Times New Roman"/>
          <w:sz w:val="24"/>
          <w:szCs w:val="24"/>
        </w:rPr>
        <w:t>”</w:t>
      </w:r>
      <w:r w:rsidR="00167B75" w:rsidRPr="00C235E5">
        <w:rPr>
          <w:rFonts w:ascii="Times New Roman" w:eastAsia="Times New Roman" w:hAnsi="Times New Roman" w:cs="Times New Roman"/>
          <w:sz w:val="24"/>
          <w:szCs w:val="24"/>
        </w:rPr>
        <w:t xml:space="preserve"> the</w:t>
      </w:r>
      <w:r w:rsidR="00ED2269" w:rsidRPr="00C235E5">
        <w:rPr>
          <w:rFonts w:ascii="Times New Roman" w:eastAsia="Times New Roman" w:hAnsi="Times New Roman" w:cs="Times New Roman"/>
          <w:sz w:val="24"/>
          <w:szCs w:val="24"/>
        </w:rPr>
        <w:t>n</w:t>
      </w:r>
      <w:r w:rsidR="00167B75" w:rsidRPr="00C235E5">
        <w:rPr>
          <w:rFonts w:ascii="Times New Roman" w:eastAsia="Times New Roman" w:hAnsi="Times New Roman" w:cs="Times New Roman"/>
          <w:sz w:val="24"/>
          <w:szCs w:val="24"/>
        </w:rPr>
        <w:t xml:space="preserve"> </w:t>
      </w:r>
      <w:r w:rsidR="00ED2269" w:rsidRPr="00C235E5">
        <w:rPr>
          <w:rFonts w:ascii="Times New Roman" w:eastAsia="Times New Roman" w:hAnsi="Times New Roman" w:cs="Times New Roman"/>
          <w:sz w:val="24"/>
          <w:szCs w:val="24"/>
        </w:rPr>
        <w:t xml:space="preserve">the </w:t>
      </w:r>
      <w:r w:rsidR="00167B75" w:rsidRPr="00C235E5">
        <w:rPr>
          <w:rFonts w:ascii="Times New Roman" w:eastAsia="Times New Roman" w:hAnsi="Times New Roman" w:cs="Times New Roman"/>
          <w:sz w:val="24"/>
          <w:szCs w:val="24"/>
        </w:rPr>
        <w:t xml:space="preserve">focus </w:t>
      </w:r>
      <w:r w:rsidR="00ED2269" w:rsidRPr="00C235E5">
        <w:rPr>
          <w:rFonts w:ascii="Times New Roman" w:eastAsia="Times New Roman" w:hAnsi="Times New Roman" w:cs="Times New Roman"/>
          <w:sz w:val="24"/>
          <w:szCs w:val="24"/>
        </w:rPr>
        <w:t xml:space="preserve">should be on </w:t>
      </w:r>
      <w:r w:rsidR="0032302E" w:rsidRPr="00C235E5">
        <w:rPr>
          <w:rFonts w:ascii="Times New Roman" w:eastAsia="Times New Roman" w:hAnsi="Times New Roman" w:cs="Times New Roman"/>
          <w:sz w:val="24"/>
          <w:szCs w:val="24"/>
        </w:rPr>
        <w:t xml:space="preserve">the target’s </w:t>
      </w:r>
      <w:r w:rsidR="00167B75" w:rsidRPr="00C235E5">
        <w:rPr>
          <w:rFonts w:ascii="Times New Roman" w:eastAsia="Times New Roman" w:hAnsi="Times New Roman" w:cs="Times New Roman"/>
          <w:sz w:val="24"/>
          <w:szCs w:val="24"/>
        </w:rPr>
        <w:t>product and services</w:t>
      </w:r>
      <w:r w:rsidR="0032302E" w:rsidRPr="00C235E5">
        <w:rPr>
          <w:rFonts w:ascii="Times New Roman" w:eastAsia="Times New Roman" w:hAnsi="Times New Roman" w:cs="Times New Roman"/>
          <w:sz w:val="24"/>
          <w:szCs w:val="24"/>
        </w:rPr>
        <w:t xml:space="preserve"> (for convenience, we talk about products)</w:t>
      </w:r>
      <w:r w:rsidR="00167B75" w:rsidRPr="00C235E5">
        <w:rPr>
          <w:rFonts w:ascii="Times New Roman" w:eastAsia="Times New Roman" w:hAnsi="Times New Roman" w:cs="Times New Roman"/>
          <w:sz w:val="24"/>
          <w:szCs w:val="24"/>
        </w:rPr>
        <w:t>. The question is</w:t>
      </w:r>
      <w:r w:rsidR="000C7F2F" w:rsidRPr="00C235E5">
        <w:rPr>
          <w:rFonts w:ascii="Times New Roman" w:eastAsia="Times New Roman" w:hAnsi="Times New Roman" w:cs="Times New Roman"/>
          <w:sz w:val="24"/>
          <w:szCs w:val="24"/>
        </w:rPr>
        <w:t>:</w:t>
      </w:r>
      <w:r w:rsidR="00167B75" w:rsidRPr="00C235E5">
        <w:rPr>
          <w:rFonts w:ascii="Times New Roman" w:eastAsia="Times New Roman" w:hAnsi="Times New Roman" w:cs="Times New Roman"/>
          <w:sz w:val="24"/>
          <w:szCs w:val="24"/>
        </w:rPr>
        <w:t xml:space="preserve"> </w:t>
      </w:r>
      <w:r w:rsidR="007D3701" w:rsidRPr="00C235E5">
        <w:rPr>
          <w:rFonts w:ascii="Times New Roman" w:eastAsia="Times New Roman" w:hAnsi="Times New Roman" w:cs="Times New Roman"/>
          <w:sz w:val="24"/>
          <w:szCs w:val="24"/>
        </w:rPr>
        <w:t>a</w:t>
      </w:r>
      <w:r w:rsidR="00167B75" w:rsidRPr="00C235E5">
        <w:rPr>
          <w:rFonts w:ascii="Times New Roman" w:eastAsia="Times New Roman" w:hAnsi="Times New Roman" w:cs="Times New Roman"/>
          <w:sz w:val="24"/>
          <w:szCs w:val="24"/>
        </w:rPr>
        <w:t xml:space="preserve">re the </w:t>
      </w:r>
      <w:r w:rsidR="005D3A73" w:rsidRPr="00C235E5">
        <w:rPr>
          <w:rFonts w:ascii="Times New Roman" w:eastAsia="Times New Roman" w:hAnsi="Times New Roman" w:cs="Times New Roman"/>
          <w:sz w:val="24"/>
          <w:szCs w:val="24"/>
        </w:rPr>
        <w:t xml:space="preserve">(presently competitive) </w:t>
      </w:r>
      <w:r w:rsidR="00167B75" w:rsidRPr="00C235E5">
        <w:rPr>
          <w:rFonts w:ascii="Times New Roman" w:eastAsia="Times New Roman" w:hAnsi="Times New Roman" w:cs="Times New Roman"/>
          <w:i/>
          <w:iCs/>
          <w:sz w:val="24"/>
          <w:szCs w:val="24"/>
        </w:rPr>
        <w:t>products</w:t>
      </w:r>
      <w:r w:rsidR="00167B75" w:rsidRPr="00C235E5">
        <w:rPr>
          <w:rFonts w:ascii="Times New Roman" w:eastAsia="Times New Roman" w:hAnsi="Times New Roman" w:cs="Times New Roman"/>
          <w:sz w:val="24"/>
          <w:szCs w:val="24"/>
        </w:rPr>
        <w:t xml:space="preserve"> of </w:t>
      </w:r>
      <w:r w:rsidR="0032302E" w:rsidRPr="00C235E5">
        <w:rPr>
          <w:rFonts w:ascii="Times New Roman" w:eastAsia="Times New Roman" w:hAnsi="Times New Roman" w:cs="Times New Roman"/>
          <w:sz w:val="24"/>
          <w:szCs w:val="24"/>
        </w:rPr>
        <w:t xml:space="preserve">targets </w:t>
      </w:r>
      <w:r w:rsidR="00167B75" w:rsidRPr="00C235E5">
        <w:rPr>
          <w:rFonts w:ascii="Times New Roman" w:eastAsia="Times New Roman" w:hAnsi="Times New Roman" w:cs="Times New Roman"/>
          <w:sz w:val="24"/>
          <w:szCs w:val="24"/>
        </w:rPr>
        <w:t xml:space="preserve">bought by large tech firms </w:t>
      </w:r>
      <w:r w:rsidR="00167B75" w:rsidRPr="00C235E5">
        <w:rPr>
          <w:rFonts w:ascii="Times New Roman" w:eastAsia="Times New Roman" w:hAnsi="Times New Roman" w:cs="Times New Roman"/>
          <w:i/>
          <w:iCs/>
          <w:sz w:val="24"/>
          <w:szCs w:val="24"/>
        </w:rPr>
        <w:t>abandoned</w:t>
      </w:r>
      <w:r w:rsidR="00167B75" w:rsidRPr="00C235E5">
        <w:rPr>
          <w:rFonts w:ascii="Times New Roman" w:eastAsia="Times New Roman" w:hAnsi="Times New Roman" w:cs="Times New Roman"/>
          <w:sz w:val="24"/>
          <w:szCs w:val="24"/>
        </w:rPr>
        <w:t xml:space="preserve"> in the </w:t>
      </w:r>
      <w:r w:rsidR="00163ADB" w:rsidRPr="00C235E5">
        <w:rPr>
          <w:rFonts w:ascii="Times New Roman" w:eastAsia="Times New Roman" w:hAnsi="Times New Roman" w:cs="Times New Roman"/>
          <w:sz w:val="24"/>
          <w:szCs w:val="24"/>
        </w:rPr>
        <w:t>post-acquisition</w:t>
      </w:r>
      <w:r w:rsidR="00167B75" w:rsidRPr="00C235E5">
        <w:rPr>
          <w:rFonts w:ascii="Times New Roman" w:eastAsia="Times New Roman" w:hAnsi="Times New Roman" w:cs="Times New Roman"/>
          <w:sz w:val="24"/>
          <w:szCs w:val="24"/>
        </w:rPr>
        <w:t xml:space="preserve"> world? Or are the</w:t>
      </w:r>
      <w:r w:rsidR="005D3A73" w:rsidRPr="00C235E5">
        <w:rPr>
          <w:rFonts w:ascii="Times New Roman" w:eastAsia="Times New Roman" w:hAnsi="Times New Roman" w:cs="Times New Roman"/>
          <w:sz w:val="24"/>
          <w:szCs w:val="24"/>
        </w:rPr>
        <w:t xml:space="preserve"> (prospectively competitive)</w:t>
      </w:r>
      <w:r w:rsidR="00167B75" w:rsidRPr="00C235E5">
        <w:rPr>
          <w:rFonts w:ascii="Times New Roman" w:eastAsia="Times New Roman" w:hAnsi="Times New Roman" w:cs="Times New Roman"/>
          <w:sz w:val="24"/>
          <w:szCs w:val="24"/>
        </w:rPr>
        <w:t xml:space="preserve"> </w:t>
      </w:r>
      <w:r w:rsidR="00167B75" w:rsidRPr="00C235E5">
        <w:rPr>
          <w:rFonts w:ascii="Times New Roman" w:eastAsia="Times New Roman" w:hAnsi="Times New Roman" w:cs="Times New Roman"/>
          <w:i/>
          <w:iCs/>
          <w:sz w:val="24"/>
          <w:szCs w:val="24"/>
        </w:rPr>
        <w:t>products</w:t>
      </w:r>
      <w:r w:rsidR="00167B75" w:rsidRPr="00C235E5">
        <w:rPr>
          <w:rFonts w:ascii="Times New Roman" w:eastAsia="Times New Roman" w:hAnsi="Times New Roman" w:cs="Times New Roman"/>
          <w:sz w:val="24"/>
          <w:szCs w:val="24"/>
        </w:rPr>
        <w:t xml:space="preserve"> </w:t>
      </w:r>
      <w:r w:rsidR="0032302E" w:rsidRPr="00C235E5">
        <w:rPr>
          <w:rFonts w:ascii="Times New Roman" w:eastAsia="Times New Roman" w:hAnsi="Times New Roman" w:cs="Times New Roman"/>
          <w:sz w:val="24"/>
          <w:szCs w:val="24"/>
        </w:rPr>
        <w:t xml:space="preserve">of targets </w:t>
      </w:r>
      <w:r w:rsidR="00167B75" w:rsidRPr="00C235E5">
        <w:rPr>
          <w:rFonts w:ascii="Times New Roman" w:eastAsia="Times New Roman" w:hAnsi="Times New Roman" w:cs="Times New Roman"/>
          <w:i/>
          <w:iCs/>
          <w:sz w:val="24"/>
          <w:szCs w:val="24"/>
        </w:rPr>
        <w:t>scaled</w:t>
      </w:r>
      <w:r w:rsidR="00CB2265">
        <w:rPr>
          <w:rFonts w:ascii="Times New Roman" w:eastAsia="Times New Roman" w:hAnsi="Times New Roman" w:cs="Times New Roman"/>
          <w:i/>
          <w:iCs/>
          <w:sz w:val="24"/>
          <w:szCs w:val="24"/>
        </w:rPr>
        <w:t xml:space="preserve"> </w:t>
      </w:r>
      <w:r w:rsidR="00CB2265">
        <w:rPr>
          <w:rFonts w:ascii="Times New Roman" w:eastAsia="Times New Roman" w:hAnsi="Times New Roman" w:cs="Times New Roman"/>
          <w:sz w:val="24"/>
          <w:szCs w:val="24"/>
        </w:rPr>
        <w:t>(</w:t>
      </w:r>
      <w:r w:rsidR="00F13DFF">
        <w:rPr>
          <w:rFonts w:ascii="Times New Roman" w:eastAsia="Times New Roman" w:hAnsi="Times New Roman" w:cs="Times New Roman"/>
          <w:sz w:val="24"/>
          <w:szCs w:val="24"/>
        </w:rPr>
        <w:t xml:space="preserve">the so-called </w:t>
      </w:r>
      <w:r w:rsidR="00CB2265">
        <w:rPr>
          <w:rFonts w:ascii="Times New Roman" w:eastAsia="Times New Roman" w:hAnsi="Times New Roman" w:cs="Times New Roman"/>
          <w:sz w:val="24"/>
          <w:szCs w:val="24"/>
        </w:rPr>
        <w:t>“</w:t>
      </w:r>
      <w:r w:rsidR="002F043E">
        <w:rPr>
          <w:rFonts w:ascii="Times New Roman" w:eastAsia="Times New Roman" w:hAnsi="Times New Roman" w:cs="Times New Roman"/>
          <w:sz w:val="24"/>
          <w:szCs w:val="24"/>
        </w:rPr>
        <w:t>scaling</w:t>
      </w:r>
      <w:r w:rsidR="00CB2265">
        <w:rPr>
          <w:rFonts w:ascii="Times New Roman" w:eastAsia="Times New Roman" w:hAnsi="Times New Roman" w:cs="Times New Roman"/>
          <w:sz w:val="24"/>
          <w:szCs w:val="24"/>
        </w:rPr>
        <w:t xml:space="preserve"> acquisitions”)</w:t>
      </w:r>
      <w:r w:rsidR="00167B75" w:rsidRPr="00C235E5">
        <w:rPr>
          <w:rFonts w:ascii="Times New Roman" w:eastAsia="Times New Roman" w:hAnsi="Times New Roman" w:cs="Times New Roman"/>
          <w:sz w:val="24"/>
          <w:szCs w:val="24"/>
        </w:rPr>
        <w:t xml:space="preserve">? </w:t>
      </w:r>
      <w:r w:rsidR="0032302E" w:rsidRPr="00C235E5">
        <w:rPr>
          <w:rFonts w:ascii="Times New Roman" w:eastAsia="Times New Roman" w:hAnsi="Times New Roman" w:cs="Times New Roman"/>
          <w:sz w:val="24"/>
          <w:szCs w:val="24"/>
        </w:rPr>
        <w:t>And i</w:t>
      </w:r>
      <w:r w:rsidR="00167B75" w:rsidRPr="00C235E5">
        <w:rPr>
          <w:rFonts w:ascii="Times New Roman" w:eastAsia="Times New Roman" w:hAnsi="Times New Roman" w:cs="Times New Roman"/>
          <w:sz w:val="24"/>
          <w:szCs w:val="24"/>
        </w:rPr>
        <w:t xml:space="preserve">f the products and services are </w:t>
      </w:r>
      <w:r w:rsidR="00167B75" w:rsidRPr="00C235E5">
        <w:rPr>
          <w:rFonts w:ascii="Times New Roman" w:eastAsia="Times New Roman" w:hAnsi="Times New Roman" w:cs="Times New Roman"/>
          <w:i/>
          <w:iCs/>
          <w:sz w:val="24"/>
          <w:szCs w:val="24"/>
        </w:rPr>
        <w:t>scaled</w:t>
      </w:r>
      <w:r w:rsidR="00167B75" w:rsidRPr="00C235E5">
        <w:rPr>
          <w:rFonts w:ascii="Times New Roman" w:eastAsia="Times New Roman" w:hAnsi="Times New Roman" w:cs="Times New Roman"/>
          <w:sz w:val="24"/>
          <w:szCs w:val="24"/>
        </w:rPr>
        <w:t xml:space="preserve">, did the acquisition increase the </w:t>
      </w:r>
      <w:r w:rsidR="003777CF" w:rsidRPr="00C235E5">
        <w:rPr>
          <w:rFonts w:ascii="Times New Roman" w:eastAsia="Times New Roman" w:hAnsi="Times New Roman" w:cs="Times New Roman"/>
          <w:sz w:val="24"/>
          <w:szCs w:val="24"/>
        </w:rPr>
        <w:t>scaling</w:t>
      </w:r>
      <w:r w:rsidR="00167B75" w:rsidRPr="00C235E5">
        <w:rPr>
          <w:rFonts w:ascii="Times New Roman" w:eastAsia="Times New Roman" w:hAnsi="Times New Roman" w:cs="Times New Roman"/>
          <w:sz w:val="24"/>
          <w:szCs w:val="24"/>
        </w:rPr>
        <w:t xml:space="preserve"> potential </w:t>
      </w:r>
      <w:r w:rsidR="0032302E" w:rsidRPr="00C235E5">
        <w:rPr>
          <w:rFonts w:ascii="Times New Roman" w:eastAsia="Times New Roman" w:hAnsi="Times New Roman" w:cs="Times New Roman"/>
          <w:sz w:val="24"/>
          <w:szCs w:val="24"/>
        </w:rPr>
        <w:t xml:space="preserve">of the product </w:t>
      </w:r>
      <w:r w:rsidR="00167B75" w:rsidRPr="00C235E5">
        <w:rPr>
          <w:rFonts w:ascii="Times New Roman" w:eastAsia="Times New Roman" w:hAnsi="Times New Roman" w:cs="Times New Roman"/>
          <w:sz w:val="24"/>
          <w:szCs w:val="24"/>
        </w:rPr>
        <w:t>compared to the non</w:t>
      </w:r>
      <w:r w:rsidR="0032302E" w:rsidRPr="00C235E5">
        <w:rPr>
          <w:rFonts w:ascii="Times New Roman" w:eastAsia="Times New Roman" w:hAnsi="Times New Roman" w:cs="Times New Roman"/>
          <w:sz w:val="24"/>
          <w:szCs w:val="24"/>
        </w:rPr>
        <w:t>-</w:t>
      </w:r>
      <w:r w:rsidR="00167B75" w:rsidRPr="00C235E5">
        <w:rPr>
          <w:rFonts w:ascii="Times New Roman" w:eastAsia="Times New Roman" w:hAnsi="Times New Roman" w:cs="Times New Roman"/>
          <w:sz w:val="24"/>
          <w:szCs w:val="24"/>
        </w:rPr>
        <w:t>acquisition world</w:t>
      </w:r>
      <w:r w:rsidR="003777CF" w:rsidRPr="00C235E5">
        <w:rPr>
          <w:rFonts w:ascii="Times New Roman" w:eastAsia="Times New Roman" w:hAnsi="Times New Roman" w:cs="Times New Roman"/>
          <w:sz w:val="24"/>
          <w:szCs w:val="24"/>
        </w:rPr>
        <w:t xml:space="preserve">, hence increasing </w:t>
      </w:r>
      <w:r w:rsidR="000B32DC" w:rsidRPr="00C235E5">
        <w:rPr>
          <w:rFonts w:ascii="Times New Roman" w:eastAsia="Times New Roman" w:hAnsi="Times New Roman" w:cs="Times New Roman"/>
          <w:sz w:val="24"/>
          <w:szCs w:val="24"/>
        </w:rPr>
        <w:t xml:space="preserve">the </w:t>
      </w:r>
      <w:r w:rsidR="003777CF" w:rsidRPr="00C235E5">
        <w:rPr>
          <w:rFonts w:ascii="Times New Roman" w:eastAsia="Times New Roman" w:hAnsi="Times New Roman" w:cs="Times New Roman"/>
          <w:sz w:val="24"/>
          <w:szCs w:val="24"/>
        </w:rPr>
        <w:t>survival potential</w:t>
      </w:r>
      <w:r w:rsidR="00F64C0B" w:rsidRPr="00C235E5">
        <w:rPr>
          <w:rFonts w:ascii="Times New Roman" w:eastAsia="Times New Roman" w:hAnsi="Times New Roman" w:cs="Times New Roman"/>
          <w:sz w:val="24"/>
          <w:szCs w:val="24"/>
        </w:rPr>
        <w:t xml:space="preserve"> of incumbents’ products</w:t>
      </w:r>
      <w:r w:rsidR="00167B75" w:rsidRPr="00C235E5">
        <w:rPr>
          <w:rFonts w:ascii="Times New Roman" w:eastAsia="Times New Roman" w:hAnsi="Times New Roman" w:cs="Times New Roman"/>
          <w:sz w:val="24"/>
          <w:szCs w:val="24"/>
        </w:rPr>
        <w:t xml:space="preserve">? Or </w:t>
      </w:r>
      <w:r w:rsidR="007D3701" w:rsidRPr="00C235E5">
        <w:rPr>
          <w:rFonts w:ascii="Times New Roman" w:eastAsia="Times New Roman" w:hAnsi="Times New Roman" w:cs="Times New Roman"/>
          <w:sz w:val="24"/>
          <w:szCs w:val="24"/>
        </w:rPr>
        <w:t>did</w:t>
      </w:r>
      <w:r w:rsidR="00167B75" w:rsidRPr="00C235E5">
        <w:rPr>
          <w:rFonts w:ascii="Times New Roman" w:eastAsia="Times New Roman" w:hAnsi="Times New Roman" w:cs="Times New Roman"/>
          <w:sz w:val="24"/>
          <w:szCs w:val="24"/>
        </w:rPr>
        <w:t xml:space="preserve"> it decrease survival potential?</w:t>
      </w:r>
      <w:r w:rsidR="00163ADB" w:rsidRPr="00C235E5">
        <w:rPr>
          <w:rFonts w:ascii="Times New Roman" w:eastAsia="Times New Roman" w:hAnsi="Times New Roman" w:cs="Times New Roman"/>
          <w:sz w:val="24"/>
          <w:szCs w:val="24"/>
        </w:rPr>
        <w:t xml:space="preserve"> </w:t>
      </w:r>
      <w:r w:rsidR="00B27213" w:rsidRPr="00C235E5">
        <w:rPr>
          <w:rFonts w:ascii="Times New Roman" w:eastAsia="Times New Roman" w:hAnsi="Times New Roman" w:cs="Times New Roman"/>
          <w:sz w:val="24"/>
          <w:szCs w:val="24"/>
        </w:rPr>
        <w:t>The answer to these questions is determinant of whether</w:t>
      </w:r>
      <w:r w:rsidR="00312BE2" w:rsidRPr="00C235E5">
        <w:rPr>
          <w:rFonts w:ascii="Times New Roman" w:eastAsia="Times New Roman" w:hAnsi="Times New Roman" w:cs="Times New Roman"/>
          <w:sz w:val="24"/>
          <w:szCs w:val="24"/>
        </w:rPr>
        <w:t xml:space="preserve"> </w:t>
      </w:r>
      <w:r w:rsidR="007D3701" w:rsidRPr="00C235E5">
        <w:rPr>
          <w:rFonts w:ascii="Times New Roman" w:eastAsia="Times New Roman" w:hAnsi="Times New Roman" w:cs="Times New Roman"/>
          <w:sz w:val="24"/>
          <w:szCs w:val="24"/>
        </w:rPr>
        <w:t>a</w:t>
      </w:r>
      <w:r w:rsidR="00312BE2" w:rsidRPr="00C235E5">
        <w:rPr>
          <w:rFonts w:ascii="Times New Roman" w:eastAsia="Times New Roman" w:hAnsi="Times New Roman" w:cs="Times New Roman"/>
          <w:sz w:val="24"/>
          <w:szCs w:val="24"/>
        </w:rPr>
        <w:t xml:space="preserve"> merger substantially lessens competition</w:t>
      </w:r>
      <w:r w:rsidR="00F64C0B" w:rsidRPr="00C235E5">
        <w:rPr>
          <w:rFonts w:ascii="Times New Roman" w:eastAsia="Times New Roman" w:hAnsi="Times New Roman" w:cs="Times New Roman"/>
          <w:sz w:val="24"/>
          <w:szCs w:val="24"/>
        </w:rPr>
        <w:t xml:space="preserve"> and innovation</w:t>
      </w:r>
      <w:r w:rsidR="008B303F" w:rsidRPr="00C235E5">
        <w:rPr>
          <w:rFonts w:ascii="Times New Roman" w:eastAsia="Times New Roman" w:hAnsi="Times New Roman" w:cs="Times New Roman"/>
          <w:sz w:val="24"/>
          <w:szCs w:val="24"/>
        </w:rPr>
        <w:t xml:space="preserve">, and in turn meets the </w:t>
      </w:r>
      <w:r w:rsidR="000B32DC" w:rsidRPr="00C235E5">
        <w:rPr>
          <w:rFonts w:ascii="Times New Roman" w:eastAsia="Times New Roman" w:hAnsi="Times New Roman" w:cs="Times New Roman"/>
          <w:sz w:val="24"/>
          <w:szCs w:val="24"/>
        </w:rPr>
        <w:t xml:space="preserve">legal </w:t>
      </w:r>
      <w:r w:rsidR="008B303F" w:rsidRPr="00C235E5">
        <w:rPr>
          <w:rFonts w:ascii="Times New Roman" w:eastAsia="Times New Roman" w:hAnsi="Times New Roman" w:cs="Times New Roman"/>
          <w:sz w:val="24"/>
          <w:szCs w:val="24"/>
        </w:rPr>
        <w:t xml:space="preserve">test required for a </w:t>
      </w:r>
      <w:r w:rsidR="008B303F" w:rsidRPr="00C235E5">
        <w:rPr>
          <w:rFonts w:ascii="Times New Roman" w:eastAsia="Times New Roman" w:hAnsi="Times New Roman" w:cs="Times New Roman"/>
          <w:sz w:val="24"/>
          <w:szCs w:val="24"/>
        </w:rPr>
        <w:lastRenderedPageBreak/>
        <w:t>merger prohibition</w:t>
      </w:r>
      <w:r w:rsidR="00633708" w:rsidRPr="00C235E5">
        <w:rPr>
          <w:rFonts w:ascii="Times New Roman" w:eastAsia="Times New Roman" w:hAnsi="Times New Roman" w:cs="Times New Roman"/>
          <w:sz w:val="24"/>
          <w:szCs w:val="24"/>
        </w:rPr>
        <w:t>.</w:t>
      </w:r>
      <w:r w:rsidR="00633708" w:rsidRPr="00C235E5">
        <w:rPr>
          <w:rStyle w:val="FootnoteReference"/>
          <w:rFonts w:ascii="Times New Roman" w:eastAsia="Times New Roman" w:hAnsi="Times New Roman" w:cs="Times New Roman"/>
          <w:sz w:val="24"/>
          <w:szCs w:val="24"/>
        </w:rPr>
        <w:footnoteReference w:id="12"/>
      </w:r>
      <w:r w:rsidR="00185372" w:rsidRPr="00C235E5">
        <w:rPr>
          <w:rFonts w:ascii="Times New Roman" w:eastAsia="Times New Roman" w:hAnsi="Times New Roman" w:cs="Times New Roman"/>
          <w:sz w:val="24"/>
          <w:szCs w:val="24"/>
        </w:rPr>
        <w:t xml:space="preserve"> </w:t>
      </w:r>
      <w:r w:rsidR="000B58D7">
        <w:rPr>
          <w:rFonts w:ascii="Times New Roman" w:eastAsia="Times New Roman" w:hAnsi="Times New Roman" w:cs="Times New Roman"/>
          <w:sz w:val="24"/>
          <w:szCs w:val="24"/>
        </w:rPr>
        <w:t>A policy p</w:t>
      </w:r>
      <w:r w:rsidR="000B58D7" w:rsidRPr="00C235E5">
        <w:rPr>
          <w:rFonts w:ascii="Times New Roman" w:eastAsia="Times New Roman" w:hAnsi="Times New Roman" w:cs="Times New Roman"/>
          <w:sz w:val="24"/>
          <w:szCs w:val="24"/>
        </w:rPr>
        <w:t xml:space="preserve">reventing </w:t>
      </w:r>
      <w:r w:rsidR="00185372" w:rsidRPr="00C235E5">
        <w:rPr>
          <w:rFonts w:ascii="Times New Roman" w:eastAsia="Times New Roman" w:hAnsi="Times New Roman" w:cs="Times New Roman"/>
          <w:sz w:val="24"/>
          <w:szCs w:val="24"/>
        </w:rPr>
        <w:t xml:space="preserve">killer acquisitions is </w:t>
      </w:r>
      <w:r w:rsidR="000B58D7">
        <w:rPr>
          <w:rFonts w:ascii="Times New Roman" w:eastAsia="Times New Roman" w:hAnsi="Times New Roman" w:cs="Times New Roman"/>
          <w:sz w:val="24"/>
          <w:szCs w:val="24"/>
        </w:rPr>
        <w:t>prospective</w:t>
      </w:r>
      <w:r w:rsidR="00185372" w:rsidRPr="00C235E5">
        <w:rPr>
          <w:rFonts w:ascii="Times New Roman" w:eastAsia="Times New Roman" w:hAnsi="Times New Roman" w:cs="Times New Roman"/>
          <w:sz w:val="24"/>
          <w:szCs w:val="24"/>
        </w:rPr>
        <w:t xml:space="preserve">. </w:t>
      </w:r>
      <w:r w:rsidR="000B58D7">
        <w:rPr>
          <w:rFonts w:ascii="Times New Roman" w:eastAsia="Times New Roman" w:hAnsi="Times New Roman" w:cs="Times New Roman"/>
          <w:sz w:val="24"/>
          <w:szCs w:val="24"/>
        </w:rPr>
        <w:t>Risks of errors are inevitable.</w:t>
      </w:r>
      <w:r w:rsidR="000B58D7">
        <w:rPr>
          <w:rStyle w:val="FootnoteReference"/>
          <w:rFonts w:ascii="Times New Roman" w:eastAsia="Times New Roman" w:hAnsi="Times New Roman" w:cs="Times New Roman"/>
          <w:sz w:val="24"/>
          <w:szCs w:val="24"/>
        </w:rPr>
        <w:footnoteReference w:id="13"/>
      </w:r>
      <w:r w:rsidR="000B58D7">
        <w:rPr>
          <w:rFonts w:ascii="Times New Roman" w:eastAsia="Times New Roman" w:hAnsi="Times New Roman" w:cs="Times New Roman"/>
          <w:sz w:val="24"/>
          <w:szCs w:val="24"/>
        </w:rPr>
        <w:t xml:space="preserve"> E</w:t>
      </w:r>
      <w:r w:rsidR="00185372" w:rsidRPr="00C235E5">
        <w:rPr>
          <w:rFonts w:ascii="Times New Roman" w:eastAsia="Times New Roman" w:hAnsi="Times New Roman" w:cs="Times New Roman"/>
          <w:sz w:val="24"/>
          <w:szCs w:val="24"/>
        </w:rPr>
        <w:t xml:space="preserve">valuating whether a transaction led to decreased competition in an </w:t>
      </w:r>
      <w:r w:rsidR="00185372" w:rsidRPr="00D15C1E">
        <w:rPr>
          <w:rFonts w:ascii="Times New Roman" w:eastAsia="Times New Roman" w:hAnsi="Times New Roman" w:cs="Times New Roman"/>
          <w:sz w:val="24"/>
          <w:szCs w:val="24"/>
        </w:rPr>
        <w:t>ex-post</w:t>
      </w:r>
      <w:r w:rsidR="00185372" w:rsidRPr="00C235E5">
        <w:rPr>
          <w:rFonts w:ascii="Times New Roman" w:eastAsia="Times New Roman" w:hAnsi="Times New Roman" w:cs="Times New Roman"/>
          <w:sz w:val="24"/>
          <w:szCs w:val="24"/>
        </w:rPr>
        <w:t xml:space="preserve"> fashion is important to minimize the risks of enforcement errors.</w:t>
      </w:r>
    </w:p>
    <w:p w14:paraId="2CE58D5A" w14:textId="76E3E6C2" w:rsidR="003E2A43" w:rsidRPr="00C235E5" w:rsidRDefault="00163ADB" w:rsidP="00792D53">
      <w:pPr>
        <w:spacing w:before="120" w:after="120" w:line="480" w:lineRule="auto"/>
        <w:jc w:val="both"/>
        <w:rPr>
          <w:rFonts w:ascii="Times New Roman" w:eastAsia="Times New Roman" w:hAnsi="Times New Roman" w:cs="Times New Roman"/>
          <w:sz w:val="24"/>
          <w:szCs w:val="24"/>
        </w:rPr>
      </w:pPr>
      <w:r w:rsidRPr="00C235E5">
        <w:rPr>
          <w:rFonts w:ascii="Times New Roman" w:eastAsia="Times New Roman" w:hAnsi="Times New Roman" w:cs="Times New Roman"/>
          <w:sz w:val="24"/>
          <w:szCs w:val="24"/>
        </w:rPr>
        <w:t xml:space="preserve">Unfortunately, it is hard to study </w:t>
      </w:r>
      <w:r w:rsidR="007C6A52" w:rsidRPr="00C235E5">
        <w:rPr>
          <w:rFonts w:ascii="Times New Roman" w:eastAsia="Times New Roman" w:hAnsi="Times New Roman" w:cs="Times New Roman"/>
          <w:sz w:val="24"/>
          <w:szCs w:val="24"/>
        </w:rPr>
        <w:t xml:space="preserve">the </w:t>
      </w:r>
      <w:r w:rsidR="009B3048" w:rsidRPr="00C235E5">
        <w:rPr>
          <w:rFonts w:ascii="Times New Roman" w:eastAsia="Times New Roman" w:hAnsi="Times New Roman" w:cs="Times New Roman"/>
          <w:sz w:val="24"/>
          <w:szCs w:val="24"/>
        </w:rPr>
        <w:t>“</w:t>
      </w:r>
      <w:r w:rsidR="007C6A52" w:rsidRPr="00C235E5">
        <w:rPr>
          <w:rFonts w:ascii="Times New Roman" w:eastAsia="Times New Roman" w:hAnsi="Times New Roman" w:cs="Times New Roman"/>
          <w:i/>
          <w:iCs/>
          <w:sz w:val="24"/>
          <w:szCs w:val="24"/>
        </w:rPr>
        <w:t>kill</w:t>
      </w:r>
      <w:r w:rsidR="009B3048" w:rsidRPr="00C235E5">
        <w:rPr>
          <w:rFonts w:ascii="Times New Roman" w:eastAsia="Times New Roman" w:hAnsi="Times New Roman" w:cs="Times New Roman"/>
          <w:sz w:val="24"/>
          <w:szCs w:val="24"/>
        </w:rPr>
        <w:t>”</w:t>
      </w:r>
      <w:r w:rsidR="007C6A52" w:rsidRPr="00C235E5">
        <w:rPr>
          <w:rFonts w:ascii="Times New Roman" w:eastAsia="Times New Roman" w:hAnsi="Times New Roman" w:cs="Times New Roman"/>
          <w:sz w:val="24"/>
          <w:szCs w:val="24"/>
        </w:rPr>
        <w:t xml:space="preserve"> </w:t>
      </w:r>
      <w:r w:rsidRPr="00C235E5">
        <w:rPr>
          <w:rFonts w:ascii="Times New Roman" w:eastAsia="Times New Roman" w:hAnsi="Times New Roman" w:cs="Times New Roman"/>
          <w:sz w:val="24"/>
          <w:szCs w:val="24"/>
        </w:rPr>
        <w:t xml:space="preserve">due to </w:t>
      </w:r>
      <w:r w:rsidR="007C62E7">
        <w:rPr>
          <w:rFonts w:ascii="Times New Roman" w:eastAsia="Times New Roman" w:hAnsi="Times New Roman" w:cs="Times New Roman"/>
          <w:sz w:val="24"/>
          <w:szCs w:val="24"/>
        </w:rPr>
        <w:t xml:space="preserve">a problem </w:t>
      </w:r>
      <w:r w:rsidR="007C6A52" w:rsidRPr="00C235E5">
        <w:rPr>
          <w:rFonts w:ascii="Times New Roman" w:eastAsia="Times New Roman" w:hAnsi="Times New Roman" w:cs="Times New Roman"/>
          <w:sz w:val="24"/>
          <w:szCs w:val="24"/>
        </w:rPr>
        <w:t xml:space="preserve">of </w:t>
      </w:r>
      <w:r w:rsidR="007C6A52" w:rsidRPr="0020039E">
        <w:rPr>
          <w:rFonts w:ascii="Times New Roman" w:eastAsia="Times New Roman" w:hAnsi="Times New Roman" w:cs="Times New Roman"/>
          <w:sz w:val="24"/>
          <w:szCs w:val="24"/>
        </w:rPr>
        <w:t>observability</w:t>
      </w:r>
      <w:r w:rsidRPr="00C235E5">
        <w:rPr>
          <w:rFonts w:ascii="Times New Roman" w:eastAsia="Times New Roman" w:hAnsi="Times New Roman" w:cs="Times New Roman"/>
          <w:sz w:val="24"/>
          <w:szCs w:val="24"/>
        </w:rPr>
        <w:t xml:space="preserve">. Once a firm is </w:t>
      </w:r>
      <w:r w:rsidR="000B58D7">
        <w:rPr>
          <w:rFonts w:ascii="Times New Roman" w:eastAsia="Times New Roman" w:hAnsi="Times New Roman" w:cs="Times New Roman"/>
          <w:sz w:val="24"/>
          <w:szCs w:val="24"/>
        </w:rPr>
        <w:t>acquired</w:t>
      </w:r>
      <w:r w:rsidRPr="00C235E5">
        <w:rPr>
          <w:rFonts w:ascii="Times New Roman" w:eastAsia="Times New Roman" w:hAnsi="Times New Roman" w:cs="Times New Roman"/>
          <w:sz w:val="24"/>
          <w:szCs w:val="24"/>
        </w:rPr>
        <w:t xml:space="preserve">, its </w:t>
      </w:r>
      <w:r w:rsidR="0084416A" w:rsidRPr="00C235E5">
        <w:rPr>
          <w:rFonts w:ascii="Times New Roman" w:eastAsia="Times New Roman" w:hAnsi="Times New Roman" w:cs="Times New Roman"/>
          <w:sz w:val="24"/>
          <w:szCs w:val="24"/>
        </w:rPr>
        <w:t>products</w:t>
      </w:r>
      <w:r w:rsidRPr="00C235E5">
        <w:rPr>
          <w:rFonts w:ascii="Times New Roman" w:eastAsia="Times New Roman" w:hAnsi="Times New Roman" w:cs="Times New Roman"/>
          <w:sz w:val="24"/>
          <w:szCs w:val="24"/>
        </w:rPr>
        <w:t xml:space="preserve"> are integrated in the </w:t>
      </w:r>
      <w:r w:rsidR="00DC2F7B" w:rsidRPr="00C235E5">
        <w:rPr>
          <w:rFonts w:ascii="Times New Roman" w:eastAsia="Times New Roman" w:hAnsi="Times New Roman" w:cs="Times New Roman"/>
          <w:sz w:val="24"/>
          <w:szCs w:val="24"/>
        </w:rPr>
        <w:t xml:space="preserve">merged </w:t>
      </w:r>
      <w:r w:rsidRPr="00C235E5">
        <w:rPr>
          <w:rFonts w:ascii="Times New Roman" w:eastAsia="Times New Roman" w:hAnsi="Times New Roman" w:cs="Times New Roman"/>
          <w:sz w:val="24"/>
          <w:szCs w:val="24"/>
        </w:rPr>
        <w:t xml:space="preserve">firm. </w:t>
      </w:r>
      <w:r w:rsidR="00DC2F7B" w:rsidRPr="00C235E5">
        <w:rPr>
          <w:rFonts w:ascii="Times New Roman" w:eastAsia="Times New Roman" w:hAnsi="Times New Roman" w:cs="Times New Roman"/>
          <w:sz w:val="24"/>
          <w:szCs w:val="24"/>
        </w:rPr>
        <w:t xml:space="preserve">How can we observe </w:t>
      </w:r>
      <w:r w:rsidR="00373CB9" w:rsidRPr="00C235E5">
        <w:rPr>
          <w:rFonts w:ascii="Times New Roman" w:eastAsia="Times New Roman" w:hAnsi="Times New Roman" w:cs="Times New Roman"/>
          <w:sz w:val="24"/>
          <w:szCs w:val="24"/>
        </w:rPr>
        <w:t xml:space="preserve">from the outside </w:t>
      </w:r>
      <w:r w:rsidR="00DC2F7B" w:rsidRPr="00C235E5">
        <w:rPr>
          <w:rFonts w:ascii="Times New Roman" w:eastAsia="Times New Roman" w:hAnsi="Times New Roman" w:cs="Times New Roman"/>
          <w:sz w:val="24"/>
          <w:szCs w:val="24"/>
        </w:rPr>
        <w:t xml:space="preserve">whether the target’s product is scaled or </w:t>
      </w:r>
      <w:r w:rsidR="00276EDF" w:rsidRPr="00C235E5">
        <w:rPr>
          <w:rFonts w:ascii="Times New Roman" w:eastAsia="Times New Roman" w:hAnsi="Times New Roman" w:cs="Times New Roman"/>
          <w:sz w:val="24"/>
          <w:szCs w:val="24"/>
        </w:rPr>
        <w:t xml:space="preserve">shelved </w:t>
      </w:r>
      <w:r w:rsidR="00373CB9" w:rsidRPr="00C235E5">
        <w:rPr>
          <w:rFonts w:ascii="Times New Roman" w:eastAsia="Times New Roman" w:hAnsi="Times New Roman" w:cs="Times New Roman"/>
          <w:sz w:val="24"/>
          <w:szCs w:val="24"/>
        </w:rPr>
        <w:t xml:space="preserve">by </w:t>
      </w:r>
      <w:r w:rsidR="00FC2CCA" w:rsidRPr="00C235E5">
        <w:rPr>
          <w:rFonts w:ascii="Times New Roman" w:eastAsia="Times New Roman" w:hAnsi="Times New Roman" w:cs="Times New Roman"/>
          <w:sz w:val="24"/>
          <w:szCs w:val="24"/>
        </w:rPr>
        <w:t xml:space="preserve">the </w:t>
      </w:r>
      <w:r w:rsidR="00ED62BA" w:rsidRPr="00C235E5">
        <w:rPr>
          <w:rFonts w:ascii="Times New Roman" w:eastAsia="Times New Roman" w:hAnsi="Times New Roman" w:cs="Times New Roman"/>
          <w:sz w:val="24"/>
          <w:szCs w:val="24"/>
        </w:rPr>
        <w:t>buyer</w:t>
      </w:r>
      <w:r w:rsidR="00373CB9" w:rsidRPr="00C235E5">
        <w:rPr>
          <w:rFonts w:ascii="Times New Roman" w:eastAsia="Times New Roman" w:hAnsi="Times New Roman" w:cs="Times New Roman"/>
          <w:sz w:val="24"/>
          <w:szCs w:val="24"/>
        </w:rPr>
        <w:t xml:space="preserve">? </w:t>
      </w:r>
      <w:r w:rsidR="004440A6" w:rsidRPr="00C235E5">
        <w:rPr>
          <w:rFonts w:ascii="Times New Roman" w:eastAsia="Times New Roman" w:hAnsi="Times New Roman" w:cs="Times New Roman"/>
          <w:sz w:val="24"/>
          <w:szCs w:val="24"/>
        </w:rPr>
        <w:t>The problem is compounded when the buyer</w:t>
      </w:r>
      <w:r w:rsidR="0010218B">
        <w:rPr>
          <w:rFonts w:ascii="Times New Roman" w:eastAsia="Times New Roman" w:hAnsi="Times New Roman" w:cs="Times New Roman"/>
          <w:sz w:val="24"/>
          <w:szCs w:val="24"/>
        </w:rPr>
        <w:t xml:space="preserve"> integrates</w:t>
      </w:r>
      <w:r w:rsidR="004440A6" w:rsidRPr="00C235E5">
        <w:rPr>
          <w:rFonts w:ascii="Times New Roman" w:eastAsia="Times New Roman" w:hAnsi="Times New Roman" w:cs="Times New Roman"/>
          <w:sz w:val="24"/>
          <w:szCs w:val="24"/>
        </w:rPr>
        <w:t xml:space="preserve"> </w:t>
      </w:r>
      <w:r w:rsidR="000B58D7">
        <w:rPr>
          <w:rFonts w:ascii="Times New Roman" w:eastAsia="Times New Roman" w:hAnsi="Times New Roman" w:cs="Times New Roman"/>
          <w:sz w:val="24"/>
          <w:szCs w:val="24"/>
        </w:rPr>
        <w:t xml:space="preserve">the target’s product with its own. </w:t>
      </w:r>
    </w:p>
    <w:p w14:paraId="669477FE" w14:textId="04B82F06" w:rsidR="00566755" w:rsidRPr="00C235E5" w:rsidRDefault="006D2B87" w:rsidP="00792D53">
      <w:pPr>
        <w:spacing w:before="120" w:after="120" w:line="480" w:lineRule="auto"/>
        <w:jc w:val="both"/>
        <w:rPr>
          <w:rFonts w:ascii="Times New Roman" w:eastAsia="Times New Roman" w:hAnsi="Times New Roman" w:cs="Times New Roman"/>
          <w:sz w:val="24"/>
          <w:szCs w:val="24"/>
        </w:rPr>
      </w:pPr>
      <w:r w:rsidRPr="00C235E5">
        <w:rPr>
          <w:rFonts w:ascii="Times New Roman" w:eastAsia="Times New Roman" w:hAnsi="Times New Roman" w:cs="Times New Roman"/>
          <w:sz w:val="24"/>
          <w:szCs w:val="24"/>
        </w:rPr>
        <w:t xml:space="preserve">Besides, the </w:t>
      </w:r>
      <w:r w:rsidR="00633708" w:rsidRPr="00C235E5">
        <w:rPr>
          <w:rFonts w:ascii="Times New Roman" w:eastAsia="Times New Roman" w:hAnsi="Times New Roman" w:cs="Times New Roman"/>
          <w:sz w:val="24"/>
          <w:szCs w:val="24"/>
        </w:rPr>
        <w:t xml:space="preserve">implicit idea behind the </w:t>
      </w:r>
      <w:r w:rsidR="00354B06" w:rsidRPr="00C235E5">
        <w:rPr>
          <w:rFonts w:ascii="Times New Roman" w:eastAsia="Times New Roman" w:hAnsi="Times New Roman" w:cs="Times New Roman"/>
          <w:sz w:val="24"/>
          <w:szCs w:val="24"/>
        </w:rPr>
        <w:t xml:space="preserve">killer </w:t>
      </w:r>
      <w:r w:rsidR="00065237" w:rsidRPr="00C235E5">
        <w:rPr>
          <w:rFonts w:ascii="Times New Roman" w:eastAsia="Times New Roman" w:hAnsi="Times New Roman" w:cs="Times New Roman"/>
          <w:sz w:val="24"/>
          <w:szCs w:val="24"/>
        </w:rPr>
        <w:t>acquisitions’</w:t>
      </w:r>
      <w:r w:rsidR="004C2412">
        <w:rPr>
          <w:rFonts w:ascii="Times New Roman" w:eastAsia="Times New Roman" w:hAnsi="Times New Roman" w:cs="Times New Roman"/>
          <w:sz w:val="24"/>
          <w:szCs w:val="24"/>
        </w:rPr>
        <w:t xml:space="preserve"> </w:t>
      </w:r>
      <w:r w:rsidR="007F16B7" w:rsidRPr="00C235E5">
        <w:rPr>
          <w:rFonts w:ascii="Times New Roman" w:eastAsia="Times New Roman" w:hAnsi="Times New Roman" w:cs="Times New Roman"/>
          <w:sz w:val="24"/>
          <w:szCs w:val="24"/>
        </w:rPr>
        <w:t>theory</w:t>
      </w:r>
      <w:r w:rsidR="00633708" w:rsidRPr="00C235E5">
        <w:rPr>
          <w:rFonts w:ascii="Times New Roman" w:eastAsia="Times New Roman" w:hAnsi="Times New Roman" w:cs="Times New Roman"/>
          <w:sz w:val="24"/>
          <w:szCs w:val="24"/>
        </w:rPr>
        <w:t xml:space="preserve"> </w:t>
      </w:r>
      <w:r w:rsidR="00354B06" w:rsidRPr="00C235E5">
        <w:rPr>
          <w:rFonts w:ascii="Times New Roman" w:eastAsia="Times New Roman" w:hAnsi="Times New Roman" w:cs="Times New Roman"/>
          <w:sz w:val="24"/>
          <w:szCs w:val="24"/>
        </w:rPr>
        <w:t xml:space="preserve">relies on </w:t>
      </w:r>
      <w:r w:rsidR="00D06629" w:rsidRPr="00C235E5">
        <w:rPr>
          <w:rFonts w:ascii="Times New Roman" w:eastAsia="Times New Roman" w:hAnsi="Times New Roman" w:cs="Times New Roman"/>
          <w:sz w:val="24"/>
          <w:szCs w:val="24"/>
        </w:rPr>
        <w:t>an untested</w:t>
      </w:r>
      <w:r w:rsidR="00354B06" w:rsidRPr="00C235E5">
        <w:rPr>
          <w:rFonts w:ascii="Times New Roman" w:eastAsia="Times New Roman" w:hAnsi="Times New Roman" w:cs="Times New Roman"/>
          <w:sz w:val="24"/>
          <w:szCs w:val="24"/>
        </w:rPr>
        <w:t xml:space="preserve"> </w:t>
      </w:r>
      <w:r w:rsidR="00354B06" w:rsidRPr="00816FFF">
        <w:rPr>
          <w:rFonts w:ascii="Times New Roman" w:eastAsia="Times New Roman" w:hAnsi="Times New Roman" w:cs="Times New Roman"/>
          <w:sz w:val="24"/>
          <w:szCs w:val="24"/>
        </w:rPr>
        <w:t>inference</w:t>
      </w:r>
      <w:r w:rsidR="00D55320" w:rsidRPr="00C235E5">
        <w:rPr>
          <w:rFonts w:ascii="Times New Roman" w:eastAsia="Times New Roman" w:hAnsi="Times New Roman" w:cs="Times New Roman"/>
          <w:sz w:val="24"/>
          <w:szCs w:val="24"/>
        </w:rPr>
        <w:t xml:space="preserve"> about competition</w:t>
      </w:r>
      <w:r w:rsidR="00D06629" w:rsidRPr="00C235E5">
        <w:rPr>
          <w:rFonts w:ascii="Times New Roman" w:eastAsia="Times New Roman" w:hAnsi="Times New Roman" w:cs="Times New Roman"/>
          <w:sz w:val="24"/>
          <w:szCs w:val="24"/>
        </w:rPr>
        <w:t>.</w:t>
      </w:r>
      <w:r w:rsidR="00354B06" w:rsidRPr="00C235E5">
        <w:rPr>
          <w:rFonts w:ascii="Times New Roman" w:eastAsia="Times New Roman" w:hAnsi="Times New Roman" w:cs="Times New Roman"/>
          <w:sz w:val="24"/>
          <w:szCs w:val="24"/>
        </w:rPr>
        <w:t xml:space="preserve"> </w:t>
      </w:r>
      <w:r w:rsidR="00D06629" w:rsidRPr="00C235E5">
        <w:rPr>
          <w:rFonts w:ascii="Times New Roman" w:eastAsia="Times New Roman" w:hAnsi="Times New Roman" w:cs="Times New Roman"/>
          <w:sz w:val="24"/>
          <w:szCs w:val="24"/>
        </w:rPr>
        <w:t>E</w:t>
      </w:r>
      <w:r w:rsidR="007C6A52" w:rsidRPr="00C235E5">
        <w:rPr>
          <w:rFonts w:ascii="Times New Roman" w:eastAsia="Times New Roman" w:hAnsi="Times New Roman" w:cs="Times New Roman"/>
          <w:sz w:val="24"/>
          <w:szCs w:val="24"/>
        </w:rPr>
        <w:t xml:space="preserve">ven if we assume in all cases that </w:t>
      </w:r>
      <w:r w:rsidR="00DC2F7B" w:rsidRPr="00C235E5">
        <w:rPr>
          <w:rFonts w:ascii="Times New Roman" w:eastAsia="Times New Roman" w:hAnsi="Times New Roman" w:cs="Times New Roman"/>
          <w:sz w:val="24"/>
          <w:szCs w:val="24"/>
        </w:rPr>
        <w:t xml:space="preserve">the target’s </w:t>
      </w:r>
      <w:r w:rsidR="007C6A52" w:rsidRPr="00C235E5">
        <w:rPr>
          <w:rFonts w:ascii="Times New Roman" w:eastAsia="Times New Roman" w:hAnsi="Times New Roman" w:cs="Times New Roman"/>
          <w:sz w:val="24"/>
          <w:szCs w:val="24"/>
        </w:rPr>
        <w:t xml:space="preserve">products are </w:t>
      </w:r>
      <w:r w:rsidR="009B3048" w:rsidRPr="00C235E5">
        <w:rPr>
          <w:rFonts w:ascii="Times New Roman" w:eastAsia="Times New Roman" w:hAnsi="Times New Roman" w:cs="Times New Roman"/>
          <w:sz w:val="24"/>
          <w:szCs w:val="24"/>
        </w:rPr>
        <w:t>discontinued</w:t>
      </w:r>
      <w:r w:rsidR="00DC2F7B" w:rsidRPr="00C235E5">
        <w:rPr>
          <w:rFonts w:ascii="Times New Roman" w:eastAsia="Times New Roman" w:hAnsi="Times New Roman" w:cs="Times New Roman"/>
          <w:sz w:val="24"/>
          <w:szCs w:val="24"/>
        </w:rPr>
        <w:t xml:space="preserve"> in the </w:t>
      </w:r>
      <w:r w:rsidR="00ED62BA" w:rsidRPr="00C235E5">
        <w:rPr>
          <w:rFonts w:ascii="Times New Roman" w:eastAsia="Times New Roman" w:hAnsi="Times New Roman" w:cs="Times New Roman"/>
          <w:sz w:val="24"/>
          <w:szCs w:val="24"/>
        </w:rPr>
        <w:t xml:space="preserve">buyer’s </w:t>
      </w:r>
      <w:r w:rsidR="00DC2F7B" w:rsidRPr="00C235E5">
        <w:rPr>
          <w:rFonts w:ascii="Times New Roman" w:eastAsia="Times New Roman" w:hAnsi="Times New Roman" w:cs="Times New Roman"/>
          <w:sz w:val="24"/>
          <w:szCs w:val="24"/>
        </w:rPr>
        <w:t>firm</w:t>
      </w:r>
      <w:r w:rsidR="007C6A52" w:rsidRPr="00C235E5">
        <w:rPr>
          <w:rFonts w:ascii="Times New Roman" w:eastAsia="Times New Roman" w:hAnsi="Times New Roman" w:cs="Times New Roman"/>
          <w:sz w:val="24"/>
          <w:szCs w:val="24"/>
        </w:rPr>
        <w:t xml:space="preserve">, </w:t>
      </w:r>
      <w:r w:rsidR="00DC2F7B" w:rsidRPr="00C235E5">
        <w:rPr>
          <w:rFonts w:ascii="Times New Roman" w:eastAsia="Times New Roman" w:hAnsi="Times New Roman" w:cs="Times New Roman"/>
          <w:sz w:val="24"/>
          <w:szCs w:val="24"/>
        </w:rPr>
        <w:t xml:space="preserve">it would be </w:t>
      </w:r>
      <w:r w:rsidR="00DC2F7B" w:rsidRPr="00C235E5">
        <w:rPr>
          <w:rFonts w:ascii="Times New Roman" w:eastAsia="Times New Roman" w:hAnsi="Times New Roman" w:cs="Times New Roman"/>
          <w:i/>
          <w:iCs/>
          <w:sz w:val="24"/>
          <w:szCs w:val="24"/>
        </w:rPr>
        <w:t>non sequitur</w:t>
      </w:r>
      <w:r w:rsidR="00DC2F7B" w:rsidRPr="00C235E5">
        <w:rPr>
          <w:rFonts w:ascii="Times New Roman" w:eastAsia="Times New Roman" w:hAnsi="Times New Roman" w:cs="Times New Roman"/>
          <w:sz w:val="24"/>
          <w:szCs w:val="24"/>
        </w:rPr>
        <w:t xml:space="preserve"> to infer a weakening of competition</w:t>
      </w:r>
      <w:r w:rsidR="00B81AEC" w:rsidRPr="00C235E5">
        <w:rPr>
          <w:rFonts w:ascii="Times New Roman" w:eastAsia="Times New Roman" w:hAnsi="Times New Roman" w:cs="Times New Roman"/>
          <w:sz w:val="24"/>
          <w:szCs w:val="24"/>
        </w:rPr>
        <w:t>.</w:t>
      </w:r>
      <w:r w:rsidR="009B22EF" w:rsidRPr="00C235E5">
        <w:rPr>
          <w:rFonts w:ascii="Times New Roman" w:eastAsia="Times New Roman" w:hAnsi="Times New Roman" w:cs="Times New Roman"/>
          <w:sz w:val="24"/>
          <w:szCs w:val="24"/>
        </w:rPr>
        <w:t xml:space="preserve"> </w:t>
      </w:r>
      <w:r w:rsidR="00F274B3" w:rsidRPr="00C235E5">
        <w:rPr>
          <w:rFonts w:ascii="Times New Roman" w:eastAsia="Times New Roman" w:hAnsi="Times New Roman" w:cs="Times New Roman"/>
          <w:sz w:val="24"/>
          <w:szCs w:val="24"/>
        </w:rPr>
        <w:t>Demand for the discontinued product</w:t>
      </w:r>
      <w:r w:rsidR="00FD4214" w:rsidRPr="00C235E5">
        <w:rPr>
          <w:rFonts w:ascii="Times New Roman" w:eastAsia="Times New Roman" w:hAnsi="Times New Roman" w:cs="Times New Roman"/>
          <w:sz w:val="24"/>
          <w:szCs w:val="24"/>
        </w:rPr>
        <w:t xml:space="preserve"> </w:t>
      </w:r>
      <w:r w:rsidR="007D3701" w:rsidRPr="00C235E5">
        <w:rPr>
          <w:rFonts w:ascii="Times New Roman" w:eastAsia="Times New Roman" w:hAnsi="Times New Roman" w:cs="Times New Roman"/>
          <w:sz w:val="24"/>
          <w:szCs w:val="24"/>
        </w:rPr>
        <w:t>may</w:t>
      </w:r>
      <w:r w:rsidR="00FD4214" w:rsidRPr="00C235E5">
        <w:rPr>
          <w:rFonts w:ascii="Times New Roman" w:eastAsia="Times New Roman" w:hAnsi="Times New Roman" w:cs="Times New Roman"/>
          <w:sz w:val="24"/>
          <w:szCs w:val="24"/>
        </w:rPr>
        <w:t xml:space="preserve"> </w:t>
      </w:r>
      <w:r w:rsidR="006D07AD" w:rsidRPr="00C235E5">
        <w:rPr>
          <w:rFonts w:ascii="Times New Roman" w:eastAsia="Times New Roman" w:hAnsi="Times New Roman" w:cs="Times New Roman"/>
          <w:sz w:val="24"/>
          <w:szCs w:val="24"/>
        </w:rPr>
        <w:t>switch</w:t>
      </w:r>
      <w:r w:rsidR="00FD4214" w:rsidRPr="00C235E5">
        <w:rPr>
          <w:rFonts w:ascii="Times New Roman" w:eastAsia="Times New Roman" w:hAnsi="Times New Roman" w:cs="Times New Roman"/>
          <w:sz w:val="24"/>
          <w:szCs w:val="24"/>
        </w:rPr>
        <w:t xml:space="preserve"> to </w:t>
      </w:r>
      <w:r w:rsidR="00F274B3" w:rsidRPr="00C235E5">
        <w:rPr>
          <w:rFonts w:ascii="Times New Roman" w:eastAsia="Times New Roman" w:hAnsi="Times New Roman" w:cs="Times New Roman"/>
          <w:sz w:val="24"/>
          <w:szCs w:val="24"/>
        </w:rPr>
        <w:t xml:space="preserve">alternative </w:t>
      </w:r>
      <w:r w:rsidR="006952F8" w:rsidRPr="00C235E5">
        <w:rPr>
          <w:rFonts w:ascii="Times New Roman" w:eastAsia="Times New Roman" w:hAnsi="Times New Roman" w:cs="Times New Roman"/>
          <w:sz w:val="24"/>
          <w:szCs w:val="24"/>
        </w:rPr>
        <w:t>products</w:t>
      </w:r>
      <w:r w:rsidR="00FD4214" w:rsidRPr="00C235E5">
        <w:rPr>
          <w:rFonts w:ascii="Times New Roman" w:eastAsia="Times New Roman" w:hAnsi="Times New Roman" w:cs="Times New Roman"/>
          <w:sz w:val="24"/>
          <w:szCs w:val="24"/>
        </w:rPr>
        <w:t xml:space="preserve">, </w:t>
      </w:r>
      <w:r w:rsidR="00F21073" w:rsidRPr="00C235E5">
        <w:rPr>
          <w:rFonts w:ascii="Times New Roman" w:eastAsia="Times New Roman" w:hAnsi="Times New Roman" w:cs="Times New Roman"/>
          <w:sz w:val="24"/>
          <w:szCs w:val="24"/>
        </w:rPr>
        <w:t>l</w:t>
      </w:r>
      <w:r w:rsidR="00FD4214" w:rsidRPr="00C235E5">
        <w:rPr>
          <w:rFonts w:ascii="Times New Roman" w:eastAsia="Times New Roman" w:hAnsi="Times New Roman" w:cs="Times New Roman"/>
          <w:sz w:val="24"/>
          <w:szCs w:val="24"/>
        </w:rPr>
        <w:t xml:space="preserve">eading to </w:t>
      </w:r>
      <w:r w:rsidR="00A4277A" w:rsidRPr="00C235E5">
        <w:rPr>
          <w:rFonts w:ascii="Times New Roman" w:eastAsia="Times New Roman" w:hAnsi="Times New Roman" w:cs="Times New Roman"/>
          <w:sz w:val="24"/>
          <w:szCs w:val="24"/>
        </w:rPr>
        <w:t xml:space="preserve">the </w:t>
      </w:r>
      <w:r w:rsidR="00FD4214" w:rsidRPr="00C235E5">
        <w:rPr>
          <w:rFonts w:ascii="Times New Roman" w:eastAsia="Times New Roman" w:hAnsi="Times New Roman" w:cs="Times New Roman"/>
          <w:sz w:val="24"/>
          <w:szCs w:val="24"/>
        </w:rPr>
        <w:t xml:space="preserve">growth of </w:t>
      </w:r>
      <w:r w:rsidR="001D1026" w:rsidRPr="00C235E5">
        <w:rPr>
          <w:rFonts w:ascii="Times New Roman" w:eastAsia="Times New Roman" w:hAnsi="Times New Roman" w:cs="Times New Roman"/>
          <w:sz w:val="24"/>
          <w:szCs w:val="24"/>
        </w:rPr>
        <w:t>third-party</w:t>
      </w:r>
      <w:r w:rsidR="00F21073" w:rsidRPr="00C235E5">
        <w:rPr>
          <w:rFonts w:ascii="Times New Roman" w:eastAsia="Times New Roman" w:hAnsi="Times New Roman" w:cs="Times New Roman"/>
          <w:sz w:val="24"/>
          <w:szCs w:val="24"/>
        </w:rPr>
        <w:t xml:space="preserve"> </w:t>
      </w:r>
      <w:r w:rsidR="00FD4214" w:rsidRPr="00C235E5">
        <w:rPr>
          <w:rFonts w:ascii="Times New Roman" w:eastAsia="Times New Roman" w:hAnsi="Times New Roman" w:cs="Times New Roman"/>
          <w:sz w:val="24"/>
          <w:szCs w:val="24"/>
        </w:rPr>
        <w:t xml:space="preserve">competitors. </w:t>
      </w:r>
      <w:r w:rsidR="000B58D7">
        <w:rPr>
          <w:rFonts w:ascii="Times New Roman" w:eastAsia="Times New Roman" w:hAnsi="Times New Roman" w:cs="Times New Roman"/>
          <w:sz w:val="24"/>
          <w:szCs w:val="24"/>
        </w:rPr>
        <w:t>E</w:t>
      </w:r>
      <w:r w:rsidR="006D52A3">
        <w:rPr>
          <w:rFonts w:ascii="Times New Roman" w:eastAsia="Times New Roman" w:hAnsi="Times New Roman" w:cs="Times New Roman"/>
          <w:sz w:val="24"/>
          <w:szCs w:val="24"/>
        </w:rPr>
        <w:t>quating a discontinuation of the target’s product with anticompetitive effects is therefore erroneous</w:t>
      </w:r>
      <w:r w:rsidR="00A76BA2">
        <w:rPr>
          <w:rFonts w:ascii="Times New Roman" w:eastAsia="Times New Roman" w:hAnsi="Times New Roman" w:cs="Times New Roman"/>
          <w:sz w:val="24"/>
          <w:szCs w:val="24"/>
        </w:rPr>
        <w:t xml:space="preserve"> – the former does not necessarily </w:t>
      </w:r>
      <w:r w:rsidR="000B58D7">
        <w:rPr>
          <w:rFonts w:ascii="Times New Roman" w:eastAsia="Times New Roman" w:hAnsi="Times New Roman" w:cs="Times New Roman"/>
          <w:sz w:val="24"/>
          <w:szCs w:val="24"/>
        </w:rPr>
        <w:t>entail</w:t>
      </w:r>
      <w:r w:rsidR="00A76BA2">
        <w:rPr>
          <w:rFonts w:ascii="Times New Roman" w:eastAsia="Times New Roman" w:hAnsi="Times New Roman" w:cs="Times New Roman"/>
          <w:sz w:val="24"/>
          <w:szCs w:val="24"/>
        </w:rPr>
        <w:t xml:space="preserve"> the latter.</w:t>
      </w:r>
    </w:p>
    <w:p w14:paraId="25FC2201" w14:textId="27F7E50A" w:rsidR="00397EA5" w:rsidRPr="00C235E5" w:rsidRDefault="00356413" w:rsidP="00792D53">
      <w:pPr>
        <w:spacing w:before="120" w:after="120" w:line="480" w:lineRule="auto"/>
        <w:jc w:val="both"/>
        <w:rPr>
          <w:rFonts w:ascii="Times New Roman" w:eastAsia="Times New Roman" w:hAnsi="Times New Roman" w:cs="Times New Roman"/>
          <w:sz w:val="24"/>
          <w:szCs w:val="24"/>
        </w:rPr>
      </w:pPr>
      <w:r w:rsidRPr="00C235E5">
        <w:rPr>
          <w:rFonts w:ascii="Times New Roman" w:eastAsia="Times New Roman" w:hAnsi="Times New Roman" w:cs="Times New Roman"/>
          <w:sz w:val="24"/>
          <w:szCs w:val="24"/>
        </w:rPr>
        <w:t>A</w:t>
      </w:r>
      <w:r w:rsidR="00566755" w:rsidRPr="00C235E5">
        <w:rPr>
          <w:rFonts w:ascii="Times New Roman" w:eastAsia="Times New Roman" w:hAnsi="Times New Roman" w:cs="Times New Roman"/>
          <w:sz w:val="24"/>
          <w:szCs w:val="24"/>
        </w:rPr>
        <w:t xml:space="preserve"> solution to </w:t>
      </w:r>
      <w:r w:rsidR="00DF4AE9" w:rsidRPr="00C235E5">
        <w:rPr>
          <w:rFonts w:ascii="Times New Roman" w:eastAsia="Times New Roman" w:hAnsi="Times New Roman" w:cs="Times New Roman"/>
          <w:sz w:val="24"/>
          <w:szCs w:val="24"/>
        </w:rPr>
        <w:t>both the observability and inference</w:t>
      </w:r>
      <w:r w:rsidR="00566755" w:rsidRPr="00C235E5">
        <w:rPr>
          <w:rFonts w:ascii="Times New Roman" w:eastAsia="Times New Roman" w:hAnsi="Times New Roman" w:cs="Times New Roman"/>
          <w:sz w:val="24"/>
          <w:szCs w:val="24"/>
        </w:rPr>
        <w:t xml:space="preserve"> problem</w:t>
      </w:r>
      <w:r w:rsidR="000D0ED9" w:rsidRPr="00C235E5">
        <w:rPr>
          <w:rFonts w:ascii="Times New Roman" w:eastAsia="Times New Roman" w:hAnsi="Times New Roman" w:cs="Times New Roman"/>
          <w:sz w:val="24"/>
          <w:szCs w:val="24"/>
        </w:rPr>
        <w:t>s</w:t>
      </w:r>
      <w:r w:rsidR="00566755" w:rsidRPr="00C235E5">
        <w:rPr>
          <w:rFonts w:ascii="Times New Roman" w:eastAsia="Times New Roman" w:hAnsi="Times New Roman" w:cs="Times New Roman"/>
          <w:sz w:val="24"/>
          <w:szCs w:val="24"/>
        </w:rPr>
        <w:t xml:space="preserve"> is to focus on perceptions of the competitors of the acquired entity. We use </w:t>
      </w:r>
      <w:r w:rsidR="00AF0F00" w:rsidRPr="00C235E5">
        <w:rPr>
          <w:rFonts w:ascii="Times New Roman" w:eastAsia="Times New Roman" w:hAnsi="Times New Roman" w:cs="Times New Roman"/>
          <w:sz w:val="24"/>
          <w:szCs w:val="24"/>
        </w:rPr>
        <w:t>competitors’</w:t>
      </w:r>
      <w:r w:rsidR="00566755" w:rsidRPr="00C235E5">
        <w:rPr>
          <w:rFonts w:ascii="Times New Roman" w:eastAsia="Times New Roman" w:hAnsi="Times New Roman" w:cs="Times New Roman"/>
          <w:sz w:val="24"/>
          <w:szCs w:val="24"/>
        </w:rPr>
        <w:t xml:space="preserve"> official statements (</w:t>
      </w:r>
      <w:r w:rsidR="008F69A7" w:rsidRPr="00C235E5">
        <w:rPr>
          <w:rFonts w:ascii="Times New Roman" w:eastAsia="Times New Roman" w:hAnsi="Times New Roman" w:cs="Times New Roman"/>
          <w:sz w:val="24"/>
          <w:szCs w:val="24"/>
        </w:rPr>
        <w:t xml:space="preserve">yearly </w:t>
      </w:r>
      <w:r w:rsidR="00EF4E3F" w:rsidRPr="00C235E5">
        <w:rPr>
          <w:rFonts w:ascii="Times New Roman" w:eastAsia="Times New Roman" w:hAnsi="Times New Roman" w:cs="Times New Roman"/>
          <w:sz w:val="24"/>
          <w:szCs w:val="24"/>
        </w:rPr>
        <w:t>10-K</w:t>
      </w:r>
      <w:r w:rsidR="00566755" w:rsidRPr="00C235E5">
        <w:rPr>
          <w:rFonts w:ascii="Times New Roman" w:eastAsia="Times New Roman" w:hAnsi="Times New Roman" w:cs="Times New Roman"/>
          <w:sz w:val="24"/>
          <w:szCs w:val="24"/>
        </w:rPr>
        <w:t xml:space="preserve"> reports</w:t>
      </w:r>
      <w:r w:rsidR="008F69A7" w:rsidRPr="00C235E5">
        <w:rPr>
          <w:rFonts w:ascii="Times New Roman" w:eastAsia="Times New Roman" w:hAnsi="Times New Roman" w:cs="Times New Roman"/>
          <w:sz w:val="24"/>
          <w:szCs w:val="24"/>
        </w:rPr>
        <w:t xml:space="preserve"> to the Securities and Exchange Commission (</w:t>
      </w:r>
      <w:r w:rsidR="00EF42BA" w:rsidRPr="00C235E5">
        <w:rPr>
          <w:rFonts w:ascii="Times New Roman" w:eastAsia="Times New Roman" w:hAnsi="Times New Roman" w:cs="Times New Roman"/>
          <w:sz w:val="24"/>
          <w:szCs w:val="24"/>
        </w:rPr>
        <w:t>“</w:t>
      </w:r>
      <w:r w:rsidR="008F69A7" w:rsidRPr="00C235E5">
        <w:rPr>
          <w:rFonts w:ascii="Times New Roman" w:eastAsia="Times New Roman" w:hAnsi="Times New Roman" w:cs="Times New Roman"/>
          <w:b/>
          <w:bCs/>
          <w:sz w:val="24"/>
          <w:szCs w:val="24"/>
        </w:rPr>
        <w:t>SEC</w:t>
      </w:r>
      <w:r w:rsidR="00EF42BA" w:rsidRPr="00C235E5">
        <w:rPr>
          <w:rFonts w:ascii="Times New Roman" w:eastAsia="Times New Roman" w:hAnsi="Times New Roman" w:cs="Times New Roman"/>
          <w:sz w:val="24"/>
          <w:szCs w:val="24"/>
        </w:rPr>
        <w:t>”</w:t>
      </w:r>
      <w:r w:rsidR="008F69A7" w:rsidRPr="00C235E5">
        <w:rPr>
          <w:rFonts w:ascii="Times New Roman" w:eastAsia="Times New Roman" w:hAnsi="Times New Roman" w:cs="Times New Roman"/>
          <w:sz w:val="24"/>
          <w:szCs w:val="24"/>
        </w:rPr>
        <w:t>)</w:t>
      </w:r>
      <w:r w:rsidR="00566755" w:rsidRPr="00C235E5">
        <w:rPr>
          <w:rFonts w:ascii="Times New Roman" w:eastAsia="Times New Roman" w:hAnsi="Times New Roman" w:cs="Times New Roman"/>
          <w:sz w:val="24"/>
          <w:szCs w:val="24"/>
        </w:rPr>
        <w:t xml:space="preserve">) to </w:t>
      </w:r>
      <w:r w:rsidR="007D3701" w:rsidRPr="00C235E5">
        <w:rPr>
          <w:rFonts w:ascii="Times New Roman" w:eastAsia="Times New Roman" w:hAnsi="Times New Roman" w:cs="Times New Roman"/>
          <w:sz w:val="24"/>
          <w:szCs w:val="24"/>
        </w:rPr>
        <w:t xml:space="preserve">address </w:t>
      </w:r>
      <w:r w:rsidR="006F585C" w:rsidRPr="00C235E5">
        <w:rPr>
          <w:rFonts w:ascii="Times New Roman" w:eastAsia="Times New Roman" w:hAnsi="Times New Roman" w:cs="Times New Roman"/>
          <w:sz w:val="24"/>
          <w:szCs w:val="24"/>
        </w:rPr>
        <w:t xml:space="preserve">several </w:t>
      </w:r>
      <w:r w:rsidR="007D3701" w:rsidRPr="00C235E5">
        <w:rPr>
          <w:rFonts w:ascii="Times New Roman" w:eastAsia="Times New Roman" w:hAnsi="Times New Roman" w:cs="Times New Roman"/>
          <w:sz w:val="24"/>
          <w:szCs w:val="24"/>
        </w:rPr>
        <w:t xml:space="preserve">issues </w:t>
      </w:r>
      <w:r w:rsidR="00A60B78" w:rsidRPr="00C235E5">
        <w:rPr>
          <w:rFonts w:ascii="Times New Roman" w:eastAsia="Times New Roman" w:hAnsi="Times New Roman" w:cs="Times New Roman"/>
          <w:sz w:val="24"/>
          <w:szCs w:val="24"/>
        </w:rPr>
        <w:t>at once</w:t>
      </w:r>
      <w:r w:rsidR="00BD5AC7" w:rsidRPr="00C235E5">
        <w:rPr>
          <w:rFonts w:ascii="Times New Roman" w:eastAsia="Times New Roman" w:hAnsi="Times New Roman" w:cs="Times New Roman"/>
          <w:sz w:val="24"/>
          <w:szCs w:val="24"/>
        </w:rPr>
        <w:t xml:space="preserve">. First, </w:t>
      </w:r>
      <w:r w:rsidR="007D3701" w:rsidRPr="00C235E5">
        <w:rPr>
          <w:rFonts w:ascii="Times New Roman" w:eastAsia="Times New Roman" w:hAnsi="Times New Roman" w:cs="Times New Roman"/>
          <w:sz w:val="24"/>
          <w:szCs w:val="24"/>
        </w:rPr>
        <w:t>we study if</w:t>
      </w:r>
      <w:r w:rsidR="003E3E1D">
        <w:rPr>
          <w:rFonts w:ascii="Times New Roman" w:eastAsia="Times New Roman" w:hAnsi="Times New Roman" w:cs="Times New Roman"/>
          <w:sz w:val="24"/>
          <w:szCs w:val="24"/>
        </w:rPr>
        <w:t>,</w:t>
      </w:r>
      <w:r w:rsidR="007D3701" w:rsidRPr="00C235E5">
        <w:rPr>
          <w:rFonts w:ascii="Times New Roman" w:eastAsia="Times New Roman" w:hAnsi="Times New Roman" w:cs="Times New Roman"/>
          <w:sz w:val="24"/>
          <w:szCs w:val="24"/>
        </w:rPr>
        <w:t xml:space="preserve"> in </w:t>
      </w:r>
      <w:r w:rsidR="00566755" w:rsidRPr="00C235E5">
        <w:rPr>
          <w:rFonts w:ascii="Times New Roman" w:eastAsia="Times New Roman" w:hAnsi="Times New Roman" w:cs="Times New Roman"/>
          <w:sz w:val="24"/>
          <w:szCs w:val="24"/>
        </w:rPr>
        <w:t xml:space="preserve">the competitors’ perception, the </w:t>
      </w:r>
      <w:r w:rsidR="00BD5AC7" w:rsidRPr="00C235E5">
        <w:rPr>
          <w:rFonts w:ascii="Times New Roman" w:eastAsia="Times New Roman" w:hAnsi="Times New Roman" w:cs="Times New Roman"/>
          <w:sz w:val="24"/>
          <w:szCs w:val="24"/>
        </w:rPr>
        <w:t>target</w:t>
      </w:r>
      <w:r w:rsidR="00A13DA3" w:rsidRPr="00C235E5">
        <w:rPr>
          <w:rFonts w:ascii="Times New Roman" w:eastAsia="Times New Roman" w:hAnsi="Times New Roman" w:cs="Times New Roman"/>
          <w:sz w:val="24"/>
          <w:szCs w:val="24"/>
        </w:rPr>
        <w:t xml:space="preserve"> </w:t>
      </w:r>
      <w:r w:rsidR="008122E5" w:rsidRPr="00C235E5">
        <w:rPr>
          <w:rFonts w:ascii="Times New Roman" w:eastAsia="Times New Roman" w:hAnsi="Times New Roman" w:cs="Times New Roman"/>
          <w:sz w:val="24"/>
          <w:szCs w:val="24"/>
        </w:rPr>
        <w:t xml:space="preserve">is </w:t>
      </w:r>
      <w:r w:rsidR="00566755" w:rsidRPr="00C235E5">
        <w:rPr>
          <w:rFonts w:ascii="Times New Roman" w:eastAsia="Times New Roman" w:hAnsi="Times New Roman" w:cs="Times New Roman"/>
          <w:sz w:val="24"/>
          <w:szCs w:val="24"/>
        </w:rPr>
        <w:t>still “alive”</w:t>
      </w:r>
      <w:r w:rsidR="00A533B2" w:rsidRPr="00C235E5">
        <w:rPr>
          <w:rFonts w:ascii="Times New Roman" w:eastAsia="Times New Roman" w:hAnsi="Times New Roman" w:cs="Times New Roman"/>
          <w:sz w:val="24"/>
          <w:szCs w:val="24"/>
        </w:rPr>
        <w:t xml:space="preserve"> </w:t>
      </w:r>
      <w:r w:rsidR="00AD0BBF" w:rsidRPr="00C235E5">
        <w:rPr>
          <w:rFonts w:ascii="Times New Roman" w:eastAsia="Times New Roman" w:hAnsi="Times New Roman" w:cs="Times New Roman"/>
          <w:sz w:val="24"/>
          <w:szCs w:val="24"/>
        </w:rPr>
        <w:t>post-acquisition</w:t>
      </w:r>
      <w:r w:rsidR="007D3701" w:rsidRPr="00C235E5">
        <w:rPr>
          <w:rFonts w:ascii="Times New Roman" w:eastAsia="Times New Roman" w:hAnsi="Times New Roman" w:cs="Times New Roman"/>
          <w:sz w:val="24"/>
          <w:szCs w:val="24"/>
        </w:rPr>
        <w:t xml:space="preserve">. </w:t>
      </w:r>
      <w:r w:rsidR="00566755" w:rsidRPr="00C235E5">
        <w:rPr>
          <w:rFonts w:ascii="Times New Roman" w:eastAsia="Times New Roman" w:hAnsi="Times New Roman" w:cs="Times New Roman"/>
          <w:sz w:val="24"/>
          <w:szCs w:val="24"/>
        </w:rPr>
        <w:t xml:space="preserve">Second, we use </w:t>
      </w:r>
      <w:r w:rsidRPr="00C235E5">
        <w:rPr>
          <w:rFonts w:ascii="Times New Roman" w:eastAsia="Times New Roman" w:hAnsi="Times New Roman" w:cs="Times New Roman"/>
          <w:sz w:val="24"/>
          <w:szCs w:val="24"/>
        </w:rPr>
        <w:t>competitors’</w:t>
      </w:r>
      <w:r w:rsidR="00566755" w:rsidRPr="00C235E5">
        <w:rPr>
          <w:rFonts w:ascii="Times New Roman" w:eastAsia="Times New Roman" w:hAnsi="Times New Roman" w:cs="Times New Roman"/>
          <w:sz w:val="24"/>
          <w:szCs w:val="24"/>
        </w:rPr>
        <w:t xml:space="preserve"> </w:t>
      </w:r>
      <w:r w:rsidR="00EB5E9C" w:rsidRPr="00C235E5">
        <w:rPr>
          <w:rFonts w:ascii="Times New Roman" w:eastAsia="Times New Roman" w:hAnsi="Times New Roman" w:cs="Times New Roman"/>
          <w:sz w:val="24"/>
          <w:szCs w:val="24"/>
        </w:rPr>
        <w:t xml:space="preserve">official statements to </w:t>
      </w:r>
      <w:r w:rsidR="003025E3" w:rsidRPr="00C235E5">
        <w:rPr>
          <w:rFonts w:ascii="Times New Roman" w:eastAsia="Times New Roman" w:hAnsi="Times New Roman" w:cs="Times New Roman"/>
          <w:sz w:val="24"/>
          <w:szCs w:val="24"/>
        </w:rPr>
        <w:t>assess</w:t>
      </w:r>
      <w:r w:rsidR="00EB5E9C" w:rsidRPr="00C235E5">
        <w:rPr>
          <w:rFonts w:ascii="Times New Roman" w:eastAsia="Times New Roman" w:hAnsi="Times New Roman" w:cs="Times New Roman"/>
          <w:sz w:val="24"/>
          <w:szCs w:val="24"/>
        </w:rPr>
        <w:t xml:space="preserve"> the </w:t>
      </w:r>
      <w:r w:rsidR="008F69A7" w:rsidRPr="00C235E5">
        <w:rPr>
          <w:rFonts w:ascii="Times New Roman" w:eastAsia="Times New Roman" w:hAnsi="Times New Roman" w:cs="Times New Roman"/>
          <w:sz w:val="24"/>
          <w:szCs w:val="24"/>
        </w:rPr>
        <w:t xml:space="preserve">market shares </w:t>
      </w:r>
      <w:r w:rsidR="00566755" w:rsidRPr="00C235E5">
        <w:rPr>
          <w:rFonts w:ascii="Times New Roman" w:eastAsia="Times New Roman" w:hAnsi="Times New Roman" w:cs="Times New Roman"/>
          <w:sz w:val="24"/>
          <w:szCs w:val="24"/>
        </w:rPr>
        <w:t xml:space="preserve">of competitors before and after the </w:t>
      </w:r>
      <w:r w:rsidRPr="00C235E5">
        <w:rPr>
          <w:rFonts w:ascii="Times New Roman" w:eastAsia="Times New Roman" w:hAnsi="Times New Roman" w:cs="Times New Roman"/>
          <w:sz w:val="24"/>
          <w:szCs w:val="24"/>
        </w:rPr>
        <w:t>merger and</w:t>
      </w:r>
      <w:r w:rsidR="003025E3" w:rsidRPr="00C235E5">
        <w:rPr>
          <w:rFonts w:ascii="Times New Roman" w:eastAsia="Times New Roman" w:hAnsi="Times New Roman" w:cs="Times New Roman"/>
          <w:sz w:val="24"/>
          <w:szCs w:val="24"/>
        </w:rPr>
        <w:t xml:space="preserve"> attempt</w:t>
      </w:r>
      <w:r w:rsidR="00566755" w:rsidRPr="00C235E5">
        <w:rPr>
          <w:rFonts w:ascii="Times New Roman" w:eastAsia="Times New Roman" w:hAnsi="Times New Roman" w:cs="Times New Roman"/>
          <w:sz w:val="24"/>
          <w:szCs w:val="24"/>
        </w:rPr>
        <w:t xml:space="preserve"> to </w:t>
      </w:r>
      <w:r w:rsidR="007D3701" w:rsidRPr="00C235E5">
        <w:rPr>
          <w:rFonts w:ascii="Times New Roman" w:eastAsia="Times New Roman" w:hAnsi="Times New Roman" w:cs="Times New Roman"/>
          <w:sz w:val="24"/>
          <w:szCs w:val="24"/>
        </w:rPr>
        <w:t>shed light</w:t>
      </w:r>
      <w:r w:rsidR="00566755" w:rsidRPr="00C235E5">
        <w:rPr>
          <w:rFonts w:ascii="Times New Roman" w:eastAsia="Times New Roman" w:hAnsi="Times New Roman" w:cs="Times New Roman"/>
          <w:sz w:val="24"/>
          <w:szCs w:val="24"/>
        </w:rPr>
        <w:t xml:space="preserve"> o</w:t>
      </w:r>
      <w:r w:rsidR="00F23CFF" w:rsidRPr="00C235E5">
        <w:rPr>
          <w:rFonts w:ascii="Times New Roman" w:eastAsia="Times New Roman" w:hAnsi="Times New Roman" w:cs="Times New Roman"/>
          <w:sz w:val="24"/>
          <w:szCs w:val="24"/>
        </w:rPr>
        <w:t xml:space="preserve">n whether the merger weakened competition. </w:t>
      </w:r>
      <w:r w:rsidR="00EB5E9C" w:rsidRPr="00C235E5">
        <w:rPr>
          <w:rFonts w:ascii="Times New Roman" w:eastAsia="Times New Roman" w:hAnsi="Times New Roman" w:cs="Times New Roman"/>
          <w:sz w:val="24"/>
          <w:szCs w:val="24"/>
        </w:rPr>
        <w:t>Third, competitors</w:t>
      </w:r>
      <w:r w:rsidR="003025E3" w:rsidRPr="00C235E5">
        <w:rPr>
          <w:rFonts w:ascii="Times New Roman" w:eastAsia="Times New Roman" w:hAnsi="Times New Roman" w:cs="Times New Roman"/>
          <w:sz w:val="24"/>
          <w:szCs w:val="24"/>
        </w:rPr>
        <w:t>’</w:t>
      </w:r>
      <w:r w:rsidR="00EB5E9C" w:rsidRPr="00C235E5">
        <w:rPr>
          <w:rFonts w:ascii="Times New Roman" w:eastAsia="Times New Roman" w:hAnsi="Times New Roman" w:cs="Times New Roman"/>
          <w:sz w:val="24"/>
          <w:szCs w:val="24"/>
        </w:rPr>
        <w:t xml:space="preserve"> </w:t>
      </w:r>
      <w:r w:rsidR="00EB5E9C" w:rsidRPr="00C235E5">
        <w:rPr>
          <w:rFonts w:ascii="Times New Roman" w:eastAsia="Times New Roman" w:hAnsi="Times New Roman" w:cs="Times New Roman"/>
          <w:sz w:val="24"/>
          <w:szCs w:val="24"/>
        </w:rPr>
        <w:lastRenderedPageBreak/>
        <w:t xml:space="preserve">official statements </w:t>
      </w:r>
      <w:r w:rsidR="00E65D00" w:rsidRPr="00C235E5">
        <w:rPr>
          <w:rFonts w:ascii="Times New Roman" w:eastAsia="Times New Roman" w:hAnsi="Times New Roman" w:cs="Times New Roman"/>
          <w:sz w:val="24"/>
          <w:szCs w:val="24"/>
        </w:rPr>
        <w:t xml:space="preserve">possibly </w:t>
      </w:r>
      <w:r w:rsidR="00DC5F7D" w:rsidRPr="00C235E5">
        <w:rPr>
          <w:rFonts w:ascii="Times New Roman" w:eastAsia="Times New Roman" w:hAnsi="Times New Roman" w:cs="Times New Roman"/>
          <w:sz w:val="24"/>
          <w:szCs w:val="24"/>
        </w:rPr>
        <w:t>embody</w:t>
      </w:r>
      <w:r w:rsidR="00EB5E9C" w:rsidRPr="00C235E5">
        <w:rPr>
          <w:rFonts w:ascii="Times New Roman" w:eastAsia="Times New Roman" w:hAnsi="Times New Roman" w:cs="Times New Roman"/>
          <w:sz w:val="24"/>
          <w:szCs w:val="24"/>
        </w:rPr>
        <w:t xml:space="preserve"> </w:t>
      </w:r>
      <w:r w:rsidR="00DC5F7D" w:rsidRPr="00C235E5">
        <w:rPr>
          <w:rFonts w:ascii="Times New Roman" w:eastAsia="Times New Roman" w:hAnsi="Times New Roman" w:cs="Times New Roman"/>
          <w:sz w:val="24"/>
          <w:szCs w:val="24"/>
        </w:rPr>
        <w:t xml:space="preserve">anecdotal evidence about </w:t>
      </w:r>
      <w:r w:rsidR="00AD74E3" w:rsidRPr="00C235E5">
        <w:rPr>
          <w:rFonts w:ascii="Times New Roman" w:eastAsia="Times New Roman" w:hAnsi="Times New Roman" w:cs="Times New Roman"/>
          <w:sz w:val="24"/>
          <w:szCs w:val="24"/>
        </w:rPr>
        <w:t xml:space="preserve">the </w:t>
      </w:r>
      <w:r w:rsidR="007D3701" w:rsidRPr="00C235E5">
        <w:rPr>
          <w:rFonts w:ascii="Times New Roman" w:eastAsia="Times New Roman" w:hAnsi="Times New Roman" w:cs="Times New Roman"/>
          <w:sz w:val="24"/>
          <w:szCs w:val="24"/>
        </w:rPr>
        <w:t xml:space="preserve">existence or absence of </w:t>
      </w:r>
      <w:r w:rsidR="008F71B9" w:rsidRPr="00C235E5">
        <w:rPr>
          <w:rFonts w:ascii="Times New Roman" w:eastAsia="Times New Roman" w:hAnsi="Times New Roman" w:cs="Times New Roman"/>
          <w:sz w:val="24"/>
          <w:szCs w:val="24"/>
        </w:rPr>
        <w:t xml:space="preserve">competitive </w:t>
      </w:r>
      <w:r w:rsidR="00EB5E9C" w:rsidRPr="00C235E5">
        <w:rPr>
          <w:rFonts w:ascii="Times New Roman" w:eastAsia="Times New Roman" w:hAnsi="Times New Roman" w:cs="Times New Roman"/>
          <w:sz w:val="24"/>
          <w:szCs w:val="24"/>
        </w:rPr>
        <w:t>industry events</w:t>
      </w:r>
      <w:r w:rsidR="00AD74E3" w:rsidRPr="00C235E5">
        <w:rPr>
          <w:rFonts w:ascii="Times New Roman" w:eastAsia="Times New Roman" w:hAnsi="Times New Roman" w:cs="Times New Roman"/>
          <w:sz w:val="24"/>
          <w:szCs w:val="24"/>
        </w:rPr>
        <w:t>,</w:t>
      </w:r>
      <w:r w:rsidR="00EB5E9C" w:rsidRPr="00C235E5">
        <w:rPr>
          <w:rFonts w:ascii="Times New Roman" w:eastAsia="Times New Roman" w:hAnsi="Times New Roman" w:cs="Times New Roman"/>
          <w:sz w:val="24"/>
          <w:szCs w:val="24"/>
        </w:rPr>
        <w:t xml:space="preserve"> </w:t>
      </w:r>
      <w:r w:rsidR="00AD74E3" w:rsidRPr="00C235E5">
        <w:rPr>
          <w:rFonts w:ascii="Times New Roman" w:eastAsia="Times New Roman" w:hAnsi="Times New Roman" w:cs="Times New Roman"/>
          <w:sz w:val="24"/>
          <w:szCs w:val="24"/>
        </w:rPr>
        <w:t>such as</w:t>
      </w:r>
      <w:r w:rsidR="00EB5E9C" w:rsidRPr="00C235E5">
        <w:rPr>
          <w:rFonts w:ascii="Times New Roman" w:eastAsia="Times New Roman" w:hAnsi="Times New Roman" w:cs="Times New Roman"/>
          <w:sz w:val="24"/>
          <w:szCs w:val="24"/>
        </w:rPr>
        <w:t xml:space="preserve"> </w:t>
      </w:r>
      <w:r w:rsidR="001124AA" w:rsidRPr="00C235E5">
        <w:rPr>
          <w:rFonts w:ascii="Times New Roman" w:eastAsia="Times New Roman" w:hAnsi="Times New Roman" w:cs="Times New Roman"/>
          <w:sz w:val="24"/>
          <w:szCs w:val="24"/>
        </w:rPr>
        <w:t>the entry of a new competitor or product innovation.</w:t>
      </w:r>
      <w:r w:rsidR="009A1D8B">
        <w:rPr>
          <w:rFonts w:ascii="Times New Roman" w:eastAsia="Times New Roman" w:hAnsi="Times New Roman" w:cs="Times New Roman"/>
          <w:sz w:val="24"/>
          <w:szCs w:val="24"/>
        </w:rPr>
        <w:t xml:space="preserve"> We study these statements to </w:t>
      </w:r>
      <w:r w:rsidR="00DD294A">
        <w:rPr>
          <w:rFonts w:ascii="Times New Roman" w:eastAsia="Times New Roman" w:hAnsi="Times New Roman" w:cs="Times New Roman"/>
          <w:sz w:val="24"/>
          <w:szCs w:val="24"/>
        </w:rPr>
        <w:t>draw insights</w:t>
      </w:r>
      <w:r w:rsidR="009A1D8B">
        <w:rPr>
          <w:rFonts w:ascii="Times New Roman" w:eastAsia="Times New Roman" w:hAnsi="Times New Roman" w:cs="Times New Roman"/>
          <w:sz w:val="24"/>
          <w:szCs w:val="24"/>
        </w:rPr>
        <w:t xml:space="preserve"> on the state of </w:t>
      </w:r>
      <w:r w:rsidR="002E1068">
        <w:rPr>
          <w:rFonts w:ascii="Times New Roman" w:eastAsia="Times New Roman" w:hAnsi="Times New Roman" w:cs="Times New Roman"/>
          <w:sz w:val="24"/>
          <w:szCs w:val="24"/>
        </w:rPr>
        <w:t>market dynamism post-acquisition.</w:t>
      </w:r>
    </w:p>
    <w:p w14:paraId="525104EC" w14:textId="02057D0F" w:rsidR="00A50905" w:rsidRDefault="00E65D00" w:rsidP="00792D53">
      <w:pPr>
        <w:spacing w:before="120" w:after="120" w:line="480" w:lineRule="auto"/>
        <w:jc w:val="both"/>
        <w:rPr>
          <w:rFonts w:ascii="Times New Roman" w:hAnsi="Times New Roman" w:cs="Times New Roman"/>
          <w:sz w:val="24"/>
          <w:szCs w:val="24"/>
        </w:rPr>
      </w:pPr>
      <w:r w:rsidRPr="00C235E5">
        <w:rPr>
          <w:rFonts w:ascii="Times New Roman" w:eastAsia="Times New Roman" w:hAnsi="Times New Roman" w:cs="Times New Roman"/>
          <w:sz w:val="24"/>
          <w:szCs w:val="24"/>
        </w:rPr>
        <w:t xml:space="preserve">With </w:t>
      </w:r>
      <w:r w:rsidR="007D3701" w:rsidRPr="00C235E5">
        <w:rPr>
          <w:rFonts w:ascii="Times New Roman" w:eastAsia="Times New Roman" w:hAnsi="Times New Roman" w:cs="Times New Roman"/>
          <w:sz w:val="24"/>
          <w:szCs w:val="24"/>
        </w:rPr>
        <w:t>this background</w:t>
      </w:r>
      <w:r w:rsidR="00397EA5" w:rsidRPr="00C235E5">
        <w:rPr>
          <w:rFonts w:ascii="Times New Roman" w:eastAsia="Times New Roman" w:hAnsi="Times New Roman" w:cs="Times New Roman"/>
          <w:sz w:val="24"/>
          <w:szCs w:val="24"/>
        </w:rPr>
        <w:t xml:space="preserve">, </w:t>
      </w:r>
      <w:r w:rsidR="00791741" w:rsidRPr="00C235E5">
        <w:rPr>
          <w:rFonts w:ascii="Times New Roman" w:eastAsia="Times New Roman" w:hAnsi="Times New Roman" w:cs="Times New Roman"/>
          <w:sz w:val="24"/>
          <w:szCs w:val="24"/>
        </w:rPr>
        <w:t xml:space="preserve">our paper </w:t>
      </w:r>
      <w:r w:rsidR="00DD294A">
        <w:rPr>
          <w:rFonts w:ascii="Times New Roman" w:eastAsia="Times New Roman" w:hAnsi="Times New Roman" w:cs="Times New Roman"/>
          <w:sz w:val="24"/>
          <w:szCs w:val="24"/>
        </w:rPr>
        <w:t xml:space="preserve">develops </w:t>
      </w:r>
      <w:r w:rsidR="007D3701" w:rsidRPr="00C235E5">
        <w:rPr>
          <w:rFonts w:ascii="Times New Roman" w:eastAsia="Times New Roman" w:hAnsi="Times New Roman" w:cs="Times New Roman"/>
          <w:sz w:val="24"/>
          <w:szCs w:val="24"/>
        </w:rPr>
        <w:t xml:space="preserve">a procedure to </w:t>
      </w:r>
      <w:r w:rsidR="00565875" w:rsidRPr="00C235E5">
        <w:rPr>
          <w:rFonts w:ascii="Times New Roman" w:eastAsia="Times New Roman" w:hAnsi="Times New Roman" w:cs="Times New Roman"/>
          <w:sz w:val="24"/>
          <w:szCs w:val="24"/>
        </w:rPr>
        <w:t>assess</w:t>
      </w:r>
      <w:r w:rsidR="007D3701" w:rsidRPr="00C235E5">
        <w:rPr>
          <w:rFonts w:ascii="Times New Roman" w:eastAsia="Times New Roman" w:hAnsi="Times New Roman" w:cs="Times New Roman"/>
          <w:sz w:val="24"/>
          <w:szCs w:val="24"/>
        </w:rPr>
        <w:t xml:space="preserve"> </w:t>
      </w:r>
      <w:r w:rsidR="00791741" w:rsidRPr="00C235E5">
        <w:rPr>
          <w:rFonts w:ascii="Times New Roman" w:eastAsia="Times New Roman" w:hAnsi="Times New Roman" w:cs="Times New Roman"/>
          <w:sz w:val="24"/>
          <w:szCs w:val="24"/>
        </w:rPr>
        <w:t>the</w:t>
      </w:r>
      <w:r w:rsidR="00DD294A">
        <w:rPr>
          <w:rFonts w:ascii="Times New Roman" w:eastAsia="Times New Roman" w:hAnsi="Times New Roman" w:cs="Times New Roman"/>
          <w:sz w:val="24"/>
          <w:szCs w:val="24"/>
        </w:rPr>
        <w:t xml:space="preserve"> plausibility of the</w:t>
      </w:r>
      <w:r w:rsidR="00791741" w:rsidRPr="00C235E5">
        <w:rPr>
          <w:rFonts w:ascii="Times New Roman" w:eastAsia="Times New Roman" w:hAnsi="Times New Roman" w:cs="Times New Roman"/>
          <w:sz w:val="24"/>
          <w:szCs w:val="24"/>
        </w:rPr>
        <w:t xml:space="preserve"> killer acquisition </w:t>
      </w:r>
      <w:r w:rsidR="00DD294A">
        <w:rPr>
          <w:rFonts w:ascii="Times New Roman" w:eastAsia="Times New Roman" w:hAnsi="Times New Roman" w:cs="Times New Roman"/>
          <w:sz w:val="24"/>
          <w:szCs w:val="24"/>
        </w:rPr>
        <w:t>theory</w:t>
      </w:r>
      <w:r w:rsidR="00791741" w:rsidRPr="00C235E5">
        <w:rPr>
          <w:rFonts w:ascii="Times New Roman" w:eastAsia="Times New Roman" w:hAnsi="Times New Roman" w:cs="Times New Roman"/>
          <w:sz w:val="24"/>
          <w:szCs w:val="24"/>
        </w:rPr>
        <w:t xml:space="preserve">. </w:t>
      </w:r>
      <w:r w:rsidR="007D3701" w:rsidRPr="00C235E5">
        <w:rPr>
          <w:rFonts w:ascii="Times New Roman" w:eastAsia="Times New Roman" w:hAnsi="Times New Roman" w:cs="Times New Roman"/>
          <w:sz w:val="24"/>
          <w:szCs w:val="24"/>
        </w:rPr>
        <w:t>F</w:t>
      </w:r>
      <w:r w:rsidR="007A5717" w:rsidRPr="00C235E5">
        <w:rPr>
          <w:rFonts w:ascii="Times New Roman" w:eastAsia="Times New Roman" w:hAnsi="Times New Roman" w:cs="Times New Roman"/>
          <w:sz w:val="24"/>
          <w:szCs w:val="24"/>
        </w:rPr>
        <w:t>or</w:t>
      </w:r>
      <w:r w:rsidR="00791741" w:rsidRPr="00C235E5">
        <w:rPr>
          <w:rFonts w:ascii="Times New Roman" w:eastAsia="Times New Roman" w:hAnsi="Times New Roman" w:cs="Times New Roman"/>
          <w:sz w:val="24"/>
          <w:szCs w:val="24"/>
        </w:rPr>
        <w:t xml:space="preserve"> </w:t>
      </w:r>
      <w:r w:rsidR="00BA31DE" w:rsidRPr="00C235E5">
        <w:rPr>
          <w:rFonts w:ascii="Times New Roman" w:eastAsia="Times New Roman" w:hAnsi="Times New Roman" w:cs="Times New Roman"/>
          <w:sz w:val="24"/>
          <w:szCs w:val="24"/>
        </w:rPr>
        <w:t xml:space="preserve">the </w:t>
      </w:r>
      <w:r w:rsidR="00DD294A">
        <w:rPr>
          <w:rFonts w:ascii="Times New Roman" w:eastAsia="Times New Roman" w:hAnsi="Times New Roman" w:cs="Times New Roman"/>
          <w:sz w:val="24"/>
          <w:szCs w:val="24"/>
        </w:rPr>
        <w:t xml:space="preserve">theory </w:t>
      </w:r>
      <w:r w:rsidR="007A5717" w:rsidRPr="00C235E5">
        <w:rPr>
          <w:rFonts w:ascii="Times New Roman" w:eastAsia="Times New Roman" w:hAnsi="Times New Roman" w:cs="Times New Roman"/>
          <w:sz w:val="24"/>
          <w:szCs w:val="24"/>
        </w:rPr>
        <w:t xml:space="preserve">to </w:t>
      </w:r>
      <w:r w:rsidR="00DD294A">
        <w:rPr>
          <w:rFonts w:ascii="Times New Roman" w:eastAsia="Times New Roman" w:hAnsi="Times New Roman" w:cs="Times New Roman"/>
          <w:sz w:val="24"/>
          <w:szCs w:val="24"/>
        </w:rPr>
        <w:t>be plausible</w:t>
      </w:r>
      <w:r w:rsidR="008F71B9" w:rsidRPr="00C235E5">
        <w:rPr>
          <w:rFonts w:ascii="Times New Roman" w:eastAsia="Times New Roman" w:hAnsi="Times New Roman" w:cs="Times New Roman"/>
          <w:sz w:val="24"/>
          <w:szCs w:val="24"/>
        </w:rPr>
        <w:t xml:space="preserve">, </w:t>
      </w:r>
      <w:r w:rsidR="00DD294A">
        <w:rPr>
          <w:rFonts w:ascii="Times New Roman" w:eastAsia="Times New Roman" w:hAnsi="Times New Roman" w:cs="Times New Roman"/>
          <w:sz w:val="24"/>
          <w:szCs w:val="24"/>
        </w:rPr>
        <w:t xml:space="preserve">mergers should </w:t>
      </w:r>
      <w:r w:rsidR="00095D54">
        <w:rPr>
          <w:rFonts w:ascii="Times New Roman" w:eastAsia="Times New Roman" w:hAnsi="Times New Roman" w:cs="Times New Roman"/>
          <w:sz w:val="24"/>
          <w:szCs w:val="24"/>
        </w:rPr>
        <w:t xml:space="preserve">at the very least </w:t>
      </w:r>
      <w:r w:rsidR="00DD294A">
        <w:rPr>
          <w:rFonts w:ascii="Times New Roman" w:eastAsia="Times New Roman" w:hAnsi="Times New Roman" w:cs="Times New Roman"/>
          <w:sz w:val="24"/>
          <w:szCs w:val="24"/>
        </w:rPr>
        <w:t xml:space="preserve">correlate with </w:t>
      </w:r>
      <w:r w:rsidR="00F21EBE" w:rsidRPr="00C235E5">
        <w:rPr>
          <w:rFonts w:ascii="Times New Roman" w:eastAsia="Times New Roman" w:hAnsi="Times New Roman" w:cs="Times New Roman"/>
          <w:sz w:val="24"/>
          <w:szCs w:val="24"/>
        </w:rPr>
        <w:t xml:space="preserve">three </w:t>
      </w:r>
      <w:r w:rsidR="00DD294A">
        <w:rPr>
          <w:rFonts w:ascii="Times New Roman" w:eastAsia="Times New Roman" w:hAnsi="Times New Roman" w:cs="Times New Roman"/>
          <w:sz w:val="24"/>
          <w:szCs w:val="24"/>
        </w:rPr>
        <w:t xml:space="preserve">post transaction </w:t>
      </w:r>
      <w:r w:rsidR="00565875" w:rsidRPr="00C235E5">
        <w:rPr>
          <w:rFonts w:ascii="Times New Roman" w:eastAsia="Times New Roman" w:hAnsi="Times New Roman" w:cs="Times New Roman"/>
          <w:sz w:val="24"/>
          <w:szCs w:val="24"/>
        </w:rPr>
        <w:t>changes</w:t>
      </w:r>
      <w:r w:rsidR="00F21EBE" w:rsidRPr="00C235E5">
        <w:rPr>
          <w:rFonts w:ascii="Times New Roman" w:eastAsia="Times New Roman" w:hAnsi="Times New Roman" w:cs="Times New Roman"/>
          <w:sz w:val="24"/>
          <w:szCs w:val="24"/>
        </w:rPr>
        <w:t xml:space="preserve">: </w:t>
      </w:r>
      <w:r w:rsidR="003F0606" w:rsidRPr="00C235E5">
        <w:rPr>
          <w:rFonts w:ascii="Times New Roman" w:eastAsia="Times New Roman" w:hAnsi="Times New Roman" w:cs="Times New Roman"/>
          <w:sz w:val="24"/>
          <w:szCs w:val="24"/>
        </w:rPr>
        <w:t xml:space="preserve">(1) a </w:t>
      </w:r>
      <w:r w:rsidR="00566755" w:rsidRPr="00C235E5">
        <w:rPr>
          <w:rFonts w:ascii="Times New Roman" w:hAnsi="Times New Roman" w:cs="Times New Roman"/>
          <w:sz w:val="24"/>
          <w:szCs w:val="24"/>
        </w:rPr>
        <w:t xml:space="preserve">disappearance of </w:t>
      </w:r>
      <w:r w:rsidR="00B75264" w:rsidRPr="00C235E5">
        <w:rPr>
          <w:rFonts w:ascii="Times New Roman" w:hAnsi="Times New Roman" w:cs="Times New Roman"/>
          <w:sz w:val="24"/>
          <w:szCs w:val="24"/>
        </w:rPr>
        <w:t xml:space="preserve">the target’s </w:t>
      </w:r>
      <w:r w:rsidR="008F71B9" w:rsidRPr="00C235E5">
        <w:rPr>
          <w:rFonts w:ascii="Times New Roman" w:hAnsi="Times New Roman" w:cs="Times New Roman"/>
          <w:sz w:val="24"/>
          <w:szCs w:val="24"/>
        </w:rPr>
        <w:t>products</w:t>
      </w:r>
      <w:r w:rsidR="00566755" w:rsidRPr="00C235E5">
        <w:rPr>
          <w:rFonts w:ascii="Times New Roman" w:hAnsi="Times New Roman" w:cs="Times New Roman"/>
          <w:sz w:val="24"/>
          <w:szCs w:val="24"/>
        </w:rPr>
        <w:t xml:space="preserve">, </w:t>
      </w:r>
      <w:r w:rsidR="003F0606" w:rsidRPr="00C235E5">
        <w:rPr>
          <w:rFonts w:ascii="Times New Roman" w:hAnsi="Times New Roman" w:cs="Times New Roman"/>
          <w:sz w:val="24"/>
          <w:szCs w:val="24"/>
        </w:rPr>
        <w:t xml:space="preserve">(2) </w:t>
      </w:r>
      <w:r w:rsidR="00566755" w:rsidRPr="00C235E5">
        <w:rPr>
          <w:rFonts w:ascii="Times New Roman" w:hAnsi="Times New Roman" w:cs="Times New Roman"/>
          <w:sz w:val="24"/>
          <w:szCs w:val="24"/>
        </w:rPr>
        <w:t xml:space="preserve">a weakening of </w:t>
      </w:r>
      <w:r w:rsidR="00764389" w:rsidRPr="00C235E5">
        <w:rPr>
          <w:rFonts w:ascii="Times New Roman" w:hAnsi="Times New Roman" w:cs="Times New Roman"/>
          <w:sz w:val="24"/>
          <w:szCs w:val="24"/>
        </w:rPr>
        <w:t>competing firms</w:t>
      </w:r>
      <w:r w:rsidR="00566755" w:rsidRPr="00C235E5">
        <w:rPr>
          <w:rFonts w:ascii="Times New Roman" w:hAnsi="Times New Roman" w:cs="Times New Roman"/>
          <w:sz w:val="24"/>
          <w:szCs w:val="24"/>
        </w:rPr>
        <w:t>, and</w:t>
      </w:r>
      <w:r w:rsidR="00095D54">
        <w:rPr>
          <w:rFonts w:ascii="Times New Roman" w:hAnsi="Times New Roman" w:cs="Times New Roman"/>
          <w:sz w:val="24"/>
          <w:szCs w:val="24"/>
        </w:rPr>
        <w:t xml:space="preserve"> </w:t>
      </w:r>
      <w:r w:rsidR="003F0606" w:rsidRPr="00C235E5">
        <w:rPr>
          <w:rFonts w:ascii="Times New Roman" w:hAnsi="Times New Roman" w:cs="Times New Roman"/>
          <w:sz w:val="24"/>
          <w:szCs w:val="24"/>
        </w:rPr>
        <w:t xml:space="preserve">(3) </w:t>
      </w:r>
      <w:r w:rsidR="00566755" w:rsidRPr="00C235E5">
        <w:rPr>
          <w:rFonts w:ascii="Times New Roman" w:hAnsi="Times New Roman" w:cs="Times New Roman"/>
          <w:sz w:val="24"/>
          <w:szCs w:val="24"/>
        </w:rPr>
        <w:t xml:space="preserve">a </w:t>
      </w:r>
      <w:r w:rsidR="007C62E7">
        <w:rPr>
          <w:rFonts w:ascii="Times New Roman" w:hAnsi="Times New Roman" w:cs="Times New Roman"/>
          <w:sz w:val="24"/>
          <w:szCs w:val="24"/>
        </w:rPr>
        <w:t>post</w:t>
      </w:r>
      <w:r w:rsidR="008F52CE">
        <w:rPr>
          <w:rFonts w:ascii="Times New Roman" w:hAnsi="Times New Roman" w:cs="Times New Roman"/>
          <w:sz w:val="24"/>
          <w:szCs w:val="24"/>
        </w:rPr>
        <w:t>-</w:t>
      </w:r>
      <w:r w:rsidR="007C62E7">
        <w:rPr>
          <w:rFonts w:ascii="Times New Roman" w:hAnsi="Times New Roman" w:cs="Times New Roman"/>
          <w:sz w:val="24"/>
          <w:szCs w:val="24"/>
        </w:rPr>
        <w:t xml:space="preserve">merger </w:t>
      </w:r>
      <w:r w:rsidR="00566755" w:rsidRPr="00C235E5">
        <w:rPr>
          <w:rFonts w:ascii="Times New Roman" w:hAnsi="Times New Roman" w:cs="Times New Roman"/>
          <w:sz w:val="24"/>
          <w:szCs w:val="24"/>
        </w:rPr>
        <w:t xml:space="preserve">lowering </w:t>
      </w:r>
      <w:r w:rsidR="00B75264" w:rsidRPr="00C235E5">
        <w:rPr>
          <w:rFonts w:ascii="Times New Roman" w:hAnsi="Times New Roman" w:cs="Times New Roman"/>
          <w:sz w:val="24"/>
          <w:szCs w:val="24"/>
        </w:rPr>
        <w:t xml:space="preserve">or absence </w:t>
      </w:r>
      <w:r w:rsidR="00566755" w:rsidRPr="00C235E5">
        <w:rPr>
          <w:rFonts w:ascii="Times New Roman" w:hAnsi="Times New Roman" w:cs="Times New Roman"/>
          <w:sz w:val="24"/>
          <w:szCs w:val="24"/>
        </w:rPr>
        <w:t xml:space="preserve">of </w:t>
      </w:r>
      <w:r w:rsidR="008F71B9" w:rsidRPr="00C235E5">
        <w:rPr>
          <w:rFonts w:ascii="Times New Roman" w:hAnsi="Times New Roman" w:cs="Times New Roman"/>
          <w:sz w:val="24"/>
          <w:szCs w:val="24"/>
        </w:rPr>
        <w:t xml:space="preserve">entry and </w:t>
      </w:r>
      <w:r w:rsidR="00566755" w:rsidRPr="00C235E5">
        <w:rPr>
          <w:rFonts w:ascii="Times New Roman" w:hAnsi="Times New Roman" w:cs="Times New Roman"/>
          <w:sz w:val="24"/>
          <w:szCs w:val="24"/>
        </w:rPr>
        <w:t>innovation.</w:t>
      </w:r>
      <w:r w:rsidR="007C62E7">
        <w:rPr>
          <w:rStyle w:val="FootnoteReference"/>
          <w:rFonts w:ascii="Times New Roman" w:hAnsi="Times New Roman" w:cs="Times New Roman"/>
          <w:sz w:val="24"/>
          <w:szCs w:val="24"/>
        </w:rPr>
        <w:footnoteReference w:id="14"/>
      </w:r>
      <w:r w:rsidR="00566755" w:rsidRPr="00C235E5">
        <w:rPr>
          <w:rFonts w:ascii="Times New Roman" w:hAnsi="Times New Roman" w:cs="Times New Roman"/>
          <w:sz w:val="24"/>
          <w:szCs w:val="24"/>
        </w:rPr>
        <w:t xml:space="preserve"> </w:t>
      </w:r>
      <w:r w:rsidR="008F71B9" w:rsidRPr="00C235E5">
        <w:rPr>
          <w:rFonts w:ascii="Times New Roman" w:hAnsi="Times New Roman" w:cs="Times New Roman"/>
          <w:sz w:val="24"/>
          <w:szCs w:val="24"/>
        </w:rPr>
        <w:t xml:space="preserve">In this paper, </w:t>
      </w:r>
      <w:r w:rsidR="008F71B9" w:rsidRPr="00C235E5">
        <w:rPr>
          <w:rFonts w:ascii="Times New Roman" w:eastAsia="Times New Roman" w:hAnsi="Times New Roman" w:cs="Times New Roman"/>
          <w:sz w:val="24"/>
          <w:szCs w:val="24"/>
        </w:rPr>
        <w:t>we</w:t>
      </w:r>
      <w:r w:rsidR="008F71B9" w:rsidRPr="00C235E5">
        <w:rPr>
          <w:rFonts w:ascii="Times New Roman" w:hAnsi="Times New Roman" w:cs="Times New Roman"/>
          <w:sz w:val="24"/>
          <w:szCs w:val="24"/>
        </w:rPr>
        <w:t xml:space="preserve"> </w:t>
      </w:r>
      <w:r w:rsidR="008527D7" w:rsidRPr="00C235E5">
        <w:rPr>
          <w:rFonts w:ascii="Times New Roman" w:hAnsi="Times New Roman" w:cs="Times New Roman"/>
          <w:sz w:val="24"/>
          <w:szCs w:val="24"/>
        </w:rPr>
        <w:t>analyze EC merger cases in the</w:t>
      </w:r>
      <w:r w:rsidR="000E12C0">
        <w:rPr>
          <w:rFonts w:ascii="Times New Roman" w:hAnsi="Times New Roman" w:cs="Times New Roman"/>
          <w:sz w:val="24"/>
          <w:szCs w:val="24"/>
        </w:rPr>
        <w:t xml:space="preserve"> information and communication technology</w:t>
      </w:r>
      <w:r w:rsidR="008527D7" w:rsidRPr="00C235E5">
        <w:rPr>
          <w:rFonts w:ascii="Times New Roman" w:hAnsi="Times New Roman" w:cs="Times New Roman"/>
          <w:sz w:val="24"/>
          <w:szCs w:val="24"/>
        </w:rPr>
        <w:t xml:space="preserve"> </w:t>
      </w:r>
      <w:r w:rsidR="000E12C0">
        <w:rPr>
          <w:rFonts w:ascii="Times New Roman" w:hAnsi="Times New Roman" w:cs="Times New Roman"/>
          <w:sz w:val="24"/>
          <w:szCs w:val="24"/>
        </w:rPr>
        <w:t>(“</w:t>
      </w:r>
      <w:r w:rsidR="000E12C0" w:rsidRPr="000E12C0">
        <w:rPr>
          <w:rFonts w:ascii="Times New Roman" w:hAnsi="Times New Roman" w:cs="Times New Roman"/>
          <w:b/>
          <w:bCs/>
          <w:sz w:val="24"/>
          <w:szCs w:val="24"/>
        </w:rPr>
        <w:t>ICT</w:t>
      </w:r>
      <w:r w:rsidR="000E12C0">
        <w:rPr>
          <w:rFonts w:ascii="Times New Roman" w:hAnsi="Times New Roman" w:cs="Times New Roman"/>
          <w:sz w:val="24"/>
          <w:szCs w:val="24"/>
        </w:rPr>
        <w:t>”)</w:t>
      </w:r>
      <w:r w:rsidR="008527D7" w:rsidRPr="00C235E5">
        <w:rPr>
          <w:rFonts w:ascii="Times New Roman" w:hAnsi="Times New Roman" w:cs="Times New Roman"/>
          <w:sz w:val="24"/>
          <w:szCs w:val="24"/>
        </w:rPr>
        <w:t xml:space="preserve"> industr</w:t>
      </w:r>
      <w:r w:rsidR="000E12C0">
        <w:rPr>
          <w:rFonts w:ascii="Times New Roman" w:hAnsi="Times New Roman" w:cs="Times New Roman"/>
          <w:sz w:val="24"/>
          <w:szCs w:val="24"/>
        </w:rPr>
        <w:t>ies</w:t>
      </w:r>
      <w:r w:rsidR="008527D7" w:rsidRPr="00C235E5">
        <w:rPr>
          <w:rFonts w:ascii="Times New Roman" w:hAnsi="Times New Roman" w:cs="Times New Roman"/>
          <w:sz w:val="24"/>
          <w:szCs w:val="24"/>
        </w:rPr>
        <w:t xml:space="preserve"> </w:t>
      </w:r>
      <w:r w:rsidR="008F71B9" w:rsidRPr="00C235E5">
        <w:rPr>
          <w:rFonts w:ascii="Times New Roman" w:hAnsi="Times New Roman" w:cs="Times New Roman"/>
          <w:sz w:val="24"/>
          <w:szCs w:val="24"/>
        </w:rPr>
        <w:t xml:space="preserve">to assess whether </w:t>
      </w:r>
      <w:r w:rsidR="00DD294A">
        <w:rPr>
          <w:rFonts w:ascii="Times New Roman" w:hAnsi="Times New Roman" w:cs="Times New Roman"/>
          <w:sz w:val="24"/>
          <w:szCs w:val="24"/>
        </w:rPr>
        <w:t xml:space="preserve">any such </w:t>
      </w:r>
      <w:r w:rsidR="003041EF">
        <w:rPr>
          <w:rFonts w:ascii="Times New Roman" w:hAnsi="Times New Roman" w:cs="Times New Roman"/>
          <w:sz w:val="24"/>
          <w:szCs w:val="24"/>
        </w:rPr>
        <w:t>change</w:t>
      </w:r>
      <w:r w:rsidR="008F71B9" w:rsidRPr="00C235E5">
        <w:rPr>
          <w:rFonts w:ascii="Times New Roman" w:hAnsi="Times New Roman" w:cs="Times New Roman"/>
          <w:sz w:val="24"/>
          <w:szCs w:val="24"/>
        </w:rPr>
        <w:t xml:space="preserve"> </w:t>
      </w:r>
      <w:r w:rsidR="00DD294A">
        <w:rPr>
          <w:rFonts w:ascii="Times New Roman" w:hAnsi="Times New Roman" w:cs="Times New Roman"/>
          <w:sz w:val="24"/>
          <w:szCs w:val="24"/>
        </w:rPr>
        <w:t xml:space="preserve">can </w:t>
      </w:r>
      <w:r w:rsidR="003041EF">
        <w:rPr>
          <w:rFonts w:ascii="Times New Roman" w:hAnsi="Times New Roman" w:cs="Times New Roman"/>
          <w:sz w:val="24"/>
          <w:szCs w:val="24"/>
        </w:rPr>
        <w:t>be observed</w:t>
      </w:r>
      <w:r w:rsidR="00034DCC" w:rsidRPr="00C235E5">
        <w:rPr>
          <w:rFonts w:ascii="Times New Roman" w:hAnsi="Times New Roman" w:cs="Times New Roman"/>
          <w:sz w:val="24"/>
          <w:szCs w:val="24"/>
        </w:rPr>
        <w:t>.</w:t>
      </w:r>
      <w:r w:rsidR="004B7712" w:rsidRPr="00C235E5">
        <w:rPr>
          <w:rStyle w:val="FootnoteReference"/>
          <w:rFonts w:ascii="Times New Roman" w:hAnsi="Times New Roman" w:cs="Times New Roman"/>
          <w:sz w:val="24"/>
          <w:szCs w:val="24"/>
        </w:rPr>
        <w:footnoteReference w:id="15"/>
      </w:r>
      <w:r w:rsidR="00034DCC" w:rsidRPr="00C235E5">
        <w:rPr>
          <w:rFonts w:ascii="Times New Roman" w:hAnsi="Times New Roman" w:cs="Times New Roman"/>
          <w:sz w:val="24"/>
          <w:szCs w:val="24"/>
        </w:rPr>
        <w:t xml:space="preserve"> </w:t>
      </w:r>
    </w:p>
    <w:p w14:paraId="28E50F58" w14:textId="2F41DAB9" w:rsidR="00065237" w:rsidRPr="00C235E5" w:rsidRDefault="008C7959" w:rsidP="00792D53">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D3701" w:rsidRPr="00C235E5">
        <w:rPr>
          <w:rFonts w:ascii="Times New Roman" w:hAnsi="Times New Roman" w:cs="Times New Roman"/>
          <w:sz w:val="24"/>
          <w:szCs w:val="24"/>
        </w:rPr>
        <w:t xml:space="preserve">paper is </w:t>
      </w:r>
      <w:r w:rsidR="00095D54">
        <w:rPr>
          <w:rFonts w:ascii="Times New Roman" w:hAnsi="Times New Roman" w:cs="Times New Roman"/>
          <w:sz w:val="24"/>
          <w:szCs w:val="24"/>
        </w:rPr>
        <w:t>organized</w:t>
      </w:r>
      <w:r w:rsidR="00DD294A">
        <w:rPr>
          <w:rFonts w:ascii="Times New Roman" w:hAnsi="Times New Roman" w:cs="Times New Roman"/>
          <w:sz w:val="24"/>
          <w:szCs w:val="24"/>
        </w:rPr>
        <w:t xml:space="preserve"> </w:t>
      </w:r>
      <w:r w:rsidR="007D3701" w:rsidRPr="00C235E5">
        <w:rPr>
          <w:rFonts w:ascii="Times New Roman" w:hAnsi="Times New Roman" w:cs="Times New Roman"/>
          <w:sz w:val="24"/>
          <w:szCs w:val="24"/>
        </w:rPr>
        <w:t>as follows</w:t>
      </w:r>
      <w:r w:rsidR="00E12D40">
        <w:rPr>
          <w:rFonts w:ascii="Times New Roman" w:hAnsi="Times New Roman" w:cs="Times New Roman"/>
          <w:sz w:val="24"/>
          <w:szCs w:val="24"/>
        </w:rPr>
        <w:t xml:space="preserve">. Section 2 </w:t>
      </w:r>
      <w:r w:rsidR="007D3701" w:rsidRPr="00C235E5">
        <w:rPr>
          <w:rFonts w:ascii="Times New Roman" w:hAnsi="Times New Roman" w:cs="Times New Roman"/>
          <w:sz w:val="24"/>
          <w:szCs w:val="24"/>
        </w:rPr>
        <w:t>review</w:t>
      </w:r>
      <w:r w:rsidR="00E12D40">
        <w:rPr>
          <w:rFonts w:ascii="Times New Roman" w:hAnsi="Times New Roman" w:cs="Times New Roman"/>
          <w:sz w:val="24"/>
          <w:szCs w:val="24"/>
        </w:rPr>
        <w:t>s</w:t>
      </w:r>
      <w:r w:rsidR="007D3701" w:rsidRPr="00C235E5">
        <w:rPr>
          <w:rFonts w:ascii="Times New Roman" w:hAnsi="Times New Roman" w:cs="Times New Roman"/>
          <w:sz w:val="24"/>
          <w:szCs w:val="24"/>
        </w:rPr>
        <w:t xml:space="preserve"> the literature</w:t>
      </w:r>
      <w:r w:rsidR="00E12D40">
        <w:rPr>
          <w:rFonts w:ascii="Times New Roman" w:hAnsi="Times New Roman" w:cs="Times New Roman"/>
          <w:sz w:val="24"/>
          <w:szCs w:val="24"/>
        </w:rPr>
        <w:t>. In Section 3, we</w:t>
      </w:r>
      <w:r w:rsidR="00E12D40" w:rsidRPr="00C235E5">
        <w:rPr>
          <w:rFonts w:ascii="Times New Roman" w:hAnsi="Times New Roman" w:cs="Times New Roman"/>
          <w:sz w:val="24"/>
          <w:szCs w:val="24"/>
        </w:rPr>
        <w:t xml:space="preserve"> </w:t>
      </w:r>
      <w:r w:rsidR="007D3701" w:rsidRPr="00C235E5">
        <w:rPr>
          <w:rFonts w:ascii="Times New Roman" w:hAnsi="Times New Roman" w:cs="Times New Roman"/>
          <w:sz w:val="24"/>
          <w:szCs w:val="24"/>
        </w:rPr>
        <w:t xml:space="preserve">introduce our methodology, </w:t>
      </w:r>
      <w:r w:rsidR="00E12D40">
        <w:rPr>
          <w:rFonts w:ascii="Times New Roman" w:hAnsi="Times New Roman" w:cs="Times New Roman"/>
          <w:sz w:val="24"/>
          <w:szCs w:val="24"/>
        </w:rPr>
        <w:t xml:space="preserve">and in Section 4 we describe </w:t>
      </w:r>
      <w:r w:rsidR="007D3701" w:rsidRPr="00C235E5">
        <w:rPr>
          <w:rFonts w:ascii="Times New Roman" w:hAnsi="Times New Roman" w:cs="Times New Roman"/>
          <w:sz w:val="24"/>
          <w:szCs w:val="24"/>
        </w:rPr>
        <w:t>the results of our case studies</w:t>
      </w:r>
      <w:r w:rsidR="00E12D40">
        <w:rPr>
          <w:rFonts w:ascii="Times New Roman" w:hAnsi="Times New Roman" w:cs="Times New Roman"/>
          <w:sz w:val="24"/>
          <w:szCs w:val="24"/>
        </w:rPr>
        <w:t xml:space="preserve">. </w:t>
      </w:r>
      <w:r w:rsidR="00CC5B75">
        <w:rPr>
          <w:rFonts w:ascii="Times New Roman" w:hAnsi="Times New Roman" w:cs="Times New Roman"/>
          <w:sz w:val="24"/>
          <w:szCs w:val="24"/>
        </w:rPr>
        <w:t>Section</w:t>
      </w:r>
      <w:r w:rsidR="00E12D40">
        <w:rPr>
          <w:rFonts w:ascii="Times New Roman" w:hAnsi="Times New Roman" w:cs="Times New Roman"/>
          <w:sz w:val="24"/>
          <w:szCs w:val="24"/>
        </w:rPr>
        <w:t xml:space="preserve"> 5  </w:t>
      </w:r>
      <w:r w:rsidR="007D3701" w:rsidRPr="00C235E5">
        <w:rPr>
          <w:rFonts w:ascii="Times New Roman" w:hAnsi="Times New Roman" w:cs="Times New Roman"/>
          <w:sz w:val="24"/>
          <w:szCs w:val="24"/>
        </w:rPr>
        <w:t>formulate</w:t>
      </w:r>
      <w:r w:rsidR="00E12D40">
        <w:rPr>
          <w:rFonts w:ascii="Times New Roman" w:hAnsi="Times New Roman" w:cs="Times New Roman"/>
          <w:sz w:val="24"/>
          <w:szCs w:val="24"/>
        </w:rPr>
        <w:t>s</w:t>
      </w:r>
      <w:r w:rsidR="007D3701" w:rsidRPr="00C235E5">
        <w:rPr>
          <w:rFonts w:ascii="Times New Roman" w:hAnsi="Times New Roman" w:cs="Times New Roman"/>
          <w:sz w:val="24"/>
          <w:szCs w:val="24"/>
        </w:rPr>
        <w:t xml:space="preserve"> directions for future researc</w:t>
      </w:r>
      <w:r w:rsidR="00CC5B75">
        <w:rPr>
          <w:rFonts w:ascii="Times New Roman" w:hAnsi="Times New Roman" w:cs="Times New Roman"/>
          <w:sz w:val="24"/>
          <w:szCs w:val="24"/>
        </w:rPr>
        <w:t>h</w:t>
      </w:r>
      <w:r w:rsidR="007D3701" w:rsidRPr="00C235E5">
        <w:rPr>
          <w:rFonts w:ascii="Times New Roman" w:hAnsi="Times New Roman" w:cs="Times New Roman"/>
          <w:sz w:val="24"/>
          <w:szCs w:val="24"/>
        </w:rPr>
        <w:t>.</w:t>
      </w:r>
    </w:p>
    <w:p w14:paraId="75504420" w14:textId="7584CF22" w:rsidR="00E12D40" w:rsidRPr="008B5D33" w:rsidRDefault="00B75264" w:rsidP="008B5D33">
      <w:pPr>
        <w:pStyle w:val="Heading1"/>
        <w:numPr>
          <w:ilvl w:val="0"/>
          <w:numId w:val="19"/>
        </w:numPr>
        <w:rPr>
          <w:rFonts w:ascii="Times New Roman" w:hAnsi="Times New Roman" w:cs="Times New Roman"/>
          <w:sz w:val="24"/>
          <w:szCs w:val="24"/>
        </w:rPr>
      </w:pPr>
      <w:r w:rsidRPr="00C235E5">
        <w:rPr>
          <w:rStyle w:val="Heading1Char"/>
          <w:rFonts w:ascii="Times New Roman" w:hAnsi="Times New Roman" w:cs="Times New Roman"/>
          <w:b/>
          <w:sz w:val="24"/>
          <w:szCs w:val="24"/>
        </w:rPr>
        <w:t>Literature review</w:t>
      </w:r>
    </w:p>
    <w:p w14:paraId="2C408753" w14:textId="33B30CB6" w:rsidR="00E12D40" w:rsidRDefault="00E12D40" w:rsidP="00792D53">
      <w:pPr>
        <w:spacing w:before="120" w:after="120" w:line="480" w:lineRule="auto"/>
        <w:jc w:val="both"/>
        <w:rPr>
          <w:rFonts w:ascii="Times New Roman" w:hAnsi="Times New Roman" w:cs="Times New Roman"/>
          <w:sz w:val="24"/>
          <w:szCs w:val="24"/>
        </w:rPr>
      </w:pPr>
      <w:r w:rsidRPr="00E12D40">
        <w:rPr>
          <w:rFonts w:ascii="Times New Roman" w:hAnsi="Times New Roman" w:cs="Times New Roman"/>
          <w:sz w:val="24"/>
          <w:szCs w:val="24"/>
        </w:rPr>
        <w:t>In a recent academic study, Cunningham, Ma, and Ederer called attention to the issue of “killer acquisitions”.</w:t>
      </w:r>
      <w:r w:rsidRPr="00E12D40">
        <w:rPr>
          <w:rStyle w:val="FootnoteReference"/>
          <w:rFonts w:ascii="Times New Roman" w:hAnsi="Times New Roman" w:cs="Times New Roman"/>
          <w:sz w:val="24"/>
          <w:szCs w:val="24"/>
        </w:rPr>
        <w:t xml:space="preserve"> </w:t>
      </w:r>
      <w:r w:rsidRPr="00E63689">
        <w:rPr>
          <w:rStyle w:val="FootnoteReference"/>
          <w:rFonts w:ascii="Times New Roman" w:hAnsi="Times New Roman" w:cs="Times New Roman"/>
          <w:sz w:val="24"/>
          <w:szCs w:val="24"/>
        </w:rPr>
        <w:footnoteReference w:id="16"/>
      </w:r>
      <w:r w:rsidRPr="00E63689">
        <w:rPr>
          <w:rFonts w:ascii="Times New Roman" w:hAnsi="Times New Roman" w:cs="Times New Roman"/>
          <w:color w:val="6B7280"/>
          <w:spacing w:val="-1"/>
          <w:sz w:val="24"/>
          <w:szCs w:val="24"/>
          <w:shd w:val="clear" w:color="auto" w:fill="FFFFFF"/>
        </w:rPr>
        <w:t> </w:t>
      </w:r>
      <w:r w:rsidRPr="00E12D40">
        <w:rPr>
          <w:rFonts w:ascii="Times New Roman" w:hAnsi="Times New Roman" w:cs="Times New Roman"/>
          <w:sz w:val="24"/>
          <w:szCs w:val="24"/>
        </w:rPr>
        <w:t xml:space="preserve">These acquisitions refer to transactions that are specifically designed to terminate </w:t>
      </w:r>
      <w:r w:rsidRPr="00E12D40">
        <w:rPr>
          <w:rFonts w:ascii="Times New Roman" w:hAnsi="Times New Roman" w:cs="Times New Roman"/>
          <w:sz w:val="24"/>
          <w:szCs w:val="24"/>
        </w:rPr>
        <w:lastRenderedPageBreak/>
        <w:t>the development of an innovative product by the target company in order to preempt future competition.</w:t>
      </w:r>
      <w:r w:rsidRPr="00E12D40">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r w:rsidRPr="00E12D40">
        <w:rPr>
          <w:rFonts w:ascii="Times New Roman" w:hAnsi="Times New Roman" w:cs="Times New Roman"/>
          <w:sz w:val="24"/>
          <w:szCs w:val="24"/>
        </w:rPr>
        <w:t>The authors warn that killer acquisitions threaten competition by limiting future product rivalry.</w:t>
      </w:r>
      <w:r w:rsidRPr="00E12D40">
        <w:rPr>
          <w:rStyle w:val="FootnoteReference"/>
          <w:rFonts w:ascii="Times New Roman" w:hAnsi="Times New Roman" w:cs="Times New Roman"/>
          <w:sz w:val="24"/>
          <w:szCs w:val="24"/>
        </w:rPr>
        <w:t xml:space="preserve"> </w:t>
      </w:r>
      <w:r w:rsidRPr="00E12D40">
        <w:rPr>
          <w:rStyle w:val="FootnoteReference"/>
          <w:rFonts w:ascii="Times New Roman" w:hAnsi="Times New Roman" w:cs="Times New Roman"/>
          <w:sz w:val="24"/>
          <w:szCs w:val="24"/>
        </w:rPr>
        <w:footnoteReference w:id="18"/>
      </w:r>
      <w:r w:rsidRPr="00E12D40">
        <w:rPr>
          <w:rFonts w:ascii="Times New Roman" w:hAnsi="Times New Roman" w:cs="Times New Roman"/>
          <w:sz w:val="24"/>
          <w:szCs w:val="24"/>
        </w:rPr>
        <w:t xml:space="preserve"> Since Cunningham et al., the issue has attracted enormous research interest. In this section, we describe the growing body of literature on killer acquisitions.</w:t>
      </w:r>
    </w:p>
    <w:p w14:paraId="4F62725C" w14:textId="5134C59A" w:rsidR="004F2774" w:rsidRPr="00C235E5" w:rsidRDefault="004474E2"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The k</w:t>
      </w:r>
      <w:r w:rsidR="004F2774" w:rsidRPr="00C235E5">
        <w:rPr>
          <w:rFonts w:ascii="Times New Roman" w:hAnsi="Times New Roman" w:cs="Times New Roman"/>
          <w:sz w:val="24"/>
          <w:szCs w:val="24"/>
        </w:rPr>
        <w:t>iller acquisition</w:t>
      </w:r>
      <w:r w:rsidR="00822B3F" w:rsidRPr="00C235E5">
        <w:rPr>
          <w:rFonts w:ascii="Times New Roman" w:hAnsi="Times New Roman" w:cs="Times New Roman"/>
          <w:sz w:val="24"/>
          <w:szCs w:val="24"/>
        </w:rPr>
        <w:t xml:space="preserve"> </w:t>
      </w:r>
      <w:r w:rsidR="00900937" w:rsidRPr="00C235E5">
        <w:rPr>
          <w:rFonts w:ascii="Times New Roman" w:hAnsi="Times New Roman" w:cs="Times New Roman"/>
          <w:sz w:val="24"/>
          <w:szCs w:val="24"/>
        </w:rPr>
        <w:t xml:space="preserve">literature </w:t>
      </w:r>
      <w:r w:rsidR="00C10BFD">
        <w:rPr>
          <w:rFonts w:ascii="Times New Roman" w:hAnsi="Times New Roman" w:cs="Times New Roman"/>
          <w:sz w:val="24"/>
          <w:szCs w:val="24"/>
        </w:rPr>
        <w:t>focuses on</w:t>
      </w:r>
      <w:r w:rsidR="00C10BFD" w:rsidRPr="00C235E5">
        <w:rPr>
          <w:rFonts w:ascii="Times New Roman" w:hAnsi="Times New Roman" w:cs="Times New Roman"/>
          <w:sz w:val="24"/>
          <w:szCs w:val="24"/>
        </w:rPr>
        <w:t xml:space="preserve"> </w:t>
      </w:r>
      <w:r w:rsidR="00877E35" w:rsidRPr="00C235E5">
        <w:rPr>
          <w:rFonts w:ascii="Times New Roman" w:hAnsi="Times New Roman" w:cs="Times New Roman"/>
          <w:sz w:val="24"/>
          <w:szCs w:val="24"/>
        </w:rPr>
        <w:t>the issue of incumbents buying startups</w:t>
      </w:r>
      <w:r w:rsidR="004F2774" w:rsidRPr="00C235E5">
        <w:rPr>
          <w:rFonts w:ascii="Times New Roman" w:hAnsi="Times New Roman" w:cs="Times New Roman"/>
          <w:sz w:val="24"/>
          <w:szCs w:val="24"/>
        </w:rPr>
        <w:t>. Motta and Peitz argue that such acquisitions harm consumer welfare due to anticompetitive amalgamations of data, increased prices, and reduced opportunities for entrants.</w:t>
      </w:r>
      <w:r w:rsidR="00877E35" w:rsidRPr="00C235E5">
        <w:rPr>
          <w:rStyle w:val="FootnoteReference"/>
          <w:rFonts w:ascii="Times New Roman" w:hAnsi="Times New Roman" w:cs="Times New Roman"/>
          <w:sz w:val="24"/>
          <w:szCs w:val="24"/>
        </w:rPr>
        <w:footnoteReference w:id="19"/>
      </w:r>
      <w:r w:rsidR="004F2774" w:rsidRPr="00C235E5">
        <w:rPr>
          <w:rFonts w:ascii="Times New Roman" w:hAnsi="Times New Roman" w:cs="Times New Roman"/>
          <w:sz w:val="24"/>
          <w:szCs w:val="24"/>
        </w:rPr>
        <w:t xml:space="preserve"> Affeldt and Kesler </w:t>
      </w:r>
      <w:r w:rsidR="00907660" w:rsidRPr="00C235E5">
        <w:rPr>
          <w:rFonts w:ascii="Times New Roman" w:hAnsi="Times New Roman" w:cs="Times New Roman"/>
          <w:sz w:val="24"/>
          <w:szCs w:val="24"/>
        </w:rPr>
        <w:t xml:space="preserve">develop </w:t>
      </w:r>
      <w:r w:rsidR="009B49FF" w:rsidRPr="00C235E5">
        <w:rPr>
          <w:rFonts w:ascii="Times New Roman" w:hAnsi="Times New Roman" w:cs="Times New Roman"/>
          <w:sz w:val="24"/>
          <w:szCs w:val="24"/>
        </w:rPr>
        <w:t>more nuanced conclusions</w:t>
      </w:r>
      <w:r w:rsidR="00907660" w:rsidRPr="00C235E5">
        <w:rPr>
          <w:rFonts w:ascii="Times New Roman" w:hAnsi="Times New Roman" w:cs="Times New Roman"/>
          <w:sz w:val="24"/>
          <w:szCs w:val="24"/>
        </w:rPr>
        <w:t xml:space="preserve"> on startup acquisitions</w:t>
      </w:r>
      <w:r w:rsidR="004F2774" w:rsidRPr="00C235E5">
        <w:rPr>
          <w:rFonts w:ascii="Times New Roman" w:hAnsi="Times New Roman" w:cs="Times New Roman"/>
          <w:sz w:val="24"/>
          <w:szCs w:val="24"/>
        </w:rPr>
        <w:t xml:space="preserve">. </w:t>
      </w:r>
      <w:r w:rsidR="009B49FF" w:rsidRPr="00C235E5">
        <w:rPr>
          <w:rFonts w:ascii="Times New Roman" w:hAnsi="Times New Roman" w:cs="Times New Roman"/>
          <w:sz w:val="24"/>
          <w:szCs w:val="24"/>
        </w:rPr>
        <w:t>On the one hand</w:t>
      </w:r>
      <w:r w:rsidR="004F2774" w:rsidRPr="00C235E5">
        <w:rPr>
          <w:rFonts w:ascii="Times New Roman" w:hAnsi="Times New Roman" w:cs="Times New Roman"/>
          <w:sz w:val="24"/>
          <w:szCs w:val="24"/>
        </w:rPr>
        <w:t xml:space="preserve">, startup acquisitions </w:t>
      </w:r>
      <w:r w:rsidR="00C96DEC" w:rsidRPr="00C235E5">
        <w:rPr>
          <w:rFonts w:ascii="Times New Roman" w:hAnsi="Times New Roman" w:cs="Times New Roman"/>
          <w:sz w:val="24"/>
          <w:szCs w:val="24"/>
        </w:rPr>
        <w:t xml:space="preserve">can </w:t>
      </w:r>
      <w:r w:rsidR="004F2774" w:rsidRPr="00C235E5">
        <w:rPr>
          <w:rFonts w:ascii="Times New Roman" w:hAnsi="Times New Roman" w:cs="Times New Roman"/>
          <w:sz w:val="24"/>
          <w:szCs w:val="24"/>
        </w:rPr>
        <w:t xml:space="preserve">be </w:t>
      </w:r>
      <w:r w:rsidR="00C10BFD">
        <w:rPr>
          <w:rFonts w:ascii="Times New Roman" w:hAnsi="Times New Roman" w:cs="Times New Roman"/>
          <w:sz w:val="24"/>
          <w:szCs w:val="24"/>
        </w:rPr>
        <w:t>consider</w:t>
      </w:r>
      <w:r w:rsidR="00DD3DDA">
        <w:rPr>
          <w:rFonts w:ascii="Times New Roman" w:hAnsi="Times New Roman" w:cs="Times New Roman"/>
          <w:sz w:val="24"/>
          <w:szCs w:val="24"/>
        </w:rPr>
        <w:t>ed</w:t>
      </w:r>
      <w:r w:rsidR="00C10BFD" w:rsidRPr="00C235E5">
        <w:rPr>
          <w:rFonts w:ascii="Times New Roman" w:hAnsi="Times New Roman" w:cs="Times New Roman"/>
          <w:sz w:val="24"/>
          <w:szCs w:val="24"/>
        </w:rPr>
        <w:t xml:space="preserve"> </w:t>
      </w:r>
      <w:r w:rsidR="004F2774" w:rsidRPr="00C235E5">
        <w:rPr>
          <w:rFonts w:ascii="Times New Roman" w:hAnsi="Times New Roman" w:cs="Times New Roman"/>
          <w:sz w:val="24"/>
          <w:szCs w:val="24"/>
        </w:rPr>
        <w:t xml:space="preserve">as “killer” and hence anticompetitive if the target </w:t>
      </w:r>
      <w:r w:rsidR="00C96DEC" w:rsidRPr="00C235E5">
        <w:rPr>
          <w:rFonts w:ascii="Times New Roman" w:hAnsi="Times New Roman" w:cs="Times New Roman"/>
          <w:sz w:val="24"/>
          <w:szCs w:val="24"/>
        </w:rPr>
        <w:t xml:space="preserve">would be </w:t>
      </w:r>
      <w:r w:rsidR="004F2774" w:rsidRPr="00C235E5">
        <w:rPr>
          <w:rFonts w:ascii="Times New Roman" w:hAnsi="Times New Roman" w:cs="Times New Roman"/>
          <w:sz w:val="24"/>
          <w:szCs w:val="24"/>
        </w:rPr>
        <w:t>capable of pursuing innovative efforts without the merger.</w:t>
      </w:r>
      <w:r w:rsidR="004F2774" w:rsidRPr="00C235E5">
        <w:rPr>
          <w:rStyle w:val="FootnoteReference"/>
          <w:rFonts w:ascii="Times New Roman" w:hAnsi="Times New Roman" w:cs="Times New Roman"/>
          <w:sz w:val="24"/>
          <w:szCs w:val="24"/>
        </w:rPr>
        <w:footnoteReference w:id="20"/>
      </w:r>
      <w:r w:rsidR="004F2774" w:rsidRPr="00C235E5">
        <w:rPr>
          <w:rFonts w:ascii="Times New Roman" w:hAnsi="Times New Roman" w:cs="Times New Roman"/>
          <w:sz w:val="24"/>
          <w:szCs w:val="24"/>
        </w:rPr>
        <w:t xml:space="preserve"> </w:t>
      </w:r>
      <w:r w:rsidR="009B49FF" w:rsidRPr="00C235E5">
        <w:rPr>
          <w:rFonts w:ascii="Times New Roman" w:hAnsi="Times New Roman" w:cs="Times New Roman"/>
          <w:sz w:val="24"/>
          <w:szCs w:val="24"/>
        </w:rPr>
        <w:t>On the other hand</w:t>
      </w:r>
      <w:r w:rsidR="004F2774" w:rsidRPr="00C235E5">
        <w:rPr>
          <w:rFonts w:ascii="Times New Roman" w:hAnsi="Times New Roman" w:cs="Times New Roman"/>
          <w:sz w:val="24"/>
          <w:szCs w:val="24"/>
        </w:rPr>
        <w:t xml:space="preserve">, </w:t>
      </w:r>
      <w:r w:rsidR="009B49FF" w:rsidRPr="00C235E5">
        <w:rPr>
          <w:rFonts w:ascii="Times New Roman" w:hAnsi="Times New Roman" w:cs="Times New Roman"/>
          <w:sz w:val="24"/>
          <w:szCs w:val="24"/>
        </w:rPr>
        <w:t xml:space="preserve">startup </w:t>
      </w:r>
      <w:r w:rsidR="004F2774" w:rsidRPr="00C235E5">
        <w:rPr>
          <w:rFonts w:ascii="Times New Roman" w:hAnsi="Times New Roman" w:cs="Times New Roman"/>
          <w:sz w:val="24"/>
          <w:szCs w:val="24"/>
        </w:rPr>
        <w:t>acquisition</w:t>
      </w:r>
      <w:r w:rsidR="00C96DEC" w:rsidRPr="00C235E5">
        <w:rPr>
          <w:rFonts w:ascii="Times New Roman" w:hAnsi="Times New Roman" w:cs="Times New Roman"/>
          <w:sz w:val="24"/>
          <w:szCs w:val="24"/>
        </w:rPr>
        <w:t>s</w:t>
      </w:r>
      <w:r w:rsidR="004F2774" w:rsidRPr="00C235E5">
        <w:rPr>
          <w:rFonts w:ascii="Times New Roman" w:hAnsi="Times New Roman" w:cs="Times New Roman"/>
          <w:sz w:val="24"/>
          <w:szCs w:val="24"/>
        </w:rPr>
        <w:t xml:space="preserve"> </w:t>
      </w:r>
      <w:r w:rsidR="00C96DEC" w:rsidRPr="00C235E5">
        <w:rPr>
          <w:rFonts w:ascii="Times New Roman" w:hAnsi="Times New Roman" w:cs="Times New Roman"/>
          <w:sz w:val="24"/>
          <w:szCs w:val="24"/>
        </w:rPr>
        <w:t xml:space="preserve">are </w:t>
      </w:r>
      <w:r w:rsidR="004F2774" w:rsidRPr="00C235E5">
        <w:rPr>
          <w:rFonts w:ascii="Times New Roman" w:hAnsi="Times New Roman" w:cs="Times New Roman"/>
          <w:sz w:val="24"/>
          <w:szCs w:val="24"/>
        </w:rPr>
        <w:t xml:space="preserve">pro-competitive if </w:t>
      </w:r>
      <w:r w:rsidR="00C96DEC" w:rsidRPr="00C235E5">
        <w:rPr>
          <w:rFonts w:ascii="Times New Roman" w:hAnsi="Times New Roman" w:cs="Times New Roman"/>
          <w:sz w:val="24"/>
          <w:szCs w:val="24"/>
        </w:rPr>
        <w:t xml:space="preserve">they </w:t>
      </w:r>
      <w:r w:rsidR="000A3972">
        <w:rPr>
          <w:rFonts w:ascii="Times New Roman" w:hAnsi="Times New Roman" w:cs="Times New Roman"/>
          <w:sz w:val="24"/>
          <w:szCs w:val="24"/>
        </w:rPr>
        <w:t>alleviate</w:t>
      </w:r>
      <w:r w:rsidR="000A3972" w:rsidRPr="00C235E5">
        <w:rPr>
          <w:rFonts w:ascii="Times New Roman" w:hAnsi="Times New Roman" w:cs="Times New Roman"/>
          <w:sz w:val="24"/>
          <w:szCs w:val="24"/>
        </w:rPr>
        <w:t xml:space="preserve"> </w:t>
      </w:r>
      <w:r w:rsidR="004F2774" w:rsidRPr="00C235E5">
        <w:rPr>
          <w:rFonts w:ascii="Times New Roman" w:hAnsi="Times New Roman" w:cs="Times New Roman"/>
          <w:sz w:val="24"/>
          <w:szCs w:val="24"/>
        </w:rPr>
        <w:t>financial, technical, and managerial constraints face</w:t>
      </w:r>
      <w:r w:rsidR="00F823E4" w:rsidRPr="00C235E5">
        <w:rPr>
          <w:rFonts w:ascii="Times New Roman" w:hAnsi="Times New Roman" w:cs="Times New Roman"/>
          <w:sz w:val="24"/>
          <w:szCs w:val="24"/>
        </w:rPr>
        <w:t>d by the target firm</w:t>
      </w:r>
      <w:r w:rsidR="004F2774" w:rsidRPr="00C235E5">
        <w:rPr>
          <w:rFonts w:ascii="Times New Roman" w:hAnsi="Times New Roman" w:cs="Times New Roman"/>
          <w:sz w:val="24"/>
          <w:szCs w:val="24"/>
        </w:rPr>
        <w:t>.</w:t>
      </w:r>
      <w:r w:rsidR="004F2774" w:rsidRPr="00C235E5">
        <w:rPr>
          <w:rStyle w:val="FootnoteReference"/>
          <w:rFonts w:ascii="Times New Roman" w:hAnsi="Times New Roman" w:cs="Times New Roman"/>
          <w:sz w:val="24"/>
          <w:szCs w:val="24"/>
        </w:rPr>
        <w:footnoteReference w:id="21"/>
      </w:r>
      <w:r w:rsidR="004F2774" w:rsidRPr="00C235E5">
        <w:rPr>
          <w:rFonts w:ascii="Times New Roman" w:hAnsi="Times New Roman" w:cs="Times New Roman"/>
          <w:sz w:val="24"/>
          <w:szCs w:val="24"/>
        </w:rPr>
        <w:t xml:space="preserve"> In a more recent paper, </w:t>
      </w:r>
      <w:r w:rsidR="00C10BFD" w:rsidRPr="00C235E5">
        <w:rPr>
          <w:rFonts w:ascii="Times New Roman" w:hAnsi="Times New Roman" w:cs="Times New Roman"/>
          <w:sz w:val="24"/>
          <w:szCs w:val="24"/>
        </w:rPr>
        <w:t xml:space="preserve">Affeldt and Kesler </w:t>
      </w:r>
      <w:r w:rsidR="00C10BFD">
        <w:rPr>
          <w:rFonts w:ascii="Times New Roman" w:hAnsi="Times New Roman" w:cs="Times New Roman"/>
          <w:sz w:val="24"/>
          <w:szCs w:val="24"/>
        </w:rPr>
        <w:t xml:space="preserve">suggest other </w:t>
      </w:r>
      <w:r w:rsidR="00733D1A" w:rsidRPr="00C235E5">
        <w:rPr>
          <w:rFonts w:ascii="Times New Roman" w:hAnsi="Times New Roman" w:cs="Times New Roman"/>
          <w:sz w:val="24"/>
          <w:szCs w:val="24"/>
        </w:rPr>
        <w:t xml:space="preserve">adverse effects from </w:t>
      </w:r>
      <w:r w:rsidR="004F2774" w:rsidRPr="00C235E5">
        <w:rPr>
          <w:rFonts w:ascii="Times New Roman" w:hAnsi="Times New Roman" w:cs="Times New Roman"/>
          <w:sz w:val="24"/>
          <w:szCs w:val="24"/>
        </w:rPr>
        <w:t>suspected killer acquisition</w:t>
      </w:r>
      <w:r w:rsidR="001E72B0">
        <w:rPr>
          <w:rFonts w:ascii="Times New Roman" w:hAnsi="Times New Roman" w:cs="Times New Roman"/>
          <w:sz w:val="24"/>
          <w:szCs w:val="24"/>
        </w:rPr>
        <w:t>s</w:t>
      </w:r>
      <w:r w:rsidR="00C10BFD">
        <w:rPr>
          <w:rFonts w:ascii="Times New Roman" w:hAnsi="Times New Roman" w:cs="Times New Roman"/>
          <w:sz w:val="24"/>
          <w:szCs w:val="24"/>
        </w:rPr>
        <w:t xml:space="preserve">. Mergers </w:t>
      </w:r>
      <w:r w:rsidR="00F15317" w:rsidRPr="00C235E5">
        <w:rPr>
          <w:rFonts w:ascii="Times New Roman" w:hAnsi="Times New Roman" w:cs="Times New Roman"/>
          <w:sz w:val="24"/>
          <w:szCs w:val="24"/>
        </w:rPr>
        <w:t xml:space="preserve">involving </w:t>
      </w:r>
      <w:r w:rsidR="004F2774" w:rsidRPr="00C235E5">
        <w:rPr>
          <w:rFonts w:ascii="Times New Roman" w:hAnsi="Times New Roman" w:cs="Times New Roman"/>
          <w:sz w:val="24"/>
          <w:szCs w:val="24"/>
        </w:rPr>
        <w:t xml:space="preserve">large technology companies lead to a reduction and relocation of </w:t>
      </w:r>
      <w:r w:rsidR="004F2774" w:rsidRPr="00C235E5">
        <w:rPr>
          <w:rFonts w:ascii="Times New Roman" w:hAnsi="Times New Roman" w:cs="Times New Roman"/>
          <w:sz w:val="24"/>
          <w:szCs w:val="24"/>
        </w:rPr>
        <w:lastRenderedPageBreak/>
        <w:t>innovative efforts by other firms.</w:t>
      </w:r>
      <w:r w:rsidR="004F2774" w:rsidRPr="00C235E5">
        <w:rPr>
          <w:rStyle w:val="FootnoteReference"/>
          <w:rFonts w:ascii="Times New Roman" w:hAnsi="Times New Roman" w:cs="Times New Roman"/>
          <w:sz w:val="24"/>
          <w:szCs w:val="24"/>
        </w:rPr>
        <w:footnoteReference w:id="22"/>
      </w:r>
      <w:r w:rsidR="004F2774" w:rsidRPr="00C235E5">
        <w:rPr>
          <w:rFonts w:ascii="Times New Roman" w:hAnsi="Times New Roman" w:cs="Times New Roman"/>
          <w:sz w:val="24"/>
          <w:szCs w:val="24"/>
        </w:rPr>
        <w:t xml:space="preserve"> Brutti and Rojas argue that the pro</w:t>
      </w:r>
      <w:r w:rsidR="00DD3DDA">
        <w:rPr>
          <w:rFonts w:ascii="Times New Roman" w:hAnsi="Times New Roman" w:cs="Times New Roman"/>
          <w:sz w:val="24"/>
          <w:szCs w:val="24"/>
        </w:rPr>
        <w:t>-</w:t>
      </w:r>
      <w:r w:rsidR="004F2774" w:rsidRPr="00C235E5">
        <w:rPr>
          <w:rFonts w:ascii="Times New Roman" w:hAnsi="Times New Roman" w:cs="Times New Roman"/>
          <w:sz w:val="24"/>
          <w:szCs w:val="24"/>
        </w:rPr>
        <w:t xml:space="preserve"> or anticompetitive nature of a startup acquisition depends on “the relationship between the incumbent’s and the startup’s target users</w:t>
      </w:r>
      <w:r w:rsidR="00842436">
        <w:rPr>
          <w:rFonts w:ascii="Times New Roman" w:hAnsi="Times New Roman" w:cs="Times New Roman"/>
          <w:sz w:val="24"/>
          <w:szCs w:val="24"/>
        </w:rPr>
        <w:t>,</w:t>
      </w:r>
      <w:r w:rsidR="004F2774" w:rsidRPr="00C235E5">
        <w:rPr>
          <w:rFonts w:ascii="Times New Roman" w:hAnsi="Times New Roman" w:cs="Times New Roman"/>
          <w:sz w:val="24"/>
          <w:szCs w:val="24"/>
        </w:rPr>
        <w:t xml:space="preserve"> and on the ability of the startup to catch up with the incumbent</w:t>
      </w:r>
      <w:r w:rsidR="003212A2">
        <w:rPr>
          <w:rFonts w:ascii="Times New Roman" w:hAnsi="Times New Roman" w:cs="Times New Roman"/>
          <w:sz w:val="24"/>
          <w:szCs w:val="24"/>
        </w:rPr>
        <w:t>.</w:t>
      </w:r>
      <w:r w:rsidR="004F2774" w:rsidRPr="00C235E5">
        <w:rPr>
          <w:rFonts w:ascii="Times New Roman" w:hAnsi="Times New Roman" w:cs="Times New Roman"/>
          <w:sz w:val="24"/>
          <w:szCs w:val="24"/>
        </w:rPr>
        <w:t>”</w:t>
      </w:r>
      <w:r w:rsidR="004F2774" w:rsidRPr="00C235E5">
        <w:rPr>
          <w:rStyle w:val="FootnoteReference"/>
          <w:rFonts w:ascii="Times New Roman" w:hAnsi="Times New Roman" w:cs="Times New Roman"/>
          <w:sz w:val="24"/>
          <w:szCs w:val="24"/>
        </w:rPr>
        <w:footnoteReference w:id="23"/>
      </w:r>
      <w:r w:rsidR="00664B90" w:rsidRPr="00C235E5">
        <w:rPr>
          <w:rFonts w:ascii="Times New Roman" w:eastAsia="Times New Roman" w:hAnsi="Times New Roman" w:cs="Times New Roman"/>
          <w:sz w:val="24"/>
          <w:szCs w:val="24"/>
        </w:rPr>
        <w:t xml:space="preserve"> </w:t>
      </w:r>
      <w:r w:rsidR="006875D4">
        <w:rPr>
          <w:rFonts w:ascii="Times New Roman" w:eastAsia="Times New Roman" w:hAnsi="Times New Roman" w:cs="Times New Roman"/>
          <w:sz w:val="24"/>
          <w:szCs w:val="24"/>
        </w:rPr>
        <w:t>In a new paper, Crandall and Hazlett suggest that most acquisitions by large technology firms have been benign or pro-competitive.</w:t>
      </w:r>
      <w:r w:rsidR="00531B06">
        <w:rPr>
          <w:rStyle w:val="FootnoteReference"/>
          <w:rFonts w:ascii="Times New Roman" w:eastAsia="Times New Roman" w:hAnsi="Times New Roman" w:cs="Times New Roman"/>
          <w:sz w:val="24"/>
          <w:szCs w:val="24"/>
        </w:rPr>
        <w:footnoteReference w:id="24"/>
      </w:r>
      <w:r w:rsidR="006875D4">
        <w:rPr>
          <w:rFonts w:ascii="Times New Roman" w:eastAsia="Times New Roman" w:hAnsi="Times New Roman" w:cs="Times New Roman"/>
          <w:sz w:val="24"/>
          <w:szCs w:val="24"/>
        </w:rPr>
        <w:t xml:space="preserve"> </w:t>
      </w:r>
      <w:r w:rsidR="00533B50" w:rsidRPr="00C235E5">
        <w:rPr>
          <w:rFonts w:ascii="Times New Roman" w:eastAsia="Times New Roman" w:hAnsi="Times New Roman" w:cs="Times New Roman"/>
          <w:sz w:val="24"/>
          <w:szCs w:val="24"/>
        </w:rPr>
        <w:t>Other works draw a link</w:t>
      </w:r>
      <w:r w:rsidR="00664B90" w:rsidRPr="00C235E5">
        <w:rPr>
          <w:rFonts w:ascii="Times New Roman" w:eastAsia="Times New Roman" w:hAnsi="Times New Roman" w:cs="Times New Roman"/>
          <w:sz w:val="24"/>
          <w:szCs w:val="24"/>
        </w:rPr>
        <w:t xml:space="preserve"> between the existence of a “killer acquisition</w:t>
      </w:r>
      <w:r w:rsidR="00A04602">
        <w:rPr>
          <w:rFonts w:ascii="Times New Roman" w:eastAsia="Times New Roman" w:hAnsi="Times New Roman" w:cs="Times New Roman"/>
          <w:sz w:val="24"/>
          <w:szCs w:val="24"/>
        </w:rPr>
        <w:t>,</w:t>
      </w:r>
      <w:r w:rsidR="00664B90" w:rsidRPr="00C235E5">
        <w:rPr>
          <w:rFonts w:ascii="Times New Roman" w:eastAsia="Times New Roman" w:hAnsi="Times New Roman" w:cs="Times New Roman"/>
          <w:sz w:val="24"/>
          <w:szCs w:val="24"/>
        </w:rPr>
        <w:t xml:space="preserve"> and the high nominal amounts paid by the buyer to acquire the target.</w:t>
      </w:r>
      <w:r w:rsidR="00664B90" w:rsidRPr="00C235E5">
        <w:rPr>
          <w:rStyle w:val="FootnoteReference"/>
          <w:rFonts w:ascii="Times New Roman" w:eastAsia="Times New Roman" w:hAnsi="Times New Roman" w:cs="Times New Roman"/>
          <w:sz w:val="24"/>
          <w:szCs w:val="24"/>
        </w:rPr>
        <w:footnoteReference w:id="25"/>
      </w:r>
      <w:r w:rsidR="00664B90" w:rsidRPr="00C235E5">
        <w:rPr>
          <w:rFonts w:ascii="Times New Roman" w:eastAsia="Times New Roman" w:hAnsi="Times New Roman" w:cs="Times New Roman"/>
          <w:sz w:val="24"/>
          <w:szCs w:val="24"/>
        </w:rPr>
        <w:t xml:space="preserve"> </w:t>
      </w:r>
      <w:r w:rsidR="00F15317" w:rsidRPr="00C235E5">
        <w:rPr>
          <w:rFonts w:ascii="Times New Roman" w:eastAsia="Times New Roman" w:hAnsi="Times New Roman" w:cs="Times New Roman"/>
          <w:sz w:val="24"/>
          <w:szCs w:val="24"/>
        </w:rPr>
        <w:t>For example, t</w:t>
      </w:r>
      <w:r w:rsidR="00664B90" w:rsidRPr="00C235E5">
        <w:rPr>
          <w:rFonts w:ascii="Times New Roman" w:eastAsia="Times New Roman" w:hAnsi="Times New Roman" w:cs="Times New Roman"/>
          <w:sz w:val="24"/>
          <w:szCs w:val="24"/>
        </w:rPr>
        <w:t xml:space="preserve">he </w:t>
      </w:r>
      <w:r w:rsidR="009B3F8F" w:rsidRPr="00C235E5">
        <w:rPr>
          <w:rFonts w:ascii="Times New Roman" w:eastAsia="Times New Roman" w:hAnsi="Times New Roman" w:cs="Times New Roman"/>
          <w:sz w:val="24"/>
          <w:szCs w:val="24"/>
        </w:rPr>
        <w:t>USD 19 billion</w:t>
      </w:r>
      <w:r w:rsidR="00664B90" w:rsidRPr="00C235E5">
        <w:rPr>
          <w:rFonts w:ascii="Times New Roman" w:eastAsia="Times New Roman" w:hAnsi="Times New Roman" w:cs="Times New Roman"/>
          <w:sz w:val="24"/>
          <w:szCs w:val="24"/>
        </w:rPr>
        <w:t xml:space="preserve"> paid by Facebook for </w:t>
      </w:r>
      <w:r w:rsidR="00EF42BA" w:rsidRPr="00C235E5">
        <w:rPr>
          <w:rFonts w:ascii="Times New Roman" w:eastAsia="Times New Roman" w:hAnsi="Times New Roman" w:cs="Times New Roman"/>
          <w:sz w:val="24"/>
          <w:szCs w:val="24"/>
        </w:rPr>
        <w:t>WhatsApp</w:t>
      </w:r>
      <w:r w:rsidR="00664B90" w:rsidRPr="00C235E5">
        <w:rPr>
          <w:rFonts w:ascii="Times New Roman" w:eastAsia="Times New Roman" w:hAnsi="Times New Roman" w:cs="Times New Roman"/>
          <w:sz w:val="24"/>
          <w:szCs w:val="24"/>
        </w:rPr>
        <w:t xml:space="preserve"> </w:t>
      </w:r>
      <w:r w:rsidR="00587B9A" w:rsidRPr="00C235E5">
        <w:rPr>
          <w:rFonts w:ascii="Times New Roman" w:eastAsia="Times New Roman" w:hAnsi="Times New Roman" w:cs="Times New Roman"/>
          <w:sz w:val="24"/>
          <w:szCs w:val="24"/>
        </w:rPr>
        <w:t>is often</w:t>
      </w:r>
      <w:r w:rsidR="00664B90" w:rsidRPr="00C235E5">
        <w:rPr>
          <w:rFonts w:ascii="Times New Roman" w:eastAsia="Times New Roman" w:hAnsi="Times New Roman" w:cs="Times New Roman"/>
          <w:sz w:val="24"/>
          <w:szCs w:val="24"/>
        </w:rPr>
        <w:t xml:space="preserve"> described as smoking gun evidence of anticompetitive evil.</w:t>
      </w:r>
      <w:r w:rsidR="00587B9A" w:rsidRPr="00C235E5">
        <w:rPr>
          <w:rStyle w:val="FootnoteReference"/>
          <w:rFonts w:ascii="Times New Roman" w:eastAsia="Times New Roman" w:hAnsi="Times New Roman" w:cs="Times New Roman"/>
          <w:sz w:val="24"/>
          <w:szCs w:val="24"/>
        </w:rPr>
        <w:footnoteReference w:id="26"/>
      </w:r>
    </w:p>
    <w:p w14:paraId="7027BDCF" w14:textId="247BAAD4" w:rsidR="001E7D6B" w:rsidRDefault="004F2774"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The literature on killer acquisitions </w:t>
      </w:r>
      <w:r w:rsidR="00C47602" w:rsidRPr="00C235E5">
        <w:rPr>
          <w:rFonts w:ascii="Times New Roman" w:hAnsi="Times New Roman" w:cs="Times New Roman"/>
          <w:sz w:val="24"/>
          <w:szCs w:val="24"/>
        </w:rPr>
        <w:t>often</w:t>
      </w:r>
      <w:r w:rsidRPr="00C235E5">
        <w:rPr>
          <w:rFonts w:ascii="Times New Roman" w:hAnsi="Times New Roman" w:cs="Times New Roman"/>
          <w:sz w:val="24"/>
          <w:szCs w:val="24"/>
        </w:rPr>
        <w:t xml:space="preserve"> </w:t>
      </w:r>
      <w:r w:rsidR="00C47602" w:rsidRPr="00C235E5">
        <w:rPr>
          <w:rFonts w:ascii="Times New Roman" w:hAnsi="Times New Roman" w:cs="Times New Roman"/>
          <w:sz w:val="24"/>
          <w:szCs w:val="24"/>
        </w:rPr>
        <w:t xml:space="preserve">takes </w:t>
      </w:r>
      <w:r w:rsidRPr="00C235E5">
        <w:rPr>
          <w:rFonts w:ascii="Times New Roman" w:hAnsi="Times New Roman" w:cs="Times New Roman"/>
          <w:sz w:val="24"/>
          <w:szCs w:val="24"/>
        </w:rPr>
        <w:t xml:space="preserve">an industry-specific </w:t>
      </w:r>
      <w:r w:rsidR="00C47602" w:rsidRPr="00C235E5">
        <w:rPr>
          <w:rFonts w:ascii="Times New Roman" w:hAnsi="Times New Roman" w:cs="Times New Roman"/>
          <w:sz w:val="24"/>
          <w:szCs w:val="24"/>
        </w:rPr>
        <w:t>perspective</w:t>
      </w:r>
      <w:r w:rsidRPr="00C235E5">
        <w:rPr>
          <w:rFonts w:ascii="Times New Roman" w:hAnsi="Times New Roman" w:cs="Times New Roman"/>
          <w:sz w:val="24"/>
          <w:szCs w:val="24"/>
        </w:rPr>
        <w:t>.</w:t>
      </w:r>
      <w:r w:rsidRPr="00C235E5">
        <w:rPr>
          <w:rStyle w:val="FootnoteReference"/>
          <w:rFonts w:ascii="Times New Roman" w:hAnsi="Times New Roman" w:cs="Times New Roman"/>
          <w:sz w:val="24"/>
          <w:szCs w:val="24"/>
        </w:rPr>
        <w:footnoteReference w:id="27"/>
      </w:r>
      <w:r w:rsidRPr="00C235E5">
        <w:rPr>
          <w:rFonts w:ascii="Times New Roman" w:hAnsi="Times New Roman" w:cs="Times New Roman"/>
          <w:sz w:val="24"/>
          <w:szCs w:val="24"/>
        </w:rPr>
        <w:t xml:space="preserve"> For </w:t>
      </w:r>
      <w:r w:rsidR="00F15317" w:rsidRPr="00C235E5">
        <w:rPr>
          <w:rFonts w:ascii="Times New Roman" w:hAnsi="Times New Roman" w:cs="Times New Roman"/>
          <w:sz w:val="24"/>
          <w:szCs w:val="24"/>
        </w:rPr>
        <w:t>example</w:t>
      </w:r>
      <w:r w:rsidRPr="00C235E5">
        <w:rPr>
          <w:rFonts w:ascii="Times New Roman" w:hAnsi="Times New Roman" w:cs="Times New Roman"/>
          <w:sz w:val="24"/>
          <w:szCs w:val="24"/>
        </w:rPr>
        <w:t xml:space="preserve">, </w:t>
      </w:r>
      <w:r w:rsidR="00C47602" w:rsidRPr="00C235E5">
        <w:rPr>
          <w:rFonts w:ascii="Times New Roman" w:hAnsi="Times New Roman" w:cs="Times New Roman"/>
          <w:sz w:val="24"/>
          <w:szCs w:val="24"/>
        </w:rPr>
        <w:t xml:space="preserve">the seminal </w:t>
      </w:r>
      <w:r w:rsidRPr="00C235E5">
        <w:rPr>
          <w:rFonts w:ascii="Times New Roman" w:hAnsi="Times New Roman" w:cs="Times New Roman"/>
          <w:sz w:val="24"/>
          <w:szCs w:val="24"/>
        </w:rPr>
        <w:t xml:space="preserve">Cunningham, Ma, and Ederer </w:t>
      </w:r>
      <w:r w:rsidR="00565875" w:rsidRPr="00C235E5">
        <w:rPr>
          <w:rFonts w:ascii="Times New Roman" w:hAnsi="Times New Roman" w:cs="Times New Roman"/>
          <w:sz w:val="24"/>
          <w:szCs w:val="24"/>
        </w:rPr>
        <w:t>article</w:t>
      </w:r>
      <w:r w:rsidR="00C47602" w:rsidRPr="00C235E5">
        <w:rPr>
          <w:rFonts w:ascii="Times New Roman" w:hAnsi="Times New Roman" w:cs="Times New Roman"/>
          <w:sz w:val="24"/>
          <w:szCs w:val="24"/>
        </w:rPr>
        <w:t xml:space="preserve"> </w:t>
      </w:r>
      <w:r w:rsidRPr="00C235E5">
        <w:rPr>
          <w:rFonts w:ascii="Times New Roman" w:hAnsi="Times New Roman" w:cs="Times New Roman"/>
          <w:sz w:val="24"/>
          <w:szCs w:val="24"/>
        </w:rPr>
        <w:t>focuse</w:t>
      </w:r>
      <w:r w:rsidR="00C47602" w:rsidRPr="00C235E5">
        <w:rPr>
          <w:rFonts w:ascii="Times New Roman" w:hAnsi="Times New Roman" w:cs="Times New Roman"/>
          <w:sz w:val="24"/>
          <w:szCs w:val="24"/>
        </w:rPr>
        <w:t>s</w:t>
      </w:r>
      <w:r w:rsidRPr="00C235E5">
        <w:rPr>
          <w:rFonts w:ascii="Times New Roman" w:hAnsi="Times New Roman" w:cs="Times New Roman"/>
          <w:sz w:val="24"/>
          <w:szCs w:val="24"/>
        </w:rPr>
        <w:t xml:space="preserve"> on killer acquisitions in the </w:t>
      </w:r>
      <w:r w:rsidRPr="00C235E5">
        <w:rPr>
          <w:rFonts w:ascii="Times New Roman" w:hAnsi="Times New Roman" w:cs="Times New Roman"/>
          <w:sz w:val="24"/>
          <w:szCs w:val="24"/>
        </w:rPr>
        <w:lastRenderedPageBreak/>
        <w:t xml:space="preserve">pharmaceutical sector. </w:t>
      </w:r>
      <w:r w:rsidR="00C10BFD" w:rsidRPr="00C235E5">
        <w:rPr>
          <w:rFonts w:ascii="Times New Roman" w:hAnsi="Times New Roman" w:cs="Times New Roman"/>
          <w:sz w:val="24"/>
          <w:szCs w:val="24"/>
        </w:rPr>
        <w:t>Sokol develops an analysis of nascent competitor acquisitions in the biotech sector.</w:t>
      </w:r>
      <w:r w:rsidR="00C10BFD" w:rsidRPr="00C235E5">
        <w:rPr>
          <w:rStyle w:val="FootnoteReference"/>
          <w:rFonts w:ascii="Times New Roman" w:hAnsi="Times New Roman" w:cs="Times New Roman"/>
          <w:sz w:val="24"/>
          <w:szCs w:val="24"/>
        </w:rPr>
        <w:footnoteReference w:id="28"/>
      </w:r>
      <w:r w:rsidR="00C10BFD" w:rsidRPr="00C235E5">
        <w:rPr>
          <w:rFonts w:ascii="Times New Roman" w:hAnsi="Times New Roman" w:cs="Times New Roman"/>
          <w:sz w:val="24"/>
          <w:szCs w:val="24"/>
        </w:rPr>
        <w:t xml:space="preserve"> </w:t>
      </w:r>
      <w:r w:rsidRPr="00C235E5">
        <w:rPr>
          <w:rFonts w:ascii="Times New Roman" w:hAnsi="Times New Roman" w:cs="Times New Roman"/>
          <w:sz w:val="24"/>
          <w:szCs w:val="24"/>
        </w:rPr>
        <w:t xml:space="preserve">Gautier and Lamesch focus on </w:t>
      </w:r>
      <w:r w:rsidR="00C10BFD">
        <w:rPr>
          <w:rFonts w:ascii="Times New Roman" w:hAnsi="Times New Roman" w:cs="Times New Roman"/>
          <w:sz w:val="24"/>
          <w:szCs w:val="24"/>
        </w:rPr>
        <w:t xml:space="preserve">studying </w:t>
      </w:r>
      <w:r w:rsidRPr="00C235E5">
        <w:rPr>
          <w:rFonts w:ascii="Times New Roman" w:hAnsi="Times New Roman" w:cs="Times New Roman"/>
          <w:sz w:val="24"/>
          <w:szCs w:val="24"/>
        </w:rPr>
        <w:t xml:space="preserve">the M&amp;A activities of large </w:t>
      </w:r>
      <w:r w:rsidR="00C10BFD">
        <w:rPr>
          <w:rFonts w:ascii="Times New Roman" w:hAnsi="Times New Roman" w:cs="Times New Roman"/>
          <w:sz w:val="24"/>
          <w:szCs w:val="24"/>
        </w:rPr>
        <w:t xml:space="preserve">digital </w:t>
      </w:r>
      <w:r w:rsidRPr="00C235E5">
        <w:rPr>
          <w:rFonts w:ascii="Times New Roman" w:hAnsi="Times New Roman" w:cs="Times New Roman"/>
          <w:sz w:val="24"/>
          <w:szCs w:val="24"/>
        </w:rPr>
        <w:t>firms.</w:t>
      </w:r>
      <w:r w:rsidRPr="00C235E5">
        <w:rPr>
          <w:rStyle w:val="FootnoteReference"/>
          <w:rFonts w:ascii="Times New Roman" w:hAnsi="Times New Roman" w:cs="Times New Roman"/>
          <w:sz w:val="24"/>
          <w:szCs w:val="24"/>
        </w:rPr>
        <w:footnoteReference w:id="29"/>
      </w:r>
      <w:r w:rsidRPr="00C235E5">
        <w:rPr>
          <w:rFonts w:ascii="Times New Roman" w:hAnsi="Times New Roman" w:cs="Times New Roman"/>
          <w:sz w:val="24"/>
          <w:szCs w:val="24"/>
        </w:rPr>
        <w:t xml:space="preserve"> </w:t>
      </w:r>
    </w:p>
    <w:p w14:paraId="73520FB0" w14:textId="68061CB9" w:rsidR="00483588" w:rsidRPr="00C235E5" w:rsidRDefault="001E7D6B"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The industry-specific development of the concept of killer acquisitions led some scholars to lament that the application of antitrust is becoming discriminatory.</w:t>
      </w:r>
      <w:r w:rsidRPr="00C235E5">
        <w:rPr>
          <w:rStyle w:val="FootnoteReference"/>
          <w:rFonts w:ascii="Times New Roman" w:hAnsi="Times New Roman" w:cs="Times New Roman"/>
          <w:sz w:val="24"/>
          <w:szCs w:val="24"/>
        </w:rPr>
        <w:footnoteReference w:id="30"/>
      </w:r>
      <w:r w:rsidRPr="00C235E5">
        <w:rPr>
          <w:rFonts w:ascii="Times New Roman" w:hAnsi="Times New Roman" w:cs="Times New Roman"/>
          <w:sz w:val="24"/>
          <w:szCs w:val="24"/>
        </w:rPr>
        <w:t xml:space="preserve"> </w:t>
      </w:r>
      <w:r w:rsidR="007C62E7">
        <w:rPr>
          <w:rFonts w:ascii="Times New Roman" w:hAnsi="Times New Roman" w:cs="Times New Roman"/>
          <w:sz w:val="24"/>
          <w:szCs w:val="24"/>
        </w:rPr>
        <w:t xml:space="preserve">But </w:t>
      </w:r>
      <w:r w:rsidR="00632BFD">
        <w:rPr>
          <w:rFonts w:ascii="Times New Roman" w:hAnsi="Times New Roman" w:cs="Times New Roman"/>
          <w:sz w:val="24"/>
          <w:szCs w:val="24"/>
        </w:rPr>
        <w:t xml:space="preserve">innovative and competitive dynamics </w:t>
      </w:r>
      <w:r w:rsidR="007C62E7">
        <w:rPr>
          <w:rFonts w:ascii="Times New Roman" w:hAnsi="Times New Roman" w:cs="Times New Roman"/>
          <w:sz w:val="24"/>
          <w:szCs w:val="24"/>
        </w:rPr>
        <w:t xml:space="preserve">are different across </w:t>
      </w:r>
      <w:r w:rsidR="00632BFD">
        <w:rPr>
          <w:rFonts w:ascii="Times New Roman" w:hAnsi="Times New Roman" w:cs="Times New Roman"/>
          <w:sz w:val="24"/>
          <w:szCs w:val="24"/>
        </w:rPr>
        <w:t>industries.</w:t>
      </w:r>
      <w:r>
        <w:rPr>
          <w:rStyle w:val="FootnoteReference"/>
          <w:rFonts w:ascii="Times New Roman" w:hAnsi="Times New Roman" w:cs="Times New Roman"/>
          <w:sz w:val="24"/>
          <w:szCs w:val="24"/>
        </w:rPr>
        <w:footnoteReference w:id="31"/>
      </w:r>
      <w:r w:rsidR="00632BFD">
        <w:rPr>
          <w:rFonts w:ascii="Times New Roman" w:hAnsi="Times New Roman" w:cs="Times New Roman"/>
          <w:sz w:val="24"/>
          <w:szCs w:val="24"/>
        </w:rPr>
        <w:t xml:space="preserve"> For </w:t>
      </w:r>
      <w:r w:rsidR="007C62E7">
        <w:rPr>
          <w:rFonts w:ascii="Times New Roman" w:hAnsi="Times New Roman" w:cs="Times New Roman"/>
          <w:sz w:val="24"/>
          <w:szCs w:val="24"/>
        </w:rPr>
        <w:t>example</w:t>
      </w:r>
      <w:r w:rsidR="00632BFD">
        <w:rPr>
          <w:rFonts w:ascii="Times New Roman" w:hAnsi="Times New Roman" w:cs="Times New Roman"/>
          <w:sz w:val="24"/>
          <w:szCs w:val="24"/>
        </w:rPr>
        <w:t xml:space="preserve">, </w:t>
      </w:r>
      <w:r w:rsidR="00AD521C">
        <w:rPr>
          <w:rFonts w:ascii="Times New Roman" w:hAnsi="Times New Roman" w:cs="Times New Roman"/>
          <w:sz w:val="24"/>
          <w:szCs w:val="24"/>
        </w:rPr>
        <w:t>pharmaceutical markets are less nimble relative to digital markets</w:t>
      </w:r>
      <w:r w:rsidR="00D403D8">
        <w:rPr>
          <w:rFonts w:ascii="Times New Roman" w:hAnsi="Times New Roman" w:cs="Times New Roman"/>
          <w:sz w:val="24"/>
          <w:szCs w:val="24"/>
        </w:rPr>
        <w:t xml:space="preserve">. Patent </w:t>
      </w:r>
      <w:r w:rsidR="007C62E7">
        <w:rPr>
          <w:rFonts w:ascii="Times New Roman" w:hAnsi="Times New Roman" w:cs="Times New Roman"/>
          <w:sz w:val="24"/>
          <w:szCs w:val="24"/>
        </w:rPr>
        <w:t>density is higher</w:t>
      </w:r>
      <w:r w:rsidR="00D403D8">
        <w:rPr>
          <w:rFonts w:ascii="Times New Roman" w:hAnsi="Times New Roman" w:cs="Times New Roman"/>
          <w:sz w:val="24"/>
          <w:szCs w:val="24"/>
        </w:rPr>
        <w:t xml:space="preserve"> in pharmaceuticals, </w:t>
      </w:r>
      <w:r w:rsidR="007C62E7">
        <w:rPr>
          <w:rFonts w:ascii="Times New Roman" w:hAnsi="Times New Roman" w:cs="Times New Roman"/>
          <w:sz w:val="24"/>
          <w:szCs w:val="24"/>
        </w:rPr>
        <w:t xml:space="preserve">drug </w:t>
      </w:r>
      <w:r w:rsidR="00D403D8">
        <w:rPr>
          <w:rFonts w:ascii="Times New Roman" w:hAnsi="Times New Roman" w:cs="Times New Roman"/>
          <w:sz w:val="24"/>
          <w:szCs w:val="24"/>
        </w:rPr>
        <w:t xml:space="preserve">development is slow, </w:t>
      </w:r>
      <w:r w:rsidR="007C62E7">
        <w:rPr>
          <w:rFonts w:ascii="Times New Roman" w:hAnsi="Times New Roman" w:cs="Times New Roman"/>
          <w:sz w:val="24"/>
          <w:szCs w:val="24"/>
        </w:rPr>
        <w:t xml:space="preserve">innovation </w:t>
      </w:r>
      <w:r w:rsidR="00D403D8">
        <w:rPr>
          <w:rFonts w:ascii="Times New Roman" w:hAnsi="Times New Roman" w:cs="Times New Roman"/>
          <w:sz w:val="24"/>
          <w:szCs w:val="24"/>
        </w:rPr>
        <w:t xml:space="preserve">is cumulative, and generic entry is </w:t>
      </w:r>
      <w:r w:rsidR="007C62E7">
        <w:rPr>
          <w:rFonts w:ascii="Times New Roman" w:hAnsi="Times New Roman" w:cs="Times New Roman"/>
          <w:sz w:val="24"/>
          <w:szCs w:val="24"/>
        </w:rPr>
        <w:t>real</w:t>
      </w:r>
      <w:r w:rsidR="00D403D8">
        <w:rPr>
          <w:rFonts w:ascii="Times New Roman" w:hAnsi="Times New Roman" w:cs="Times New Roman"/>
          <w:sz w:val="24"/>
          <w:szCs w:val="24"/>
        </w:rPr>
        <w:t>.</w:t>
      </w:r>
      <w:r w:rsidR="006E65F1">
        <w:rPr>
          <w:rStyle w:val="FootnoteReference"/>
          <w:rFonts w:ascii="Times New Roman" w:hAnsi="Times New Roman" w:cs="Times New Roman"/>
          <w:sz w:val="24"/>
          <w:szCs w:val="24"/>
        </w:rPr>
        <w:footnoteReference w:id="32"/>
      </w:r>
      <w:r w:rsidR="005669F1">
        <w:rPr>
          <w:rFonts w:ascii="Times New Roman" w:hAnsi="Times New Roman" w:cs="Times New Roman"/>
          <w:sz w:val="24"/>
          <w:szCs w:val="24"/>
        </w:rPr>
        <w:t xml:space="preserve"> These dynamics often lead pharmaceutical firms to engage in horizontal acquisitions</w:t>
      </w:r>
      <w:r w:rsidR="00285D90">
        <w:rPr>
          <w:rFonts w:ascii="Times New Roman" w:hAnsi="Times New Roman" w:cs="Times New Roman"/>
          <w:sz w:val="24"/>
          <w:szCs w:val="24"/>
        </w:rPr>
        <w:t xml:space="preserve"> to </w:t>
      </w:r>
      <w:r w:rsidR="007C62E7">
        <w:rPr>
          <w:rFonts w:ascii="Times New Roman" w:hAnsi="Times New Roman" w:cs="Times New Roman"/>
          <w:sz w:val="24"/>
          <w:szCs w:val="24"/>
        </w:rPr>
        <w:t xml:space="preserve">speed up </w:t>
      </w:r>
      <w:r w:rsidR="00285D90">
        <w:rPr>
          <w:rFonts w:ascii="Times New Roman" w:hAnsi="Times New Roman" w:cs="Times New Roman"/>
          <w:sz w:val="24"/>
          <w:szCs w:val="24"/>
        </w:rPr>
        <w:t xml:space="preserve">innovation processes. </w:t>
      </w:r>
      <w:r w:rsidR="00457501">
        <w:rPr>
          <w:rFonts w:ascii="Times New Roman" w:hAnsi="Times New Roman" w:cs="Times New Roman"/>
          <w:sz w:val="24"/>
          <w:szCs w:val="24"/>
        </w:rPr>
        <w:t xml:space="preserve">Such dynamics </w:t>
      </w:r>
      <w:r w:rsidR="007C62E7">
        <w:rPr>
          <w:rFonts w:ascii="Times New Roman" w:hAnsi="Times New Roman" w:cs="Times New Roman"/>
          <w:sz w:val="24"/>
          <w:szCs w:val="24"/>
        </w:rPr>
        <w:t xml:space="preserve">are more prone </w:t>
      </w:r>
      <w:r w:rsidR="00457501">
        <w:rPr>
          <w:rFonts w:ascii="Times New Roman" w:hAnsi="Times New Roman" w:cs="Times New Roman"/>
          <w:sz w:val="24"/>
          <w:szCs w:val="24"/>
        </w:rPr>
        <w:t xml:space="preserve">to product overlaps and discontinuation </w:t>
      </w:r>
      <w:r>
        <w:rPr>
          <w:rFonts w:ascii="Times New Roman" w:hAnsi="Times New Roman" w:cs="Times New Roman"/>
          <w:sz w:val="24"/>
          <w:szCs w:val="24"/>
        </w:rPr>
        <w:t>of research and development</w:t>
      </w:r>
      <w:r w:rsidR="00C10BFD">
        <w:rPr>
          <w:rFonts w:ascii="Times New Roman" w:hAnsi="Times New Roman" w:cs="Times New Roman"/>
          <w:sz w:val="24"/>
          <w:szCs w:val="24"/>
        </w:rPr>
        <w:t xml:space="preserve"> (“R&amp;D”)</w:t>
      </w:r>
      <w:r>
        <w:rPr>
          <w:rFonts w:ascii="Times New Roman" w:hAnsi="Times New Roman" w:cs="Times New Roman"/>
          <w:sz w:val="24"/>
          <w:szCs w:val="24"/>
        </w:rPr>
        <w:t xml:space="preserve"> efforts. </w:t>
      </w:r>
      <w:r w:rsidR="00285D90">
        <w:rPr>
          <w:rFonts w:ascii="Times New Roman" w:hAnsi="Times New Roman" w:cs="Times New Roman"/>
          <w:sz w:val="24"/>
          <w:szCs w:val="24"/>
        </w:rPr>
        <w:t xml:space="preserve">By contrast, innovation in </w:t>
      </w:r>
      <w:r w:rsidR="007C62E7">
        <w:rPr>
          <w:rFonts w:ascii="Times New Roman" w:hAnsi="Times New Roman" w:cs="Times New Roman"/>
          <w:sz w:val="24"/>
          <w:szCs w:val="24"/>
        </w:rPr>
        <w:t xml:space="preserve">digital </w:t>
      </w:r>
      <w:r w:rsidR="00285D90">
        <w:rPr>
          <w:rFonts w:ascii="Times New Roman" w:hAnsi="Times New Roman" w:cs="Times New Roman"/>
          <w:sz w:val="24"/>
          <w:szCs w:val="24"/>
        </w:rPr>
        <w:t>markets relies on product differentiation, complementarity, and ecosystem building.</w:t>
      </w:r>
      <w:r w:rsidR="00265392">
        <w:rPr>
          <w:rStyle w:val="FootnoteReference"/>
          <w:rFonts w:ascii="Times New Roman" w:hAnsi="Times New Roman" w:cs="Times New Roman"/>
          <w:sz w:val="24"/>
          <w:szCs w:val="24"/>
        </w:rPr>
        <w:footnoteReference w:id="33"/>
      </w:r>
      <w:r w:rsidR="00285D90">
        <w:rPr>
          <w:rFonts w:ascii="Times New Roman" w:hAnsi="Times New Roman" w:cs="Times New Roman"/>
          <w:sz w:val="24"/>
          <w:szCs w:val="24"/>
        </w:rPr>
        <w:t xml:space="preserve"> </w:t>
      </w:r>
      <w:r w:rsidR="00DC6A0F">
        <w:rPr>
          <w:rFonts w:ascii="Times New Roman" w:hAnsi="Times New Roman" w:cs="Times New Roman"/>
          <w:sz w:val="24"/>
          <w:szCs w:val="24"/>
        </w:rPr>
        <w:t xml:space="preserve">For </w:t>
      </w:r>
      <w:r w:rsidR="007C62E7">
        <w:rPr>
          <w:rFonts w:ascii="Times New Roman" w:hAnsi="Times New Roman" w:cs="Times New Roman"/>
          <w:sz w:val="24"/>
          <w:szCs w:val="24"/>
        </w:rPr>
        <w:t>example</w:t>
      </w:r>
      <w:r w:rsidR="00DC6A0F">
        <w:rPr>
          <w:rFonts w:ascii="Times New Roman" w:hAnsi="Times New Roman" w:cs="Times New Roman"/>
          <w:sz w:val="24"/>
          <w:szCs w:val="24"/>
        </w:rPr>
        <w:t xml:space="preserve">, the gaming industry </w:t>
      </w:r>
      <w:r w:rsidR="00C10BFD">
        <w:rPr>
          <w:rFonts w:ascii="Times New Roman" w:hAnsi="Times New Roman" w:cs="Times New Roman"/>
          <w:sz w:val="24"/>
          <w:szCs w:val="24"/>
        </w:rPr>
        <w:t xml:space="preserve">uses </w:t>
      </w:r>
      <w:r w:rsidR="006212C1">
        <w:rPr>
          <w:rFonts w:ascii="Times New Roman" w:hAnsi="Times New Roman" w:cs="Times New Roman"/>
          <w:sz w:val="24"/>
          <w:szCs w:val="24"/>
        </w:rPr>
        <w:t xml:space="preserve">network-based </w:t>
      </w:r>
      <w:r w:rsidR="00DC6A0F">
        <w:rPr>
          <w:rFonts w:ascii="Times New Roman" w:hAnsi="Times New Roman" w:cs="Times New Roman"/>
          <w:sz w:val="24"/>
          <w:szCs w:val="24"/>
        </w:rPr>
        <w:t xml:space="preserve">innovation </w:t>
      </w:r>
      <w:r w:rsidR="00DC6A0F">
        <w:rPr>
          <w:rFonts w:ascii="Times New Roman" w:hAnsi="Times New Roman" w:cs="Times New Roman"/>
          <w:sz w:val="24"/>
          <w:szCs w:val="24"/>
        </w:rPr>
        <w:lastRenderedPageBreak/>
        <w:t xml:space="preserve">ecosystems and </w:t>
      </w:r>
      <w:r w:rsidR="00C10BFD">
        <w:rPr>
          <w:rFonts w:ascii="Times New Roman" w:hAnsi="Times New Roman" w:cs="Times New Roman"/>
          <w:sz w:val="24"/>
          <w:szCs w:val="24"/>
        </w:rPr>
        <w:t xml:space="preserve">content </w:t>
      </w:r>
      <w:r w:rsidR="00DC6A0F">
        <w:rPr>
          <w:rFonts w:ascii="Times New Roman" w:hAnsi="Times New Roman" w:cs="Times New Roman"/>
          <w:sz w:val="24"/>
          <w:szCs w:val="24"/>
        </w:rPr>
        <w:t xml:space="preserve">co-creation </w:t>
      </w:r>
      <w:r w:rsidR="00C10BFD">
        <w:rPr>
          <w:rFonts w:ascii="Times New Roman" w:hAnsi="Times New Roman" w:cs="Times New Roman"/>
          <w:sz w:val="24"/>
          <w:szCs w:val="24"/>
        </w:rPr>
        <w:t>processes</w:t>
      </w:r>
      <w:r w:rsidR="00DC6A0F">
        <w:rPr>
          <w:rFonts w:ascii="Times New Roman" w:hAnsi="Times New Roman" w:cs="Times New Roman"/>
          <w:sz w:val="24"/>
          <w:szCs w:val="24"/>
        </w:rPr>
        <w:t>.</w:t>
      </w:r>
      <w:r w:rsidR="00DC6A0F">
        <w:rPr>
          <w:rStyle w:val="FootnoteReference"/>
          <w:rFonts w:ascii="Times New Roman" w:hAnsi="Times New Roman" w:cs="Times New Roman"/>
          <w:sz w:val="24"/>
          <w:szCs w:val="24"/>
        </w:rPr>
        <w:footnoteReference w:id="34"/>
      </w:r>
      <w:r w:rsidR="00DC6A0F">
        <w:rPr>
          <w:rFonts w:ascii="Times New Roman" w:hAnsi="Times New Roman" w:cs="Times New Roman"/>
          <w:sz w:val="24"/>
          <w:szCs w:val="24"/>
        </w:rPr>
        <w:t xml:space="preserve"> Non-horizontal </w:t>
      </w:r>
      <w:r w:rsidR="00457501">
        <w:rPr>
          <w:rFonts w:ascii="Times New Roman" w:hAnsi="Times New Roman" w:cs="Times New Roman"/>
          <w:sz w:val="24"/>
          <w:szCs w:val="24"/>
        </w:rPr>
        <w:t>acquisitions play a larger role</w:t>
      </w:r>
      <w:r w:rsidR="00AE7E20">
        <w:rPr>
          <w:rFonts w:ascii="Times New Roman" w:hAnsi="Times New Roman" w:cs="Times New Roman"/>
          <w:sz w:val="24"/>
          <w:szCs w:val="24"/>
        </w:rPr>
        <w:t xml:space="preserve"> for innovation</w:t>
      </w:r>
      <w:r w:rsidR="00457501">
        <w:rPr>
          <w:rFonts w:ascii="Times New Roman" w:hAnsi="Times New Roman" w:cs="Times New Roman"/>
          <w:sz w:val="24"/>
          <w:szCs w:val="24"/>
        </w:rPr>
        <w:t xml:space="preserve"> in </w:t>
      </w:r>
      <w:r w:rsidR="00DC6A0F">
        <w:rPr>
          <w:rFonts w:ascii="Times New Roman" w:hAnsi="Times New Roman" w:cs="Times New Roman"/>
          <w:sz w:val="24"/>
          <w:szCs w:val="24"/>
        </w:rPr>
        <w:t>these</w:t>
      </w:r>
      <w:r w:rsidR="00457501">
        <w:rPr>
          <w:rFonts w:ascii="Times New Roman" w:hAnsi="Times New Roman" w:cs="Times New Roman"/>
          <w:sz w:val="24"/>
          <w:szCs w:val="24"/>
        </w:rPr>
        <w:t xml:space="preserve"> industries.</w:t>
      </w:r>
      <w:r w:rsidR="00EE4666">
        <w:rPr>
          <w:rStyle w:val="FootnoteReference"/>
          <w:rFonts w:ascii="Times New Roman" w:hAnsi="Times New Roman" w:cs="Times New Roman"/>
          <w:sz w:val="24"/>
          <w:szCs w:val="24"/>
        </w:rPr>
        <w:footnoteReference w:id="35"/>
      </w:r>
    </w:p>
    <w:p w14:paraId="0ECA0BFE" w14:textId="358B7150" w:rsidR="004F2774" w:rsidRPr="00C235E5" w:rsidRDefault="00701C3E"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E</w:t>
      </w:r>
      <w:r w:rsidR="004F2774" w:rsidRPr="00C235E5">
        <w:rPr>
          <w:rFonts w:ascii="Times New Roman" w:hAnsi="Times New Roman" w:cs="Times New Roman"/>
          <w:sz w:val="24"/>
          <w:szCs w:val="24"/>
        </w:rPr>
        <w:t xml:space="preserve">mpirical </w:t>
      </w:r>
      <w:r w:rsidRPr="00C235E5">
        <w:rPr>
          <w:rFonts w:ascii="Times New Roman" w:hAnsi="Times New Roman" w:cs="Times New Roman"/>
          <w:sz w:val="24"/>
          <w:szCs w:val="24"/>
        </w:rPr>
        <w:t xml:space="preserve">work </w:t>
      </w:r>
      <w:r w:rsidR="00B84D56" w:rsidRPr="00C235E5">
        <w:rPr>
          <w:rFonts w:ascii="Times New Roman" w:hAnsi="Times New Roman" w:cs="Times New Roman"/>
          <w:sz w:val="24"/>
          <w:szCs w:val="24"/>
        </w:rPr>
        <w:t xml:space="preserve">suggests that </w:t>
      </w:r>
      <w:r w:rsidR="004F2774" w:rsidRPr="00C235E5">
        <w:rPr>
          <w:rFonts w:ascii="Times New Roman" w:hAnsi="Times New Roman" w:cs="Times New Roman"/>
          <w:sz w:val="24"/>
          <w:szCs w:val="24"/>
        </w:rPr>
        <w:t xml:space="preserve">killer acquisitions </w:t>
      </w:r>
      <w:r w:rsidR="00B84D56" w:rsidRPr="00C235E5">
        <w:rPr>
          <w:rFonts w:ascii="Times New Roman" w:hAnsi="Times New Roman" w:cs="Times New Roman"/>
          <w:sz w:val="24"/>
          <w:szCs w:val="24"/>
        </w:rPr>
        <w:t>are a rare phenomenon</w:t>
      </w:r>
      <w:r w:rsidR="004F2774" w:rsidRPr="00C235E5">
        <w:rPr>
          <w:rFonts w:ascii="Times New Roman" w:hAnsi="Times New Roman" w:cs="Times New Roman"/>
          <w:sz w:val="24"/>
          <w:szCs w:val="24"/>
        </w:rPr>
        <w:t>.</w:t>
      </w:r>
      <w:r w:rsidR="004F2774" w:rsidRPr="00C235E5">
        <w:rPr>
          <w:rStyle w:val="FootnoteReference"/>
          <w:rFonts w:ascii="Times New Roman" w:hAnsi="Times New Roman" w:cs="Times New Roman"/>
          <w:sz w:val="24"/>
          <w:szCs w:val="24"/>
        </w:rPr>
        <w:footnoteReference w:id="36"/>
      </w:r>
      <w:r w:rsidR="004F2774" w:rsidRPr="00C235E5">
        <w:rPr>
          <w:rFonts w:ascii="Times New Roman" w:hAnsi="Times New Roman" w:cs="Times New Roman"/>
          <w:sz w:val="24"/>
          <w:szCs w:val="24"/>
        </w:rPr>
        <w:t xml:space="preserve"> In pharmaceuticals, Cunningham, Ma, and Ederer find a likelihood of 5.3% to 7.4%</w:t>
      </w:r>
      <w:r w:rsidR="00B84D56" w:rsidRPr="00C235E5">
        <w:rPr>
          <w:rFonts w:ascii="Times New Roman" w:hAnsi="Times New Roman" w:cs="Times New Roman"/>
          <w:sz w:val="24"/>
          <w:szCs w:val="24"/>
        </w:rPr>
        <w:t xml:space="preserve"> for a killer acquisition</w:t>
      </w:r>
      <w:r w:rsidR="004F2774" w:rsidRPr="00C235E5">
        <w:rPr>
          <w:rFonts w:ascii="Times New Roman" w:hAnsi="Times New Roman" w:cs="Times New Roman"/>
          <w:sz w:val="24"/>
          <w:szCs w:val="24"/>
        </w:rPr>
        <w:t xml:space="preserve">. In their analysis, Gautier and Lamesch </w:t>
      </w:r>
      <w:r w:rsidR="00CF06BA" w:rsidRPr="00C235E5">
        <w:rPr>
          <w:rFonts w:ascii="Times New Roman" w:hAnsi="Times New Roman" w:cs="Times New Roman"/>
          <w:sz w:val="24"/>
          <w:szCs w:val="24"/>
        </w:rPr>
        <w:t>consider</w:t>
      </w:r>
      <w:r w:rsidR="004F2774" w:rsidRPr="00C235E5">
        <w:rPr>
          <w:rFonts w:ascii="Times New Roman" w:hAnsi="Times New Roman" w:cs="Times New Roman"/>
          <w:sz w:val="24"/>
          <w:szCs w:val="24"/>
        </w:rPr>
        <w:t xml:space="preserve"> that only one in 175 transactions qualify as a killer acquisition.</w:t>
      </w:r>
      <w:r w:rsidR="006948DB">
        <w:rPr>
          <w:rStyle w:val="FootnoteReference"/>
          <w:rFonts w:ascii="Times New Roman" w:hAnsi="Times New Roman" w:cs="Times New Roman"/>
          <w:sz w:val="24"/>
          <w:szCs w:val="24"/>
        </w:rPr>
        <w:footnoteReference w:id="37"/>
      </w:r>
      <w:r w:rsidR="004F2774" w:rsidRPr="00C235E5">
        <w:rPr>
          <w:rFonts w:ascii="Times New Roman" w:hAnsi="Times New Roman" w:cs="Times New Roman"/>
          <w:sz w:val="24"/>
          <w:szCs w:val="24"/>
        </w:rPr>
        <w:t xml:space="preserve"> These results invite alternative explanations for </w:t>
      </w:r>
      <w:r w:rsidR="0079043D" w:rsidRPr="00C235E5">
        <w:rPr>
          <w:rFonts w:ascii="Times New Roman" w:hAnsi="Times New Roman" w:cs="Times New Roman"/>
          <w:sz w:val="24"/>
          <w:szCs w:val="24"/>
        </w:rPr>
        <w:t xml:space="preserve">the large </w:t>
      </w:r>
      <w:r w:rsidR="00B40E19" w:rsidRPr="00C235E5">
        <w:rPr>
          <w:rFonts w:ascii="Times New Roman" w:hAnsi="Times New Roman" w:cs="Times New Roman"/>
          <w:sz w:val="24"/>
          <w:szCs w:val="24"/>
        </w:rPr>
        <w:t xml:space="preserve">population of </w:t>
      </w:r>
      <w:r w:rsidR="004F2774" w:rsidRPr="00C235E5">
        <w:rPr>
          <w:rFonts w:ascii="Times New Roman" w:hAnsi="Times New Roman" w:cs="Times New Roman"/>
          <w:sz w:val="24"/>
          <w:szCs w:val="24"/>
        </w:rPr>
        <w:t xml:space="preserve">startup acquisitions. For example, Cabral </w:t>
      </w:r>
      <w:r w:rsidR="00CF06BA" w:rsidRPr="00C235E5">
        <w:rPr>
          <w:rFonts w:ascii="Times New Roman" w:hAnsi="Times New Roman" w:cs="Times New Roman"/>
          <w:sz w:val="24"/>
          <w:szCs w:val="24"/>
        </w:rPr>
        <w:t>claims</w:t>
      </w:r>
      <w:r w:rsidR="004F2774" w:rsidRPr="00C235E5">
        <w:rPr>
          <w:rFonts w:ascii="Times New Roman" w:hAnsi="Times New Roman" w:cs="Times New Roman"/>
          <w:sz w:val="24"/>
          <w:szCs w:val="24"/>
        </w:rPr>
        <w:t xml:space="preserve"> that acquisitions may reflect a desire to harvest beneficial complementarity effects by combining the assets of the target with those of the acquirer.</w:t>
      </w:r>
      <w:r w:rsidR="004F2774" w:rsidRPr="00C235E5">
        <w:rPr>
          <w:rStyle w:val="FootnoteReference"/>
          <w:rFonts w:ascii="Times New Roman" w:hAnsi="Times New Roman" w:cs="Times New Roman"/>
          <w:sz w:val="24"/>
          <w:szCs w:val="24"/>
        </w:rPr>
        <w:footnoteReference w:id="38"/>
      </w:r>
      <w:r w:rsidR="004F2774" w:rsidRPr="00C235E5">
        <w:rPr>
          <w:rFonts w:ascii="Times New Roman" w:hAnsi="Times New Roman" w:cs="Times New Roman"/>
          <w:sz w:val="24"/>
          <w:szCs w:val="24"/>
        </w:rPr>
        <w:t xml:space="preserve"> Others argue that acquisitions may be motivated by an aim to diversify product portfolios</w:t>
      </w:r>
      <w:r w:rsidR="004F2774" w:rsidRPr="00C235E5">
        <w:rPr>
          <w:rStyle w:val="FootnoteReference"/>
          <w:rFonts w:ascii="Times New Roman" w:hAnsi="Times New Roman" w:cs="Times New Roman"/>
          <w:sz w:val="24"/>
          <w:szCs w:val="24"/>
        </w:rPr>
        <w:footnoteReference w:id="39"/>
      </w:r>
      <w:r w:rsidR="004F2774" w:rsidRPr="00C235E5">
        <w:rPr>
          <w:rFonts w:ascii="Times New Roman" w:hAnsi="Times New Roman" w:cs="Times New Roman"/>
          <w:sz w:val="24"/>
          <w:szCs w:val="24"/>
        </w:rPr>
        <w:t xml:space="preserve"> or combine R&amp;D activities.</w:t>
      </w:r>
      <w:r w:rsidR="004F2774" w:rsidRPr="00C235E5">
        <w:rPr>
          <w:rStyle w:val="FootnoteReference"/>
          <w:rFonts w:ascii="Times New Roman" w:hAnsi="Times New Roman" w:cs="Times New Roman"/>
          <w:sz w:val="24"/>
          <w:szCs w:val="24"/>
        </w:rPr>
        <w:footnoteReference w:id="40"/>
      </w:r>
      <w:r w:rsidR="004F2774" w:rsidRPr="00C235E5">
        <w:rPr>
          <w:rFonts w:ascii="Times New Roman" w:hAnsi="Times New Roman" w:cs="Times New Roman"/>
          <w:sz w:val="24"/>
          <w:szCs w:val="24"/>
        </w:rPr>
        <w:t xml:space="preserve"> </w:t>
      </w:r>
      <w:r w:rsidR="00C10BFD" w:rsidRPr="00C10BFD">
        <w:rPr>
          <w:rFonts w:ascii="Times New Roman" w:hAnsi="Times New Roman" w:cs="Times New Roman"/>
          <w:sz w:val="24"/>
          <w:szCs w:val="24"/>
        </w:rPr>
        <w:t xml:space="preserve">Other commentators like Lemley and McCreary consider that adverse effects on </w:t>
      </w:r>
      <w:r w:rsidR="00C10BFD" w:rsidRPr="00C10BFD">
        <w:rPr>
          <w:rFonts w:ascii="Times New Roman" w:hAnsi="Times New Roman" w:cs="Times New Roman"/>
          <w:sz w:val="24"/>
          <w:szCs w:val="24"/>
        </w:rPr>
        <w:lastRenderedPageBreak/>
        <w:t xml:space="preserve">competition arise from venture capitalists and startup founders’ </w:t>
      </w:r>
      <w:r w:rsidR="00C10BFD">
        <w:rPr>
          <w:rFonts w:ascii="Times New Roman" w:hAnsi="Times New Roman" w:cs="Times New Roman"/>
          <w:sz w:val="24"/>
          <w:szCs w:val="24"/>
        </w:rPr>
        <w:t xml:space="preserve">psychological </w:t>
      </w:r>
      <w:r w:rsidR="00C10BFD" w:rsidRPr="00C10BFD">
        <w:rPr>
          <w:rFonts w:ascii="Times New Roman" w:hAnsi="Times New Roman" w:cs="Times New Roman"/>
          <w:sz w:val="24"/>
          <w:szCs w:val="24"/>
        </w:rPr>
        <w:t>obsession with “exit strategy”, defined as being acquired by a dominant competitor.</w:t>
      </w:r>
    </w:p>
    <w:p w14:paraId="3B505F7B" w14:textId="4FF3E2C0" w:rsidR="00D41F89" w:rsidRPr="00C235E5" w:rsidRDefault="0079043D" w:rsidP="00792D53">
      <w:pPr>
        <w:spacing w:before="120" w:after="120" w:line="480" w:lineRule="auto"/>
        <w:jc w:val="both"/>
        <w:rPr>
          <w:rFonts w:ascii="Times New Roman" w:eastAsia="Times New Roman" w:hAnsi="Times New Roman" w:cs="Times New Roman"/>
          <w:sz w:val="24"/>
          <w:szCs w:val="24"/>
        </w:rPr>
      </w:pPr>
      <w:r w:rsidRPr="00C235E5">
        <w:rPr>
          <w:rFonts w:ascii="Times New Roman" w:eastAsia="Times New Roman" w:hAnsi="Times New Roman" w:cs="Times New Roman"/>
          <w:sz w:val="24"/>
          <w:szCs w:val="24"/>
        </w:rPr>
        <w:t>T</w:t>
      </w:r>
      <w:r w:rsidR="004F2774" w:rsidRPr="00C235E5">
        <w:rPr>
          <w:rFonts w:ascii="Times New Roman" w:eastAsia="Times New Roman" w:hAnsi="Times New Roman" w:cs="Times New Roman"/>
          <w:sz w:val="24"/>
          <w:szCs w:val="24"/>
        </w:rPr>
        <w:t xml:space="preserve">he </w:t>
      </w:r>
      <w:r w:rsidR="001C7220" w:rsidRPr="00C235E5">
        <w:rPr>
          <w:rFonts w:ascii="Times New Roman" w:eastAsia="Times New Roman" w:hAnsi="Times New Roman" w:cs="Times New Roman"/>
          <w:sz w:val="24"/>
          <w:szCs w:val="24"/>
        </w:rPr>
        <w:t xml:space="preserve">low probability of the phenomenon does not imply </w:t>
      </w:r>
      <w:r w:rsidR="00C10BFD">
        <w:rPr>
          <w:rFonts w:ascii="Times New Roman" w:eastAsia="Times New Roman" w:hAnsi="Times New Roman" w:cs="Times New Roman"/>
          <w:sz w:val="24"/>
          <w:szCs w:val="24"/>
        </w:rPr>
        <w:t xml:space="preserve">a permissive </w:t>
      </w:r>
      <w:r w:rsidR="001C7220" w:rsidRPr="00C235E5">
        <w:rPr>
          <w:rFonts w:ascii="Times New Roman" w:eastAsia="Times New Roman" w:hAnsi="Times New Roman" w:cs="Times New Roman"/>
          <w:sz w:val="24"/>
          <w:szCs w:val="24"/>
        </w:rPr>
        <w:t xml:space="preserve">merger </w:t>
      </w:r>
      <w:r w:rsidR="00C10BFD">
        <w:rPr>
          <w:rFonts w:ascii="Times New Roman" w:eastAsia="Times New Roman" w:hAnsi="Times New Roman" w:cs="Times New Roman"/>
          <w:sz w:val="24"/>
          <w:szCs w:val="24"/>
        </w:rPr>
        <w:t>policy</w:t>
      </w:r>
      <w:r w:rsidR="001C7220" w:rsidRPr="00C235E5">
        <w:rPr>
          <w:rFonts w:ascii="Times New Roman" w:eastAsia="Times New Roman" w:hAnsi="Times New Roman" w:cs="Times New Roman"/>
          <w:sz w:val="24"/>
          <w:szCs w:val="24"/>
        </w:rPr>
        <w:t xml:space="preserve">. </w:t>
      </w:r>
      <w:r w:rsidR="00764594" w:rsidRPr="00C235E5">
        <w:rPr>
          <w:rFonts w:ascii="Times New Roman" w:eastAsia="Times New Roman" w:hAnsi="Times New Roman" w:cs="Times New Roman"/>
          <w:sz w:val="24"/>
          <w:szCs w:val="24"/>
        </w:rPr>
        <w:t>M</w:t>
      </w:r>
      <w:r w:rsidR="001C7220" w:rsidRPr="00C235E5">
        <w:rPr>
          <w:rFonts w:ascii="Times New Roman" w:eastAsia="Times New Roman" w:hAnsi="Times New Roman" w:cs="Times New Roman"/>
          <w:sz w:val="24"/>
          <w:szCs w:val="24"/>
        </w:rPr>
        <w:t xml:space="preserve">erger </w:t>
      </w:r>
      <w:r w:rsidR="0088460B" w:rsidRPr="00C235E5">
        <w:rPr>
          <w:rFonts w:ascii="Times New Roman" w:eastAsia="Times New Roman" w:hAnsi="Times New Roman" w:cs="Times New Roman"/>
          <w:sz w:val="24"/>
          <w:szCs w:val="24"/>
        </w:rPr>
        <w:t xml:space="preserve">control </w:t>
      </w:r>
      <w:r w:rsidR="00764594" w:rsidRPr="00C235E5">
        <w:rPr>
          <w:rFonts w:ascii="Times New Roman" w:eastAsia="Times New Roman" w:hAnsi="Times New Roman" w:cs="Times New Roman"/>
          <w:sz w:val="24"/>
          <w:szCs w:val="24"/>
        </w:rPr>
        <w:t xml:space="preserve">systems are for the </w:t>
      </w:r>
      <w:r w:rsidR="00D41F89" w:rsidRPr="00C235E5">
        <w:rPr>
          <w:rFonts w:ascii="Times New Roman" w:eastAsia="Times New Roman" w:hAnsi="Times New Roman" w:cs="Times New Roman"/>
          <w:sz w:val="24"/>
          <w:szCs w:val="24"/>
        </w:rPr>
        <w:t xml:space="preserve">marginal case. </w:t>
      </w:r>
      <w:r w:rsidR="00A006D2" w:rsidRPr="00C235E5">
        <w:rPr>
          <w:rFonts w:ascii="Times New Roman" w:eastAsia="Times New Roman" w:hAnsi="Times New Roman" w:cs="Times New Roman"/>
          <w:sz w:val="24"/>
          <w:szCs w:val="24"/>
        </w:rPr>
        <w:t>Seen through that light,</w:t>
      </w:r>
      <w:r w:rsidR="00565875" w:rsidRPr="00C235E5">
        <w:rPr>
          <w:rFonts w:ascii="Times New Roman" w:eastAsia="Times New Roman" w:hAnsi="Times New Roman" w:cs="Times New Roman"/>
          <w:sz w:val="24"/>
          <w:szCs w:val="24"/>
        </w:rPr>
        <w:t xml:space="preserve"> t</w:t>
      </w:r>
      <w:r w:rsidR="000753B6" w:rsidRPr="00C235E5">
        <w:rPr>
          <w:rFonts w:ascii="Times New Roman" w:eastAsia="Times New Roman" w:hAnsi="Times New Roman" w:cs="Times New Roman"/>
          <w:sz w:val="24"/>
          <w:szCs w:val="24"/>
        </w:rPr>
        <w:t>he</w:t>
      </w:r>
      <w:r w:rsidR="00E83215" w:rsidRPr="00C235E5">
        <w:rPr>
          <w:rFonts w:ascii="Times New Roman" w:eastAsia="Times New Roman" w:hAnsi="Times New Roman" w:cs="Times New Roman"/>
          <w:sz w:val="24"/>
          <w:szCs w:val="24"/>
        </w:rPr>
        <w:t xml:space="preserve"> rates of 5 to 7% in </w:t>
      </w:r>
      <w:r w:rsidR="00E83215" w:rsidRPr="00C235E5">
        <w:rPr>
          <w:rFonts w:ascii="Times New Roman" w:hAnsi="Times New Roman" w:cs="Times New Roman"/>
          <w:sz w:val="24"/>
          <w:szCs w:val="24"/>
        </w:rPr>
        <w:t xml:space="preserve">Cunningham, Ma, and Ederer </w:t>
      </w:r>
      <w:r w:rsidR="00A04602">
        <w:rPr>
          <w:rFonts w:ascii="Times New Roman" w:hAnsi="Times New Roman" w:cs="Times New Roman"/>
          <w:sz w:val="24"/>
          <w:szCs w:val="24"/>
        </w:rPr>
        <w:t>is equivalent</w:t>
      </w:r>
      <w:r w:rsidR="00A04602" w:rsidRPr="00C235E5">
        <w:rPr>
          <w:rFonts w:ascii="Times New Roman" w:hAnsi="Times New Roman" w:cs="Times New Roman"/>
          <w:sz w:val="24"/>
          <w:szCs w:val="24"/>
        </w:rPr>
        <w:t xml:space="preserve"> </w:t>
      </w:r>
      <w:r w:rsidR="00E83215" w:rsidRPr="00C235E5">
        <w:rPr>
          <w:rFonts w:ascii="Times New Roman" w:hAnsi="Times New Roman" w:cs="Times New Roman"/>
          <w:sz w:val="24"/>
          <w:szCs w:val="24"/>
        </w:rPr>
        <w:t xml:space="preserve">to </w:t>
      </w:r>
      <w:r w:rsidR="00565875" w:rsidRPr="00C235E5">
        <w:rPr>
          <w:rFonts w:ascii="Times New Roman" w:hAnsi="Times New Roman" w:cs="Times New Roman"/>
          <w:sz w:val="24"/>
          <w:szCs w:val="24"/>
        </w:rPr>
        <w:t xml:space="preserve">the </w:t>
      </w:r>
      <w:r w:rsidR="001E7EAE" w:rsidRPr="00C235E5">
        <w:rPr>
          <w:rFonts w:ascii="Times New Roman" w:hAnsi="Times New Roman" w:cs="Times New Roman"/>
          <w:sz w:val="24"/>
          <w:szCs w:val="24"/>
        </w:rPr>
        <w:t xml:space="preserve">average </w:t>
      </w:r>
      <w:r w:rsidR="00E83215" w:rsidRPr="00C235E5">
        <w:rPr>
          <w:rFonts w:ascii="Times New Roman" w:hAnsi="Times New Roman" w:cs="Times New Roman"/>
          <w:sz w:val="24"/>
          <w:szCs w:val="24"/>
        </w:rPr>
        <w:t xml:space="preserve">intervention level </w:t>
      </w:r>
      <w:r w:rsidR="00A04602">
        <w:rPr>
          <w:rFonts w:ascii="Times New Roman" w:hAnsi="Times New Roman" w:cs="Times New Roman"/>
          <w:sz w:val="24"/>
          <w:szCs w:val="24"/>
        </w:rPr>
        <w:t xml:space="preserve">(prohibition rate) </w:t>
      </w:r>
      <w:r w:rsidR="00E83215" w:rsidRPr="00C235E5">
        <w:rPr>
          <w:rFonts w:ascii="Times New Roman" w:hAnsi="Times New Roman" w:cs="Times New Roman"/>
          <w:sz w:val="24"/>
          <w:szCs w:val="24"/>
        </w:rPr>
        <w:t>in merger cases in Europe.</w:t>
      </w:r>
      <w:r w:rsidR="00473572" w:rsidRPr="00C235E5">
        <w:rPr>
          <w:rStyle w:val="FootnoteReference"/>
          <w:rFonts w:ascii="Times New Roman" w:hAnsi="Times New Roman" w:cs="Times New Roman"/>
          <w:sz w:val="24"/>
          <w:szCs w:val="24"/>
        </w:rPr>
        <w:footnoteReference w:id="41"/>
      </w:r>
      <w:r w:rsidR="00E83215" w:rsidRPr="00C235E5">
        <w:rPr>
          <w:rFonts w:ascii="Times New Roman" w:hAnsi="Times New Roman" w:cs="Times New Roman"/>
          <w:sz w:val="24"/>
          <w:szCs w:val="24"/>
        </w:rPr>
        <w:t xml:space="preserve"> </w:t>
      </w:r>
      <w:r w:rsidR="00AF250E" w:rsidRPr="00C235E5">
        <w:rPr>
          <w:rFonts w:ascii="Times New Roman" w:hAnsi="Times New Roman" w:cs="Times New Roman"/>
          <w:sz w:val="24"/>
          <w:szCs w:val="24"/>
        </w:rPr>
        <w:t xml:space="preserve">Hence, </w:t>
      </w:r>
      <w:r w:rsidR="00D6690E" w:rsidRPr="00C235E5">
        <w:rPr>
          <w:rFonts w:ascii="Times New Roman" w:hAnsi="Times New Roman" w:cs="Times New Roman"/>
          <w:sz w:val="24"/>
          <w:szCs w:val="24"/>
        </w:rPr>
        <w:t>killer acquisition scenario</w:t>
      </w:r>
      <w:r w:rsidR="00403231">
        <w:rPr>
          <w:rFonts w:ascii="Times New Roman" w:hAnsi="Times New Roman" w:cs="Times New Roman"/>
          <w:sz w:val="24"/>
          <w:szCs w:val="24"/>
        </w:rPr>
        <w:t>s</w:t>
      </w:r>
      <w:r w:rsidR="00D6690E" w:rsidRPr="00C235E5">
        <w:rPr>
          <w:rFonts w:ascii="Times New Roman" w:hAnsi="Times New Roman" w:cs="Times New Roman"/>
          <w:sz w:val="24"/>
          <w:szCs w:val="24"/>
        </w:rPr>
        <w:t xml:space="preserve"> might justify</w:t>
      </w:r>
      <w:r w:rsidR="00AF250E" w:rsidRPr="00C235E5">
        <w:rPr>
          <w:rFonts w:ascii="Times New Roman" w:hAnsi="Times New Roman" w:cs="Times New Roman"/>
          <w:sz w:val="24"/>
          <w:szCs w:val="24"/>
        </w:rPr>
        <w:t xml:space="preserve"> legitimate</w:t>
      </w:r>
      <w:r w:rsidR="00D6690E" w:rsidRPr="00C235E5">
        <w:rPr>
          <w:rFonts w:ascii="Times New Roman" w:hAnsi="Times New Roman" w:cs="Times New Roman"/>
          <w:sz w:val="24"/>
          <w:szCs w:val="24"/>
        </w:rPr>
        <w:t xml:space="preserve"> scrutiny</w:t>
      </w:r>
      <w:r w:rsidR="008251F2" w:rsidRPr="00C235E5">
        <w:rPr>
          <w:rFonts w:ascii="Times New Roman" w:hAnsi="Times New Roman" w:cs="Times New Roman"/>
          <w:sz w:val="24"/>
          <w:szCs w:val="24"/>
        </w:rPr>
        <w:t xml:space="preserve"> from merger </w:t>
      </w:r>
      <w:r w:rsidR="00C10BFD">
        <w:rPr>
          <w:rFonts w:ascii="Times New Roman" w:hAnsi="Times New Roman" w:cs="Times New Roman"/>
          <w:sz w:val="24"/>
          <w:szCs w:val="24"/>
        </w:rPr>
        <w:t>policy</w:t>
      </w:r>
      <w:r w:rsidR="00D6690E" w:rsidRPr="00C235E5">
        <w:rPr>
          <w:rFonts w:ascii="Times New Roman" w:hAnsi="Times New Roman" w:cs="Times New Roman"/>
          <w:sz w:val="24"/>
          <w:szCs w:val="24"/>
        </w:rPr>
        <w:t xml:space="preserve">. </w:t>
      </w:r>
      <w:r w:rsidR="00D233E2" w:rsidRPr="00C235E5">
        <w:rPr>
          <w:rFonts w:ascii="Times New Roman" w:eastAsia="Times New Roman" w:hAnsi="Times New Roman" w:cs="Times New Roman"/>
          <w:sz w:val="24"/>
          <w:szCs w:val="24"/>
        </w:rPr>
        <w:t xml:space="preserve">In line with this, some jurisdictions already broadened the scope of their merger </w:t>
      </w:r>
      <w:r w:rsidR="00E57938" w:rsidRPr="00C235E5">
        <w:rPr>
          <w:rFonts w:ascii="Times New Roman" w:eastAsia="Times New Roman" w:hAnsi="Times New Roman" w:cs="Times New Roman"/>
          <w:sz w:val="24"/>
          <w:szCs w:val="24"/>
        </w:rPr>
        <w:t>control system</w:t>
      </w:r>
      <w:r w:rsidR="00D233E2" w:rsidRPr="00C235E5">
        <w:rPr>
          <w:rFonts w:ascii="Times New Roman" w:eastAsia="Times New Roman" w:hAnsi="Times New Roman" w:cs="Times New Roman"/>
          <w:sz w:val="24"/>
          <w:szCs w:val="24"/>
        </w:rPr>
        <w:t xml:space="preserve"> in accordance with the “transaction value” threshold, including Austria and Germany.</w:t>
      </w:r>
      <w:r w:rsidR="00D233E2" w:rsidRPr="00C235E5">
        <w:rPr>
          <w:rStyle w:val="FootnoteReference"/>
          <w:rFonts w:ascii="Times New Roman" w:eastAsia="Times New Roman" w:hAnsi="Times New Roman" w:cs="Times New Roman"/>
          <w:sz w:val="24"/>
          <w:szCs w:val="24"/>
        </w:rPr>
        <w:footnoteReference w:id="42"/>
      </w:r>
      <w:r w:rsidR="00D233E2" w:rsidRPr="00C235E5">
        <w:rPr>
          <w:rFonts w:ascii="Times New Roman" w:eastAsia="Times New Roman" w:hAnsi="Times New Roman" w:cs="Times New Roman"/>
          <w:sz w:val="24"/>
          <w:szCs w:val="24"/>
        </w:rPr>
        <w:t xml:space="preserve"> </w:t>
      </w:r>
      <w:r w:rsidR="00D6690E" w:rsidRPr="00C235E5">
        <w:rPr>
          <w:rFonts w:ascii="Times New Roman" w:hAnsi="Times New Roman" w:cs="Times New Roman"/>
          <w:sz w:val="24"/>
          <w:szCs w:val="24"/>
        </w:rPr>
        <w:t xml:space="preserve">At the same time, </w:t>
      </w:r>
      <w:r w:rsidR="008251F2" w:rsidRPr="00C235E5">
        <w:rPr>
          <w:rFonts w:ascii="Times New Roman" w:hAnsi="Times New Roman" w:cs="Times New Roman"/>
          <w:sz w:val="24"/>
          <w:szCs w:val="24"/>
        </w:rPr>
        <w:t xml:space="preserve">it is open to question whether the </w:t>
      </w:r>
      <w:r w:rsidR="001D175C" w:rsidRPr="00C235E5">
        <w:rPr>
          <w:rFonts w:ascii="Times New Roman" w:hAnsi="Times New Roman" w:cs="Times New Roman"/>
          <w:sz w:val="24"/>
          <w:szCs w:val="24"/>
        </w:rPr>
        <w:t xml:space="preserve">test </w:t>
      </w:r>
      <w:r w:rsidR="004130DC" w:rsidRPr="00C235E5">
        <w:rPr>
          <w:rFonts w:ascii="Times New Roman" w:hAnsi="Times New Roman" w:cs="Times New Roman"/>
          <w:sz w:val="24"/>
          <w:szCs w:val="24"/>
        </w:rPr>
        <w:t xml:space="preserve">used to </w:t>
      </w:r>
      <w:r w:rsidR="001D175C" w:rsidRPr="00C235E5">
        <w:rPr>
          <w:rFonts w:ascii="Times New Roman" w:hAnsi="Times New Roman" w:cs="Times New Roman"/>
          <w:sz w:val="24"/>
          <w:szCs w:val="24"/>
        </w:rPr>
        <w:t xml:space="preserve">determine </w:t>
      </w:r>
      <w:r w:rsidR="004130DC" w:rsidRPr="00C235E5">
        <w:rPr>
          <w:rFonts w:ascii="Times New Roman" w:hAnsi="Times New Roman" w:cs="Times New Roman"/>
          <w:sz w:val="24"/>
          <w:szCs w:val="24"/>
        </w:rPr>
        <w:t xml:space="preserve">whether </w:t>
      </w:r>
      <w:r w:rsidR="001D175C" w:rsidRPr="00C235E5">
        <w:rPr>
          <w:rFonts w:ascii="Times New Roman" w:hAnsi="Times New Roman" w:cs="Times New Roman"/>
          <w:sz w:val="24"/>
          <w:szCs w:val="24"/>
        </w:rPr>
        <w:t xml:space="preserve">a merger should be banned </w:t>
      </w:r>
      <w:r w:rsidR="005C7D6F" w:rsidRPr="00C235E5">
        <w:rPr>
          <w:rFonts w:ascii="Times New Roman" w:hAnsi="Times New Roman" w:cs="Times New Roman"/>
          <w:sz w:val="24"/>
          <w:szCs w:val="24"/>
        </w:rPr>
        <w:t>needs</w:t>
      </w:r>
      <w:r w:rsidR="001D175C" w:rsidRPr="00C235E5">
        <w:rPr>
          <w:rFonts w:ascii="Times New Roman" w:hAnsi="Times New Roman" w:cs="Times New Roman"/>
          <w:sz w:val="24"/>
          <w:szCs w:val="24"/>
        </w:rPr>
        <w:t xml:space="preserve"> change.</w:t>
      </w:r>
      <w:r w:rsidR="00EF42BA" w:rsidRPr="00C235E5">
        <w:rPr>
          <w:rStyle w:val="FootnoteReference"/>
          <w:rFonts w:ascii="Times New Roman" w:hAnsi="Times New Roman" w:cs="Times New Roman"/>
          <w:sz w:val="24"/>
          <w:szCs w:val="24"/>
        </w:rPr>
        <w:footnoteReference w:id="43"/>
      </w:r>
      <w:r w:rsidR="001D175C" w:rsidRPr="00C235E5">
        <w:rPr>
          <w:rFonts w:ascii="Times New Roman" w:hAnsi="Times New Roman" w:cs="Times New Roman"/>
          <w:sz w:val="24"/>
          <w:szCs w:val="24"/>
        </w:rPr>
        <w:t xml:space="preserve"> Some have argued for a “more aggressive antitrust” by changing the merger guidelines for digital platforms.</w:t>
      </w:r>
      <w:r w:rsidR="001D175C" w:rsidRPr="00C235E5">
        <w:rPr>
          <w:rStyle w:val="FootnoteReference"/>
          <w:rFonts w:ascii="Times New Roman" w:hAnsi="Times New Roman" w:cs="Times New Roman"/>
          <w:sz w:val="24"/>
          <w:szCs w:val="24"/>
        </w:rPr>
        <w:footnoteReference w:id="44"/>
      </w:r>
      <w:r w:rsidR="001D175C" w:rsidRPr="00C235E5">
        <w:rPr>
          <w:rFonts w:ascii="Times New Roman" w:hAnsi="Times New Roman" w:cs="Times New Roman"/>
          <w:sz w:val="24"/>
          <w:szCs w:val="24"/>
        </w:rPr>
        <w:t xml:space="preserve"> The OECD has advocated for a reversal of the burden of proof </w:t>
      </w:r>
      <w:r w:rsidR="001B3151" w:rsidRPr="00C235E5">
        <w:rPr>
          <w:rFonts w:ascii="Times New Roman" w:hAnsi="Times New Roman" w:cs="Times New Roman"/>
          <w:sz w:val="24"/>
          <w:szCs w:val="24"/>
        </w:rPr>
        <w:t>for</w:t>
      </w:r>
      <w:r w:rsidR="001D175C" w:rsidRPr="00C235E5">
        <w:rPr>
          <w:rFonts w:ascii="Times New Roman" w:hAnsi="Times New Roman" w:cs="Times New Roman"/>
          <w:sz w:val="24"/>
          <w:szCs w:val="24"/>
        </w:rPr>
        <w:t xml:space="preserve"> certain mergers.</w:t>
      </w:r>
      <w:r w:rsidR="001D175C" w:rsidRPr="00C235E5">
        <w:rPr>
          <w:rStyle w:val="FootnoteReference"/>
          <w:rFonts w:ascii="Times New Roman" w:hAnsi="Times New Roman" w:cs="Times New Roman"/>
          <w:sz w:val="24"/>
          <w:szCs w:val="24"/>
        </w:rPr>
        <w:footnoteReference w:id="45"/>
      </w:r>
      <w:r w:rsidR="001D175C" w:rsidRPr="00C235E5">
        <w:rPr>
          <w:rFonts w:ascii="Times New Roman" w:hAnsi="Times New Roman" w:cs="Times New Roman"/>
          <w:sz w:val="24"/>
          <w:szCs w:val="24"/>
        </w:rPr>
        <w:t xml:space="preserve"> </w:t>
      </w:r>
      <w:r w:rsidR="001B3151" w:rsidRPr="00C235E5">
        <w:rPr>
          <w:rFonts w:ascii="Times New Roman" w:hAnsi="Times New Roman" w:cs="Times New Roman"/>
          <w:sz w:val="24"/>
          <w:szCs w:val="24"/>
        </w:rPr>
        <w:t xml:space="preserve">By contrast, </w:t>
      </w:r>
      <w:r w:rsidR="002B6360" w:rsidRPr="00C235E5">
        <w:rPr>
          <w:rFonts w:ascii="Times New Roman" w:hAnsi="Times New Roman" w:cs="Times New Roman"/>
          <w:sz w:val="24"/>
          <w:szCs w:val="24"/>
        </w:rPr>
        <w:t xml:space="preserve">other </w:t>
      </w:r>
      <w:r w:rsidR="00AF6DED" w:rsidRPr="00C235E5">
        <w:rPr>
          <w:rFonts w:ascii="Times New Roman" w:hAnsi="Times New Roman" w:cs="Times New Roman"/>
          <w:sz w:val="24"/>
          <w:szCs w:val="24"/>
        </w:rPr>
        <w:t xml:space="preserve">economic </w:t>
      </w:r>
      <w:r w:rsidR="002B6360" w:rsidRPr="00C235E5">
        <w:rPr>
          <w:rFonts w:ascii="Times New Roman" w:hAnsi="Times New Roman" w:cs="Times New Roman"/>
          <w:sz w:val="24"/>
          <w:szCs w:val="24"/>
        </w:rPr>
        <w:t xml:space="preserve">works </w:t>
      </w:r>
      <w:r w:rsidR="00577102" w:rsidRPr="00C235E5">
        <w:rPr>
          <w:rFonts w:ascii="Times New Roman" w:hAnsi="Times New Roman" w:cs="Times New Roman"/>
          <w:sz w:val="24"/>
          <w:szCs w:val="24"/>
        </w:rPr>
        <w:t>indicate</w:t>
      </w:r>
      <w:r w:rsidR="001D175C" w:rsidRPr="00C235E5">
        <w:rPr>
          <w:rFonts w:ascii="Times New Roman" w:hAnsi="Times New Roman" w:cs="Times New Roman"/>
          <w:sz w:val="24"/>
          <w:szCs w:val="24"/>
        </w:rPr>
        <w:t xml:space="preserve"> that </w:t>
      </w:r>
      <w:r w:rsidR="00577102" w:rsidRPr="00C235E5">
        <w:rPr>
          <w:rFonts w:ascii="Times New Roman" w:hAnsi="Times New Roman" w:cs="Times New Roman"/>
          <w:sz w:val="24"/>
          <w:szCs w:val="24"/>
        </w:rPr>
        <w:t xml:space="preserve">using </w:t>
      </w:r>
      <w:r w:rsidR="00AF6DED" w:rsidRPr="00C235E5">
        <w:rPr>
          <w:rFonts w:ascii="Times New Roman" w:hAnsi="Times New Roman" w:cs="Times New Roman"/>
          <w:sz w:val="24"/>
          <w:szCs w:val="24"/>
        </w:rPr>
        <w:t xml:space="preserve">an empirically </w:t>
      </w:r>
      <w:r w:rsidR="00D5526E" w:rsidRPr="00C235E5">
        <w:rPr>
          <w:rFonts w:ascii="Times New Roman" w:hAnsi="Times New Roman" w:cs="Times New Roman"/>
          <w:sz w:val="24"/>
          <w:szCs w:val="24"/>
        </w:rPr>
        <w:t>weak</w:t>
      </w:r>
      <w:r w:rsidR="00AF6DED" w:rsidRPr="00C235E5">
        <w:rPr>
          <w:rFonts w:ascii="Times New Roman" w:hAnsi="Times New Roman" w:cs="Times New Roman"/>
          <w:sz w:val="24"/>
          <w:szCs w:val="24"/>
        </w:rPr>
        <w:t xml:space="preserve"> </w:t>
      </w:r>
      <w:r w:rsidR="00D5526E">
        <w:rPr>
          <w:rFonts w:ascii="Times New Roman" w:hAnsi="Times New Roman" w:cs="Times New Roman"/>
          <w:sz w:val="24"/>
          <w:szCs w:val="24"/>
        </w:rPr>
        <w:t>theory</w:t>
      </w:r>
      <w:r w:rsidR="00D5526E" w:rsidRPr="00C235E5">
        <w:rPr>
          <w:rFonts w:ascii="Times New Roman" w:hAnsi="Times New Roman" w:cs="Times New Roman"/>
          <w:sz w:val="24"/>
          <w:szCs w:val="24"/>
        </w:rPr>
        <w:t xml:space="preserve"> </w:t>
      </w:r>
      <w:r w:rsidR="00AF6DED" w:rsidRPr="00C235E5">
        <w:rPr>
          <w:rFonts w:ascii="Times New Roman" w:hAnsi="Times New Roman" w:cs="Times New Roman"/>
          <w:sz w:val="24"/>
          <w:szCs w:val="24"/>
        </w:rPr>
        <w:t xml:space="preserve">of killer acquisitions to </w:t>
      </w:r>
      <w:r w:rsidR="00C10BFD">
        <w:rPr>
          <w:rFonts w:ascii="Times New Roman" w:hAnsi="Times New Roman" w:cs="Times New Roman"/>
          <w:sz w:val="24"/>
          <w:szCs w:val="24"/>
        </w:rPr>
        <w:t>develop</w:t>
      </w:r>
      <w:r w:rsidR="00C10BFD" w:rsidRPr="00C235E5">
        <w:rPr>
          <w:rFonts w:ascii="Times New Roman" w:hAnsi="Times New Roman" w:cs="Times New Roman"/>
          <w:sz w:val="24"/>
          <w:szCs w:val="24"/>
        </w:rPr>
        <w:t xml:space="preserve"> </w:t>
      </w:r>
      <w:r w:rsidR="00AF6DED" w:rsidRPr="00C235E5">
        <w:rPr>
          <w:rFonts w:ascii="Times New Roman" w:hAnsi="Times New Roman" w:cs="Times New Roman"/>
          <w:sz w:val="24"/>
          <w:szCs w:val="24"/>
        </w:rPr>
        <w:t xml:space="preserve">more </w:t>
      </w:r>
      <w:r w:rsidR="00C10BFD">
        <w:rPr>
          <w:rFonts w:ascii="Times New Roman" w:hAnsi="Times New Roman" w:cs="Times New Roman"/>
          <w:sz w:val="24"/>
          <w:szCs w:val="24"/>
        </w:rPr>
        <w:t xml:space="preserve">restrictive </w:t>
      </w:r>
      <w:r w:rsidR="00AF6DED" w:rsidRPr="00C235E5">
        <w:rPr>
          <w:rFonts w:ascii="Times New Roman" w:hAnsi="Times New Roman" w:cs="Times New Roman"/>
          <w:sz w:val="24"/>
          <w:szCs w:val="24"/>
        </w:rPr>
        <w:t>merger polic</w:t>
      </w:r>
      <w:r w:rsidR="00C10BFD">
        <w:rPr>
          <w:rFonts w:ascii="Times New Roman" w:hAnsi="Times New Roman" w:cs="Times New Roman"/>
          <w:sz w:val="24"/>
          <w:szCs w:val="24"/>
        </w:rPr>
        <w:t>y</w:t>
      </w:r>
      <w:r w:rsidR="00AF6DED" w:rsidRPr="00C235E5">
        <w:rPr>
          <w:rFonts w:ascii="Times New Roman" w:hAnsi="Times New Roman" w:cs="Times New Roman"/>
          <w:sz w:val="24"/>
          <w:szCs w:val="24"/>
        </w:rPr>
        <w:t xml:space="preserve"> risks </w:t>
      </w:r>
      <w:r w:rsidR="00D5526E">
        <w:rPr>
          <w:rFonts w:ascii="Times New Roman" w:hAnsi="Times New Roman" w:cs="Times New Roman"/>
          <w:sz w:val="24"/>
          <w:szCs w:val="24"/>
        </w:rPr>
        <w:t xml:space="preserve">impeding </w:t>
      </w:r>
      <w:r w:rsidR="00AF6DED" w:rsidRPr="00C235E5">
        <w:rPr>
          <w:rFonts w:ascii="Times New Roman" w:hAnsi="Times New Roman" w:cs="Times New Roman"/>
          <w:sz w:val="24"/>
          <w:szCs w:val="24"/>
        </w:rPr>
        <w:t xml:space="preserve">incentives to </w:t>
      </w:r>
      <w:r w:rsidR="00AF6DED" w:rsidRPr="00C235E5">
        <w:rPr>
          <w:rFonts w:ascii="Times New Roman" w:hAnsi="Times New Roman" w:cs="Times New Roman"/>
          <w:sz w:val="24"/>
          <w:szCs w:val="24"/>
        </w:rPr>
        <w:lastRenderedPageBreak/>
        <w:t>innovate.</w:t>
      </w:r>
      <w:r w:rsidR="00AF6DED" w:rsidRPr="00C235E5">
        <w:rPr>
          <w:rStyle w:val="FootnoteReference"/>
          <w:rFonts w:ascii="Times New Roman" w:hAnsi="Times New Roman" w:cs="Times New Roman"/>
          <w:sz w:val="24"/>
          <w:szCs w:val="24"/>
        </w:rPr>
        <w:footnoteReference w:id="46"/>
      </w:r>
      <w:r w:rsidR="00282485">
        <w:rPr>
          <w:rFonts w:ascii="Times New Roman" w:hAnsi="Times New Roman" w:cs="Times New Roman"/>
          <w:sz w:val="24"/>
          <w:szCs w:val="24"/>
        </w:rPr>
        <w:t xml:space="preserve"> </w:t>
      </w:r>
      <w:r w:rsidR="00897890">
        <w:rPr>
          <w:rFonts w:ascii="Times New Roman" w:hAnsi="Times New Roman" w:cs="Times New Roman"/>
          <w:sz w:val="24"/>
          <w:szCs w:val="24"/>
        </w:rPr>
        <w:t>These studies insist on a case-by-case, neutral assessment of startup acquisitions by established firms.</w:t>
      </w:r>
      <w:r w:rsidR="00897890">
        <w:rPr>
          <w:rStyle w:val="FootnoteReference"/>
          <w:rFonts w:ascii="Times New Roman" w:hAnsi="Times New Roman" w:cs="Times New Roman"/>
          <w:sz w:val="24"/>
          <w:szCs w:val="24"/>
        </w:rPr>
        <w:footnoteReference w:id="47"/>
      </w:r>
    </w:p>
    <w:p w14:paraId="4DBCF0CC" w14:textId="4929ECF6" w:rsidR="00BE4841" w:rsidRDefault="00C82909" w:rsidP="00792D53">
      <w:pPr>
        <w:spacing w:before="120" w:after="120" w:line="480" w:lineRule="auto"/>
        <w:jc w:val="both"/>
        <w:rPr>
          <w:rFonts w:ascii="Times New Roman" w:hAnsi="Times New Roman" w:cs="Times New Roman"/>
          <w:sz w:val="24"/>
          <w:szCs w:val="24"/>
        </w:rPr>
      </w:pPr>
      <w:r w:rsidRPr="00C82909">
        <w:rPr>
          <w:rFonts w:ascii="Times New Roman" w:hAnsi="Times New Roman" w:cs="Times New Roman"/>
          <w:sz w:val="24"/>
          <w:szCs w:val="24"/>
        </w:rPr>
        <w:t xml:space="preserve">The </w:t>
      </w:r>
      <w:r>
        <w:rPr>
          <w:rFonts w:ascii="Times New Roman" w:hAnsi="Times New Roman" w:cs="Times New Roman"/>
          <w:sz w:val="24"/>
          <w:szCs w:val="24"/>
        </w:rPr>
        <w:t>interest surrounding the</w:t>
      </w:r>
      <w:r w:rsidRPr="00C82909">
        <w:rPr>
          <w:rFonts w:ascii="Times New Roman" w:hAnsi="Times New Roman" w:cs="Times New Roman"/>
          <w:sz w:val="24"/>
          <w:szCs w:val="24"/>
        </w:rPr>
        <w:t xml:space="preserve"> literature on </w:t>
      </w:r>
      <w:r>
        <w:rPr>
          <w:rFonts w:ascii="Times New Roman" w:hAnsi="Times New Roman" w:cs="Times New Roman"/>
          <w:sz w:val="24"/>
          <w:szCs w:val="24"/>
        </w:rPr>
        <w:t>“</w:t>
      </w:r>
      <w:r w:rsidRPr="00C82909">
        <w:rPr>
          <w:rFonts w:ascii="Times New Roman" w:hAnsi="Times New Roman" w:cs="Times New Roman"/>
          <w:sz w:val="24"/>
          <w:szCs w:val="24"/>
        </w:rPr>
        <w:t>killer acquisitions</w:t>
      </w:r>
      <w:r>
        <w:rPr>
          <w:rFonts w:ascii="Times New Roman" w:hAnsi="Times New Roman" w:cs="Times New Roman"/>
          <w:sz w:val="24"/>
          <w:szCs w:val="24"/>
        </w:rPr>
        <w:t>”</w:t>
      </w:r>
      <w:r w:rsidRPr="00C82909">
        <w:rPr>
          <w:rFonts w:ascii="Times New Roman" w:hAnsi="Times New Roman" w:cs="Times New Roman"/>
          <w:sz w:val="24"/>
          <w:szCs w:val="24"/>
        </w:rPr>
        <w:t xml:space="preserve"> has spurred the development of new theories regarding the motivations behind mergers and their effe</w:t>
      </w:r>
      <w:r>
        <w:rPr>
          <w:rFonts w:ascii="Times New Roman" w:hAnsi="Times New Roman" w:cs="Times New Roman"/>
          <w:sz w:val="24"/>
          <w:szCs w:val="24"/>
        </w:rPr>
        <w:t xml:space="preserve">cts on competitive performance. </w:t>
      </w:r>
      <w:r w:rsidR="002328B5">
        <w:rPr>
          <w:rFonts w:ascii="Times New Roman" w:hAnsi="Times New Roman" w:cs="Times New Roman"/>
          <w:sz w:val="24"/>
          <w:szCs w:val="24"/>
        </w:rPr>
        <w:t>Distinct from</w:t>
      </w:r>
      <w:r w:rsidR="00E942E4">
        <w:rPr>
          <w:rFonts w:ascii="Times New Roman" w:hAnsi="Times New Roman" w:cs="Times New Roman"/>
          <w:sz w:val="24"/>
          <w:szCs w:val="24"/>
        </w:rPr>
        <w:t xml:space="preserve"> but related to</w:t>
      </w:r>
      <w:r w:rsidR="002328B5">
        <w:rPr>
          <w:rFonts w:ascii="Times New Roman" w:hAnsi="Times New Roman" w:cs="Times New Roman"/>
          <w:sz w:val="24"/>
          <w:szCs w:val="24"/>
        </w:rPr>
        <w:t xml:space="preserve"> killer acquisitions, </w:t>
      </w:r>
      <w:r w:rsidR="00D5526E">
        <w:rPr>
          <w:rFonts w:ascii="Times New Roman" w:hAnsi="Times New Roman" w:cs="Times New Roman"/>
          <w:sz w:val="24"/>
          <w:szCs w:val="24"/>
        </w:rPr>
        <w:t>some</w:t>
      </w:r>
      <w:r w:rsidR="00D5526E" w:rsidRPr="00C235E5">
        <w:rPr>
          <w:rFonts w:ascii="Times New Roman" w:hAnsi="Times New Roman" w:cs="Times New Roman"/>
          <w:sz w:val="24"/>
          <w:szCs w:val="24"/>
        </w:rPr>
        <w:t xml:space="preserve"> </w:t>
      </w:r>
      <w:r w:rsidR="002328B5">
        <w:rPr>
          <w:rFonts w:ascii="Times New Roman" w:hAnsi="Times New Roman" w:cs="Times New Roman"/>
          <w:sz w:val="24"/>
          <w:szCs w:val="24"/>
        </w:rPr>
        <w:t xml:space="preserve">mergers would involve </w:t>
      </w:r>
      <w:r w:rsidR="0079043D" w:rsidRPr="00C235E5">
        <w:rPr>
          <w:rFonts w:ascii="Times New Roman" w:hAnsi="Times New Roman" w:cs="Times New Roman"/>
          <w:sz w:val="24"/>
          <w:szCs w:val="24"/>
        </w:rPr>
        <w:t>“acquisitions for sleep”</w:t>
      </w:r>
      <w:r w:rsidR="00E942E4">
        <w:rPr>
          <w:rFonts w:ascii="Times New Roman" w:hAnsi="Times New Roman" w:cs="Times New Roman"/>
          <w:sz w:val="24"/>
          <w:szCs w:val="24"/>
        </w:rPr>
        <w:t>.</w:t>
      </w:r>
      <w:r w:rsidR="002328B5">
        <w:rPr>
          <w:rFonts w:ascii="Times New Roman" w:hAnsi="Times New Roman" w:cs="Times New Roman"/>
          <w:sz w:val="24"/>
          <w:szCs w:val="24"/>
        </w:rPr>
        <w:t xml:space="preserve"> </w:t>
      </w:r>
      <w:r w:rsidR="00E942E4">
        <w:rPr>
          <w:rFonts w:ascii="Times New Roman" w:hAnsi="Times New Roman" w:cs="Times New Roman"/>
          <w:sz w:val="24"/>
          <w:szCs w:val="24"/>
        </w:rPr>
        <w:t xml:space="preserve">In such cases, </w:t>
      </w:r>
      <w:r w:rsidR="0079043D" w:rsidRPr="00C235E5">
        <w:rPr>
          <w:rFonts w:ascii="Times New Roman" w:hAnsi="Times New Roman" w:cs="Times New Roman"/>
          <w:sz w:val="24"/>
          <w:szCs w:val="24"/>
        </w:rPr>
        <w:t xml:space="preserve">the target firm’s patents or valuable assets are “put to sleep” </w:t>
      </w:r>
      <w:r w:rsidR="002328B5">
        <w:rPr>
          <w:rFonts w:ascii="Times New Roman" w:hAnsi="Times New Roman" w:cs="Times New Roman"/>
          <w:sz w:val="24"/>
          <w:szCs w:val="24"/>
        </w:rPr>
        <w:t xml:space="preserve">following </w:t>
      </w:r>
      <w:r w:rsidR="0079043D" w:rsidRPr="00C235E5">
        <w:rPr>
          <w:rFonts w:ascii="Times New Roman" w:hAnsi="Times New Roman" w:cs="Times New Roman"/>
          <w:sz w:val="24"/>
          <w:szCs w:val="24"/>
        </w:rPr>
        <w:t>the transaction.</w:t>
      </w:r>
      <w:r w:rsidR="0079043D" w:rsidRPr="00C235E5">
        <w:rPr>
          <w:rStyle w:val="FootnoteReference"/>
          <w:rFonts w:ascii="Times New Roman" w:hAnsi="Times New Roman" w:cs="Times New Roman"/>
          <w:sz w:val="24"/>
          <w:szCs w:val="24"/>
        </w:rPr>
        <w:footnoteReference w:id="48"/>
      </w:r>
      <w:r w:rsidR="0079043D" w:rsidRPr="00C235E5">
        <w:rPr>
          <w:rFonts w:ascii="Times New Roman" w:hAnsi="Times New Roman" w:cs="Times New Roman"/>
          <w:sz w:val="24"/>
          <w:szCs w:val="24"/>
        </w:rPr>
        <w:t xml:space="preserve"> </w:t>
      </w:r>
      <w:r w:rsidR="002328B5">
        <w:rPr>
          <w:rFonts w:ascii="Times New Roman" w:hAnsi="Times New Roman" w:cs="Times New Roman"/>
          <w:sz w:val="24"/>
          <w:szCs w:val="24"/>
        </w:rPr>
        <w:t>Other</w:t>
      </w:r>
      <w:r w:rsidR="002328B5" w:rsidRPr="002328B5">
        <w:rPr>
          <w:rFonts w:ascii="Times New Roman" w:hAnsi="Times New Roman" w:cs="Times New Roman"/>
          <w:sz w:val="24"/>
          <w:szCs w:val="24"/>
        </w:rPr>
        <w:t xml:space="preserve"> </w:t>
      </w:r>
      <w:r w:rsidR="00E942E4">
        <w:rPr>
          <w:rFonts w:ascii="Times New Roman" w:hAnsi="Times New Roman" w:cs="Times New Roman"/>
          <w:sz w:val="24"/>
          <w:szCs w:val="24"/>
        </w:rPr>
        <w:t>works</w:t>
      </w:r>
      <w:r w:rsidR="002328B5" w:rsidRPr="002328B5">
        <w:rPr>
          <w:rFonts w:ascii="Times New Roman" w:hAnsi="Times New Roman" w:cs="Times New Roman"/>
          <w:sz w:val="24"/>
          <w:szCs w:val="24"/>
        </w:rPr>
        <w:t xml:space="preserve"> </w:t>
      </w:r>
      <w:r w:rsidR="00E942E4">
        <w:rPr>
          <w:rFonts w:ascii="Times New Roman" w:hAnsi="Times New Roman" w:cs="Times New Roman"/>
          <w:sz w:val="24"/>
          <w:szCs w:val="24"/>
        </w:rPr>
        <w:t>emphasize</w:t>
      </w:r>
      <w:r w:rsidR="002328B5">
        <w:rPr>
          <w:rFonts w:ascii="Times New Roman" w:hAnsi="Times New Roman" w:cs="Times New Roman"/>
          <w:sz w:val="24"/>
          <w:szCs w:val="24"/>
        </w:rPr>
        <w:t xml:space="preserve"> </w:t>
      </w:r>
      <w:r w:rsidR="002328B5" w:rsidRPr="002328B5">
        <w:rPr>
          <w:rFonts w:ascii="Times New Roman" w:hAnsi="Times New Roman" w:cs="Times New Roman"/>
          <w:sz w:val="24"/>
          <w:szCs w:val="24"/>
        </w:rPr>
        <w:t xml:space="preserve">the phenomenon of </w:t>
      </w:r>
      <w:r w:rsidR="002328B5">
        <w:rPr>
          <w:rFonts w:ascii="Times New Roman" w:hAnsi="Times New Roman" w:cs="Times New Roman"/>
          <w:sz w:val="24"/>
          <w:szCs w:val="24"/>
        </w:rPr>
        <w:t>“</w:t>
      </w:r>
      <w:r w:rsidR="002328B5" w:rsidRPr="002328B5">
        <w:rPr>
          <w:rFonts w:ascii="Times New Roman" w:hAnsi="Times New Roman" w:cs="Times New Roman"/>
          <w:sz w:val="24"/>
          <w:szCs w:val="24"/>
        </w:rPr>
        <w:t>kill zones</w:t>
      </w:r>
      <w:r w:rsidR="002328B5">
        <w:rPr>
          <w:rFonts w:ascii="Times New Roman" w:hAnsi="Times New Roman" w:cs="Times New Roman"/>
          <w:sz w:val="24"/>
          <w:szCs w:val="24"/>
        </w:rPr>
        <w:t xml:space="preserve">”, </w:t>
      </w:r>
      <w:r w:rsidR="002328B5" w:rsidRPr="002328B5">
        <w:rPr>
          <w:rFonts w:ascii="Times New Roman" w:hAnsi="Times New Roman" w:cs="Times New Roman"/>
          <w:sz w:val="24"/>
          <w:szCs w:val="24"/>
        </w:rPr>
        <w:t xml:space="preserve">where </w:t>
      </w:r>
      <w:r w:rsidR="002328B5">
        <w:rPr>
          <w:rFonts w:ascii="Times New Roman" w:hAnsi="Times New Roman" w:cs="Times New Roman"/>
          <w:sz w:val="24"/>
          <w:szCs w:val="24"/>
        </w:rPr>
        <w:t xml:space="preserve">large </w:t>
      </w:r>
      <w:r w:rsidR="002328B5" w:rsidRPr="002328B5">
        <w:rPr>
          <w:rFonts w:ascii="Times New Roman" w:hAnsi="Times New Roman" w:cs="Times New Roman"/>
          <w:sz w:val="24"/>
          <w:szCs w:val="24"/>
        </w:rPr>
        <w:t xml:space="preserve">technology </w:t>
      </w:r>
      <w:r w:rsidR="00E942E4">
        <w:rPr>
          <w:rFonts w:ascii="Times New Roman" w:hAnsi="Times New Roman" w:cs="Times New Roman"/>
          <w:sz w:val="24"/>
          <w:szCs w:val="24"/>
        </w:rPr>
        <w:t>firms</w:t>
      </w:r>
      <w:r w:rsidR="002328B5" w:rsidRPr="002328B5">
        <w:rPr>
          <w:rFonts w:ascii="Times New Roman" w:hAnsi="Times New Roman" w:cs="Times New Roman"/>
          <w:sz w:val="24"/>
          <w:szCs w:val="24"/>
        </w:rPr>
        <w:t xml:space="preserve"> </w:t>
      </w:r>
      <w:r w:rsidR="00E942E4">
        <w:rPr>
          <w:rFonts w:ascii="Times New Roman" w:hAnsi="Times New Roman" w:cs="Times New Roman"/>
          <w:sz w:val="24"/>
          <w:szCs w:val="24"/>
        </w:rPr>
        <w:t xml:space="preserve">pursue </w:t>
      </w:r>
      <w:r w:rsidR="002328B5" w:rsidRPr="002328B5">
        <w:rPr>
          <w:rFonts w:ascii="Times New Roman" w:hAnsi="Times New Roman" w:cs="Times New Roman"/>
          <w:sz w:val="24"/>
          <w:szCs w:val="24"/>
        </w:rPr>
        <w:t>series of acquisitions</w:t>
      </w:r>
      <w:r w:rsidR="00E942E4">
        <w:rPr>
          <w:rFonts w:ascii="Times New Roman" w:hAnsi="Times New Roman" w:cs="Times New Roman"/>
          <w:sz w:val="24"/>
          <w:szCs w:val="24"/>
        </w:rPr>
        <w:t xml:space="preserve"> in a specific business segment</w:t>
      </w:r>
      <w:r w:rsidR="002328B5" w:rsidRPr="002328B5">
        <w:rPr>
          <w:rFonts w:ascii="Times New Roman" w:hAnsi="Times New Roman" w:cs="Times New Roman"/>
          <w:sz w:val="24"/>
          <w:szCs w:val="24"/>
        </w:rPr>
        <w:t>.</w:t>
      </w:r>
      <w:r w:rsidR="00E942E4" w:rsidRPr="00E942E4">
        <w:rPr>
          <w:rStyle w:val="FootnoteReference"/>
          <w:rFonts w:ascii="Times New Roman" w:hAnsi="Times New Roman" w:cs="Times New Roman"/>
          <w:sz w:val="24"/>
          <w:szCs w:val="24"/>
        </w:rPr>
        <w:t xml:space="preserve"> </w:t>
      </w:r>
      <w:r w:rsidR="00E942E4" w:rsidRPr="00C235E5">
        <w:rPr>
          <w:rStyle w:val="FootnoteReference"/>
          <w:rFonts w:ascii="Times New Roman" w:hAnsi="Times New Roman" w:cs="Times New Roman"/>
          <w:sz w:val="24"/>
          <w:szCs w:val="24"/>
        </w:rPr>
        <w:footnoteReference w:id="49"/>
      </w:r>
      <w:r w:rsidR="002328B5" w:rsidRPr="002328B5">
        <w:rPr>
          <w:rFonts w:ascii="Times New Roman" w:hAnsi="Times New Roman" w:cs="Times New Roman"/>
          <w:sz w:val="24"/>
          <w:szCs w:val="24"/>
        </w:rPr>
        <w:t xml:space="preserve"> </w:t>
      </w:r>
      <w:r w:rsidRPr="00C82909">
        <w:rPr>
          <w:rFonts w:ascii="Times New Roman" w:hAnsi="Times New Roman" w:cs="Times New Roman"/>
          <w:sz w:val="24"/>
          <w:szCs w:val="24"/>
        </w:rPr>
        <w:t>The fear of being acquired potentially weakens the competitive motivations of startups operating wi</w:t>
      </w:r>
      <w:r>
        <w:rPr>
          <w:rFonts w:ascii="Times New Roman" w:hAnsi="Times New Roman" w:cs="Times New Roman"/>
          <w:sz w:val="24"/>
          <w:szCs w:val="24"/>
        </w:rPr>
        <w:t xml:space="preserve">thin or near these “kill zones”. </w:t>
      </w:r>
      <w:r w:rsidR="00E942E4">
        <w:rPr>
          <w:rFonts w:ascii="Times New Roman" w:hAnsi="Times New Roman" w:cs="Times New Roman"/>
          <w:sz w:val="24"/>
          <w:szCs w:val="24"/>
        </w:rPr>
        <w:t>Instead of pursuing</w:t>
      </w:r>
      <w:r w:rsidR="002328B5" w:rsidRPr="002328B5">
        <w:rPr>
          <w:rFonts w:ascii="Times New Roman" w:hAnsi="Times New Roman" w:cs="Times New Roman"/>
          <w:sz w:val="24"/>
          <w:szCs w:val="24"/>
        </w:rPr>
        <w:t xml:space="preserve"> innovative solutions that </w:t>
      </w:r>
      <w:r>
        <w:rPr>
          <w:rFonts w:ascii="Times New Roman" w:hAnsi="Times New Roman" w:cs="Times New Roman"/>
          <w:sz w:val="24"/>
          <w:szCs w:val="24"/>
        </w:rPr>
        <w:t>will</w:t>
      </w:r>
      <w:r w:rsidR="002328B5" w:rsidRPr="002328B5">
        <w:rPr>
          <w:rFonts w:ascii="Times New Roman" w:hAnsi="Times New Roman" w:cs="Times New Roman"/>
          <w:sz w:val="24"/>
          <w:szCs w:val="24"/>
        </w:rPr>
        <w:t xml:space="preserve"> compete with established products</w:t>
      </w:r>
      <w:r w:rsidR="00E942E4">
        <w:rPr>
          <w:rFonts w:ascii="Times New Roman" w:hAnsi="Times New Roman" w:cs="Times New Roman"/>
          <w:sz w:val="24"/>
          <w:szCs w:val="24"/>
        </w:rPr>
        <w:t xml:space="preserve">, </w:t>
      </w:r>
      <w:r w:rsidR="002328B5" w:rsidRPr="002328B5">
        <w:rPr>
          <w:rFonts w:ascii="Times New Roman" w:hAnsi="Times New Roman" w:cs="Times New Roman"/>
          <w:sz w:val="24"/>
          <w:szCs w:val="24"/>
        </w:rPr>
        <w:t xml:space="preserve">startups </w:t>
      </w:r>
      <w:r w:rsidR="00E942E4">
        <w:rPr>
          <w:rFonts w:ascii="Times New Roman" w:hAnsi="Times New Roman" w:cs="Times New Roman"/>
          <w:sz w:val="24"/>
          <w:szCs w:val="24"/>
        </w:rPr>
        <w:t xml:space="preserve">within or near a kill zone </w:t>
      </w:r>
      <w:r>
        <w:rPr>
          <w:rFonts w:ascii="Times New Roman" w:hAnsi="Times New Roman" w:cs="Times New Roman"/>
          <w:sz w:val="24"/>
          <w:szCs w:val="24"/>
        </w:rPr>
        <w:t>will</w:t>
      </w:r>
      <w:r w:rsidR="00E942E4">
        <w:rPr>
          <w:rFonts w:ascii="Times New Roman" w:hAnsi="Times New Roman" w:cs="Times New Roman"/>
          <w:sz w:val="24"/>
          <w:szCs w:val="24"/>
        </w:rPr>
        <w:t xml:space="preserve"> </w:t>
      </w:r>
      <w:r w:rsidR="002328B5" w:rsidRPr="002328B5">
        <w:rPr>
          <w:rFonts w:ascii="Times New Roman" w:hAnsi="Times New Roman" w:cs="Times New Roman"/>
          <w:sz w:val="24"/>
          <w:szCs w:val="24"/>
        </w:rPr>
        <w:t xml:space="preserve">focus on developing innovations that </w:t>
      </w:r>
      <w:r w:rsidR="00E942E4">
        <w:rPr>
          <w:rFonts w:ascii="Times New Roman" w:hAnsi="Times New Roman" w:cs="Times New Roman"/>
          <w:sz w:val="24"/>
          <w:szCs w:val="24"/>
        </w:rPr>
        <w:t xml:space="preserve">complement </w:t>
      </w:r>
      <w:r w:rsidR="00E942E4" w:rsidRPr="002328B5">
        <w:rPr>
          <w:rFonts w:ascii="Times New Roman" w:hAnsi="Times New Roman" w:cs="Times New Roman"/>
          <w:sz w:val="24"/>
          <w:szCs w:val="24"/>
        </w:rPr>
        <w:t>incumbent firms</w:t>
      </w:r>
      <w:r w:rsidR="00E942E4">
        <w:rPr>
          <w:rFonts w:ascii="Times New Roman" w:hAnsi="Times New Roman" w:cs="Times New Roman"/>
          <w:sz w:val="24"/>
          <w:szCs w:val="24"/>
        </w:rPr>
        <w:t>’</w:t>
      </w:r>
      <w:r w:rsidR="00E942E4" w:rsidRPr="002328B5">
        <w:rPr>
          <w:rFonts w:ascii="Times New Roman" w:hAnsi="Times New Roman" w:cs="Times New Roman"/>
          <w:sz w:val="24"/>
          <w:szCs w:val="24"/>
        </w:rPr>
        <w:t xml:space="preserve"> </w:t>
      </w:r>
      <w:r w:rsidR="002328B5" w:rsidRPr="002328B5">
        <w:rPr>
          <w:rFonts w:ascii="Times New Roman" w:hAnsi="Times New Roman" w:cs="Times New Roman"/>
          <w:sz w:val="24"/>
          <w:szCs w:val="24"/>
        </w:rPr>
        <w:t>product</w:t>
      </w:r>
      <w:r w:rsidR="00E942E4">
        <w:rPr>
          <w:rFonts w:ascii="Times New Roman" w:hAnsi="Times New Roman" w:cs="Times New Roman"/>
          <w:sz w:val="24"/>
          <w:szCs w:val="24"/>
        </w:rPr>
        <w:t>s</w:t>
      </w:r>
      <w:r w:rsidR="002328B5" w:rsidRPr="002328B5">
        <w:rPr>
          <w:rFonts w:ascii="Times New Roman" w:hAnsi="Times New Roman" w:cs="Times New Roman"/>
          <w:sz w:val="24"/>
          <w:szCs w:val="24"/>
        </w:rPr>
        <w:t>.</w:t>
      </w:r>
      <w:r w:rsidR="00E942E4" w:rsidRPr="00C235E5">
        <w:rPr>
          <w:rStyle w:val="FootnoteReference"/>
          <w:rFonts w:ascii="Times New Roman" w:hAnsi="Times New Roman" w:cs="Times New Roman"/>
          <w:sz w:val="24"/>
          <w:szCs w:val="24"/>
        </w:rPr>
        <w:footnoteReference w:id="50"/>
      </w:r>
      <w:r w:rsidR="00E942E4">
        <w:rPr>
          <w:rFonts w:ascii="Times New Roman" w:hAnsi="Times New Roman" w:cs="Times New Roman"/>
          <w:sz w:val="24"/>
          <w:szCs w:val="24"/>
        </w:rPr>
        <w:t xml:space="preserve"> A concept of </w:t>
      </w:r>
      <w:r w:rsidR="0079043D" w:rsidRPr="00C235E5">
        <w:rPr>
          <w:rFonts w:ascii="Times New Roman" w:hAnsi="Times New Roman" w:cs="Times New Roman"/>
          <w:sz w:val="24"/>
          <w:szCs w:val="24"/>
        </w:rPr>
        <w:t>“reverse killer acquisitions</w:t>
      </w:r>
      <w:r w:rsidR="00E942E4" w:rsidRPr="00C235E5">
        <w:rPr>
          <w:rFonts w:ascii="Times New Roman" w:hAnsi="Times New Roman" w:cs="Times New Roman"/>
          <w:sz w:val="24"/>
          <w:szCs w:val="24"/>
        </w:rPr>
        <w:t>”</w:t>
      </w:r>
      <w:r w:rsidR="00E942E4">
        <w:rPr>
          <w:rFonts w:ascii="Times New Roman" w:hAnsi="Times New Roman" w:cs="Times New Roman"/>
          <w:sz w:val="24"/>
          <w:szCs w:val="24"/>
        </w:rPr>
        <w:t xml:space="preserve"> has also been discussed</w:t>
      </w:r>
      <w:r>
        <w:rPr>
          <w:rFonts w:ascii="Times New Roman" w:hAnsi="Times New Roman" w:cs="Times New Roman"/>
          <w:sz w:val="24"/>
          <w:szCs w:val="24"/>
        </w:rPr>
        <w:t xml:space="preserve">. In this variant of the theory, the </w:t>
      </w:r>
      <w:r w:rsidR="00BE4841">
        <w:rPr>
          <w:rFonts w:ascii="Times New Roman" w:hAnsi="Times New Roman" w:cs="Times New Roman"/>
          <w:sz w:val="24"/>
          <w:szCs w:val="24"/>
        </w:rPr>
        <w:t xml:space="preserve">acquiring </w:t>
      </w:r>
      <w:r>
        <w:rPr>
          <w:rFonts w:ascii="Times New Roman" w:hAnsi="Times New Roman" w:cs="Times New Roman"/>
          <w:sz w:val="24"/>
          <w:szCs w:val="24"/>
        </w:rPr>
        <w:t xml:space="preserve">firm shuns </w:t>
      </w:r>
      <w:r w:rsidR="00BE4841">
        <w:rPr>
          <w:rFonts w:ascii="Times New Roman" w:hAnsi="Times New Roman" w:cs="Times New Roman"/>
          <w:sz w:val="24"/>
          <w:szCs w:val="24"/>
        </w:rPr>
        <w:t xml:space="preserve">the development of </w:t>
      </w:r>
      <w:r>
        <w:rPr>
          <w:rFonts w:ascii="Times New Roman" w:hAnsi="Times New Roman" w:cs="Times New Roman"/>
          <w:sz w:val="24"/>
          <w:szCs w:val="24"/>
        </w:rPr>
        <w:t>in-house products</w:t>
      </w:r>
      <w:r w:rsidR="0079043D" w:rsidRPr="00C235E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E4841">
        <w:rPr>
          <w:rFonts w:ascii="Times New Roman" w:hAnsi="Times New Roman" w:cs="Times New Roman"/>
          <w:sz w:val="24"/>
          <w:szCs w:val="24"/>
        </w:rPr>
        <w:t xml:space="preserve">concentrates </w:t>
      </w:r>
      <w:r>
        <w:rPr>
          <w:rFonts w:ascii="Times New Roman" w:hAnsi="Times New Roman" w:cs="Times New Roman"/>
          <w:sz w:val="24"/>
          <w:szCs w:val="24"/>
        </w:rPr>
        <w:t>on</w:t>
      </w:r>
      <w:r w:rsidR="00730ECE">
        <w:rPr>
          <w:rFonts w:ascii="Times New Roman" w:hAnsi="Times New Roman" w:cs="Times New Roman"/>
          <w:sz w:val="24"/>
          <w:szCs w:val="24"/>
        </w:rPr>
        <w:t xml:space="preserve"> developing </w:t>
      </w:r>
      <w:r>
        <w:rPr>
          <w:rFonts w:ascii="Times New Roman" w:hAnsi="Times New Roman" w:cs="Times New Roman"/>
          <w:sz w:val="24"/>
          <w:szCs w:val="24"/>
        </w:rPr>
        <w:t xml:space="preserve">the product acquired </w:t>
      </w:r>
      <w:r w:rsidR="00730ECE">
        <w:rPr>
          <w:rFonts w:ascii="Times New Roman" w:hAnsi="Times New Roman" w:cs="Times New Roman"/>
          <w:sz w:val="24"/>
          <w:szCs w:val="24"/>
        </w:rPr>
        <w:t>via the</w:t>
      </w:r>
      <w:r>
        <w:rPr>
          <w:rFonts w:ascii="Times New Roman" w:hAnsi="Times New Roman" w:cs="Times New Roman"/>
          <w:sz w:val="24"/>
          <w:szCs w:val="24"/>
        </w:rPr>
        <w:t xml:space="preserve"> </w:t>
      </w:r>
      <w:r w:rsidR="00BE4841">
        <w:rPr>
          <w:rFonts w:ascii="Times New Roman" w:hAnsi="Times New Roman" w:cs="Times New Roman"/>
          <w:sz w:val="24"/>
          <w:szCs w:val="24"/>
        </w:rPr>
        <w:t>merger</w:t>
      </w:r>
      <w:r w:rsidR="0079043D" w:rsidRPr="00C235E5">
        <w:rPr>
          <w:rFonts w:ascii="Times New Roman" w:hAnsi="Times New Roman" w:cs="Times New Roman"/>
          <w:sz w:val="24"/>
          <w:szCs w:val="24"/>
        </w:rPr>
        <w:t>.</w:t>
      </w:r>
      <w:r w:rsidR="0079043D" w:rsidRPr="00C235E5">
        <w:rPr>
          <w:rStyle w:val="FootnoteReference"/>
          <w:rFonts w:ascii="Times New Roman" w:hAnsi="Times New Roman" w:cs="Times New Roman"/>
          <w:sz w:val="24"/>
          <w:szCs w:val="24"/>
        </w:rPr>
        <w:footnoteReference w:id="51"/>
      </w:r>
      <w:r w:rsidR="0079043D" w:rsidRPr="00C235E5">
        <w:rPr>
          <w:rFonts w:ascii="Times New Roman" w:hAnsi="Times New Roman" w:cs="Times New Roman"/>
          <w:sz w:val="24"/>
          <w:szCs w:val="24"/>
        </w:rPr>
        <w:t xml:space="preserve"> The </w:t>
      </w:r>
      <w:r w:rsidR="00BE4841">
        <w:rPr>
          <w:rFonts w:ascii="Times New Roman" w:hAnsi="Times New Roman" w:cs="Times New Roman"/>
          <w:sz w:val="24"/>
          <w:szCs w:val="24"/>
        </w:rPr>
        <w:t xml:space="preserve">competitive </w:t>
      </w:r>
      <w:r w:rsidR="0079043D" w:rsidRPr="00C235E5">
        <w:rPr>
          <w:rFonts w:ascii="Times New Roman" w:hAnsi="Times New Roman" w:cs="Times New Roman"/>
          <w:sz w:val="24"/>
          <w:szCs w:val="24"/>
        </w:rPr>
        <w:t xml:space="preserve">concern is that </w:t>
      </w:r>
      <w:r w:rsidR="0079043D" w:rsidRPr="00C235E5">
        <w:rPr>
          <w:rFonts w:ascii="Times New Roman" w:hAnsi="Times New Roman" w:cs="Times New Roman"/>
          <w:sz w:val="24"/>
          <w:szCs w:val="24"/>
        </w:rPr>
        <w:lastRenderedPageBreak/>
        <w:t>the</w:t>
      </w:r>
      <w:r w:rsidR="00730ECE">
        <w:rPr>
          <w:rFonts w:ascii="Times New Roman" w:hAnsi="Times New Roman" w:cs="Times New Roman"/>
          <w:sz w:val="24"/>
          <w:szCs w:val="24"/>
        </w:rPr>
        <w:t>se</w:t>
      </w:r>
      <w:r w:rsidR="0079043D" w:rsidRPr="00C235E5">
        <w:rPr>
          <w:rFonts w:ascii="Times New Roman" w:hAnsi="Times New Roman" w:cs="Times New Roman"/>
          <w:sz w:val="24"/>
          <w:szCs w:val="24"/>
        </w:rPr>
        <w:t xml:space="preserve"> acquisition</w:t>
      </w:r>
      <w:r w:rsidR="00730ECE">
        <w:rPr>
          <w:rFonts w:ascii="Times New Roman" w:hAnsi="Times New Roman" w:cs="Times New Roman"/>
          <w:sz w:val="24"/>
          <w:szCs w:val="24"/>
        </w:rPr>
        <w:t>s</w:t>
      </w:r>
      <w:r w:rsidR="0079043D" w:rsidRPr="00C235E5">
        <w:rPr>
          <w:rFonts w:ascii="Times New Roman" w:hAnsi="Times New Roman" w:cs="Times New Roman"/>
          <w:sz w:val="24"/>
          <w:szCs w:val="24"/>
        </w:rPr>
        <w:t xml:space="preserve"> eliminate “organic entry” by the incumbent that would have occurred in the counterfactual scenario.</w:t>
      </w:r>
      <w:r w:rsidR="0079043D" w:rsidRPr="00C235E5">
        <w:rPr>
          <w:rStyle w:val="FootnoteReference"/>
          <w:rFonts w:ascii="Times New Roman" w:hAnsi="Times New Roman" w:cs="Times New Roman"/>
          <w:sz w:val="24"/>
          <w:szCs w:val="24"/>
        </w:rPr>
        <w:footnoteReference w:id="52"/>
      </w:r>
      <w:r w:rsidR="0079043D" w:rsidRPr="00C235E5">
        <w:rPr>
          <w:rFonts w:ascii="Times New Roman" w:hAnsi="Times New Roman" w:cs="Times New Roman"/>
          <w:sz w:val="24"/>
          <w:szCs w:val="24"/>
        </w:rPr>
        <w:t xml:space="preserve"> </w:t>
      </w:r>
    </w:p>
    <w:p w14:paraId="1309C116" w14:textId="38CB6814" w:rsidR="0079043D" w:rsidRPr="00C235E5" w:rsidRDefault="00BE4841" w:rsidP="00792D53">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Last</w:t>
      </w:r>
      <w:r w:rsidR="0079043D" w:rsidRPr="00C235E5">
        <w:rPr>
          <w:rFonts w:ascii="Times New Roman" w:hAnsi="Times New Roman" w:cs="Times New Roman"/>
          <w:sz w:val="24"/>
          <w:szCs w:val="24"/>
        </w:rPr>
        <w:t xml:space="preserve">, some </w:t>
      </w:r>
      <w:r>
        <w:rPr>
          <w:rFonts w:ascii="Times New Roman" w:hAnsi="Times New Roman" w:cs="Times New Roman"/>
          <w:sz w:val="24"/>
          <w:szCs w:val="24"/>
        </w:rPr>
        <w:t xml:space="preserve">works cast doubt on </w:t>
      </w:r>
      <w:r w:rsidR="0079043D" w:rsidRPr="00C235E5">
        <w:rPr>
          <w:rFonts w:ascii="Times New Roman" w:hAnsi="Times New Roman" w:cs="Times New Roman"/>
          <w:sz w:val="24"/>
          <w:szCs w:val="24"/>
        </w:rPr>
        <w:t xml:space="preserve">the </w:t>
      </w:r>
      <w:r>
        <w:rPr>
          <w:rFonts w:ascii="Times New Roman" w:hAnsi="Times New Roman" w:cs="Times New Roman"/>
          <w:sz w:val="24"/>
          <w:szCs w:val="24"/>
        </w:rPr>
        <w:t xml:space="preserve">alleged adverse impacts of </w:t>
      </w:r>
      <w:r w:rsidR="0079043D" w:rsidRPr="00C235E5">
        <w:rPr>
          <w:rFonts w:ascii="Times New Roman" w:hAnsi="Times New Roman" w:cs="Times New Roman"/>
          <w:sz w:val="24"/>
          <w:szCs w:val="24"/>
        </w:rPr>
        <w:t>killer acquisitions.</w:t>
      </w:r>
      <w:r w:rsidR="0079043D" w:rsidRPr="00C235E5">
        <w:rPr>
          <w:rStyle w:val="FootnoteReference"/>
          <w:rFonts w:ascii="Times New Roman" w:hAnsi="Times New Roman" w:cs="Times New Roman"/>
          <w:sz w:val="24"/>
          <w:szCs w:val="24"/>
        </w:rPr>
        <w:footnoteReference w:id="53"/>
      </w:r>
      <w:r w:rsidR="007C1F56">
        <w:rPr>
          <w:rFonts w:ascii="Times New Roman" w:hAnsi="Times New Roman" w:cs="Times New Roman"/>
          <w:sz w:val="24"/>
          <w:szCs w:val="24"/>
        </w:rPr>
        <w:t xml:space="preserve"> </w:t>
      </w:r>
      <w:r>
        <w:rPr>
          <w:rFonts w:ascii="Times New Roman" w:hAnsi="Times New Roman" w:cs="Times New Roman"/>
          <w:sz w:val="24"/>
          <w:szCs w:val="24"/>
        </w:rPr>
        <w:t>Large technology firms</w:t>
      </w:r>
      <w:r w:rsidR="00140191">
        <w:rPr>
          <w:rFonts w:ascii="Times New Roman" w:hAnsi="Times New Roman" w:cs="Times New Roman"/>
          <w:sz w:val="24"/>
          <w:szCs w:val="24"/>
        </w:rPr>
        <w:t>’</w:t>
      </w:r>
      <w:r>
        <w:rPr>
          <w:rFonts w:ascii="Times New Roman" w:hAnsi="Times New Roman" w:cs="Times New Roman"/>
          <w:sz w:val="24"/>
          <w:szCs w:val="24"/>
        </w:rPr>
        <w:t xml:space="preserve"> </w:t>
      </w:r>
      <w:r w:rsidR="009C57C5">
        <w:rPr>
          <w:rFonts w:ascii="Times New Roman" w:hAnsi="Times New Roman" w:cs="Times New Roman"/>
          <w:sz w:val="24"/>
          <w:szCs w:val="24"/>
        </w:rPr>
        <w:t xml:space="preserve">acquisitions </w:t>
      </w:r>
      <w:r>
        <w:rPr>
          <w:rFonts w:ascii="Times New Roman" w:hAnsi="Times New Roman" w:cs="Times New Roman"/>
          <w:sz w:val="24"/>
          <w:szCs w:val="24"/>
        </w:rPr>
        <w:t xml:space="preserve">of startups </w:t>
      </w:r>
      <w:r w:rsidR="009C57C5">
        <w:rPr>
          <w:rFonts w:ascii="Times New Roman" w:hAnsi="Times New Roman" w:cs="Times New Roman"/>
          <w:sz w:val="24"/>
          <w:szCs w:val="24"/>
        </w:rPr>
        <w:t xml:space="preserve">generally </w:t>
      </w:r>
      <w:r>
        <w:rPr>
          <w:rFonts w:ascii="Times New Roman" w:hAnsi="Times New Roman" w:cs="Times New Roman"/>
          <w:sz w:val="24"/>
          <w:szCs w:val="24"/>
        </w:rPr>
        <w:t xml:space="preserve">promote competition and </w:t>
      </w:r>
      <w:r w:rsidR="00BE58E3">
        <w:rPr>
          <w:rFonts w:ascii="Times New Roman" w:hAnsi="Times New Roman" w:cs="Times New Roman"/>
          <w:sz w:val="24"/>
          <w:szCs w:val="24"/>
        </w:rPr>
        <w:t xml:space="preserve">innovation. For </w:t>
      </w:r>
      <w:r>
        <w:rPr>
          <w:rFonts w:ascii="Times New Roman" w:hAnsi="Times New Roman" w:cs="Times New Roman"/>
          <w:sz w:val="24"/>
          <w:szCs w:val="24"/>
        </w:rPr>
        <w:t>example</w:t>
      </w:r>
      <w:r w:rsidR="00BE58E3">
        <w:rPr>
          <w:rFonts w:ascii="Times New Roman" w:hAnsi="Times New Roman" w:cs="Times New Roman"/>
          <w:sz w:val="24"/>
          <w:szCs w:val="24"/>
        </w:rPr>
        <w:t>, a recent empirical study note</w:t>
      </w:r>
      <w:r w:rsidR="00140191">
        <w:rPr>
          <w:rFonts w:ascii="Times New Roman" w:hAnsi="Times New Roman" w:cs="Times New Roman"/>
          <w:sz w:val="24"/>
          <w:szCs w:val="24"/>
        </w:rPr>
        <w:t>s</w:t>
      </w:r>
      <w:r w:rsidR="00BE58E3">
        <w:rPr>
          <w:rFonts w:ascii="Times New Roman" w:hAnsi="Times New Roman" w:cs="Times New Roman"/>
          <w:sz w:val="24"/>
          <w:szCs w:val="24"/>
        </w:rPr>
        <w:t xml:space="preserve"> that </w:t>
      </w:r>
      <w:r w:rsidR="000070C7">
        <w:rPr>
          <w:rFonts w:ascii="Times New Roman" w:hAnsi="Times New Roman" w:cs="Times New Roman"/>
          <w:sz w:val="24"/>
          <w:szCs w:val="24"/>
        </w:rPr>
        <w:t xml:space="preserve">mergers in high technology markets </w:t>
      </w:r>
      <w:r w:rsidR="00644E7A">
        <w:rPr>
          <w:rFonts w:ascii="Times New Roman" w:hAnsi="Times New Roman" w:cs="Times New Roman"/>
          <w:sz w:val="24"/>
          <w:szCs w:val="24"/>
        </w:rPr>
        <w:t xml:space="preserve">increase R&amp;D expenditure by as much as </w:t>
      </w:r>
      <w:r w:rsidR="00E23CC2">
        <w:rPr>
          <w:rFonts w:ascii="Times New Roman" w:hAnsi="Times New Roman" w:cs="Times New Roman"/>
          <w:sz w:val="24"/>
          <w:szCs w:val="24"/>
        </w:rPr>
        <w:t>USD 13.5 billion annually.</w:t>
      </w:r>
      <w:r w:rsidR="00E23CC2">
        <w:rPr>
          <w:rStyle w:val="FootnoteReference"/>
          <w:rFonts w:ascii="Times New Roman" w:hAnsi="Times New Roman" w:cs="Times New Roman"/>
          <w:sz w:val="24"/>
          <w:szCs w:val="24"/>
        </w:rPr>
        <w:footnoteReference w:id="54"/>
      </w:r>
      <w:r w:rsidR="00644E7A">
        <w:rPr>
          <w:rFonts w:ascii="Times New Roman" w:hAnsi="Times New Roman" w:cs="Times New Roman"/>
          <w:sz w:val="24"/>
          <w:szCs w:val="24"/>
        </w:rPr>
        <w:t xml:space="preserve"> </w:t>
      </w:r>
    </w:p>
    <w:p w14:paraId="0B46827A" w14:textId="397A472F" w:rsidR="005F141A" w:rsidRPr="00C235E5" w:rsidRDefault="00003926"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Our work </w:t>
      </w:r>
      <w:r w:rsidR="004F2774" w:rsidRPr="00C235E5">
        <w:rPr>
          <w:rFonts w:ascii="Times New Roman" w:hAnsi="Times New Roman" w:cs="Times New Roman"/>
          <w:sz w:val="24"/>
          <w:szCs w:val="24"/>
        </w:rPr>
        <w:t>aim</w:t>
      </w:r>
      <w:r w:rsidRPr="00C235E5">
        <w:rPr>
          <w:rFonts w:ascii="Times New Roman" w:hAnsi="Times New Roman" w:cs="Times New Roman"/>
          <w:sz w:val="24"/>
          <w:szCs w:val="24"/>
        </w:rPr>
        <w:t>s</w:t>
      </w:r>
      <w:r w:rsidR="004F2774" w:rsidRPr="00C235E5">
        <w:rPr>
          <w:rFonts w:ascii="Times New Roman" w:hAnsi="Times New Roman" w:cs="Times New Roman"/>
          <w:sz w:val="24"/>
          <w:szCs w:val="24"/>
        </w:rPr>
        <w:t xml:space="preserve"> to contribute to the burgeoning literature on killer acquisitions by providing </w:t>
      </w:r>
      <w:r w:rsidR="00565875" w:rsidRPr="00C235E5">
        <w:rPr>
          <w:rFonts w:ascii="Times New Roman" w:hAnsi="Times New Roman" w:cs="Times New Roman"/>
          <w:sz w:val="24"/>
          <w:szCs w:val="24"/>
        </w:rPr>
        <w:t xml:space="preserve">a multiple case studies analysis </w:t>
      </w:r>
      <w:r w:rsidR="004F2774" w:rsidRPr="00C235E5">
        <w:rPr>
          <w:rFonts w:ascii="Times New Roman" w:hAnsi="Times New Roman" w:cs="Times New Roman"/>
          <w:sz w:val="24"/>
          <w:szCs w:val="24"/>
        </w:rPr>
        <w:t xml:space="preserve">of technology mergers in the </w:t>
      </w:r>
      <w:r w:rsidRPr="00C235E5">
        <w:rPr>
          <w:rFonts w:ascii="Times New Roman" w:hAnsi="Times New Roman" w:cs="Times New Roman"/>
          <w:sz w:val="24"/>
          <w:szCs w:val="24"/>
        </w:rPr>
        <w:t>EU.</w:t>
      </w:r>
      <w:r w:rsidRPr="00C235E5">
        <w:rPr>
          <w:rStyle w:val="FootnoteReference"/>
          <w:rFonts w:ascii="Times New Roman" w:hAnsi="Times New Roman" w:cs="Times New Roman"/>
          <w:sz w:val="24"/>
          <w:szCs w:val="24"/>
        </w:rPr>
        <w:footnoteReference w:id="55"/>
      </w:r>
      <w:r w:rsidR="004F2774" w:rsidRPr="00C235E5">
        <w:rPr>
          <w:rFonts w:ascii="Times New Roman" w:hAnsi="Times New Roman" w:cs="Times New Roman"/>
          <w:sz w:val="24"/>
          <w:szCs w:val="24"/>
        </w:rPr>
        <w:t xml:space="preserve"> </w:t>
      </w:r>
      <w:r w:rsidR="004134CA">
        <w:rPr>
          <w:rFonts w:ascii="Times New Roman" w:hAnsi="Times New Roman" w:cs="Times New Roman"/>
          <w:sz w:val="24"/>
          <w:szCs w:val="24"/>
        </w:rPr>
        <w:t>We</w:t>
      </w:r>
      <w:r w:rsidR="001850C6" w:rsidRPr="00C235E5">
        <w:rPr>
          <w:rFonts w:ascii="Times New Roman" w:hAnsi="Times New Roman" w:cs="Times New Roman"/>
          <w:sz w:val="24"/>
          <w:szCs w:val="24"/>
        </w:rPr>
        <w:t xml:space="preserve"> test</w:t>
      </w:r>
      <w:r w:rsidR="004F2774" w:rsidRPr="00C235E5">
        <w:rPr>
          <w:rFonts w:ascii="Times New Roman" w:hAnsi="Times New Roman" w:cs="Times New Roman"/>
          <w:sz w:val="24"/>
          <w:szCs w:val="24"/>
        </w:rPr>
        <w:t xml:space="preserve"> whether the claim that technology companies acquire rivals with the sole aim of terminating their operations withstands scrutiny. </w:t>
      </w:r>
      <w:r w:rsidR="0085461C">
        <w:rPr>
          <w:rFonts w:ascii="Times New Roman" w:hAnsi="Times New Roman" w:cs="Times New Roman"/>
          <w:sz w:val="24"/>
          <w:szCs w:val="24"/>
        </w:rPr>
        <w:t xml:space="preserve">We aim to enrich the available empirical evidence </w:t>
      </w:r>
      <w:r w:rsidR="0049792A">
        <w:rPr>
          <w:rFonts w:ascii="Times New Roman" w:hAnsi="Times New Roman" w:cs="Times New Roman"/>
          <w:sz w:val="24"/>
          <w:szCs w:val="24"/>
        </w:rPr>
        <w:t xml:space="preserve">and contribute to the debate with reasoned analysis, the </w:t>
      </w:r>
      <w:r w:rsidR="00863681">
        <w:rPr>
          <w:rFonts w:ascii="Times New Roman" w:hAnsi="Times New Roman" w:cs="Times New Roman"/>
          <w:sz w:val="24"/>
          <w:szCs w:val="24"/>
        </w:rPr>
        <w:t>scarcity</w:t>
      </w:r>
      <w:r w:rsidR="0049792A">
        <w:rPr>
          <w:rFonts w:ascii="Times New Roman" w:hAnsi="Times New Roman" w:cs="Times New Roman"/>
          <w:sz w:val="24"/>
          <w:szCs w:val="24"/>
        </w:rPr>
        <w:t xml:space="preserve"> of which is increasingly lamented by many.</w:t>
      </w:r>
      <w:r w:rsidR="0049792A">
        <w:rPr>
          <w:rStyle w:val="FootnoteReference"/>
          <w:rFonts w:ascii="Times New Roman" w:hAnsi="Times New Roman" w:cs="Times New Roman"/>
          <w:sz w:val="24"/>
          <w:szCs w:val="24"/>
        </w:rPr>
        <w:footnoteReference w:id="56"/>
      </w:r>
    </w:p>
    <w:p w14:paraId="5A5DE1FF" w14:textId="302032AE" w:rsidR="00210086" w:rsidRPr="00C235E5" w:rsidRDefault="00210086" w:rsidP="00210086">
      <w:pPr>
        <w:pStyle w:val="Heading1"/>
        <w:numPr>
          <w:ilvl w:val="0"/>
          <w:numId w:val="19"/>
        </w:numPr>
        <w:rPr>
          <w:rFonts w:ascii="Times New Roman" w:hAnsi="Times New Roman" w:cs="Times New Roman"/>
          <w:sz w:val="24"/>
          <w:szCs w:val="24"/>
        </w:rPr>
      </w:pPr>
      <w:r w:rsidRPr="00C235E5">
        <w:rPr>
          <w:rFonts w:ascii="Times New Roman" w:hAnsi="Times New Roman" w:cs="Times New Roman"/>
          <w:sz w:val="24"/>
          <w:szCs w:val="24"/>
        </w:rPr>
        <w:lastRenderedPageBreak/>
        <w:t>Methodology</w:t>
      </w:r>
    </w:p>
    <w:p w14:paraId="41D059F0" w14:textId="283E59AC" w:rsidR="00FB2F75" w:rsidRPr="00C235E5" w:rsidRDefault="00FB2F75" w:rsidP="00792D53">
      <w:pPr>
        <w:spacing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This paper </w:t>
      </w:r>
      <w:r w:rsidR="0057591C" w:rsidRPr="00C235E5">
        <w:rPr>
          <w:rFonts w:ascii="Times New Roman" w:hAnsi="Times New Roman" w:cs="Times New Roman"/>
          <w:sz w:val="24"/>
          <w:szCs w:val="24"/>
        </w:rPr>
        <w:t>studies</w:t>
      </w:r>
      <w:r w:rsidR="00A845C8" w:rsidRPr="00C235E5">
        <w:rPr>
          <w:rFonts w:ascii="Times New Roman" w:hAnsi="Times New Roman" w:cs="Times New Roman"/>
          <w:sz w:val="24"/>
          <w:szCs w:val="24"/>
        </w:rPr>
        <w:t xml:space="preserve"> a </w:t>
      </w:r>
      <w:r w:rsidRPr="00C235E5">
        <w:rPr>
          <w:rFonts w:ascii="Times New Roman" w:hAnsi="Times New Roman" w:cs="Times New Roman"/>
          <w:sz w:val="24"/>
          <w:szCs w:val="24"/>
        </w:rPr>
        <w:t>sample of case</w:t>
      </w:r>
      <w:r w:rsidR="0057591C" w:rsidRPr="00C235E5">
        <w:rPr>
          <w:rFonts w:ascii="Times New Roman" w:hAnsi="Times New Roman" w:cs="Times New Roman"/>
          <w:sz w:val="24"/>
          <w:szCs w:val="24"/>
        </w:rPr>
        <w:t>s</w:t>
      </w:r>
      <w:r w:rsidRPr="00C235E5">
        <w:rPr>
          <w:rFonts w:ascii="Times New Roman" w:hAnsi="Times New Roman" w:cs="Times New Roman"/>
          <w:sz w:val="24"/>
          <w:szCs w:val="24"/>
        </w:rPr>
        <w:t xml:space="preserve"> susceptible to constitute killer acquisitions. </w:t>
      </w:r>
      <w:r w:rsidR="0027309B" w:rsidRPr="00C235E5">
        <w:rPr>
          <w:rFonts w:ascii="Times New Roman" w:hAnsi="Times New Roman" w:cs="Times New Roman"/>
          <w:sz w:val="24"/>
          <w:szCs w:val="24"/>
        </w:rPr>
        <w:t xml:space="preserve">We describe hereafter </w:t>
      </w:r>
      <w:r w:rsidR="00ED4059" w:rsidRPr="00C235E5">
        <w:rPr>
          <w:rFonts w:ascii="Times New Roman" w:hAnsi="Times New Roman" w:cs="Times New Roman"/>
          <w:sz w:val="24"/>
          <w:szCs w:val="24"/>
        </w:rPr>
        <w:t>(1)</w:t>
      </w:r>
      <w:r w:rsidR="00ED4059">
        <w:rPr>
          <w:rFonts w:ascii="Times New Roman" w:hAnsi="Times New Roman" w:cs="Times New Roman"/>
          <w:sz w:val="24"/>
          <w:szCs w:val="24"/>
        </w:rPr>
        <w:t xml:space="preserve"> </w:t>
      </w:r>
      <w:r w:rsidR="0027309B" w:rsidRPr="00C235E5">
        <w:rPr>
          <w:rFonts w:ascii="Times New Roman" w:hAnsi="Times New Roman" w:cs="Times New Roman"/>
          <w:sz w:val="24"/>
          <w:szCs w:val="24"/>
        </w:rPr>
        <w:t xml:space="preserve">the method used to </w:t>
      </w:r>
      <w:r w:rsidRPr="00C235E5">
        <w:rPr>
          <w:rFonts w:ascii="Times New Roman" w:hAnsi="Times New Roman" w:cs="Times New Roman"/>
          <w:sz w:val="24"/>
          <w:szCs w:val="24"/>
        </w:rPr>
        <w:t>select the cases</w:t>
      </w:r>
      <w:r w:rsidR="00C82204" w:rsidRPr="00C235E5">
        <w:rPr>
          <w:rFonts w:ascii="Times New Roman" w:hAnsi="Times New Roman" w:cs="Times New Roman"/>
          <w:sz w:val="24"/>
          <w:szCs w:val="24"/>
        </w:rPr>
        <w:t xml:space="preserve">, and </w:t>
      </w:r>
      <w:r w:rsidR="00ED4059" w:rsidRPr="00C235E5">
        <w:rPr>
          <w:rFonts w:ascii="Times New Roman" w:hAnsi="Times New Roman" w:cs="Times New Roman"/>
          <w:sz w:val="24"/>
          <w:szCs w:val="24"/>
        </w:rPr>
        <w:t>(2)</w:t>
      </w:r>
      <w:r w:rsidR="00ED4059">
        <w:rPr>
          <w:rFonts w:ascii="Times New Roman" w:hAnsi="Times New Roman" w:cs="Times New Roman"/>
          <w:sz w:val="24"/>
          <w:szCs w:val="24"/>
        </w:rPr>
        <w:t xml:space="preserve"> </w:t>
      </w:r>
      <w:r w:rsidR="003859FE" w:rsidRPr="00C235E5">
        <w:rPr>
          <w:rFonts w:ascii="Times New Roman" w:hAnsi="Times New Roman" w:cs="Times New Roman"/>
          <w:sz w:val="24"/>
          <w:szCs w:val="24"/>
        </w:rPr>
        <w:t xml:space="preserve">our </w:t>
      </w:r>
      <w:r w:rsidR="00C82204" w:rsidRPr="00C235E5">
        <w:rPr>
          <w:rFonts w:ascii="Times New Roman" w:hAnsi="Times New Roman" w:cs="Times New Roman"/>
          <w:sz w:val="24"/>
          <w:szCs w:val="24"/>
        </w:rPr>
        <w:t xml:space="preserve">tests of competitor perception and </w:t>
      </w:r>
      <w:r w:rsidR="00164E80" w:rsidRPr="00C235E5">
        <w:rPr>
          <w:rFonts w:ascii="Times New Roman" w:hAnsi="Times New Roman" w:cs="Times New Roman"/>
          <w:sz w:val="24"/>
          <w:szCs w:val="24"/>
        </w:rPr>
        <w:t xml:space="preserve">competitive </w:t>
      </w:r>
      <w:r w:rsidR="00763F36" w:rsidRPr="00C235E5">
        <w:rPr>
          <w:rFonts w:ascii="Times New Roman" w:hAnsi="Times New Roman" w:cs="Times New Roman"/>
          <w:sz w:val="24"/>
          <w:szCs w:val="24"/>
        </w:rPr>
        <w:t>position</w:t>
      </w:r>
      <w:r w:rsidRPr="00C235E5">
        <w:rPr>
          <w:rFonts w:ascii="Times New Roman" w:hAnsi="Times New Roman" w:cs="Times New Roman"/>
          <w:sz w:val="24"/>
          <w:szCs w:val="24"/>
        </w:rPr>
        <w:t>.</w:t>
      </w:r>
      <w:r w:rsidR="00FE2ACF" w:rsidRPr="00C235E5">
        <w:rPr>
          <w:rFonts w:ascii="Times New Roman" w:hAnsi="Times New Roman" w:cs="Times New Roman"/>
          <w:sz w:val="24"/>
          <w:szCs w:val="24"/>
        </w:rPr>
        <w:t xml:space="preserve"> </w:t>
      </w:r>
    </w:p>
    <w:p w14:paraId="2D98A192" w14:textId="41DF5E2D" w:rsidR="00D05447" w:rsidRPr="00C235E5" w:rsidRDefault="00B778B1" w:rsidP="00B778B1">
      <w:pPr>
        <w:pStyle w:val="Heading2"/>
        <w:numPr>
          <w:ilvl w:val="0"/>
          <w:numId w:val="20"/>
        </w:numPr>
        <w:rPr>
          <w:rFonts w:cs="Times New Roman"/>
          <w:sz w:val="24"/>
          <w:szCs w:val="24"/>
        </w:rPr>
      </w:pPr>
      <w:r>
        <w:rPr>
          <w:rFonts w:cs="Times New Roman"/>
          <w:sz w:val="24"/>
          <w:szCs w:val="24"/>
        </w:rPr>
        <w:t xml:space="preserve"> </w:t>
      </w:r>
      <w:r w:rsidR="00D05447" w:rsidRPr="00C235E5">
        <w:rPr>
          <w:rFonts w:cs="Times New Roman"/>
          <w:sz w:val="24"/>
          <w:szCs w:val="24"/>
        </w:rPr>
        <w:t>Case selection</w:t>
      </w:r>
    </w:p>
    <w:p w14:paraId="184D0243" w14:textId="24F8A293" w:rsidR="00D05447" w:rsidRPr="00C235E5" w:rsidRDefault="00DD6C07"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We start by compiling </w:t>
      </w:r>
      <w:r w:rsidR="00D05447" w:rsidRPr="00C235E5">
        <w:rPr>
          <w:rFonts w:ascii="Times New Roman" w:hAnsi="Times New Roman" w:cs="Times New Roman"/>
          <w:sz w:val="24"/>
          <w:szCs w:val="24"/>
        </w:rPr>
        <w:t xml:space="preserve">a complete list of all business transactions within </w:t>
      </w:r>
      <w:r w:rsidR="003E0EA9">
        <w:rPr>
          <w:rFonts w:ascii="Times New Roman" w:hAnsi="Times New Roman" w:cs="Times New Roman"/>
          <w:sz w:val="24"/>
          <w:szCs w:val="24"/>
        </w:rPr>
        <w:t xml:space="preserve">ICT </w:t>
      </w:r>
      <w:r w:rsidR="00D05447" w:rsidRPr="00C235E5">
        <w:rPr>
          <w:rFonts w:ascii="Times New Roman" w:hAnsi="Times New Roman" w:cs="Times New Roman"/>
          <w:sz w:val="24"/>
          <w:szCs w:val="24"/>
        </w:rPr>
        <w:t>sector</w:t>
      </w:r>
      <w:r w:rsidRPr="00C235E5">
        <w:rPr>
          <w:rFonts w:ascii="Times New Roman" w:hAnsi="Times New Roman" w:cs="Times New Roman"/>
          <w:sz w:val="24"/>
          <w:szCs w:val="24"/>
        </w:rPr>
        <w:t xml:space="preserve"> using </w:t>
      </w:r>
      <w:r w:rsidR="00D05447" w:rsidRPr="00C235E5">
        <w:rPr>
          <w:rFonts w:ascii="Times New Roman" w:hAnsi="Times New Roman" w:cs="Times New Roman"/>
          <w:sz w:val="24"/>
          <w:szCs w:val="24"/>
        </w:rPr>
        <w:t xml:space="preserve">the </w:t>
      </w:r>
      <w:r w:rsidR="00EF42BA" w:rsidRPr="00C235E5">
        <w:rPr>
          <w:rFonts w:ascii="Times New Roman" w:hAnsi="Times New Roman" w:cs="Times New Roman"/>
          <w:sz w:val="24"/>
          <w:szCs w:val="24"/>
        </w:rPr>
        <w:t>EC’s</w:t>
      </w:r>
      <w:r w:rsidR="00D05447" w:rsidRPr="00C235E5">
        <w:rPr>
          <w:rFonts w:ascii="Times New Roman" w:hAnsi="Times New Roman" w:cs="Times New Roman"/>
          <w:sz w:val="24"/>
          <w:szCs w:val="24"/>
        </w:rPr>
        <w:t xml:space="preserve"> official register</w:t>
      </w:r>
      <w:r w:rsidR="00380590" w:rsidRPr="00C235E5">
        <w:rPr>
          <w:rFonts w:ascii="Times New Roman" w:hAnsi="Times New Roman" w:cs="Times New Roman"/>
          <w:sz w:val="24"/>
          <w:szCs w:val="24"/>
        </w:rPr>
        <w:t xml:space="preserve"> of merger transactions</w:t>
      </w:r>
      <w:r w:rsidR="00D05447" w:rsidRPr="00C235E5">
        <w:rPr>
          <w:rFonts w:ascii="Times New Roman" w:hAnsi="Times New Roman" w:cs="Times New Roman"/>
          <w:sz w:val="24"/>
          <w:szCs w:val="24"/>
        </w:rPr>
        <w:t xml:space="preserve">. </w:t>
      </w:r>
      <w:r w:rsidR="00936188" w:rsidRPr="00C235E5">
        <w:rPr>
          <w:rFonts w:ascii="Times New Roman" w:hAnsi="Times New Roman" w:cs="Times New Roman"/>
          <w:sz w:val="24"/>
          <w:szCs w:val="24"/>
        </w:rPr>
        <w:t xml:space="preserve">To focus on </w:t>
      </w:r>
      <w:r w:rsidR="009C16F9" w:rsidRPr="00C235E5">
        <w:rPr>
          <w:rFonts w:ascii="Times New Roman" w:hAnsi="Times New Roman" w:cs="Times New Roman"/>
          <w:sz w:val="24"/>
          <w:szCs w:val="24"/>
        </w:rPr>
        <w:t>th</w:t>
      </w:r>
      <w:r w:rsidR="009C16F9">
        <w:rPr>
          <w:rFonts w:ascii="Times New Roman" w:hAnsi="Times New Roman" w:cs="Times New Roman"/>
          <w:sz w:val="24"/>
          <w:szCs w:val="24"/>
        </w:rPr>
        <w:t>is</w:t>
      </w:r>
      <w:r w:rsidR="009C16F9" w:rsidRPr="00C235E5">
        <w:rPr>
          <w:rFonts w:ascii="Times New Roman" w:hAnsi="Times New Roman" w:cs="Times New Roman"/>
          <w:sz w:val="24"/>
          <w:szCs w:val="24"/>
        </w:rPr>
        <w:t xml:space="preserve"> </w:t>
      </w:r>
      <w:r w:rsidR="00936188" w:rsidRPr="00C235E5">
        <w:rPr>
          <w:rFonts w:ascii="Times New Roman" w:hAnsi="Times New Roman" w:cs="Times New Roman"/>
          <w:sz w:val="24"/>
          <w:szCs w:val="24"/>
        </w:rPr>
        <w:t>sector</w:t>
      </w:r>
      <w:r w:rsidR="0018732B" w:rsidRPr="00C235E5">
        <w:rPr>
          <w:rFonts w:ascii="Times New Roman" w:hAnsi="Times New Roman" w:cs="Times New Roman"/>
          <w:sz w:val="24"/>
          <w:szCs w:val="24"/>
        </w:rPr>
        <w:t xml:space="preserve">, we </w:t>
      </w:r>
      <w:r w:rsidR="00C431DA" w:rsidRPr="00C235E5">
        <w:rPr>
          <w:rFonts w:ascii="Times New Roman" w:hAnsi="Times New Roman" w:cs="Times New Roman"/>
          <w:sz w:val="24"/>
          <w:szCs w:val="24"/>
        </w:rPr>
        <w:t xml:space="preserve">search transactions with the following </w:t>
      </w:r>
      <w:r w:rsidR="00D05447" w:rsidRPr="00C235E5">
        <w:rPr>
          <w:rFonts w:ascii="Times New Roman" w:hAnsi="Times New Roman" w:cs="Times New Roman"/>
          <w:sz w:val="24"/>
          <w:szCs w:val="24"/>
        </w:rPr>
        <w:t>industry-specific (NACE) codes</w:t>
      </w:r>
      <w:r w:rsidR="00C431DA" w:rsidRPr="00C235E5">
        <w:rPr>
          <w:rFonts w:ascii="Times New Roman" w:hAnsi="Times New Roman" w:cs="Times New Roman"/>
          <w:sz w:val="24"/>
          <w:szCs w:val="24"/>
        </w:rPr>
        <w:t>:</w:t>
      </w:r>
      <w:r w:rsidR="00D05447" w:rsidRPr="00C235E5">
        <w:rPr>
          <w:rFonts w:ascii="Times New Roman" w:hAnsi="Times New Roman" w:cs="Times New Roman"/>
          <w:sz w:val="24"/>
          <w:szCs w:val="24"/>
        </w:rPr>
        <w:t xml:space="preserve"> J.58</w:t>
      </w:r>
      <w:r w:rsidR="00633708" w:rsidRPr="00C235E5">
        <w:rPr>
          <w:rFonts w:ascii="Times New Roman" w:hAnsi="Times New Roman" w:cs="Times New Roman"/>
          <w:sz w:val="24"/>
          <w:szCs w:val="24"/>
        </w:rPr>
        <w:t xml:space="preserve"> (publishing activities)</w:t>
      </w:r>
      <w:r w:rsidR="00D05447" w:rsidRPr="00C235E5">
        <w:rPr>
          <w:rFonts w:ascii="Times New Roman" w:hAnsi="Times New Roman" w:cs="Times New Roman"/>
          <w:sz w:val="24"/>
          <w:szCs w:val="24"/>
        </w:rPr>
        <w:t>, J.61</w:t>
      </w:r>
      <w:r w:rsidR="00633708" w:rsidRPr="00C235E5">
        <w:rPr>
          <w:rFonts w:ascii="Times New Roman" w:hAnsi="Times New Roman" w:cs="Times New Roman"/>
          <w:sz w:val="24"/>
          <w:szCs w:val="24"/>
        </w:rPr>
        <w:t xml:space="preserve"> (telecommunications)</w:t>
      </w:r>
      <w:r w:rsidR="00D05447" w:rsidRPr="00C235E5">
        <w:rPr>
          <w:rFonts w:ascii="Times New Roman" w:hAnsi="Times New Roman" w:cs="Times New Roman"/>
          <w:sz w:val="24"/>
          <w:szCs w:val="24"/>
        </w:rPr>
        <w:t>, J.62</w:t>
      </w:r>
      <w:r w:rsidR="00633708" w:rsidRPr="00C235E5">
        <w:rPr>
          <w:rFonts w:ascii="Times New Roman" w:hAnsi="Times New Roman" w:cs="Times New Roman"/>
          <w:sz w:val="24"/>
          <w:szCs w:val="24"/>
        </w:rPr>
        <w:t xml:space="preserve"> (Computer programming, consultancy and related activities)</w:t>
      </w:r>
      <w:r w:rsidR="00D05447" w:rsidRPr="00C235E5">
        <w:rPr>
          <w:rFonts w:ascii="Times New Roman" w:hAnsi="Times New Roman" w:cs="Times New Roman"/>
          <w:sz w:val="24"/>
          <w:szCs w:val="24"/>
        </w:rPr>
        <w:t>, and J.63</w:t>
      </w:r>
      <w:r w:rsidR="00633708" w:rsidRPr="00C235E5">
        <w:rPr>
          <w:rFonts w:ascii="Times New Roman" w:hAnsi="Times New Roman" w:cs="Times New Roman"/>
          <w:sz w:val="24"/>
          <w:szCs w:val="24"/>
        </w:rPr>
        <w:t xml:space="preserve"> (Information service activities)</w:t>
      </w:r>
      <w:r w:rsidR="00D05447" w:rsidRPr="00C235E5">
        <w:rPr>
          <w:rFonts w:ascii="Times New Roman" w:hAnsi="Times New Roman" w:cs="Times New Roman"/>
          <w:sz w:val="24"/>
          <w:szCs w:val="24"/>
        </w:rPr>
        <w:t xml:space="preserve">. </w:t>
      </w:r>
      <w:r w:rsidR="00F77A47" w:rsidRPr="00C235E5">
        <w:rPr>
          <w:rFonts w:ascii="Times New Roman" w:hAnsi="Times New Roman" w:cs="Times New Roman"/>
          <w:sz w:val="24"/>
          <w:szCs w:val="24"/>
        </w:rPr>
        <w:t xml:space="preserve">We retrieve </w:t>
      </w:r>
      <w:r w:rsidR="00614BD0" w:rsidRPr="00C235E5">
        <w:rPr>
          <w:rFonts w:ascii="Times New Roman" w:hAnsi="Times New Roman" w:cs="Times New Roman"/>
          <w:sz w:val="24"/>
          <w:szCs w:val="24"/>
        </w:rPr>
        <w:t>387</w:t>
      </w:r>
      <w:r w:rsidR="00D05447" w:rsidRPr="00C235E5">
        <w:rPr>
          <w:rFonts w:ascii="Times New Roman" w:hAnsi="Times New Roman" w:cs="Times New Roman"/>
          <w:sz w:val="24"/>
          <w:szCs w:val="24"/>
        </w:rPr>
        <w:t xml:space="preserve"> cases</w:t>
      </w:r>
      <w:r w:rsidR="00C431DA" w:rsidRPr="00C235E5">
        <w:rPr>
          <w:rFonts w:ascii="Times New Roman" w:hAnsi="Times New Roman" w:cs="Times New Roman"/>
          <w:sz w:val="24"/>
          <w:szCs w:val="24"/>
        </w:rPr>
        <w:t>.</w:t>
      </w:r>
    </w:p>
    <w:p w14:paraId="03E6D055" w14:textId="7900EA7D" w:rsidR="00E42BD0" w:rsidRPr="00C235E5" w:rsidRDefault="00E42BD0"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Because the theory of killer acquisitions focuses on </w:t>
      </w:r>
      <w:r w:rsidR="00460618" w:rsidRPr="00C235E5">
        <w:rPr>
          <w:rFonts w:ascii="Times New Roman" w:hAnsi="Times New Roman" w:cs="Times New Roman"/>
          <w:sz w:val="24"/>
          <w:szCs w:val="24"/>
        </w:rPr>
        <w:t>large technology firms</w:t>
      </w:r>
      <w:r w:rsidR="00832381">
        <w:rPr>
          <w:rFonts w:ascii="Times New Roman" w:hAnsi="Times New Roman" w:cs="Times New Roman"/>
          <w:sz w:val="24"/>
          <w:szCs w:val="24"/>
        </w:rPr>
        <w:t xml:space="preserve"> as acquirers</w:t>
      </w:r>
      <w:r w:rsidR="00460618" w:rsidRPr="00C235E5">
        <w:rPr>
          <w:rFonts w:ascii="Times New Roman" w:hAnsi="Times New Roman" w:cs="Times New Roman"/>
          <w:sz w:val="24"/>
          <w:szCs w:val="24"/>
        </w:rPr>
        <w:t xml:space="preserve">, we </w:t>
      </w:r>
      <w:r w:rsidR="00F77A47" w:rsidRPr="00C235E5">
        <w:rPr>
          <w:rFonts w:ascii="Times New Roman" w:hAnsi="Times New Roman" w:cs="Times New Roman"/>
          <w:sz w:val="24"/>
          <w:szCs w:val="24"/>
        </w:rPr>
        <w:t xml:space="preserve">restrict </w:t>
      </w:r>
      <w:r w:rsidR="003D79FB" w:rsidRPr="00C235E5">
        <w:rPr>
          <w:rFonts w:ascii="Times New Roman" w:hAnsi="Times New Roman" w:cs="Times New Roman"/>
          <w:sz w:val="24"/>
          <w:szCs w:val="24"/>
        </w:rPr>
        <w:t>the search to</w:t>
      </w:r>
      <w:r w:rsidR="00460618" w:rsidRPr="00C235E5">
        <w:rPr>
          <w:rFonts w:ascii="Times New Roman" w:hAnsi="Times New Roman" w:cs="Times New Roman"/>
          <w:sz w:val="24"/>
          <w:szCs w:val="24"/>
        </w:rPr>
        <w:t xml:space="preserve"> transactions involving </w:t>
      </w:r>
      <w:r w:rsidR="003D79FB" w:rsidRPr="00C235E5">
        <w:rPr>
          <w:rFonts w:ascii="Times New Roman" w:hAnsi="Times New Roman" w:cs="Times New Roman"/>
          <w:sz w:val="24"/>
          <w:szCs w:val="24"/>
        </w:rPr>
        <w:t xml:space="preserve">Google, Amazon, Facebook, Apple, and Microsoft. All five </w:t>
      </w:r>
      <w:r w:rsidR="00460618" w:rsidRPr="00C235E5">
        <w:rPr>
          <w:rFonts w:ascii="Times New Roman" w:hAnsi="Times New Roman" w:cs="Times New Roman"/>
          <w:sz w:val="24"/>
          <w:szCs w:val="24"/>
        </w:rPr>
        <w:t xml:space="preserve">firms </w:t>
      </w:r>
      <w:r w:rsidR="0075199A" w:rsidRPr="00C235E5">
        <w:rPr>
          <w:rFonts w:ascii="Times New Roman" w:hAnsi="Times New Roman" w:cs="Times New Roman"/>
          <w:sz w:val="24"/>
          <w:szCs w:val="24"/>
        </w:rPr>
        <w:t>have been deemed</w:t>
      </w:r>
      <w:r w:rsidR="0057537D" w:rsidRPr="00C235E5">
        <w:rPr>
          <w:rFonts w:ascii="Times New Roman" w:hAnsi="Times New Roman" w:cs="Times New Roman"/>
          <w:sz w:val="24"/>
          <w:szCs w:val="24"/>
        </w:rPr>
        <w:t xml:space="preserve"> to </w:t>
      </w:r>
      <w:r w:rsidR="0075199A" w:rsidRPr="00C235E5">
        <w:rPr>
          <w:rFonts w:ascii="Times New Roman" w:hAnsi="Times New Roman" w:cs="Times New Roman"/>
          <w:sz w:val="24"/>
          <w:szCs w:val="24"/>
        </w:rPr>
        <w:t>hold</w:t>
      </w:r>
      <w:r w:rsidR="0057537D" w:rsidRPr="00C235E5">
        <w:rPr>
          <w:rFonts w:ascii="Times New Roman" w:hAnsi="Times New Roman" w:cs="Times New Roman"/>
          <w:sz w:val="24"/>
          <w:szCs w:val="24"/>
        </w:rPr>
        <w:t xml:space="preserve"> </w:t>
      </w:r>
      <w:r w:rsidR="00445C14" w:rsidRPr="00C235E5">
        <w:rPr>
          <w:rFonts w:ascii="Times New Roman" w:hAnsi="Times New Roman" w:cs="Times New Roman"/>
          <w:sz w:val="24"/>
          <w:szCs w:val="24"/>
        </w:rPr>
        <w:t xml:space="preserve">dominant </w:t>
      </w:r>
      <w:r w:rsidR="0052443A" w:rsidRPr="00C235E5">
        <w:rPr>
          <w:rFonts w:ascii="Times New Roman" w:hAnsi="Times New Roman" w:cs="Times New Roman"/>
          <w:sz w:val="24"/>
          <w:szCs w:val="24"/>
        </w:rPr>
        <w:t xml:space="preserve">or gatekeeping </w:t>
      </w:r>
      <w:r w:rsidR="00445C14" w:rsidRPr="00C235E5">
        <w:rPr>
          <w:rFonts w:ascii="Times New Roman" w:hAnsi="Times New Roman" w:cs="Times New Roman"/>
          <w:sz w:val="24"/>
          <w:szCs w:val="24"/>
        </w:rPr>
        <w:t>positions</w:t>
      </w:r>
      <w:r w:rsidR="00460618" w:rsidRPr="00C235E5">
        <w:rPr>
          <w:rFonts w:ascii="Times New Roman" w:hAnsi="Times New Roman" w:cs="Times New Roman"/>
          <w:sz w:val="24"/>
          <w:szCs w:val="24"/>
        </w:rPr>
        <w:t xml:space="preserve">. </w:t>
      </w:r>
      <w:r w:rsidR="00326EF6" w:rsidRPr="00C235E5">
        <w:rPr>
          <w:rFonts w:ascii="Times New Roman" w:hAnsi="Times New Roman" w:cs="Times New Roman"/>
          <w:sz w:val="24"/>
          <w:szCs w:val="24"/>
        </w:rPr>
        <w:t xml:space="preserve">This </w:t>
      </w:r>
      <w:r w:rsidR="00B7317A" w:rsidRPr="00C235E5">
        <w:rPr>
          <w:rFonts w:ascii="Times New Roman" w:hAnsi="Times New Roman" w:cs="Times New Roman"/>
          <w:sz w:val="24"/>
          <w:szCs w:val="24"/>
        </w:rPr>
        <w:t xml:space="preserve">further screening </w:t>
      </w:r>
      <w:r w:rsidR="00326EF6" w:rsidRPr="00C235E5">
        <w:rPr>
          <w:rFonts w:ascii="Times New Roman" w:hAnsi="Times New Roman" w:cs="Times New Roman"/>
          <w:sz w:val="24"/>
          <w:szCs w:val="24"/>
        </w:rPr>
        <w:t>yield</w:t>
      </w:r>
      <w:r w:rsidR="001F2F15" w:rsidRPr="00C235E5">
        <w:rPr>
          <w:rFonts w:ascii="Times New Roman" w:hAnsi="Times New Roman" w:cs="Times New Roman"/>
          <w:sz w:val="24"/>
          <w:szCs w:val="24"/>
        </w:rPr>
        <w:t>s</w:t>
      </w:r>
      <w:r w:rsidR="00326EF6" w:rsidRPr="00C235E5">
        <w:rPr>
          <w:rFonts w:ascii="Times New Roman" w:hAnsi="Times New Roman" w:cs="Times New Roman"/>
          <w:sz w:val="24"/>
          <w:szCs w:val="24"/>
        </w:rPr>
        <w:t xml:space="preserve"> 14 cases in total.</w:t>
      </w:r>
      <w:r w:rsidR="00B7317A" w:rsidRPr="00C235E5">
        <w:rPr>
          <w:rFonts w:ascii="Times New Roman" w:hAnsi="Times New Roman" w:cs="Times New Roman"/>
          <w:sz w:val="24"/>
          <w:szCs w:val="24"/>
        </w:rPr>
        <w:t xml:space="preserve"> </w:t>
      </w:r>
      <w:r w:rsidR="0052443A" w:rsidRPr="00C235E5">
        <w:rPr>
          <w:rFonts w:ascii="Times New Roman" w:hAnsi="Times New Roman" w:cs="Times New Roman"/>
          <w:sz w:val="24"/>
          <w:szCs w:val="24"/>
        </w:rPr>
        <w:t xml:space="preserve">We eliminate </w:t>
      </w:r>
      <w:r w:rsidR="00FB1B2C" w:rsidRPr="00C235E5">
        <w:rPr>
          <w:rFonts w:ascii="Times New Roman" w:hAnsi="Times New Roman" w:cs="Times New Roman"/>
          <w:sz w:val="24"/>
          <w:szCs w:val="24"/>
        </w:rPr>
        <w:t xml:space="preserve">3 </w:t>
      </w:r>
      <w:r w:rsidR="00326EF6" w:rsidRPr="00C235E5">
        <w:rPr>
          <w:rFonts w:ascii="Times New Roman" w:hAnsi="Times New Roman" w:cs="Times New Roman"/>
          <w:sz w:val="24"/>
          <w:szCs w:val="24"/>
        </w:rPr>
        <w:t>of these cases</w:t>
      </w:r>
      <w:r w:rsidR="003F5001" w:rsidRPr="00C235E5">
        <w:rPr>
          <w:rFonts w:ascii="Times New Roman" w:hAnsi="Times New Roman" w:cs="Times New Roman"/>
          <w:sz w:val="24"/>
          <w:szCs w:val="24"/>
        </w:rPr>
        <w:t xml:space="preserve">. These </w:t>
      </w:r>
      <w:r w:rsidR="0052443A" w:rsidRPr="00C235E5">
        <w:rPr>
          <w:rFonts w:ascii="Times New Roman" w:hAnsi="Times New Roman" w:cs="Times New Roman"/>
          <w:sz w:val="24"/>
          <w:szCs w:val="24"/>
        </w:rPr>
        <w:t xml:space="preserve">concern </w:t>
      </w:r>
      <w:r w:rsidR="00326EF6" w:rsidRPr="00C235E5">
        <w:rPr>
          <w:rFonts w:ascii="Times New Roman" w:hAnsi="Times New Roman" w:cs="Times New Roman"/>
          <w:sz w:val="24"/>
          <w:szCs w:val="24"/>
        </w:rPr>
        <w:t xml:space="preserve">joint ventures </w:t>
      </w:r>
      <w:r w:rsidR="0052443A" w:rsidRPr="00C235E5">
        <w:rPr>
          <w:rFonts w:ascii="Times New Roman" w:hAnsi="Times New Roman" w:cs="Times New Roman"/>
          <w:sz w:val="24"/>
          <w:szCs w:val="24"/>
        </w:rPr>
        <w:t xml:space="preserve">and </w:t>
      </w:r>
      <w:r w:rsidR="00B7317A" w:rsidRPr="00C235E5">
        <w:rPr>
          <w:rFonts w:ascii="Times New Roman" w:hAnsi="Times New Roman" w:cs="Times New Roman"/>
          <w:sz w:val="24"/>
          <w:szCs w:val="24"/>
        </w:rPr>
        <w:t xml:space="preserve">are </w:t>
      </w:r>
      <w:r w:rsidR="0052443A" w:rsidRPr="00C235E5">
        <w:rPr>
          <w:rFonts w:ascii="Times New Roman" w:hAnsi="Times New Roman" w:cs="Times New Roman"/>
          <w:sz w:val="24"/>
          <w:szCs w:val="24"/>
        </w:rPr>
        <w:t>thus in</w:t>
      </w:r>
      <w:r w:rsidR="00B7317A" w:rsidRPr="00C235E5">
        <w:rPr>
          <w:rFonts w:ascii="Times New Roman" w:hAnsi="Times New Roman" w:cs="Times New Roman"/>
          <w:sz w:val="24"/>
          <w:szCs w:val="24"/>
        </w:rPr>
        <w:t xml:space="preserve">appropriate </w:t>
      </w:r>
      <w:r w:rsidR="00326EF6" w:rsidRPr="00C235E5">
        <w:rPr>
          <w:rFonts w:ascii="Times New Roman" w:hAnsi="Times New Roman" w:cs="Times New Roman"/>
          <w:sz w:val="24"/>
          <w:szCs w:val="24"/>
        </w:rPr>
        <w:t>for use in a study</w:t>
      </w:r>
      <w:r w:rsidR="00B7317A" w:rsidRPr="00C235E5">
        <w:rPr>
          <w:rFonts w:ascii="Times New Roman" w:hAnsi="Times New Roman" w:cs="Times New Roman"/>
          <w:sz w:val="24"/>
          <w:szCs w:val="24"/>
        </w:rPr>
        <w:t xml:space="preserve"> </w:t>
      </w:r>
      <w:r w:rsidR="00326EF6" w:rsidRPr="00C235E5">
        <w:rPr>
          <w:rFonts w:ascii="Times New Roman" w:hAnsi="Times New Roman" w:cs="Times New Roman"/>
          <w:sz w:val="24"/>
          <w:szCs w:val="24"/>
        </w:rPr>
        <w:t xml:space="preserve">concerned with </w:t>
      </w:r>
      <w:r w:rsidR="00B7317A" w:rsidRPr="00C235E5">
        <w:rPr>
          <w:rFonts w:ascii="Times New Roman" w:hAnsi="Times New Roman" w:cs="Times New Roman"/>
          <w:sz w:val="24"/>
          <w:szCs w:val="24"/>
        </w:rPr>
        <w:t xml:space="preserve">killer </w:t>
      </w:r>
      <w:r w:rsidR="00326EF6" w:rsidRPr="00C235E5">
        <w:rPr>
          <w:rFonts w:ascii="Times New Roman" w:hAnsi="Times New Roman" w:cs="Times New Roman"/>
          <w:sz w:val="24"/>
          <w:szCs w:val="24"/>
        </w:rPr>
        <w:t>acquisitions.</w:t>
      </w:r>
      <w:r w:rsidR="0050296D">
        <w:rPr>
          <w:rStyle w:val="FootnoteReference"/>
          <w:rFonts w:ascii="Times New Roman" w:hAnsi="Times New Roman" w:cs="Times New Roman"/>
          <w:sz w:val="24"/>
          <w:szCs w:val="24"/>
        </w:rPr>
        <w:footnoteReference w:id="57"/>
      </w:r>
      <w:r w:rsidR="00B7317A" w:rsidRPr="00C235E5">
        <w:rPr>
          <w:rFonts w:ascii="Times New Roman" w:hAnsi="Times New Roman" w:cs="Times New Roman"/>
          <w:sz w:val="24"/>
          <w:szCs w:val="24"/>
        </w:rPr>
        <w:t xml:space="preserve"> We</w:t>
      </w:r>
      <w:r w:rsidR="003909FB" w:rsidRPr="00C235E5">
        <w:rPr>
          <w:rFonts w:ascii="Times New Roman" w:hAnsi="Times New Roman" w:cs="Times New Roman"/>
          <w:sz w:val="24"/>
          <w:szCs w:val="24"/>
        </w:rPr>
        <w:t xml:space="preserve"> thus</w:t>
      </w:r>
      <w:r w:rsidR="00B7317A" w:rsidRPr="00C235E5">
        <w:rPr>
          <w:rFonts w:ascii="Times New Roman" w:hAnsi="Times New Roman" w:cs="Times New Roman"/>
          <w:sz w:val="24"/>
          <w:szCs w:val="24"/>
        </w:rPr>
        <w:t xml:space="preserve"> focus</w:t>
      </w:r>
      <w:r w:rsidR="001F2F15" w:rsidRPr="00C235E5">
        <w:rPr>
          <w:rFonts w:ascii="Times New Roman" w:hAnsi="Times New Roman" w:cs="Times New Roman"/>
          <w:sz w:val="24"/>
          <w:szCs w:val="24"/>
        </w:rPr>
        <w:t xml:space="preserve"> </w:t>
      </w:r>
      <w:r w:rsidR="00B165B0" w:rsidRPr="00C235E5">
        <w:rPr>
          <w:rFonts w:ascii="Times New Roman" w:hAnsi="Times New Roman" w:cs="Times New Roman"/>
          <w:sz w:val="24"/>
          <w:szCs w:val="24"/>
        </w:rPr>
        <w:t xml:space="preserve">on the remaining </w:t>
      </w:r>
      <w:r w:rsidR="00062BB7" w:rsidRPr="00C235E5">
        <w:rPr>
          <w:rFonts w:ascii="Times New Roman" w:hAnsi="Times New Roman" w:cs="Times New Roman"/>
          <w:sz w:val="24"/>
          <w:szCs w:val="24"/>
        </w:rPr>
        <w:t>11</w:t>
      </w:r>
      <w:r w:rsidR="003909FB" w:rsidRPr="00C235E5">
        <w:rPr>
          <w:rFonts w:ascii="Times New Roman" w:hAnsi="Times New Roman" w:cs="Times New Roman"/>
          <w:sz w:val="24"/>
          <w:szCs w:val="24"/>
        </w:rPr>
        <w:t xml:space="preserve"> </w:t>
      </w:r>
      <w:r w:rsidR="00326EF6" w:rsidRPr="00C235E5">
        <w:rPr>
          <w:rFonts w:ascii="Times New Roman" w:hAnsi="Times New Roman" w:cs="Times New Roman"/>
          <w:sz w:val="24"/>
          <w:szCs w:val="24"/>
        </w:rPr>
        <w:t>cases</w:t>
      </w:r>
      <w:r w:rsidR="00B165B0" w:rsidRPr="00C235E5">
        <w:rPr>
          <w:rFonts w:ascii="Times New Roman" w:hAnsi="Times New Roman" w:cs="Times New Roman"/>
          <w:sz w:val="24"/>
          <w:szCs w:val="24"/>
        </w:rPr>
        <w:t>.</w:t>
      </w:r>
    </w:p>
    <w:p w14:paraId="68C726BA" w14:textId="333A91CA" w:rsidR="007F16B7" w:rsidRPr="00C235E5" w:rsidRDefault="00DE162D" w:rsidP="00792D53">
      <w:pPr>
        <w:autoSpaceDE w:val="0"/>
        <w:autoSpaceDN w:val="0"/>
        <w:adjustRightInd w:val="0"/>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We must disqualify </w:t>
      </w:r>
      <w:r w:rsidR="000735C5" w:rsidRPr="00C235E5">
        <w:rPr>
          <w:rFonts w:ascii="Times New Roman" w:hAnsi="Times New Roman" w:cs="Times New Roman"/>
          <w:sz w:val="24"/>
          <w:szCs w:val="24"/>
        </w:rPr>
        <w:t xml:space="preserve">again </w:t>
      </w:r>
      <w:r w:rsidR="00FB1B2C" w:rsidRPr="00C235E5">
        <w:rPr>
          <w:rFonts w:ascii="Times New Roman" w:hAnsi="Times New Roman" w:cs="Times New Roman"/>
          <w:sz w:val="24"/>
          <w:szCs w:val="24"/>
        </w:rPr>
        <w:t xml:space="preserve">three </w:t>
      </w:r>
      <w:r w:rsidR="009945DA" w:rsidRPr="00C235E5">
        <w:rPr>
          <w:rFonts w:ascii="Times New Roman" w:hAnsi="Times New Roman" w:cs="Times New Roman"/>
          <w:sz w:val="24"/>
          <w:szCs w:val="24"/>
        </w:rPr>
        <w:t xml:space="preserve">cases, due to the fact that they </w:t>
      </w:r>
      <w:r w:rsidR="001F2F15" w:rsidRPr="00C235E5">
        <w:rPr>
          <w:rFonts w:ascii="Times New Roman" w:hAnsi="Times New Roman" w:cs="Times New Roman"/>
          <w:sz w:val="24"/>
          <w:szCs w:val="24"/>
        </w:rPr>
        <w:t xml:space="preserve">were </w:t>
      </w:r>
      <w:r w:rsidR="009945DA" w:rsidRPr="00C235E5">
        <w:rPr>
          <w:rFonts w:ascii="Times New Roman" w:hAnsi="Times New Roman" w:cs="Times New Roman"/>
          <w:sz w:val="24"/>
          <w:szCs w:val="24"/>
        </w:rPr>
        <w:t xml:space="preserve">recently </w:t>
      </w:r>
      <w:r w:rsidR="001F2F15" w:rsidRPr="00C235E5">
        <w:rPr>
          <w:rFonts w:ascii="Times New Roman" w:hAnsi="Times New Roman" w:cs="Times New Roman"/>
          <w:sz w:val="24"/>
          <w:szCs w:val="24"/>
        </w:rPr>
        <w:t>decided</w:t>
      </w:r>
      <w:r w:rsidR="009945DA" w:rsidRPr="00C235E5">
        <w:rPr>
          <w:rFonts w:ascii="Times New Roman" w:hAnsi="Times New Roman" w:cs="Times New Roman"/>
          <w:sz w:val="24"/>
          <w:szCs w:val="24"/>
        </w:rPr>
        <w:t xml:space="preserve">, and the </w:t>
      </w:r>
      <w:r w:rsidR="007A5717" w:rsidRPr="00C235E5">
        <w:rPr>
          <w:rFonts w:ascii="Times New Roman" w:hAnsi="Times New Roman" w:cs="Times New Roman"/>
          <w:sz w:val="24"/>
          <w:szCs w:val="24"/>
        </w:rPr>
        <w:t xml:space="preserve">final </w:t>
      </w:r>
      <w:r w:rsidR="009945DA" w:rsidRPr="00C235E5">
        <w:rPr>
          <w:rFonts w:ascii="Times New Roman" w:hAnsi="Times New Roman" w:cs="Times New Roman"/>
          <w:sz w:val="24"/>
          <w:szCs w:val="24"/>
        </w:rPr>
        <w:t xml:space="preserve">decisions </w:t>
      </w:r>
      <w:r w:rsidR="00356413" w:rsidRPr="00C235E5">
        <w:rPr>
          <w:rFonts w:ascii="Times New Roman" w:hAnsi="Times New Roman" w:cs="Times New Roman"/>
          <w:sz w:val="24"/>
          <w:szCs w:val="24"/>
        </w:rPr>
        <w:t xml:space="preserve">are </w:t>
      </w:r>
      <w:r w:rsidR="009945DA" w:rsidRPr="00C235E5">
        <w:rPr>
          <w:rFonts w:ascii="Times New Roman" w:hAnsi="Times New Roman" w:cs="Times New Roman"/>
          <w:sz w:val="24"/>
          <w:szCs w:val="24"/>
        </w:rPr>
        <w:t>not</w:t>
      </w:r>
      <w:r w:rsidR="00053129" w:rsidRPr="00C235E5">
        <w:rPr>
          <w:rFonts w:ascii="Times New Roman" w:hAnsi="Times New Roman" w:cs="Times New Roman"/>
          <w:sz w:val="24"/>
          <w:szCs w:val="24"/>
        </w:rPr>
        <w:t xml:space="preserve"> </w:t>
      </w:r>
      <w:r w:rsidR="009945DA" w:rsidRPr="00C235E5">
        <w:rPr>
          <w:rFonts w:ascii="Times New Roman" w:hAnsi="Times New Roman" w:cs="Times New Roman"/>
          <w:sz w:val="24"/>
          <w:szCs w:val="24"/>
        </w:rPr>
        <w:t xml:space="preserve">yet </w:t>
      </w:r>
      <w:r w:rsidR="007A5717" w:rsidRPr="00C235E5">
        <w:rPr>
          <w:rFonts w:ascii="Times New Roman" w:hAnsi="Times New Roman" w:cs="Times New Roman"/>
          <w:sz w:val="24"/>
          <w:szCs w:val="24"/>
        </w:rPr>
        <w:t>published</w:t>
      </w:r>
      <w:r w:rsidR="009945DA" w:rsidRPr="00C235E5">
        <w:rPr>
          <w:rFonts w:ascii="Times New Roman" w:hAnsi="Times New Roman" w:cs="Times New Roman"/>
          <w:sz w:val="24"/>
          <w:szCs w:val="24"/>
        </w:rPr>
        <w:t>.</w:t>
      </w:r>
      <w:r w:rsidR="00CE238B" w:rsidRPr="00C235E5">
        <w:rPr>
          <w:rStyle w:val="FootnoteReference"/>
          <w:rFonts w:ascii="Times New Roman" w:hAnsi="Times New Roman" w:cs="Times New Roman"/>
          <w:sz w:val="24"/>
          <w:szCs w:val="24"/>
        </w:rPr>
        <w:footnoteReference w:id="58"/>
      </w:r>
      <w:r w:rsidR="009945DA" w:rsidRPr="00C235E5">
        <w:rPr>
          <w:rFonts w:ascii="Times New Roman" w:hAnsi="Times New Roman" w:cs="Times New Roman"/>
          <w:sz w:val="24"/>
          <w:szCs w:val="24"/>
        </w:rPr>
        <w:t xml:space="preserve"> </w:t>
      </w:r>
      <w:r w:rsidR="00015A5B" w:rsidRPr="00C235E5">
        <w:rPr>
          <w:rFonts w:ascii="Times New Roman" w:hAnsi="Times New Roman" w:cs="Times New Roman"/>
          <w:sz w:val="24"/>
          <w:szCs w:val="24"/>
        </w:rPr>
        <w:t xml:space="preserve">This yields </w:t>
      </w:r>
      <w:r w:rsidR="007A5717" w:rsidRPr="00C235E5">
        <w:rPr>
          <w:rFonts w:ascii="Times New Roman" w:hAnsi="Times New Roman" w:cs="Times New Roman"/>
          <w:sz w:val="24"/>
          <w:szCs w:val="24"/>
        </w:rPr>
        <w:t xml:space="preserve">an initial </w:t>
      </w:r>
      <w:r w:rsidR="00015A5B" w:rsidRPr="00C235E5">
        <w:rPr>
          <w:rFonts w:ascii="Times New Roman" w:hAnsi="Times New Roman" w:cs="Times New Roman"/>
          <w:sz w:val="24"/>
          <w:szCs w:val="24"/>
        </w:rPr>
        <w:t xml:space="preserve">group of </w:t>
      </w:r>
      <w:r w:rsidR="009945DA" w:rsidRPr="00C235E5">
        <w:rPr>
          <w:rFonts w:ascii="Times New Roman" w:hAnsi="Times New Roman" w:cs="Times New Roman"/>
          <w:sz w:val="24"/>
          <w:szCs w:val="24"/>
        </w:rPr>
        <w:t>8 cases</w:t>
      </w:r>
      <w:r w:rsidR="00A2349E" w:rsidRPr="00C235E5">
        <w:rPr>
          <w:rFonts w:ascii="Times New Roman" w:hAnsi="Times New Roman" w:cs="Times New Roman"/>
          <w:sz w:val="24"/>
          <w:szCs w:val="24"/>
        </w:rPr>
        <w:t xml:space="preserve">: </w:t>
      </w:r>
      <w:r w:rsidR="00CF0A94" w:rsidRPr="00C235E5">
        <w:rPr>
          <w:rFonts w:ascii="Times New Roman" w:hAnsi="Times New Roman" w:cs="Times New Roman"/>
          <w:i/>
          <w:iCs/>
          <w:sz w:val="24"/>
          <w:szCs w:val="24"/>
        </w:rPr>
        <w:t>Apple/Shazam</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5E180E" w:rsidRPr="00C235E5">
        <w:rPr>
          <w:rFonts w:ascii="Times New Roman" w:hAnsi="Times New Roman" w:cs="Times New Roman"/>
          <w:iCs/>
          <w:sz w:val="24"/>
          <w:szCs w:val="24"/>
        </w:rPr>
        <w:t>M.8788</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Microsoft/LinkedIn</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BB2121" w:rsidRPr="00C235E5">
        <w:rPr>
          <w:rFonts w:ascii="Times New Roman" w:hAnsi="Times New Roman" w:cs="Times New Roman"/>
          <w:iCs/>
          <w:sz w:val="24"/>
          <w:szCs w:val="24"/>
        </w:rPr>
        <w:t>M.8124</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Microsoft/Skype</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017E2C" w:rsidRPr="00C235E5">
        <w:rPr>
          <w:rFonts w:ascii="Times New Roman" w:hAnsi="Times New Roman" w:cs="Times New Roman"/>
          <w:iCs/>
          <w:sz w:val="24"/>
          <w:szCs w:val="24"/>
        </w:rPr>
        <w:t>M.6281</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Facebook/</w:t>
      </w:r>
      <w:r w:rsidR="00EF42BA" w:rsidRPr="00C235E5">
        <w:rPr>
          <w:rFonts w:ascii="Times New Roman" w:hAnsi="Times New Roman" w:cs="Times New Roman"/>
          <w:i/>
          <w:iCs/>
          <w:sz w:val="24"/>
          <w:szCs w:val="24"/>
        </w:rPr>
        <w:t>WhatsApp</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017E2C" w:rsidRPr="00C235E5">
        <w:rPr>
          <w:rFonts w:ascii="Times New Roman" w:hAnsi="Times New Roman" w:cs="Times New Roman"/>
          <w:iCs/>
          <w:sz w:val="24"/>
          <w:szCs w:val="24"/>
        </w:rPr>
        <w:t>M.7217</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w:t>
      </w:r>
      <w:r w:rsidR="00CF0A94" w:rsidRPr="00C235E5">
        <w:rPr>
          <w:rFonts w:ascii="Times New Roman" w:hAnsi="Times New Roman" w:cs="Times New Roman"/>
          <w:i/>
          <w:iCs/>
          <w:sz w:val="24"/>
          <w:szCs w:val="24"/>
        </w:rPr>
        <w:lastRenderedPageBreak/>
        <w:t>Google/</w:t>
      </w:r>
      <w:r w:rsidR="00534FFB" w:rsidRPr="00C235E5">
        <w:rPr>
          <w:rFonts w:ascii="Times New Roman" w:hAnsi="Times New Roman" w:cs="Times New Roman"/>
          <w:i/>
          <w:iCs/>
          <w:sz w:val="24"/>
          <w:szCs w:val="24"/>
        </w:rPr>
        <w:t>Fitbit</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017E2C" w:rsidRPr="00C235E5">
        <w:rPr>
          <w:rFonts w:ascii="Times New Roman" w:hAnsi="Times New Roman" w:cs="Times New Roman"/>
          <w:iCs/>
          <w:sz w:val="24"/>
          <w:szCs w:val="24"/>
        </w:rPr>
        <w:t>M.9660</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Apple/Beats</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525CA8" w:rsidRPr="00C235E5">
        <w:rPr>
          <w:rFonts w:ascii="Times New Roman" w:hAnsi="Times New Roman" w:cs="Times New Roman"/>
          <w:iCs/>
          <w:sz w:val="24"/>
          <w:szCs w:val="24"/>
        </w:rPr>
        <w:t>M.7290</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Microsoft/</w:t>
      </w:r>
      <w:r w:rsidR="00260174" w:rsidRPr="00C235E5">
        <w:rPr>
          <w:rFonts w:ascii="Times New Roman" w:hAnsi="Times New Roman" w:cs="Times New Roman"/>
          <w:i/>
          <w:iCs/>
          <w:sz w:val="24"/>
          <w:szCs w:val="24"/>
        </w:rPr>
        <w:t>ZeniMax</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525CA8" w:rsidRPr="00C235E5">
        <w:rPr>
          <w:rFonts w:ascii="Times New Roman" w:hAnsi="Times New Roman" w:cs="Times New Roman"/>
          <w:iCs/>
          <w:sz w:val="24"/>
          <w:szCs w:val="24"/>
        </w:rPr>
        <w:t>M.10001</w:t>
      </w:r>
      <w:r w:rsidR="00791903" w:rsidRPr="00C235E5">
        <w:rPr>
          <w:rFonts w:ascii="Times New Roman" w:hAnsi="Times New Roman" w:cs="Times New Roman"/>
          <w:iCs/>
          <w:sz w:val="24"/>
          <w:szCs w:val="24"/>
        </w:rPr>
        <w:t>)</w:t>
      </w:r>
      <w:r w:rsidR="00CF0A94" w:rsidRPr="00C235E5">
        <w:rPr>
          <w:rFonts w:ascii="Times New Roman" w:hAnsi="Times New Roman" w:cs="Times New Roman"/>
          <w:sz w:val="24"/>
          <w:szCs w:val="24"/>
        </w:rPr>
        <w:t>,</w:t>
      </w:r>
      <w:r w:rsidR="00CF0A94" w:rsidRPr="00C235E5">
        <w:rPr>
          <w:rFonts w:ascii="Times New Roman" w:hAnsi="Times New Roman" w:cs="Times New Roman"/>
          <w:i/>
          <w:iCs/>
          <w:sz w:val="24"/>
          <w:szCs w:val="24"/>
        </w:rPr>
        <w:t xml:space="preserve"> </w:t>
      </w:r>
      <w:r w:rsidR="00CF0A94" w:rsidRPr="00C235E5">
        <w:rPr>
          <w:rFonts w:ascii="Times New Roman" w:hAnsi="Times New Roman" w:cs="Times New Roman"/>
          <w:sz w:val="24"/>
          <w:szCs w:val="24"/>
        </w:rPr>
        <w:t>and</w:t>
      </w:r>
      <w:r w:rsidR="00CF0A94" w:rsidRPr="00C235E5">
        <w:rPr>
          <w:rFonts w:ascii="Times New Roman" w:hAnsi="Times New Roman" w:cs="Times New Roman"/>
          <w:i/>
          <w:iCs/>
          <w:sz w:val="24"/>
          <w:szCs w:val="24"/>
        </w:rPr>
        <w:t xml:space="preserve"> Microsoft/GitHub</w:t>
      </w:r>
      <w:r w:rsidR="00791903" w:rsidRPr="00C235E5">
        <w:rPr>
          <w:rFonts w:ascii="Times New Roman" w:hAnsi="Times New Roman" w:cs="Times New Roman"/>
          <w:i/>
          <w:iCs/>
          <w:sz w:val="24"/>
          <w:szCs w:val="24"/>
        </w:rPr>
        <w:t xml:space="preserve"> </w:t>
      </w:r>
      <w:r w:rsidR="00791903" w:rsidRPr="00C235E5">
        <w:rPr>
          <w:rFonts w:ascii="Times New Roman" w:hAnsi="Times New Roman" w:cs="Times New Roman"/>
          <w:iCs/>
          <w:sz w:val="24"/>
          <w:szCs w:val="24"/>
        </w:rPr>
        <w:t>(</w:t>
      </w:r>
      <w:r w:rsidR="00525CA8" w:rsidRPr="00C235E5">
        <w:rPr>
          <w:rFonts w:ascii="Times New Roman" w:hAnsi="Times New Roman" w:cs="Times New Roman"/>
          <w:iCs/>
          <w:sz w:val="24"/>
          <w:szCs w:val="24"/>
        </w:rPr>
        <w:t>M.8994</w:t>
      </w:r>
      <w:r w:rsidR="00791903" w:rsidRPr="00C235E5">
        <w:rPr>
          <w:rFonts w:ascii="Times New Roman" w:hAnsi="Times New Roman" w:cs="Times New Roman"/>
          <w:iCs/>
          <w:sz w:val="24"/>
          <w:szCs w:val="24"/>
        </w:rPr>
        <w:t>)</w:t>
      </w:r>
      <w:r w:rsidR="00CF0A94" w:rsidRPr="00C235E5">
        <w:rPr>
          <w:rFonts w:ascii="Times New Roman" w:hAnsi="Times New Roman" w:cs="Times New Roman"/>
          <w:i/>
          <w:iCs/>
          <w:sz w:val="24"/>
          <w:szCs w:val="24"/>
        </w:rPr>
        <w:t>.</w:t>
      </w:r>
      <w:r w:rsidR="00B12851" w:rsidRPr="00C235E5">
        <w:rPr>
          <w:rFonts w:ascii="Times New Roman" w:hAnsi="Times New Roman" w:cs="Times New Roman"/>
          <w:sz w:val="24"/>
          <w:szCs w:val="24"/>
        </w:rPr>
        <w:t xml:space="preserve"> </w:t>
      </w:r>
    </w:p>
    <w:p w14:paraId="64978932" w14:textId="6C6B7249" w:rsidR="007F16B7" w:rsidRPr="00C235E5" w:rsidRDefault="007F16B7" w:rsidP="00792D53">
      <w:pPr>
        <w:shd w:val="clear" w:color="auto" w:fill="FFFFFF"/>
        <w:spacing w:before="120" w:after="120" w:line="480" w:lineRule="auto"/>
        <w:jc w:val="both"/>
        <w:rPr>
          <w:rFonts w:ascii="Times New Roman" w:eastAsia="Times New Roman" w:hAnsi="Times New Roman" w:cs="Times New Roman"/>
          <w:color w:val="000000"/>
          <w:sz w:val="24"/>
          <w:szCs w:val="24"/>
        </w:rPr>
      </w:pPr>
      <w:r w:rsidRPr="00C235E5">
        <w:rPr>
          <w:rFonts w:ascii="Times New Roman" w:hAnsi="Times New Roman" w:cs="Times New Roman"/>
          <w:sz w:val="24"/>
          <w:szCs w:val="24"/>
        </w:rPr>
        <w:t xml:space="preserve">We extend the sample by </w:t>
      </w:r>
      <w:r w:rsidR="00A2349E" w:rsidRPr="00C235E5">
        <w:rPr>
          <w:rFonts w:ascii="Times New Roman" w:hAnsi="Times New Roman" w:cs="Times New Roman"/>
          <w:sz w:val="24"/>
          <w:szCs w:val="24"/>
        </w:rPr>
        <w:t xml:space="preserve">adding a </w:t>
      </w:r>
      <w:r w:rsidRPr="00C235E5">
        <w:rPr>
          <w:rFonts w:ascii="Times New Roman" w:hAnsi="Times New Roman" w:cs="Times New Roman"/>
          <w:sz w:val="24"/>
          <w:szCs w:val="24"/>
        </w:rPr>
        <w:t xml:space="preserve">twist to the case selection. </w:t>
      </w:r>
      <w:r w:rsidRPr="00C235E5">
        <w:rPr>
          <w:rFonts w:ascii="Times New Roman" w:eastAsia="Times New Roman" w:hAnsi="Times New Roman" w:cs="Times New Roman"/>
          <w:color w:val="000000"/>
          <w:sz w:val="24"/>
          <w:szCs w:val="24"/>
        </w:rPr>
        <w:t xml:space="preserve">For each of </w:t>
      </w:r>
      <w:r w:rsidR="00012C89" w:rsidRPr="00C235E5">
        <w:rPr>
          <w:rFonts w:ascii="Times New Roman" w:eastAsia="Times New Roman" w:hAnsi="Times New Roman" w:cs="Times New Roman"/>
          <w:color w:val="000000"/>
          <w:sz w:val="24"/>
          <w:szCs w:val="24"/>
        </w:rPr>
        <w:t xml:space="preserve">our </w:t>
      </w:r>
      <w:r w:rsidRPr="00C235E5">
        <w:rPr>
          <w:rFonts w:ascii="Times New Roman" w:eastAsia="Times New Roman" w:hAnsi="Times New Roman" w:cs="Times New Roman"/>
          <w:color w:val="000000"/>
          <w:sz w:val="24"/>
          <w:szCs w:val="24"/>
        </w:rPr>
        <w:t xml:space="preserve">8 cases, we draw a list of the </w:t>
      </w:r>
      <w:r w:rsidR="0057051F" w:rsidRPr="00C235E5">
        <w:rPr>
          <w:rFonts w:ascii="Times New Roman" w:eastAsia="Times New Roman" w:hAnsi="Times New Roman" w:cs="Times New Roman"/>
          <w:color w:val="000000"/>
          <w:sz w:val="24"/>
          <w:szCs w:val="24"/>
        </w:rPr>
        <w:t>rivals</w:t>
      </w:r>
      <w:r w:rsidRPr="00C235E5">
        <w:rPr>
          <w:rFonts w:ascii="Times New Roman" w:eastAsia="Times New Roman" w:hAnsi="Times New Roman" w:cs="Times New Roman"/>
          <w:color w:val="000000"/>
          <w:sz w:val="24"/>
          <w:szCs w:val="24"/>
        </w:rPr>
        <w:t xml:space="preserve"> identified in the decision</w:t>
      </w:r>
      <w:r w:rsidR="00791903" w:rsidRPr="00C235E5">
        <w:rPr>
          <w:rFonts w:ascii="Times New Roman" w:eastAsia="Times New Roman" w:hAnsi="Times New Roman" w:cs="Times New Roman"/>
          <w:color w:val="000000"/>
          <w:sz w:val="24"/>
          <w:szCs w:val="24"/>
        </w:rPr>
        <w:t xml:space="preserve">, </w:t>
      </w:r>
      <w:r w:rsidRPr="00C235E5">
        <w:rPr>
          <w:rFonts w:ascii="Times New Roman" w:eastAsia="Times New Roman" w:hAnsi="Times New Roman" w:cs="Times New Roman"/>
          <w:color w:val="000000"/>
          <w:sz w:val="24"/>
          <w:szCs w:val="24"/>
        </w:rPr>
        <w:t xml:space="preserve">insert the name of </w:t>
      </w:r>
      <w:r w:rsidR="00791903" w:rsidRPr="00C235E5">
        <w:rPr>
          <w:rFonts w:ascii="Times New Roman" w:eastAsia="Times New Roman" w:hAnsi="Times New Roman" w:cs="Times New Roman"/>
          <w:color w:val="000000"/>
          <w:sz w:val="24"/>
          <w:szCs w:val="24"/>
        </w:rPr>
        <w:t xml:space="preserve">each </w:t>
      </w:r>
      <w:r w:rsidR="0057051F" w:rsidRPr="00C235E5">
        <w:rPr>
          <w:rFonts w:ascii="Times New Roman" w:eastAsia="Times New Roman" w:hAnsi="Times New Roman" w:cs="Times New Roman"/>
          <w:color w:val="000000"/>
          <w:sz w:val="24"/>
          <w:szCs w:val="24"/>
        </w:rPr>
        <w:t>rival</w:t>
      </w:r>
      <w:r w:rsidRPr="00C235E5">
        <w:rPr>
          <w:rFonts w:ascii="Times New Roman" w:eastAsia="Times New Roman" w:hAnsi="Times New Roman" w:cs="Times New Roman"/>
          <w:color w:val="000000"/>
          <w:sz w:val="24"/>
          <w:szCs w:val="24"/>
        </w:rPr>
        <w:t xml:space="preserve"> in the EC register of cases, select the letter J for similar NACE codes and narrow down the list of results to transactions </w:t>
      </w:r>
      <w:r w:rsidR="00791903" w:rsidRPr="00C235E5">
        <w:rPr>
          <w:rFonts w:ascii="Times New Roman" w:eastAsia="Times New Roman" w:hAnsi="Times New Roman" w:cs="Times New Roman"/>
          <w:color w:val="000000"/>
          <w:sz w:val="24"/>
          <w:szCs w:val="24"/>
        </w:rPr>
        <w:t xml:space="preserve">conducted by this </w:t>
      </w:r>
      <w:r w:rsidR="0057051F" w:rsidRPr="00C235E5">
        <w:rPr>
          <w:rFonts w:ascii="Times New Roman" w:eastAsia="Times New Roman" w:hAnsi="Times New Roman" w:cs="Times New Roman"/>
          <w:color w:val="000000"/>
          <w:sz w:val="24"/>
          <w:szCs w:val="24"/>
        </w:rPr>
        <w:t>rival</w:t>
      </w:r>
      <w:r w:rsidR="00791903" w:rsidRPr="00C235E5">
        <w:rPr>
          <w:rFonts w:ascii="Times New Roman" w:eastAsia="Times New Roman" w:hAnsi="Times New Roman" w:cs="Times New Roman"/>
          <w:color w:val="000000"/>
          <w:sz w:val="24"/>
          <w:szCs w:val="24"/>
        </w:rPr>
        <w:t xml:space="preserve"> after</w:t>
      </w:r>
      <w:r w:rsidRPr="00C235E5">
        <w:rPr>
          <w:rFonts w:ascii="Times New Roman" w:eastAsia="Times New Roman" w:hAnsi="Times New Roman" w:cs="Times New Roman"/>
          <w:color w:val="000000"/>
          <w:sz w:val="24"/>
          <w:szCs w:val="24"/>
        </w:rPr>
        <w:t xml:space="preserve"> 2010.</w:t>
      </w:r>
      <w:r w:rsidRPr="00C235E5">
        <w:rPr>
          <w:rStyle w:val="FootnoteReference"/>
          <w:rFonts w:ascii="Times New Roman" w:eastAsia="Times New Roman" w:hAnsi="Times New Roman" w:cs="Times New Roman"/>
          <w:color w:val="000000"/>
          <w:sz w:val="24"/>
          <w:szCs w:val="24"/>
        </w:rPr>
        <w:footnoteReference w:id="59"/>
      </w:r>
      <w:r w:rsidR="00791903" w:rsidRPr="00C235E5">
        <w:rPr>
          <w:rFonts w:ascii="Times New Roman" w:eastAsia="Times New Roman" w:hAnsi="Times New Roman" w:cs="Times New Roman"/>
          <w:color w:val="000000"/>
          <w:sz w:val="24"/>
          <w:szCs w:val="24"/>
        </w:rPr>
        <w:t xml:space="preserve"> </w:t>
      </w:r>
      <w:r w:rsidRPr="00C235E5">
        <w:rPr>
          <w:rFonts w:ascii="Times New Roman" w:eastAsia="Times New Roman" w:hAnsi="Times New Roman" w:cs="Times New Roman"/>
          <w:color w:val="000000"/>
          <w:sz w:val="24"/>
          <w:szCs w:val="24"/>
        </w:rPr>
        <w:t xml:space="preserve">For </w:t>
      </w:r>
      <w:r w:rsidR="00791903" w:rsidRPr="00C235E5">
        <w:rPr>
          <w:rFonts w:ascii="Times New Roman" w:eastAsia="Times New Roman" w:hAnsi="Times New Roman" w:cs="Times New Roman"/>
          <w:color w:val="000000"/>
          <w:sz w:val="24"/>
          <w:szCs w:val="24"/>
        </w:rPr>
        <w:t>example</w:t>
      </w:r>
      <w:r w:rsidRPr="00C235E5">
        <w:rPr>
          <w:rFonts w:ascii="Times New Roman" w:eastAsia="Times New Roman" w:hAnsi="Times New Roman" w:cs="Times New Roman"/>
          <w:color w:val="000000"/>
          <w:sz w:val="24"/>
          <w:szCs w:val="24"/>
        </w:rPr>
        <w:t xml:space="preserve">, with regards to </w:t>
      </w:r>
      <w:r w:rsidRPr="00C235E5">
        <w:rPr>
          <w:rFonts w:ascii="Times New Roman" w:eastAsia="Times New Roman" w:hAnsi="Times New Roman" w:cs="Times New Roman"/>
          <w:i/>
          <w:color w:val="000000"/>
          <w:sz w:val="24"/>
          <w:szCs w:val="24"/>
        </w:rPr>
        <w:t>MS/</w:t>
      </w:r>
      <w:r w:rsidR="00260174" w:rsidRPr="00C235E5">
        <w:rPr>
          <w:rFonts w:ascii="Times New Roman" w:eastAsia="Times New Roman" w:hAnsi="Times New Roman" w:cs="Times New Roman"/>
          <w:i/>
          <w:color w:val="000000"/>
          <w:sz w:val="24"/>
          <w:szCs w:val="24"/>
        </w:rPr>
        <w:t>ZeniMax</w:t>
      </w:r>
      <w:r w:rsidRPr="00C235E5">
        <w:rPr>
          <w:rFonts w:ascii="Times New Roman" w:eastAsia="Times New Roman" w:hAnsi="Times New Roman" w:cs="Times New Roman"/>
          <w:color w:val="000000"/>
          <w:sz w:val="24"/>
          <w:szCs w:val="24"/>
        </w:rPr>
        <w:t xml:space="preserve">, </w:t>
      </w:r>
      <w:r w:rsidR="00791903" w:rsidRPr="00C235E5">
        <w:rPr>
          <w:rFonts w:ascii="Times New Roman" w:eastAsia="Times New Roman" w:hAnsi="Times New Roman" w:cs="Times New Roman"/>
          <w:color w:val="000000"/>
          <w:sz w:val="24"/>
          <w:szCs w:val="24"/>
        </w:rPr>
        <w:t>th</w:t>
      </w:r>
      <w:r w:rsidR="00045A1C" w:rsidRPr="00C235E5">
        <w:rPr>
          <w:rFonts w:ascii="Times New Roman" w:eastAsia="Times New Roman" w:hAnsi="Times New Roman" w:cs="Times New Roman"/>
          <w:color w:val="000000"/>
          <w:sz w:val="24"/>
          <w:szCs w:val="24"/>
        </w:rPr>
        <w:t>is</w:t>
      </w:r>
      <w:r w:rsidR="00791903" w:rsidRPr="00C235E5">
        <w:rPr>
          <w:rFonts w:ascii="Times New Roman" w:eastAsia="Times New Roman" w:hAnsi="Times New Roman" w:cs="Times New Roman"/>
          <w:color w:val="000000"/>
          <w:sz w:val="24"/>
          <w:szCs w:val="24"/>
        </w:rPr>
        <w:t xml:space="preserve"> </w:t>
      </w:r>
      <w:r w:rsidR="00045A1C" w:rsidRPr="00C235E5">
        <w:rPr>
          <w:rFonts w:ascii="Times New Roman" w:eastAsia="Times New Roman" w:hAnsi="Times New Roman" w:cs="Times New Roman"/>
          <w:color w:val="000000"/>
          <w:sz w:val="24"/>
          <w:szCs w:val="24"/>
        </w:rPr>
        <w:t>exercise</w:t>
      </w:r>
      <w:r w:rsidR="00791903" w:rsidRPr="00C235E5">
        <w:rPr>
          <w:rFonts w:ascii="Times New Roman" w:eastAsia="Times New Roman" w:hAnsi="Times New Roman" w:cs="Times New Roman"/>
          <w:color w:val="000000"/>
          <w:sz w:val="24"/>
          <w:szCs w:val="24"/>
        </w:rPr>
        <w:t xml:space="preserve"> allows </w:t>
      </w:r>
      <w:r w:rsidR="0070637B" w:rsidRPr="00C235E5">
        <w:rPr>
          <w:rFonts w:ascii="Times New Roman" w:eastAsia="Times New Roman" w:hAnsi="Times New Roman" w:cs="Times New Roman"/>
          <w:color w:val="000000"/>
          <w:sz w:val="24"/>
          <w:szCs w:val="24"/>
        </w:rPr>
        <w:t xml:space="preserve">us to consider </w:t>
      </w:r>
      <w:r w:rsidRPr="00C235E5">
        <w:rPr>
          <w:rFonts w:ascii="Times New Roman" w:eastAsia="Times New Roman" w:hAnsi="Times New Roman" w:cs="Times New Roman"/>
          <w:color w:val="000000"/>
          <w:sz w:val="24"/>
          <w:szCs w:val="24"/>
        </w:rPr>
        <w:t xml:space="preserve">transactions </w:t>
      </w:r>
      <w:r w:rsidR="00A2349E" w:rsidRPr="00C235E5">
        <w:rPr>
          <w:rFonts w:ascii="Times New Roman" w:eastAsia="Times New Roman" w:hAnsi="Times New Roman" w:cs="Times New Roman"/>
          <w:color w:val="000000"/>
          <w:sz w:val="24"/>
          <w:szCs w:val="24"/>
        </w:rPr>
        <w:t xml:space="preserve">involving </w:t>
      </w:r>
      <w:r w:rsidR="00045A1C" w:rsidRPr="00C235E5">
        <w:rPr>
          <w:rFonts w:ascii="Times New Roman" w:eastAsia="Times New Roman" w:hAnsi="Times New Roman" w:cs="Times New Roman"/>
          <w:color w:val="000000"/>
          <w:sz w:val="24"/>
          <w:szCs w:val="24"/>
        </w:rPr>
        <w:t>the rivals</w:t>
      </w:r>
      <w:r w:rsidR="00791903" w:rsidRPr="00C235E5">
        <w:rPr>
          <w:rFonts w:ascii="Times New Roman" w:eastAsia="Times New Roman" w:hAnsi="Times New Roman" w:cs="Times New Roman"/>
          <w:color w:val="000000"/>
          <w:sz w:val="24"/>
          <w:szCs w:val="24"/>
        </w:rPr>
        <w:t xml:space="preserve"> </w:t>
      </w:r>
      <w:r w:rsidRPr="00C235E5">
        <w:rPr>
          <w:rFonts w:ascii="Times New Roman" w:eastAsia="Times New Roman" w:hAnsi="Times New Roman" w:cs="Times New Roman"/>
          <w:color w:val="000000"/>
          <w:sz w:val="24"/>
          <w:szCs w:val="24"/>
        </w:rPr>
        <w:t xml:space="preserve">Electronic Arts, Nintendo, Activision, Ubisoft, and Take-Two Interactive between 2010 - 2022 </w:t>
      </w:r>
      <w:r w:rsidR="007A5717" w:rsidRPr="00C235E5">
        <w:rPr>
          <w:rFonts w:ascii="Times New Roman" w:eastAsia="Times New Roman" w:hAnsi="Times New Roman" w:cs="Times New Roman"/>
          <w:color w:val="000000"/>
          <w:sz w:val="24"/>
          <w:szCs w:val="24"/>
        </w:rPr>
        <w:t>and registered under</w:t>
      </w:r>
      <w:r w:rsidRPr="00C235E5">
        <w:rPr>
          <w:rFonts w:ascii="Times New Roman" w:eastAsia="Times New Roman" w:hAnsi="Times New Roman" w:cs="Times New Roman"/>
          <w:color w:val="000000"/>
          <w:sz w:val="24"/>
          <w:szCs w:val="24"/>
        </w:rPr>
        <w:t xml:space="preserve"> the "J" NACE code. </w:t>
      </w:r>
      <w:r w:rsidR="00110232" w:rsidRPr="00C235E5">
        <w:rPr>
          <w:rFonts w:ascii="Times New Roman" w:eastAsia="Times New Roman" w:hAnsi="Times New Roman" w:cs="Times New Roman"/>
          <w:color w:val="000000"/>
          <w:sz w:val="24"/>
          <w:szCs w:val="24"/>
        </w:rPr>
        <w:t xml:space="preserve">The procedure </w:t>
      </w:r>
      <w:r w:rsidR="008A6BB9">
        <w:rPr>
          <w:rFonts w:ascii="Times New Roman" w:eastAsia="Times New Roman" w:hAnsi="Times New Roman" w:cs="Times New Roman"/>
          <w:color w:val="000000"/>
          <w:sz w:val="24"/>
          <w:szCs w:val="24"/>
        </w:rPr>
        <w:t xml:space="preserve">for this case </w:t>
      </w:r>
      <w:r w:rsidR="00F01596" w:rsidRPr="00C235E5">
        <w:rPr>
          <w:rFonts w:ascii="Times New Roman" w:eastAsia="Times New Roman" w:hAnsi="Times New Roman" w:cs="Times New Roman"/>
          <w:color w:val="000000"/>
          <w:sz w:val="24"/>
          <w:szCs w:val="24"/>
        </w:rPr>
        <w:t>generates</w:t>
      </w:r>
      <w:r w:rsidR="00110232" w:rsidRPr="00C235E5">
        <w:rPr>
          <w:rFonts w:ascii="Times New Roman" w:eastAsia="Times New Roman" w:hAnsi="Times New Roman" w:cs="Times New Roman"/>
          <w:color w:val="000000"/>
          <w:sz w:val="24"/>
          <w:szCs w:val="24"/>
        </w:rPr>
        <w:t xml:space="preserve"> </w:t>
      </w:r>
      <w:r w:rsidR="00791903" w:rsidRPr="00C235E5">
        <w:rPr>
          <w:rFonts w:ascii="Times New Roman" w:eastAsia="Times New Roman" w:hAnsi="Times New Roman" w:cs="Times New Roman"/>
          <w:color w:val="000000"/>
          <w:sz w:val="24"/>
          <w:szCs w:val="24"/>
        </w:rPr>
        <w:t xml:space="preserve">one transaction, that is </w:t>
      </w:r>
      <w:r w:rsidRPr="00C235E5">
        <w:rPr>
          <w:rFonts w:ascii="Times New Roman" w:eastAsia="Times New Roman" w:hAnsi="Times New Roman" w:cs="Times New Roman"/>
          <w:bCs/>
          <w:i/>
          <w:iCs/>
          <w:color w:val="000000"/>
          <w:sz w:val="24"/>
          <w:szCs w:val="24"/>
        </w:rPr>
        <w:t>Activision/King</w:t>
      </w:r>
      <w:r w:rsidRPr="00C235E5">
        <w:rPr>
          <w:rFonts w:ascii="Times New Roman" w:eastAsia="Times New Roman" w:hAnsi="Times New Roman" w:cs="Times New Roman"/>
          <w:color w:val="000000"/>
          <w:sz w:val="24"/>
          <w:szCs w:val="24"/>
        </w:rPr>
        <w:t xml:space="preserve">. </w:t>
      </w:r>
      <w:r w:rsidR="00791903" w:rsidRPr="00C235E5">
        <w:rPr>
          <w:rFonts w:ascii="Times New Roman" w:eastAsia="Times New Roman" w:hAnsi="Times New Roman" w:cs="Times New Roman"/>
          <w:color w:val="000000"/>
          <w:sz w:val="24"/>
          <w:szCs w:val="24"/>
        </w:rPr>
        <w:t xml:space="preserve">We </w:t>
      </w:r>
      <w:r w:rsidR="00B21010" w:rsidRPr="00C235E5">
        <w:rPr>
          <w:rFonts w:ascii="Times New Roman" w:eastAsia="Times New Roman" w:hAnsi="Times New Roman" w:cs="Times New Roman"/>
          <w:color w:val="000000"/>
          <w:sz w:val="24"/>
          <w:szCs w:val="24"/>
        </w:rPr>
        <w:t xml:space="preserve">apply </w:t>
      </w:r>
      <w:r w:rsidRPr="00C235E5">
        <w:rPr>
          <w:rFonts w:ascii="Times New Roman" w:eastAsia="Times New Roman" w:hAnsi="Times New Roman" w:cs="Times New Roman"/>
          <w:color w:val="000000"/>
          <w:sz w:val="24"/>
          <w:szCs w:val="24"/>
        </w:rPr>
        <w:t xml:space="preserve">the same </w:t>
      </w:r>
      <w:r w:rsidR="008D4D69" w:rsidRPr="00C235E5">
        <w:rPr>
          <w:rFonts w:ascii="Times New Roman" w:eastAsia="Times New Roman" w:hAnsi="Times New Roman" w:cs="Times New Roman"/>
          <w:color w:val="000000"/>
          <w:sz w:val="24"/>
          <w:szCs w:val="24"/>
        </w:rPr>
        <w:t>manipulation</w:t>
      </w:r>
      <w:r w:rsidR="00B21010" w:rsidRPr="00C235E5">
        <w:rPr>
          <w:rFonts w:ascii="Times New Roman" w:eastAsia="Times New Roman" w:hAnsi="Times New Roman" w:cs="Times New Roman"/>
          <w:color w:val="000000"/>
          <w:sz w:val="24"/>
          <w:szCs w:val="24"/>
        </w:rPr>
        <w:t xml:space="preserve"> to </w:t>
      </w:r>
      <w:r w:rsidRPr="00C235E5">
        <w:rPr>
          <w:rFonts w:ascii="Times New Roman" w:eastAsia="Times New Roman" w:hAnsi="Times New Roman" w:cs="Times New Roman"/>
          <w:color w:val="000000"/>
          <w:sz w:val="24"/>
          <w:szCs w:val="24"/>
        </w:rPr>
        <w:t xml:space="preserve">all other cases and </w:t>
      </w:r>
      <w:r w:rsidR="00157BD1" w:rsidRPr="00C235E5">
        <w:rPr>
          <w:rFonts w:ascii="Times New Roman" w:eastAsia="Times New Roman" w:hAnsi="Times New Roman" w:cs="Times New Roman"/>
          <w:color w:val="000000"/>
          <w:sz w:val="24"/>
          <w:szCs w:val="24"/>
        </w:rPr>
        <w:t>rivals</w:t>
      </w:r>
      <w:r w:rsidRPr="00C235E5">
        <w:rPr>
          <w:rFonts w:ascii="Times New Roman" w:eastAsia="Times New Roman" w:hAnsi="Times New Roman" w:cs="Times New Roman"/>
          <w:color w:val="000000"/>
          <w:sz w:val="24"/>
          <w:szCs w:val="24"/>
        </w:rPr>
        <w:t>.</w:t>
      </w:r>
      <w:r w:rsidR="00791903" w:rsidRPr="00C235E5">
        <w:rPr>
          <w:rStyle w:val="FootnoteReference"/>
          <w:rFonts w:ascii="Times New Roman" w:eastAsia="Times New Roman" w:hAnsi="Times New Roman" w:cs="Times New Roman"/>
          <w:color w:val="000000"/>
          <w:sz w:val="24"/>
          <w:szCs w:val="24"/>
        </w:rPr>
        <w:footnoteReference w:id="60"/>
      </w:r>
      <w:r w:rsidR="00791903" w:rsidRPr="00C235E5">
        <w:rPr>
          <w:rFonts w:ascii="Times New Roman" w:eastAsia="Times New Roman" w:hAnsi="Times New Roman" w:cs="Times New Roman"/>
          <w:color w:val="000000"/>
          <w:sz w:val="24"/>
          <w:szCs w:val="24"/>
        </w:rPr>
        <w:t xml:space="preserve"> </w:t>
      </w:r>
      <w:r w:rsidR="00791903" w:rsidRPr="00C235E5">
        <w:rPr>
          <w:rFonts w:ascii="Times New Roman" w:hAnsi="Times New Roman" w:cs="Times New Roman"/>
          <w:color w:val="000000"/>
          <w:sz w:val="24"/>
          <w:szCs w:val="24"/>
        </w:rPr>
        <w:t>F</w:t>
      </w:r>
      <w:r w:rsidRPr="00C235E5">
        <w:rPr>
          <w:rFonts w:ascii="Times New Roman" w:hAnsi="Times New Roman" w:cs="Times New Roman"/>
          <w:color w:val="000000"/>
          <w:sz w:val="24"/>
          <w:szCs w:val="24"/>
        </w:rPr>
        <w:t xml:space="preserve">ollowing this </w:t>
      </w:r>
      <w:r w:rsidR="008D4D69" w:rsidRPr="00C235E5">
        <w:rPr>
          <w:rFonts w:ascii="Times New Roman" w:hAnsi="Times New Roman" w:cs="Times New Roman"/>
          <w:color w:val="000000"/>
          <w:sz w:val="24"/>
          <w:szCs w:val="24"/>
        </w:rPr>
        <w:t>method</w:t>
      </w:r>
      <w:r w:rsidRPr="00C235E5">
        <w:rPr>
          <w:rFonts w:ascii="Times New Roman" w:hAnsi="Times New Roman" w:cs="Times New Roman"/>
          <w:color w:val="000000"/>
          <w:sz w:val="24"/>
          <w:szCs w:val="24"/>
        </w:rPr>
        <w:t xml:space="preserve">, we </w:t>
      </w:r>
      <w:r w:rsidR="00791903" w:rsidRPr="00C235E5">
        <w:rPr>
          <w:rFonts w:ascii="Times New Roman" w:hAnsi="Times New Roman" w:cs="Times New Roman"/>
          <w:color w:val="000000"/>
          <w:sz w:val="24"/>
          <w:szCs w:val="24"/>
        </w:rPr>
        <w:t xml:space="preserve">find </w:t>
      </w:r>
      <w:r w:rsidRPr="00C235E5">
        <w:rPr>
          <w:rFonts w:ascii="Times New Roman" w:hAnsi="Times New Roman" w:cs="Times New Roman"/>
          <w:color w:val="000000"/>
          <w:sz w:val="24"/>
          <w:szCs w:val="24"/>
        </w:rPr>
        <w:t>5 more transactions</w:t>
      </w:r>
      <w:r w:rsidR="00B85089" w:rsidRPr="00C235E5">
        <w:rPr>
          <w:rFonts w:ascii="Times New Roman" w:hAnsi="Times New Roman" w:cs="Times New Roman"/>
          <w:color w:val="000000"/>
          <w:sz w:val="24"/>
          <w:szCs w:val="24"/>
        </w:rPr>
        <w:t>. These are</w:t>
      </w:r>
      <w:r w:rsidR="00F01596" w:rsidRPr="00C235E5">
        <w:rPr>
          <w:rFonts w:ascii="Times New Roman" w:hAnsi="Times New Roman" w:cs="Times New Roman"/>
          <w:color w:val="000000"/>
          <w:sz w:val="24"/>
          <w:szCs w:val="24"/>
        </w:rPr>
        <w:t xml:space="preserve"> </w:t>
      </w:r>
      <w:r w:rsidRPr="00C235E5">
        <w:rPr>
          <w:rFonts w:ascii="Times New Roman" w:eastAsia="Times New Roman" w:hAnsi="Times New Roman" w:cs="Times New Roman"/>
          <w:i/>
          <w:color w:val="000000"/>
          <w:sz w:val="24"/>
          <w:szCs w:val="24"/>
        </w:rPr>
        <w:t>SAP/Sybase</w:t>
      </w:r>
      <w:r w:rsidRPr="00C235E5">
        <w:rPr>
          <w:rFonts w:ascii="Times New Roman" w:eastAsia="Times New Roman" w:hAnsi="Times New Roman" w:cs="Times New Roman"/>
          <w:color w:val="000000"/>
          <w:sz w:val="24"/>
          <w:szCs w:val="24"/>
        </w:rPr>
        <w:t xml:space="preserve"> (2010)</w:t>
      </w:r>
      <w:r w:rsidR="00791903" w:rsidRPr="00C235E5">
        <w:rPr>
          <w:rFonts w:ascii="Times New Roman" w:eastAsia="Times New Roman" w:hAnsi="Times New Roman" w:cs="Times New Roman"/>
          <w:color w:val="000000"/>
          <w:sz w:val="24"/>
          <w:szCs w:val="24"/>
        </w:rPr>
        <w:t xml:space="preserve">, </w:t>
      </w:r>
      <w:r w:rsidR="008E114F" w:rsidRPr="00C235E5">
        <w:rPr>
          <w:rFonts w:ascii="Times New Roman" w:eastAsia="Times New Roman" w:hAnsi="Times New Roman" w:cs="Times New Roman"/>
          <w:i/>
          <w:color w:val="000000"/>
          <w:sz w:val="24"/>
          <w:szCs w:val="24"/>
        </w:rPr>
        <w:t>Oracle/Micros</w:t>
      </w:r>
      <w:r w:rsidR="008E114F" w:rsidRPr="00C235E5">
        <w:rPr>
          <w:rFonts w:ascii="Times New Roman" w:eastAsia="Times New Roman" w:hAnsi="Times New Roman" w:cs="Times New Roman"/>
          <w:color w:val="000000"/>
          <w:sz w:val="24"/>
          <w:szCs w:val="24"/>
        </w:rPr>
        <w:t xml:space="preserve"> (2014), </w:t>
      </w:r>
      <w:r w:rsidR="008E114F" w:rsidRPr="00C235E5">
        <w:rPr>
          <w:rFonts w:ascii="Times New Roman" w:eastAsia="Times New Roman" w:hAnsi="Times New Roman" w:cs="Times New Roman"/>
          <w:i/>
          <w:color w:val="000000"/>
          <w:sz w:val="24"/>
          <w:szCs w:val="24"/>
        </w:rPr>
        <w:t>Activision/King</w:t>
      </w:r>
      <w:r w:rsidR="008E114F" w:rsidRPr="00C235E5">
        <w:rPr>
          <w:rFonts w:ascii="Times New Roman" w:eastAsia="Times New Roman" w:hAnsi="Times New Roman" w:cs="Times New Roman"/>
          <w:color w:val="000000"/>
          <w:sz w:val="24"/>
          <w:szCs w:val="24"/>
        </w:rPr>
        <w:t xml:space="preserve"> (2016), </w:t>
      </w:r>
      <w:r w:rsidR="008E114F" w:rsidRPr="00C235E5">
        <w:rPr>
          <w:rFonts w:ascii="Times New Roman" w:eastAsia="Times New Roman" w:hAnsi="Times New Roman" w:cs="Times New Roman"/>
          <w:i/>
          <w:color w:val="000000"/>
          <w:sz w:val="24"/>
          <w:szCs w:val="24"/>
        </w:rPr>
        <w:t>Verizon/Yahoo</w:t>
      </w:r>
      <w:r w:rsidR="008E114F" w:rsidRPr="00C235E5">
        <w:rPr>
          <w:rFonts w:ascii="Times New Roman" w:eastAsia="Times New Roman" w:hAnsi="Times New Roman" w:cs="Times New Roman"/>
          <w:color w:val="000000"/>
          <w:sz w:val="24"/>
          <w:szCs w:val="24"/>
        </w:rPr>
        <w:t xml:space="preserve"> (2016), and </w:t>
      </w:r>
      <w:r w:rsidRPr="00C235E5">
        <w:rPr>
          <w:rFonts w:ascii="Times New Roman" w:eastAsia="Times New Roman" w:hAnsi="Times New Roman" w:cs="Times New Roman"/>
          <w:i/>
          <w:color w:val="000000"/>
          <w:sz w:val="24"/>
          <w:szCs w:val="24"/>
        </w:rPr>
        <w:t>Oracle/Cerner</w:t>
      </w:r>
      <w:r w:rsidRPr="00C235E5">
        <w:rPr>
          <w:rFonts w:ascii="Times New Roman" w:eastAsia="Times New Roman" w:hAnsi="Times New Roman" w:cs="Times New Roman"/>
          <w:color w:val="000000"/>
          <w:sz w:val="24"/>
          <w:szCs w:val="24"/>
        </w:rPr>
        <w:t xml:space="preserve"> (2022</w:t>
      </w:r>
      <w:r w:rsidR="00791903" w:rsidRPr="00C235E5">
        <w:rPr>
          <w:rFonts w:ascii="Times New Roman" w:eastAsia="Times New Roman" w:hAnsi="Times New Roman" w:cs="Times New Roman"/>
          <w:color w:val="000000"/>
          <w:sz w:val="24"/>
          <w:szCs w:val="24"/>
        </w:rPr>
        <w:t>)</w:t>
      </w:r>
      <w:r w:rsidR="008E114F" w:rsidRPr="00C235E5">
        <w:rPr>
          <w:rFonts w:ascii="Times New Roman" w:eastAsia="Times New Roman" w:hAnsi="Times New Roman" w:cs="Times New Roman"/>
          <w:color w:val="000000"/>
          <w:sz w:val="24"/>
          <w:szCs w:val="24"/>
        </w:rPr>
        <w:t>.</w:t>
      </w:r>
      <w:r w:rsidR="00791903" w:rsidRPr="00C235E5">
        <w:rPr>
          <w:rFonts w:ascii="Times New Roman" w:eastAsia="Times New Roman" w:hAnsi="Times New Roman" w:cs="Times New Roman"/>
          <w:color w:val="000000"/>
          <w:sz w:val="24"/>
          <w:szCs w:val="24"/>
        </w:rPr>
        <w:t xml:space="preserve"> We eliminate </w:t>
      </w:r>
      <w:r w:rsidR="00791903" w:rsidRPr="00C235E5">
        <w:rPr>
          <w:rFonts w:ascii="Times New Roman" w:eastAsia="Times New Roman" w:hAnsi="Times New Roman" w:cs="Times New Roman"/>
          <w:i/>
          <w:color w:val="000000"/>
          <w:sz w:val="24"/>
          <w:szCs w:val="24"/>
        </w:rPr>
        <w:t>Oracle/Cerner</w:t>
      </w:r>
      <w:r w:rsidR="00791903" w:rsidRPr="00C235E5">
        <w:rPr>
          <w:rFonts w:ascii="Times New Roman" w:eastAsia="Times New Roman" w:hAnsi="Times New Roman" w:cs="Times New Roman"/>
          <w:color w:val="000000"/>
          <w:sz w:val="24"/>
          <w:szCs w:val="24"/>
        </w:rPr>
        <w:t xml:space="preserve"> because the </w:t>
      </w:r>
      <w:r w:rsidR="007A5717" w:rsidRPr="00C235E5">
        <w:rPr>
          <w:rFonts w:ascii="Times New Roman" w:eastAsia="Times New Roman" w:hAnsi="Times New Roman" w:cs="Times New Roman"/>
          <w:color w:val="000000"/>
          <w:sz w:val="24"/>
          <w:szCs w:val="24"/>
        </w:rPr>
        <w:t xml:space="preserve">final </w:t>
      </w:r>
      <w:r w:rsidR="00791903" w:rsidRPr="00C235E5">
        <w:rPr>
          <w:rFonts w:ascii="Times New Roman" w:eastAsia="Times New Roman" w:hAnsi="Times New Roman" w:cs="Times New Roman"/>
          <w:color w:val="000000"/>
          <w:sz w:val="24"/>
          <w:szCs w:val="24"/>
        </w:rPr>
        <w:t xml:space="preserve">decision is not yet </w:t>
      </w:r>
      <w:r w:rsidR="007A5717" w:rsidRPr="00C235E5">
        <w:rPr>
          <w:rFonts w:ascii="Times New Roman" w:eastAsia="Times New Roman" w:hAnsi="Times New Roman" w:cs="Times New Roman"/>
          <w:color w:val="000000"/>
          <w:sz w:val="24"/>
          <w:szCs w:val="24"/>
        </w:rPr>
        <w:t>published</w:t>
      </w:r>
      <w:r w:rsidR="00791903" w:rsidRPr="00C235E5">
        <w:rPr>
          <w:rFonts w:ascii="Times New Roman" w:eastAsia="Times New Roman" w:hAnsi="Times New Roman" w:cs="Times New Roman"/>
          <w:color w:val="000000"/>
          <w:sz w:val="24"/>
          <w:szCs w:val="24"/>
        </w:rPr>
        <w:t>.</w:t>
      </w:r>
      <w:r w:rsidR="00B85089" w:rsidRPr="00C235E5">
        <w:rPr>
          <w:rStyle w:val="FootnoteReference"/>
          <w:rFonts w:ascii="Times New Roman" w:eastAsia="Times New Roman" w:hAnsi="Times New Roman" w:cs="Times New Roman"/>
          <w:color w:val="000000"/>
          <w:sz w:val="24"/>
          <w:szCs w:val="24"/>
        </w:rPr>
        <w:footnoteReference w:id="61"/>
      </w:r>
    </w:p>
    <w:p w14:paraId="16AFC773" w14:textId="35438CA8" w:rsidR="004561F5" w:rsidRDefault="008A310C" w:rsidP="00792D53">
      <w:pPr>
        <w:spacing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The sample appears </w:t>
      </w:r>
      <w:r w:rsidR="003E6FBB" w:rsidRPr="00C235E5">
        <w:rPr>
          <w:rFonts w:ascii="Times New Roman" w:hAnsi="Times New Roman" w:cs="Times New Roman"/>
          <w:sz w:val="24"/>
          <w:szCs w:val="24"/>
        </w:rPr>
        <w:t xml:space="preserve">to be a </w:t>
      </w:r>
      <w:r w:rsidR="00423B5F" w:rsidRPr="00C235E5">
        <w:rPr>
          <w:rFonts w:ascii="Times New Roman" w:hAnsi="Times New Roman" w:cs="Times New Roman"/>
          <w:sz w:val="24"/>
          <w:szCs w:val="24"/>
        </w:rPr>
        <w:t>reasonable</w:t>
      </w:r>
      <w:r w:rsidR="003E6FBB" w:rsidRPr="00C235E5">
        <w:rPr>
          <w:rFonts w:ascii="Times New Roman" w:hAnsi="Times New Roman" w:cs="Times New Roman"/>
          <w:sz w:val="24"/>
          <w:szCs w:val="24"/>
        </w:rPr>
        <w:t xml:space="preserve"> </w:t>
      </w:r>
      <w:r w:rsidRPr="00C235E5">
        <w:rPr>
          <w:rFonts w:ascii="Times New Roman" w:hAnsi="Times New Roman" w:cs="Times New Roman"/>
          <w:sz w:val="24"/>
          <w:szCs w:val="24"/>
        </w:rPr>
        <w:t xml:space="preserve">dataset to test the </w:t>
      </w:r>
      <w:r w:rsidR="00550B01">
        <w:rPr>
          <w:rFonts w:ascii="Times New Roman" w:hAnsi="Times New Roman" w:cs="Times New Roman"/>
          <w:sz w:val="24"/>
          <w:szCs w:val="24"/>
        </w:rPr>
        <w:t xml:space="preserve">plausibility of the </w:t>
      </w:r>
      <w:r w:rsidRPr="00C235E5">
        <w:rPr>
          <w:rFonts w:ascii="Times New Roman" w:hAnsi="Times New Roman" w:cs="Times New Roman"/>
          <w:sz w:val="24"/>
          <w:szCs w:val="24"/>
        </w:rPr>
        <w:t xml:space="preserve">killer acquisition </w:t>
      </w:r>
      <w:r w:rsidR="00614BD0">
        <w:rPr>
          <w:rFonts w:ascii="Times New Roman" w:hAnsi="Times New Roman" w:cs="Times New Roman"/>
          <w:sz w:val="24"/>
          <w:szCs w:val="24"/>
        </w:rPr>
        <w:t>theory</w:t>
      </w:r>
      <w:r w:rsidR="002A60EA" w:rsidRPr="00C235E5">
        <w:rPr>
          <w:rFonts w:ascii="Times New Roman" w:hAnsi="Times New Roman" w:cs="Times New Roman"/>
          <w:sz w:val="24"/>
          <w:szCs w:val="24"/>
        </w:rPr>
        <w:t xml:space="preserve">. </w:t>
      </w:r>
      <w:r w:rsidR="0089487D" w:rsidRPr="00C235E5">
        <w:rPr>
          <w:rFonts w:ascii="Times New Roman" w:hAnsi="Times New Roman" w:cs="Times New Roman"/>
          <w:sz w:val="24"/>
          <w:szCs w:val="24"/>
        </w:rPr>
        <w:t>5</w:t>
      </w:r>
      <w:r w:rsidR="003E6FBB" w:rsidRPr="00C235E5">
        <w:rPr>
          <w:rFonts w:ascii="Times New Roman" w:hAnsi="Times New Roman" w:cs="Times New Roman"/>
          <w:sz w:val="24"/>
          <w:szCs w:val="24"/>
        </w:rPr>
        <w:t xml:space="preserve"> </w:t>
      </w:r>
      <w:r w:rsidR="002A60EA" w:rsidRPr="00C235E5">
        <w:rPr>
          <w:rFonts w:ascii="Times New Roman" w:hAnsi="Times New Roman" w:cs="Times New Roman"/>
          <w:sz w:val="24"/>
          <w:szCs w:val="24"/>
        </w:rPr>
        <w:t xml:space="preserve">out of </w:t>
      </w:r>
      <w:r w:rsidR="00791903" w:rsidRPr="00C235E5">
        <w:rPr>
          <w:rFonts w:ascii="Times New Roman" w:hAnsi="Times New Roman" w:cs="Times New Roman"/>
          <w:sz w:val="24"/>
          <w:szCs w:val="24"/>
        </w:rPr>
        <w:t xml:space="preserve">12 </w:t>
      </w:r>
      <w:r w:rsidR="003E6FBB" w:rsidRPr="00C235E5">
        <w:rPr>
          <w:rFonts w:ascii="Times New Roman" w:hAnsi="Times New Roman" w:cs="Times New Roman"/>
          <w:sz w:val="24"/>
          <w:szCs w:val="24"/>
        </w:rPr>
        <w:t xml:space="preserve">transactions </w:t>
      </w:r>
      <w:r w:rsidR="00E7547B" w:rsidRPr="00C235E5">
        <w:rPr>
          <w:rFonts w:ascii="Times New Roman" w:hAnsi="Times New Roman" w:cs="Times New Roman"/>
          <w:sz w:val="24"/>
          <w:szCs w:val="24"/>
        </w:rPr>
        <w:t xml:space="preserve">involved turnovers below the </w:t>
      </w:r>
      <w:r w:rsidR="003E6FBB" w:rsidRPr="00C235E5">
        <w:rPr>
          <w:rFonts w:ascii="Times New Roman" w:hAnsi="Times New Roman" w:cs="Times New Roman"/>
          <w:sz w:val="24"/>
          <w:szCs w:val="24"/>
        </w:rPr>
        <w:t xml:space="preserve">threshold for </w:t>
      </w:r>
      <w:r w:rsidR="002A60EA" w:rsidRPr="00C235E5">
        <w:rPr>
          <w:rFonts w:ascii="Times New Roman" w:hAnsi="Times New Roman" w:cs="Times New Roman"/>
          <w:sz w:val="24"/>
          <w:szCs w:val="24"/>
        </w:rPr>
        <w:t xml:space="preserve">EC </w:t>
      </w:r>
      <w:r w:rsidR="001C691E" w:rsidRPr="00C235E5">
        <w:rPr>
          <w:rFonts w:ascii="Times New Roman" w:hAnsi="Times New Roman" w:cs="Times New Roman"/>
          <w:sz w:val="24"/>
          <w:szCs w:val="24"/>
        </w:rPr>
        <w:t>merger review</w:t>
      </w:r>
      <w:r w:rsidR="001B16FB" w:rsidRPr="00C235E5">
        <w:rPr>
          <w:rFonts w:ascii="Times New Roman" w:hAnsi="Times New Roman" w:cs="Times New Roman"/>
          <w:sz w:val="24"/>
          <w:szCs w:val="24"/>
        </w:rPr>
        <w:t>.</w:t>
      </w:r>
      <w:r w:rsidR="001B16FB" w:rsidRPr="00C235E5">
        <w:rPr>
          <w:rStyle w:val="FootnoteReference"/>
          <w:rFonts w:ascii="Times New Roman" w:hAnsi="Times New Roman" w:cs="Times New Roman"/>
          <w:sz w:val="24"/>
          <w:szCs w:val="24"/>
        </w:rPr>
        <w:footnoteReference w:id="62"/>
      </w:r>
      <w:r w:rsidR="003E6FBB" w:rsidRPr="00C235E5">
        <w:rPr>
          <w:rFonts w:ascii="Times New Roman" w:hAnsi="Times New Roman" w:cs="Times New Roman"/>
          <w:sz w:val="24"/>
          <w:szCs w:val="24"/>
        </w:rPr>
        <w:t xml:space="preserve"> </w:t>
      </w:r>
      <w:r w:rsidR="001B16FB" w:rsidRPr="00C235E5">
        <w:rPr>
          <w:rFonts w:ascii="Times New Roman" w:hAnsi="Times New Roman" w:cs="Times New Roman"/>
          <w:sz w:val="24"/>
          <w:szCs w:val="24"/>
        </w:rPr>
        <w:t xml:space="preserve">This </w:t>
      </w:r>
      <w:r w:rsidR="004561F5">
        <w:rPr>
          <w:rFonts w:ascii="Times New Roman" w:hAnsi="Times New Roman" w:cs="Times New Roman"/>
          <w:sz w:val="24"/>
          <w:szCs w:val="24"/>
        </w:rPr>
        <w:t xml:space="preserve">fits </w:t>
      </w:r>
      <w:r w:rsidR="004561F5">
        <w:rPr>
          <w:rFonts w:ascii="Times New Roman" w:hAnsi="Times New Roman" w:cs="Times New Roman"/>
          <w:sz w:val="24"/>
          <w:szCs w:val="24"/>
        </w:rPr>
        <w:lastRenderedPageBreak/>
        <w:t xml:space="preserve">roughly with the focus of </w:t>
      </w:r>
      <w:r w:rsidR="002A60EA" w:rsidRPr="00C235E5">
        <w:rPr>
          <w:rFonts w:ascii="Times New Roman" w:hAnsi="Times New Roman" w:cs="Times New Roman"/>
          <w:sz w:val="24"/>
          <w:szCs w:val="24"/>
        </w:rPr>
        <w:t>the killer acquisition</w:t>
      </w:r>
      <w:r w:rsidR="00142644" w:rsidRPr="00C235E5">
        <w:rPr>
          <w:rFonts w:ascii="Times New Roman" w:hAnsi="Times New Roman" w:cs="Times New Roman"/>
          <w:sz w:val="24"/>
          <w:szCs w:val="24"/>
        </w:rPr>
        <w:t xml:space="preserve"> </w:t>
      </w:r>
      <w:r w:rsidR="004561F5">
        <w:rPr>
          <w:rFonts w:ascii="Times New Roman" w:hAnsi="Times New Roman" w:cs="Times New Roman"/>
          <w:sz w:val="24"/>
          <w:szCs w:val="24"/>
        </w:rPr>
        <w:t>argument</w:t>
      </w:r>
      <w:r w:rsidR="00DC0B44">
        <w:rPr>
          <w:rFonts w:ascii="Times New Roman" w:hAnsi="Times New Roman" w:cs="Times New Roman"/>
          <w:sz w:val="24"/>
          <w:szCs w:val="24"/>
        </w:rPr>
        <w:t>,</w:t>
      </w:r>
      <w:r w:rsidR="00614BD0" w:rsidRPr="00C235E5">
        <w:rPr>
          <w:rFonts w:ascii="Times New Roman" w:hAnsi="Times New Roman" w:cs="Times New Roman"/>
          <w:sz w:val="24"/>
          <w:szCs w:val="24"/>
        </w:rPr>
        <w:t xml:space="preserve"> </w:t>
      </w:r>
      <w:r w:rsidR="00DC0B44">
        <w:rPr>
          <w:rFonts w:ascii="Times New Roman" w:hAnsi="Times New Roman" w:cs="Times New Roman"/>
          <w:sz w:val="24"/>
          <w:szCs w:val="24"/>
        </w:rPr>
        <w:t>which</w:t>
      </w:r>
      <w:r w:rsidR="00FB5FF2">
        <w:rPr>
          <w:rFonts w:ascii="Times New Roman" w:hAnsi="Times New Roman" w:cs="Times New Roman"/>
          <w:sz w:val="24"/>
          <w:szCs w:val="24"/>
        </w:rPr>
        <w:t xml:space="preserve"> stress</w:t>
      </w:r>
      <w:r w:rsidR="00550B01">
        <w:rPr>
          <w:rFonts w:ascii="Times New Roman" w:hAnsi="Times New Roman" w:cs="Times New Roman"/>
          <w:sz w:val="24"/>
          <w:szCs w:val="24"/>
        </w:rPr>
        <w:t>es</w:t>
      </w:r>
      <w:r w:rsidR="00FB5FF2">
        <w:rPr>
          <w:rFonts w:ascii="Times New Roman" w:hAnsi="Times New Roman" w:cs="Times New Roman"/>
          <w:sz w:val="24"/>
          <w:szCs w:val="24"/>
        </w:rPr>
        <w:t xml:space="preserve"> that</w:t>
      </w:r>
      <w:r w:rsidR="00FB5FF2" w:rsidRPr="00C235E5">
        <w:rPr>
          <w:rFonts w:ascii="Times New Roman" w:hAnsi="Times New Roman" w:cs="Times New Roman"/>
          <w:sz w:val="24"/>
          <w:szCs w:val="24"/>
        </w:rPr>
        <w:t xml:space="preserve"> </w:t>
      </w:r>
      <w:r w:rsidR="004561F5">
        <w:rPr>
          <w:rFonts w:ascii="Times New Roman" w:hAnsi="Times New Roman" w:cs="Times New Roman"/>
          <w:sz w:val="24"/>
          <w:szCs w:val="24"/>
        </w:rPr>
        <w:t>problematic mergers</w:t>
      </w:r>
      <w:r w:rsidR="004561F5" w:rsidRPr="00C235E5">
        <w:rPr>
          <w:rFonts w:ascii="Times New Roman" w:hAnsi="Times New Roman" w:cs="Times New Roman"/>
          <w:sz w:val="24"/>
          <w:szCs w:val="24"/>
        </w:rPr>
        <w:t xml:space="preserve"> </w:t>
      </w:r>
      <w:r w:rsidR="001C691E" w:rsidRPr="00C235E5">
        <w:rPr>
          <w:rFonts w:ascii="Times New Roman" w:hAnsi="Times New Roman" w:cs="Times New Roman"/>
          <w:sz w:val="24"/>
          <w:szCs w:val="24"/>
        </w:rPr>
        <w:t>“</w:t>
      </w:r>
      <w:r w:rsidR="001C691E" w:rsidRPr="00C235E5">
        <w:rPr>
          <w:rFonts w:ascii="Times New Roman" w:hAnsi="Times New Roman" w:cs="Times New Roman"/>
          <w:i/>
          <w:iCs/>
          <w:sz w:val="24"/>
          <w:szCs w:val="24"/>
        </w:rPr>
        <w:t>disproportionately occur just below thresholds for antitrust scrutiny</w:t>
      </w:r>
      <w:r w:rsidR="00565875" w:rsidRPr="00C235E5">
        <w:rPr>
          <w:rFonts w:ascii="Times New Roman" w:hAnsi="Times New Roman" w:cs="Times New Roman"/>
          <w:i/>
          <w:iCs/>
          <w:sz w:val="24"/>
          <w:szCs w:val="24"/>
        </w:rPr>
        <w:t>.</w:t>
      </w:r>
      <w:r w:rsidR="001C691E" w:rsidRPr="00C235E5">
        <w:rPr>
          <w:rFonts w:ascii="Times New Roman" w:hAnsi="Times New Roman" w:cs="Times New Roman"/>
          <w:sz w:val="24"/>
          <w:szCs w:val="24"/>
        </w:rPr>
        <w:t>”</w:t>
      </w:r>
      <w:r w:rsidR="001B16FB" w:rsidRPr="00C235E5">
        <w:rPr>
          <w:rStyle w:val="FootnoteReference"/>
          <w:rFonts w:ascii="Times New Roman" w:hAnsi="Times New Roman" w:cs="Times New Roman"/>
          <w:sz w:val="24"/>
          <w:szCs w:val="24"/>
        </w:rPr>
        <w:footnoteReference w:id="63"/>
      </w:r>
      <w:r w:rsidR="00B021CB">
        <w:rPr>
          <w:rFonts w:ascii="Times New Roman" w:hAnsi="Times New Roman" w:cs="Times New Roman"/>
          <w:sz w:val="24"/>
          <w:szCs w:val="24"/>
        </w:rPr>
        <w:t xml:space="preserve"> </w:t>
      </w:r>
    </w:p>
    <w:p w14:paraId="3D746B97" w14:textId="4654120D" w:rsidR="00B65A25" w:rsidRDefault="004561F5" w:rsidP="00792D5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364DEE">
        <w:rPr>
          <w:rFonts w:ascii="Times New Roman" w:hAnsi="Times New Roman" w:cs="Times New Roman"/>
          <w:sz w:val="24"/>
          <w:szCs w:val="24"/>
        </w:rPr>
        <w:t xml:space="preserve">small number of cases </w:t>
      </w:r>
      <w:r>
        <w:rPr>
          <w:rFonts w:ascii="Times New Roman" w:hAnsi="Times New Roman" w:cs="Times New Roman"/>
          <w:sz w:val="24"/>
          <w:szCs w:val="24"/>
        </w:rPr>
        <w:t xml:space="preserve">does not appear problematic </w:t>
      </w:r>
      <w:r w:rsidR="00B65A25">
        <w:rPr>
          <w:rFonts w:ascii="Times New Roman" w:hAnsi="Times New Roman" w:cs="Times New Roman"/>
          <w:sz w:val="24"/>
          <w:szCs w:val="24"/>
        </w:rPr>
        <w:t xml:space="preserve">to study killer acquisitions, </w:t>
      </w:r>
      <w:r w:rsidRPr="00364DEE">
        <w:rPr>
          <w:rFonts w:ascii="Times New Roman" w:hAnsi="Times New Roman" w:cs="Times New Roman"/>
          <w:sz w:val="24"/>
          <w:szCs w:val="24"/>
        </w:rPr>
        <w:t xml:space="preserve">conditional on </w:t>
      </w:r>
      <w:r>
        <w:rPr>
          <w:rFonts w:ascii="Times New Roman" w:hAnsi="Times New Roman" w:cs="Times New Roman"/>
          <w:sz w:val="24"/>
          <w:szCs w:val="24"/>
        </w:rPr>
        <w:t xml:space="preserve">focusing on relevant </w:t>
      </w:r>
      <w:r w:rsidR="00B65A25">
        <w:rPr>
          <w:rFonts w:ascii="Times New Roman" w:hAnsi="Times New Roman" w:cs="Times New Roman"/>
          <w:sz w:val="24"/>
          <w:szCs w:val="24"/>
        </w:rPr>
        <w:t>case studies</w:t>
      </w:r>
      <w:r w:rsidRPr="00364DEE">
        <w:rPr>
          <w:rFonts w:ascii="Times New Roman" w:hAnsi="Times New Roman" w:cs="Times New Roman"/>
          <w:sz w:val="24"/>
          <w:szCs w:val="24"/>
        </w:rPr>
        <w:t xml:space="preserve">. </w:t>
      </w:r>
      <w:r w:rsidR="00B65A25">
        <w:rPr>
          <w:rFonts w:ascii="Times New Roman" w:hAnsi="Times New Roman" w:cs="Times New Roman"/>
          <w:sz w:val="24"/>
          <w:szCs w:val="24"/>
        </w:rPr>
        <w:t>A</w:t>
      </w:r>
      <w:r w:rsidR="0080019D">
        <w:rPr>
          <w:rFonts w:ascii="Times New Roman" w:hAnsi="Times New Roman" w:cs="Times New Roman"/>
          <w:sz w:val="24"/>
          <w:szCs w:val="24"/>
        </w:rPr>
        <w:t xml:space="preserve"> </w:t>
      </w:r>
      <w:r w:rsidR="00FB5FF2">
        <w:rPr>
          <w:rFonts w:ascii="Times New Roman" w:hAnsi="Times New Roman" w:cs="Times New Roman"/>
          <w:sz w:val="24"/>
          <w:szCs w:val="24"/>
        </w:rPr>
        <w:t xml:space="preserve">growing body of </w:t>
      </w:r>
      <w:r w:rsidR="0080019D">
        <w:rPr>
          <w:rFonts w:ascii="Times New Roman" w:hAnsi="Times New Roman" w:cs="Times New Roman"/>
          <w:sz w:val="24"/>
          <w:szCs w:val="24"/>
        </w:rPr>
        <w:t xml:space="preserve">economic literature on the </w:t>
      </w:r>
      <w:r w:rsidR="0080019D">
        <w:rPr>
          <w:rFonts w:ascii="Times New Roman" w:hAnsi="Times New Roman" w:cs="Times New Roman"/>
          <w:i/>
          <w:iCs/>
          <w:sz w:val="24"/>
          <w:szCs w:val="24"/>
        </w:rPr>
        <w:t xml:space="preserve">ex post </w:t>
      </w:r>
      <w:r w:rsidR="0080019D">
        <w:rPr>
          <w:rFonts w:ascii="Times New Roman" w:hAnsi="Times New Roman" w:cs="Times New Roman"/>
          <w:sz w:val="24"/>
          <w:szCs w:val="24"/>
        </w:rPr>
        <w:t>evaluation of mergers</w:t>
      </w:r>
      <w:r w:rsidR="00B65A25">
        <w:rPr>
          <w:rFonts w:ascii="Times New Roman" w:hAnsi="Times New Roman" w:cs="Times New Roman"/>
          <w:sz w:val="24"/>
          <w:szCs w:val="24"/>
        </w:rPr>
        <w:t xml:space="preserve"> follows a similar methodology</w:t>
      </w:r>
      <w:r w:rsidR="00FB5FF2">
        <w:rPr>
          <w:rFonts w:ascii="Times New Roman" w:hAnsi="Times New Roman" w:cs="Times New Roman"/>
          <w:sz w:val="24"/>
          <w:szCs w:val="24"/>
        </w:rPr>
        <w:t xml:space="preserve">. </w:t>
      </w:r>
      <w:r w:rsidR="00550B01">
        <w:rPr>
          <w:rFonts w:ascii="Times New Roman" w:hAnsi="Times New Roman" w:cs="Times New Roman"/>
          <w:sz w:val="24"/>
          <w:szCs w:val="24"/>
        </w:rPr>
        <w:t>The empirical strategy o</w:t>
      </w:r>
      <w:r w:rsidR="00B65A25">
        <w:rPr>
          <w:rFonts w:ascii="Times New Roman" w:hAnsi="Times New Roman" w:cs="Times New Roman"/>
          <w:sz w:val="24"/>
          <w:szCs w:val="24"/>
        </w:rPr>
        <w:t>f case studies</w:t>
      </w:r>
      <w:r w:rsidR="00550B01">
        <w:rPr>
          <w:rFonts w:ascii="Times New Roman" w:hAnsi="Times New Roman" w:cs="Times New Roman"/>
          <w:sz w:val="24"/>
          <w:szCs w:val="24"/>
        </w:rPr>
        <w:t xml:space="preserve"> consists in relying on </w:t>
      </w:r>
      <w:r w:rsidR="00FB5FF2">
        <w:rPr>
          <w:rFonts w:ascii="Times New Roman" w:hAnsi="Times New Roman" w:cs="Times New Roman"/>
          <w:sz w:val="24"/>
          <w:szCs w:val="24"/>
        </w:rPr>
        <w:t>purpose</w:t>
      </w:r>
      <w:r w:rsidR="00692665">
        <w:rPr>
          <w:rFonts w:ascii="Times New Roman" w:hAnsi="Times New Roman" w:cs="Times New Roman"/>
          <w:sz w:val="24"/>
          <w:szCs w:val="24"/>
        </w:rPr>
        <w:t>l</w:t>
      </w:r>
      <w:r w:rsidR="00FB5FF2">
        <w:rPr>
          <w:rFonts w:ascii="Times New Roman" w:hAnsi="Times New Roman" w:cs="Times New Roman"/>
          <w:sz w:val="24"/>
          <w:szCs w:val="24"/>
        </w:rPr>
        <w:t>y-</w:t>
      </w:r>
      <w:r w:rsidR="00550B01">
        <w:rPr>
          <w:rFonts w:ascii="Times New Roman" w:hAnsi="Times New Roman" w:cs="Times New Roman"/>
          <w:sz w:val="24"/>
          <w:szCs w:val="24"/>
        </w:rPr>
        <w:t xml:space="preserve">restricted </w:t>
      </w:r>
      <w:r w:rsidR="00FB5FF2">
        <w:rPr>
          <w:rFonts w:ascii="Times New Roman" w:hAnsi="Times New Roman" w:cs="Times New Roman"/>
          <w:sz w:val="24"/>
          <w:szCs w:val="24"/>
        </w:rPr>
        <w:t xml:space="preserve">samples </w:t>
      </w:r>
      <w:r w:rsidR="00550B01">
        <w:rPr>
          <w:rFonts w:ascii="Times New Roman" w:hAnsi="Times New Roman" w:cs="Times New Roman"/>
          <w:sz w:val="24"/>
          <w:szCs w:val="24"/>
        </w:rPr>
        <w:t xml:space="preserve">and subjecting them to </w:t>
      </w:r>
      <w:r w:rsidR="00FB5FF2">
        <w:rPr>
          <w:rFonts w:ascii="Times New Roman" w:hAnsi="Times New Roman" w:cs="Times New Roman"/>
          <w:sz w:val="24"/>
          <w:szCs w:val="24"/>
        </w:rPr>
        <w:t>intensive analytical tests</w:t>
      </w:r>
      <w:r w:rsidR="0080019D">
        <w:rPr>
          <w:rFonts w:ascii="Times New Roman" w:hAnsi="Times New Roman" w:cs="Times New Roman"/>
          <w:sz w:val="24"/>
          <w:szCs w:val="24"/>
        </w:rPr>
        <w:t>.</w:t>
      </w:r>
      <w:r w:rsidR="003A4656">
        <w:rPr>
          <w:rFonts w:ascii="Times New Roman" w:hAnsi="Times New Roman" w:cs="Times New Roman"/>
          <w:sz w:val="24"/>
          <w:szCs w:val="24"/>
        </w:rPr>
        <w:t xml:space="preserve"> </w:t>
      </w:r>
    </w:p>
    <w:p w14:paraId="0413F4D2" w14:textId="7888394A" w:rsidR="00A068B4" w:rsidRPr="00792D53" w:rsidRDefault="00B65A25" w:rsidP="00792D53">
      <w:pPr>
        <w:spacing w:line="480" w:lineRule="auto"/>
        <w:jc w:val="both"/>
      </w:pPr>
      <w:r>
        <w:rPr>
          <w:rFonts w:ascii="Times New Roman" w:hAnsi="Times New Roman" w:cs="Times New Roman"/>
          <w:sz w:val="24"/>
          <w:szCs w:val="24"/>
        </w:rPr>
        <w:t>Moreover</w:t>
      </w:r>
      <w:r w:rsidR="00550B01">
        <w:rPr>
          <w:rFonts w:ascii="Times New Roman" w:hAnsi="Times New Roman" w:cs="Times New Roman"/>
          <w:sz w:val="24"/>
          <w:szCs w:val="24"/>
        </w:rPr>
        <w:t xml:space="preserve">, </w:t>
      </w:r>
      <w:r w:rsidR="000B6D92">
        <w:rPr>
          <w:rFonts w:ascii="Times New Roman" w:hAnsi="Times New Roman" w:cs="Times New Roman"/>
          <w:sz w:val="24"/>
          <w:szCs w:val="24"/>
        </w:rPr>
        <w:t xml:space="preserve">our work </w:t>
      </w:r>
      <w:r>
        <w:rPr>
          <w:rFonts w:ascii="Times New Roman" w:hAnsi="Times New Roman" w:cs="Times New Roman"/>
          <w:sz w:val="24"/>
          <w:szCs w:val="24"/>
        </w:rPr>
        <w:t xml:space="preserve">has no interest in assessing how much ‘competition buying’ took place. Instead, what we ask ourselves is this: in a subset of acquisition cases that we know, that we can observe, and </w:t>
      </w:r>
      <w:r w:rsidR="00691FAE">
        <w:rPr>
          <w:rFonts w:ascii="Times New Roman" w:hAnsi="Times New Roman" w:cs="Times New Roman"/>
          <w:sz w:val="24"/>
          <w:szCs w:val="24"/>
        </w:rPr>
        <w:t>on</w:t>
      </w:r>
      <w:r>
        <w:rPr>
          <w:rFonts w:ascii="Times New Roman" w:hAnsi="Times New Roman" w:cs="Times New Roman"/>
          <w:sz w:val="24"/>
          <w:szCs w:val="24"/>
        </w:rPr>
        <w:t xml:space="preserve"> which we can collect various types of evidence, was ‘competition killing’ involved?</w:t>
      </w:r>
      <w:r w:rsidRPr="00F6775B">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We do </w:t>
      </w:r>
      <w:r w:rsidR="000B6D92">
        <w:rPr>
          <w:rFonts w:ascii="Times New Roman" w:hAnsi="Times New Roman" w:cs="Times New Roman"/>
          <w:sz w:val="24"/>
          <w:szCs w:val="24"/>
        </w:rPr>
        <w:t>not seek to build statistics</w:t>
      </w:r>
      <w:r w:rsidR="00550B01">
        <w:rPr>
          <w:rFonts w:ascii="Times New Roman" w:hAnsi="Times New Roman" w:cs="Times New Roman"/>
          <w:sz w:val="24"/>
          <w:szCs w:val="24"/>
        </w:rPr>
        <w:t xml:space="preserve"> </w:t>
      </w:r>
      <w:r w:rsidR="000B6D92">
        <w:rPr>
          <w:rFonts w:ascii="Times New Roman" w:hAnsi="Times New Roman" w:cs="Times New Roman"/>
          <w:sz w:val="24"/>
          <w:szCs w:val="24"/>
        </w:rPr>
        <w:t xml:space="preserve">of the number of </w:t>
      </w:r>
      <w:r w:rsidR="00550B01">
        <w:rPr>
          <w:rFonts w:ascii="Times New Roman" w:hAnsi="Times New Roman" w:cs="Times New Roman"/>
          <w:sz w:val="24"/>
          <w:szCs w:val="24"/>
        </w:rPr>
        <w:t xml:space="preserve">startup acquisitions made by large technology firms. </w:t>
      </w:r>
      <w:r w:rsidR="00F6775B">
        <w:rPr>
          <w:rFonts w:ascii="Times New Roman" w:hAnsi="Times New Roman" w:cs="Times New Roman"/>
          <w:sz w:val="24"/>
          <w:szCs w:val="24"/>
        </w:rPr>
        <w:t xml:space="preserve">An abundant body of literature keeps itself busy </w:t>
      </w:r>
      <w:r w:rsidR="00C84127">
        <w:rPr>
          <w:rFonts w:ascii="Times New Roman" w:hAnsi="Times New Roman" w:cs="Times New Roman"/>
          <w:sz w:val="24"/>
          <w:szCs w:val="24"/>
        </w:rPr>
        <w:t>investigating</w:t>
      </w:r>
      <w:r w:rsidR="00F6775B">
        <w:rPr>
          <w:rFonts w:ascii="Times New Roman" w:hAnsi="Times New Roman" w:cs="Times New Roman"/>
          <w:sz w:val="24"/>
          <w:szCs w:val="24"/>
        </w:rPr>
        <w:t xml:space="preserve"> how many acquisitions occurred.</w:t>
      </w:r>
      <w:r w:rsidR="00F6775B">
        <w:rPr>
          <w:rStyle w:val="FootnoteReference"/>
          <w:rFonts w:ascii="Times New Roman" w:hAnsi="Times New Roman" w:cs="Times New Roman"/>
          <w:sz w:val="24"/>
          <w:szCs w:val="24"/>
        </w:rPr>
        <w:footnoteReference w:id="65"/>
      </w:r>
      <w:r w:rsidR="00F6775B">
        <w:rPr>
          <w:rFonts w:ascii="Times New Roman" w:hAnsi="Times New Roman" w:cs="Times New Roman"/>
          <w:sz w:val="24"/>
          <w:szCs w:val="24"/>
        </w:rPr>
        <w:t xml:space="preserve"> These works raise genuine concern of inflated transaction numbers as datasets tend to apprehend simple share transfers.</w:t>
      </w:r>
    </w:p>
    <w:p w14:paraId="27DCD930" w14:textId="4831FEB8" w:rsidR="000D6991" w:rsidRPr="00C235E5" w:rsidRDefault="00B778B1" w:rsidP="00792D53">
      <w:pPr>
        <w:pStyle w:val="Heading2"/>
        <w:numPr>
          <w:ilvl w:val="0"/>
          <w:numId w:val="20"/>
        </w:numPr>
        <w:rPr>
          <w:rFonts w:cs="Times New Roman"/>
          <w:sz w:val="24"/>
          <w:szCs w:val="24"/>
        </w:rPr>
      </w:pPr>
      <w:r>
        <w:rPr>
          <w:rFonts w:cs="Times New Roman"/>
          <w:sz w:val="24"/>
          <w:szCs w:val="24"/>
        </w:rPr>
        <w:lastRenderedPageBreak/>
        <w:t xml:space="preserve"> </w:t>
      </w:r>
      <w:r w:rsidR="000D6991" w:rsidRPr="00792D53">
        <w:rPr>
          <w:rFonts w:cs="Times New Roman"/>
          <w:sz w:val="24"/>
          <w:szCs w:val="24"/>
        </w:rPr>
        <w:t>Tests</w:t>
      </w:r>
    </w:p>
    <w:p w14:paraId="71488C9F" w14:textId="5A9DB7D2" w:rsidR="00A7567E" w:rsidRPr="00C235E5" w:rsidRDefault="00A068B4"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In</w:t>
      </w:r>
      <w:r w:rsidR="00664390" w:rsidRPr="00C235E5">
        <w:rPr>
          <w:rFonts w:ascii="Times New Roman" w:hAnsi="Times New Roman" w:cs="Times New Roman"/>
          <w:sz w:val="24"/>
          <w:szCs w:val="24"/>
        </w:rPr>
        <w:t xml:space="preserve"> all </w:t>
      </w:r>
      <w:r w:rsidR="00DF0C2B" w:rsidRPr="00C235E5">
        <w:rPr>
          <w:rFonts w:ascii="Times New Roman" w:hAnsi="Times New Roman" w:cs="Times New Roman"/>
          <w:sz w:val="24"/>
          <w:szCs w:val="24"/>
        </w:rPr>
        <w:t xml:space="preserve">12 </w:t>
      </w:r>
      <w:r w:rsidR="00DD6B26" w:rsidRPr="00C235E5">
        <w:rPr>
          <w:rFonts w:ascii="Times New Roman" w:hAnsi="Times New Roman" w:cs="Times New Roman"/>
          <w:sz w:val="24"/>
          <w:szCs w:val="24"/>
        </w:rPr>
        <w:t xml:space="preserve">cases, </w:t>
      </w:r>
      <w:r w:rsidR="001D209D" w:rsidRPr="00C235E5">
        <w:rPr>
          <w:rFonts w:ascii="Times New Roman" w:hAnsi="Times New Roman" w:cs="Times New Roman"/>
          <w:sz w:val="24"/>
          <w:szCs w:val="24"/>
        </w:rPr>
        <w:t>the EC decisions</w:t>
      </w:r>
      <w:r w:rsidR="00770EC4" w:rsidRPr="00C235E5">
        <w:rPr>
          <w:rFonts w:ascii="Times New Roman" w:hAnsi="Times New Roman" w:cs="Times New Roman"/>
          <w:sz w:val="24"/>
          <w:szCs w:val="24"/>
        </w:rPr>
        <w:t xml:space="preserve"> mention the targeted firm’s rivals</w:t>
      </w:r>
      <w:r w:rsidRPr="00C235E5">
        <w:rPr>
          <w:rFonts w:ascii="Times New Roman" w:hAnsi="Times New Roman" w:cs="Times New Roman"/>
          <w:sz w:val="24"/>
          <w:szCs w:val="24"/>
        </w:rPr>
        <w:t>.</w:t>
      </w:r>
      <w:r w:rsidR="00307818" w:rsidRPr="00C235E5">
        <w:rPr>
          <w:rFonts w:ascii="Times New Roman" w:hAnsi="Times New Roman" w:cs="Times New Roman"/>
          <w:sz w:val="24"/>
          <w:szCs w:val="24"/>
        </w:rPr>
        <w:t xml:space="preserve"> </w:t>
      </w:r>
      <w:r w:rsidR="00C6092F" w:rsidRPr="00C235E5">
        <w:rPr>
          <w:rFonts w:ascii="Times New Roman" w:hAnsi="Times New Roman" w:cs="Times New Roman"/>
          <w:sz w:val="24"/>
          <w:szCs w:val="24"/>
        </w:rPr>
        <w:t xml:space="preserve">We </w:t>
      </w:r>
      <w:r w:rsidR="00E013B3" w:rsidRPr="00C235E5">
        <w:rPr>
          <w:rFonts w:ascii="Times New Roman" w:hAnsi="Times New Roman" w:cs="Times New Roman"/>
          <w:sz w:val="24"/>
          <w:szCs w:val="24"/>
        </w:rPr>
        <w:t xml:space="preserve">can </w:t>
      </w:r>
      <w:r w:rsidR="00C6092F" w:rsidRPr="00C235E5">
        <w:rPr>
          <w:rFonts w:ascii="Times New Roman" w:hAnsi="Times New Roman" w:cs="Times New Roman"/>
          <w:sz w:val="24"/>
          <w:szCs w:val="24"/>
        </w:rPr>
        <w:t xml:space="preserve">retrieve </w:t>
      </w:r>
      <w:r w:rsidR="007A376F" w:rsidRPr="00C235E5">
        <w:rPr>
          <w:rFonts w:ascii="Times New Roman" w:hAnsi="Times New Roman" w:cs="Times New Roman"/>
          <w:sz w:val="24"/>
          <w:szCs w:val="24"/>
        </w:rPr>
        <w:t xml:space="preserve">financial disclosure </w:t>
      </w:r>
      <w:r w:rsidR="0019172C" w:rsidRPr="00C235E5">
        <w:rPr>
          <w:rFonts w:ascii="Times New Roman" w:hAnsi="Times New Roman" w:cs="Times New Roman"/>
          <w:sz w:val="24"/>
          <w:szCs w:val="24"/>
        </w:rPr>
        <w:t xml:space="preserve">information </w:t>
      </w:r>
      <w:r w:rsidR="00E013B3" w:rsidRPr="00C235E5">
        <w:rPr>
          <w:rFonts w:ascii="Times New Roman" w:hAnsi="Times New Roman" w:cs="Times New Roman"/>
          <w:sz w:val="24"/>
          <w:szCs w:val="24"/>
        </w:rPr>
        <w:t xml:space="preserve">for </w:t>
      </w:r>
      <w:r w:rsidR="00770EC4" w:rsidRPr="00C235E5">
        <w:rPr>
          <w:rFonts w:ascii="Times New Roman" w:hAnsi="Times New Roman" w:cs="Times New Roman"/>
          <w:sz w:val="24"/>
          <w:szCs w:val="24"/>
        </w:rPr>
        <w:t>these rivals</w:t>
      </w:r>
      <w:r w:rsidR="000131E8" w:rsidRPr="00C235E5">
        <w:rPr>
          <w:rFonts w:ascii="Times New Roman" w:hAnsi="Times New Roman" w:cs="Times New Roman"/>
          <w:sz w:val="24"/>
          <w:szCs w:val="24"/>
        </w:rPr>
        <w:t xml:space="preserve"> </w:t>
      </w:r>
      <w:r w:rsidR="00E013B3" w:rsidRPr="00C235E5">
        <w:rPr>
          <w:rFonts w:ascii="Times New Roman" w:hAnsi="Times New Roman" w:cs="Times New Roman"/>
          <w:sz w:val="24"/>
          <w:szCs w:val="24"/>
        </w:rPr>
        <w:t>in</w:t>
      </w:r>
      <w:r w:rsidR="00DD6B26" w:rsidRPr="00C235E5">
        <w:rPr>
          <w:rFonts w:ascii="Times New Roman" w:hAnsi="Times New Roman" w:cs="Times New Roman"/>
          <w:sz w:val="24"/>
          <w:szCs w:val="24"/>
        </w:rPr>
        <w:t xml:space="preserve"> </w:t>
      </w:r>
      <w:r w:rsidR="000131E8" w:rsidRPr="00C235E5">
        <w:rPr>
          <w:rFonts w:ascii="Times New Roman" w:hAnsi="Times New Roman" w:cs="Times New Roman"/>
          <w:sz w:val="24"/>
          <w:szCs w:val="24"/>
        </w:rPr>
        <w:t xml:space="preserve">all </w:t>
      </w:r>
      <w:r w:rsidR="00A930A5" w:rsidRPr="00C235E5">
        <w:rPr>
          <w:rFonts w:ascii="Times New Roman" w:hAnsi="Times New Roman" w:cs="Times New Roman"/>
          <w:sz w:val="24"/>
          <w:szCs w:val="24"/>
        </w:rPr>
        <w:t xml:space="preserve">12 </w:t>
      </w:r>
      <w:r w:rsidR="00DD6B26" w:rsidRPr="00C235E5">
        <w:rPr>
          <w:rFonts w:ascii="Times New Roman" w:hAnsi="Times New Roman" w:cs="Times New Roman"/>
          <w:sz w:val="24"/>
          <w:szCs w:val="24"/>
        </w:rPr>
        <w:t>case</w:t>
      </w:r>
      <w:r w:rsidR="000131E8" w:rsidRPr="00C235E5">
        <w:rPr>
          <w:rFonts w:ascii="Times New Roman" w:hAnsi="Times New Roman" w:cs="Times New Roman"/>
          <w:sz w:val="24"/>
          <w:szCs w:val="24"/>
        </w:rPr>
        <w:t>s</w:t>
      </w:r>
      <w:r w:rsidR="00DD6B26" w:rsidRPr="00C235E5">
        <w:rPr>
          <w:rFonts w:ascii="Times New Roman" w:hAnsi="Times New Roman" w:cs="Times New Roman"/>
          <w:sz w:val="24"/>
          <w:szCs w:val="24"/>
        </w:rPr>
        <w:t>.</w:t>
      </w:r>
      <w:r w:rsidR="00063194" w:rsidRPr="00C235E5">
        <w:rPr>
          <w:rStyle w:val="FootnoteReference"/>
          <w:rFonts w:ascii="Times New Roman" w:hAnsi="Times New Roman" w:cs="Times New Roman"/>
          <w:sz w:val="24"/>
          <w:szCs w:val="24"/>
        </w:rPr>
        <w:footnoteReference w:id="66"/>
      </w:r>
      <w:r w:rsidR="00DD6B26" w:rsidRPr="00C235E5">
        <w:rPr>
          <w:rFonts w:ascii="Times New Roman" w:hAnsi="Times New Roman" w:cs="Times New Roman"/>
          <w:sz w:val="24"/>
          <w:szCs w:val="24"/>
        </w:rPr>
        <w:t xml:space="preserve"> </w:t>
      </w:r>
      <w:r w:rsidR="005C7030" w:rsidRPr="00C235E5">
        <w:rPr>
          <w:rFonts w:ascii="Times New Roman" w:hAnsi="Times New Roman" w:cs="Times New Roman"/>
          <w:sz w:val="24"/>
          <w:szCs w:val="24"/>
        </w:rPr>
        <w:t xml:space="preserve">31 </w:t>
      </w:r>
      <w:r w:rsidR="00D4406D" w:rsidRPr="00C235E5">
        <w:rPr>
          <w:rFonts w:ascii="Times New Roman" w:hAnsi="Times New Roman" w:cs="Times New Roman"/>
          <w:sz w:val="24"/>
          <w:szCs w:val="24"/>
        </w:rPr>
        <w:t>of such rivals</w:t>
      </w:r>
      <w:r w:rsidR="005C7030" w:rsidRPr="00C235E5">
        <w:rPr>
          <w:rFonts w:ascii="Times New Roman" w:hAnsi="Times New Roman" w:cs="Times New Roman"/>
          <w:sz w:val="24"/>
          <w:szCs w:val="24"/>
        </w:rPr>
        <w:t xml:space="preserve"> are</w:t>
      </w:r>
      <w:r w:rsidR="007A376F" w:rsidRPr="00C235E5">
        <w:rPr>
          <w:rFonts w:ascii="Times New Roman" w:hAnsi="Times New Roman" w:cs="Times New Roman"/>
          <w:sz w:val="24"/>
          <w:szCs w:val="24"/>
        </w:rPr>
        <w:t xml:space="preserve"> </w:t>
      </w:r>
      <w:r w:rsidR="005C7030" w:rsidRPr="00C235E5">
        <w:rPr>
          <w:rFonts w:ascii="Times New Roman" w:hAnsi="Times New Roman" w:cs="Times New Roman"/>
          <w:sz w:val="24"/>
          <w:szCs w:val="24"/>
        </w:rPr>
        <w:t xml:space="preserve">public firms issuing lengthy </w:t>
      </w:r>
      <w:r w:rsidR="007A376F" w:rsidRPr="00C235E5">
        <w:rPr>
          <w:rFonts w:ascii="Times New Roman" w:hAnsi="Times New Roman" w:cs="Times New Roman"/>
          <w:sz w:val="24"/>
          <w:szCs w:val="24"/>
        </w:rPr>
        <w:t xml:space="preserve">10-K reports (or 20-F reports for foreign companies) </w:t>
      </w:r>
      <w:r w:rsidR="005C7030" w:rsidRPr="00C235E5">
        <w:rPr>
          <w:rFonts w:ascii="Times New Roman" w:hAnsi="Times New Roman" w:cs="Times New Roman"/>
          <w:sz w:val="24"/>
          <w:szCs w:val="24"/>
        </w:rPr>
        <w:t xml:space="preserve">to the </w:t>
      </w:r>
      <w:r w:rsidR="00EF42BA" w:rsidRPr="00C235E5">
        <w:rPr>
          <w:rFonts w:ascii="Times New Roman" w:hAnsi="Times New Roman" w:cs="Times New Roman"/>
          <w:sz w:val="24"/>
          <w:szCs w:val="24"/>
        </w:rPr>
        <w:t>SEC</w:t>
      </w:r>
      <w:r w:rsidR="005C7030" w:rsidRPr="00C235E5">
        <w:rPr>
          <w:rFonts w:ascii="Times New Roman" w:hAnsi="Times New Roman" w:cs="Times New Roman"/>
          <w:sz w:val="24"/>
          <w:szCs w:val="24"/>
        </w:rPr>
        <w:t xml:space="preserve"> annually</w:t>
      </w:r>
      <w:r w:rsidR="005C7030" w:rsidRPr="00C235E5">
        <w:rPr>
          <w:rStyle w:val="CommentReference"/>
          <w:rFonts w:ascii="Times New Roman" w:hAnsi="Times New Roman" w:cs="Times New Roman"/>
          <w:sz w:val="24"/>
          <w:szCs w:val="24"/>
        </w:rPr>
        <w:t xml:space="preserve">. </w:t>
      </w:r>
      <w:r w:rsidR="004D71CE" w:rsidRPr="00C235E5">
        <w:rPr>
          <w:rFonts w:ascii="Times New Roman" w:hAnsi="Times New Roman" w:cs="Times New Roman"/>
          <w:sz w:val="24"/>
          <w:szCs w:val="24"/>
        </w:rPr>
        <w:t>When this is not the case,</w:t>
      </w:r>
      <w:r w:rsidR="00FC5070" w:rsidRPr="00C235E5">
        <w:rPr>
          <w:rFonts w:ascii="Times New Roman" w:hAnsi="Times New Roman" w:cs="Times New Roman"/>
          <w:sz w:val="24"/>
          <w:szCs w:val="24"/>
        </w:rPr>
        <w:t xml:space="preserve"> we search for </w:t>
      </w:r>
      <w:r w:rsidR="00BB3A29" w:rsidRPr="00C235E5">
        <w:rPr>
          <w:rFonts w:ascii="Times New Roman" w:hAnsi="Times New Roman" w:cs="Times New Roman"/>
          <w:sz w:val="24"/>
          <w:szCs w:val="24"/>
        </w:rPr>
        <w:t>similar disclosure</w:t>
      </w:r>
      <w:r w:rsidR="0019172C" w:rsidRPr="00C235E5">
        <w:rPr>
          <w:rFonts w:ascii="Times New Roman" w:hAnsi="Times New Roman" w:cs="Times New Roman"/>
          <w:sz w:val="24"/>
          <w:szCs w:val="24"/>
        </w:rPr>
        <w:t xml:space="preserve"> information</w:t>
      </w:r>
      <w:r w:rsidR="00BB3A29" w:rsidRPr="00C235E5">
        <w:rPr>
          <w:rFonts w:ascii="Times New Roman" w:hAnsi="Times New Roman" w:cs="Times New Roman"/>
          <w:sz w:val="24"/>
          <w:szCs w:val="24"/>
        </w:rPr>
        <w:t xml:space="preserve">. For example, Deezer, mentioned in the EC </w:t>
      </w:r>
      <w:r w:rsidR="00BB3A29" w:rsidRPr="00C235E5">
        <w:rPr>
          <w:rFonts w:ascii="Times New Roman" w:hAnsi="Times New Roman" w:cs="Times New Roman"/>
          <w:i/>
          <w:iCs/>
          <w:sz w:val="24"/>
          <w:szCs w:val="24"/>
        </w:rPr>
        <w:t>Apple/Shazam</w:t>
      </w:r>
      <w:r w:rsidR="00BB3A29" w:rsidRPr="00C235E5">
        <w:rPr>
          <w:rFonts w:ascii="Times New Roman" w:hAnsi="Times New Roman" w:cs="Times New Roman"/>
          <w:sz w:val="24"/>
          <w:szCs w:val="24"/>
        </w:rPr>
        <w:t xml:space="preserve"> </w:t>
      </w:r>
      <w:r w:rsidR="00952FCB" w:rsidRPr="00C235E5">
        <w:rPr>
          <w:rFonts w:ascii="Times New Roman" w:hAnsi="Times New Roman" w:cs="Times New Roman"/>
          <w:sz w:val="24"/>
          <w:szCs w:val="24"/>
        </w:rPr>
        <w:t xml:space="preserve">case </w:t>
      </w:r>
      <w:r w:rsidR="006E0F7A" w:rsidRPr="00C235E5">
        <w:rPr>
          <w:rFonts w:ascii="Times New Roman" w:hAnsi="Times New Roman" w:cs="Times New Roman"/>
          <w:sz w:val="24"/>
          <w:szCs w:val="24"/>
        </w:rPr>
        <w:t>as a competitor</w:t>
      </w:r>
      <w:r w:rsidR="009C29D2">
        <w:rPr>
          <w:rFonts w:ascii="Times New Roman" w:hAnsi="Times New Roman" w:cs="Times New Roman"/>
          <w:sz w:val="24"/>
          <w:szCs w:val="24"/>
        </w:rPr>
        <w:t>,</w:t>
      </w:r>
      <w:r w:rsidR="006E0F7A" w:rsidRPr="00C235E5">
        <w:rPr>
          <w:rFonts w:ascii="Times New Roman" w:hAnsi="Times New Roman" w:cs="Times New Roman"/>
          <w:sz w:val="24"/>
          <w:szCs w:val="24"/>
        </w:rPr>
        <w:t xml:space="preserve"> </w:t>
      </w:r>
      <w:r w:rsidR="00BB3A29" w:rsidRPr="00C235E5">
        <w:rPr>
          <w:rFonts w:ascii="Times New Roman" w:hAnsi="Times New Roman" w:cs="Times New Roman"/>
          <w:sz w:val="24"/>
          <w:szCs w:val="24"/>
        </w:rPr>
        <w:t>was not publicly traded</w:t>
      </w:r>
      <w:r w:rsidR="00952FCB" w:rsidRPr="00C235E5">
        <w:rPr>
          <w:rFonts w:ascii="Times New Roman" w:hAnsi="Times New Roman" w:cs="Times New Roman"/>
          <w:sz w:val="24"/>
          <w:szCs w:val="24"/>
        </w:rPr>
        <w:t xml:space="preserve"> at the time of the acquisition</w:t>
      </w:r>
      <w:r w:rsidR="00BB3A29" w:rsidRPr="00C235E5">
        <w:rPr>
          <w:rFonts w:ascii="Times New Roman" w:hAnsi="Times New Roman" w:cs="Times New Roman"/>
          <w:sz w:val="24"/>
          <w:szCs w:val="24"/>
        </w:rPr>
        <w:t>. Deezer</w:t>
      </w:r>
      <w:r w:rsidR="006F1485" w:rsidRPr="00C235E5">
        <w:rPr>
          <w:rFonts w:ascii="Times New Roman" w:hAnsi="Times New Roman" w:cs="Times New Roman"/>
          <w:sz w:val="24"/>
          <w:szCs w:val="24"/>
        </w:rPr>
        <w:t xml:space="preserve"> </w:t>
      </w:r>
      <w:r w:rsidR="00A85F1F" w:rsidRPr="00C235E5">
        <w:rPr>
          <w:rFonts w:ascii="Times New Roman" w:hAnsi="Times New Roman" w:cs="Times New Roman"/>
          <w:sz w:val="24"/>
          <w:szCs w:val="24"/>
        </w:rPr>
        <w:t xml:space="preserve">went </w:t>
      </w:r>
      <w:r w:rsidR="0054639A" w:rsidRPr="00C235E5">
        <w:rPr>
          <w:rFonts w:ascii="Times New Roman" w:hAnsi="Times New Roman" w:cs="Times New Roman"/>
          <w:sz w:val="24"/>
          <w:szCs w:val="24"/>
        </w:rPr>
        <w:t xml:space="preserve">public a few years later, and as part of that </w:t>
      </w:r>
      <w:r w:rsidR="00F4296F" w:rsidRPr="00C235E5">
        <w:rPr>
          <w:rFonts w:ascii="Times New Roman" w:hAnsi="Times New Roman" w:cs="Times New Roman"/>
          <w:sz w:val="24"/>
          <w:szCs w:val="24"/>
        </w:rPr>
        <w:t xml:space="preserve">was bound to </w:t>
      </w:r>
      <w:r w:rsidR="006F1485" w:rsidRPr="00C235E5">
        <w:rPr>
          <w:rFonts w:ascii="Times New Roman" w:hAnsi="Times New Roman" w:cs="Times New Roman"/>
          <w:sz w:val="24"/>
          <w:szCs w:val="24"/>
        </w:rPr>
        <w:t xml:space="preserve">disclose </w:t>
      </w:r>
      <w:r w:rsidR="00F4296F" w:rsidRPr="00C235E5">
        <w:rPr>
          <w:rFonts w:ascii="Times New Roman" w:hAnsi="Times New Roman" w:cs="Times New Roman"/>
          <w:sz w:val="24"/>
          <w:szCs w:val="24"/>
        </w:rPr>
        <w:t xml:space="preserve">similar </w:t>
      </w:r>
      <w:r w:rsidR="006F1485" w:rsidRPr="00C235E5">
        <w:rPr>
          <w:rFonts w:ascii="Times New Roman" w:hAnsi="Times New Roman" w:cs="Times New Roman"/>
          <w:sz w:val="24"/>
          <w:szCs w:val="24"/>
        </w:rPr>
        <w:t xml:space="preserve">information </w:t>
      </w:r>
      <w:r w:rsidR="00F4296F" w:rsidRPr="00C235E5">
        <w:rPr>
          <w:rFonts w:ascii="Times New Roman" w:hAnsi="Times New Roman" w:cs="Times New Roman"/>
          <w:sz w:val="24"/>
          <w:szCs w:val="24"/>
        </w:rPr>
        <w:t>in its merger prospectus.</w:t>
      </w:r>
      <w:r w:rsidR="00F11154" w:rsidRPr="00C235E5">
        <w:rPr>
          <w:rStyle w:val="FootnoteReference"/>
          <w:rFonts w:ascii="Times New Roman" w:hAnsi="Times New Roman" w:cs="Times New Roman"/>
          <w:sz w:val="24"/>
          <w:szCs w:val="24"/>
        </w:rPr>
        <w:footnoteReference w:id="67"/>
      </w:r>
      <w:r w:rsidR="00F4296F" w:rsidRPr="00C235E5">
        <w:rPr>
          <w:rFonts w:ascii="Times New Roman" w:hAnsi="Times New Roman" w:cs="Times New Roman"/>
          <w:sz w:val="24"/>
          <w:szCs w:val="24"/>
        </w:rPr>
        <w:t xml:space="preserve"> We can use such disclosure</w:t>
      </w:r>
      <w:r w:rsidR="0019172C" w:rsidRPr="00C235E5">
        <w:rPr>
          <w:rFonts w:ascii="Times New Roman" w:hAnsi="Times New Roman" w:cs="Times New Roman"/>
          <w:sz w:val="24"/>
          <w:szCs w:val="24"/>
        </w:rPr>
        <w:t xml:space="preserve"> information</w:t>
      </w:r>
      <w:r w:rsidR="00F4296F" w:rsidRPr="00C235E5">
        <w:rPr>
          <w:rFonts w:ascii="Times New Roman" w:hAnsi="Times New Roman" w:cs="Times New Roman"/>
          <w:sz w:val="24"/>
          <w:szCs w:val="24"/>
        </w:rPr>
        <w:t xml:space="preserve"> a</w:t>
      </w:r>
      <w:r w:rsidR="00633708" w:rsidRPr="00C235E5">
        <w:rPr>
          <w:rFonts w:ascii="Times New Roman" w:hAnsi="Times New Roman" w:cs="Times New Roman"/>
          <w:sz w:val="24"/>
          <w:szCs w:val="24"/>
        </w:rPr>
        <w:t>s</w:t>
      </w:r>
      <w:r w:rsidR="00F4296F" w:rsidRPr="00C235E5">
        <w:rPr>
          <w:rFonts w:ascii="Times New Roman" w:hAnsi="Times New Roman" w:cs="Times New Roman"/>
          <w:sz w:val="24"/>
          <w:szCs w:val="24"/>
        </w:rPr>
        <w:t xml:space="preserve"> </w:t>
      </w:r>
      <w:r w:rsidR="00A85F1F" w:rsidRPr="00C235E5">
        <w:rPr>
          <w:rFonts w:ascii="Times New Roman" w:hAnsi="Times New Roman" w:cs="Times New Roman"/>
          <w:sz w:val="24"/>
          <w:szCs w:val="24"/>
        </w:rPr>
        <w:t xml:space="preserve">a </w:t>
      </w:r>
      <w:r w:rsidR="00F4296F" w:rsidRPr="00C235E5">
        <w:rPr>
          <w:rFonts w:ascii="Times New Roman" w:hAnsi="Times New Roman" w:cs="Times New Roman"/>
          <w:sz w:val="24"/>
          <w:szCs w:val="24"/>
        </w:rPr>
        <w:t xml:space="preserve">proxy for </w:t>
      </w:r>
      <w:r w:rsidR="00EF4E3F" w:rsidRPr="00C235E5">
        <w:rPr>
          <w:rFonts w:ascii="Times New Roman" w:hAnsi="Times New Roman" w:cs="Times New Roman"/>
          <w:sz w:val="24"/>
          <w:szCs w:val="24"/>
        </w:rPr>
        <w:t>10-Ks</w:t>
      </w:r>
      <w:r w:rsidR="00F4296F" w:rsidRPr="00C235E5">
        <w:rPr>
          <w:rFonts w:ascii="Times New Roman" w:hAnsi="Times New Roman" w:cs="Times New Roman"/>
          <w:sz w:val="24"/>
          <w:szCs w:val="24"/>
        </w:rPr>
        <w:t xml:space="preserve"> or 20</w:t>
      </w:r>
      <w:r w:rsidR="00EF4E3F" w:rsidRPr="00C235E5">
        <w:rPr>
          <w:rFonts w:ascii="Times New Roman" w:hAnsi="Times New Roman" w:cs="Times New Roman"/>
          <w:sz w:val="24"/>
          <w:szCs w:val="24"/>
        </w:rPr>
        <w:t>-</w:t>
      </w:r>
      <w:r w:rsidR="00F4296F" w:rsidRPr="00C235E5">
        <w:rPr>
          <w:rFonts w:ascii="Times New Roman" w:hAnsi="Times New Roman" w:cs="Times New Roman"/>
          <w:sz w:val="24"/>
          <w:szCs w:val="24"/>
        </w:rPr>
        <w:t>F.</w:t>
      </w:r>
    </w:p>
    <w:p w14:paraId="28E0E27F" w14:textId="0280A442" w:rsidR="00B478DE" w:rsidRPr="00C235E5" w:rsidRDefault="00A85F1F"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Q</w:t>
      </w:r>
      <w:r w:rsidR="00CA0AB6" w:rsidRPr="00C235E5">
        <w:rPr>
          <w:rFonts w:ascii="Times New Roman" w:hAnsi="Times New Roman" w:cs="Times New Roman"/>
          <w:sz w:val="24"/>
          <w:szCs w:val="24"/>
        </w:rPr>
        <w:t xml:space="preserve">ualitative and quantitative </w:t>
      </w:r>
      <w:r w:rsidR="00E013B3" w:rsidRPr="00C235E5">
        <w:rPr>
          <w:rFonts w:ascii="Times New Roman" w:hAnsi="Times New Roman" w:cs="Times New Roman"/>
          <w:sz w:val="24"/>
          <w:szCs w:val="24"/>
        </w:rPr>
        <w:t xml:space="preserve">disclosure information </w:t>
      </w:r>
      <w:r w:rsidR="00CA0AB6" w:rsidRPr="00C235E5">
        <w:rPr>
          <w:rFonts w:ascii="Times New Roman" w:hAnsi="Times New Roman" w:cs="Times New Roman"/>
          <w:sz w:val="24"/>
          <w:szCs w:val="24"/>
        </w:rPr>
        <w:t>allows us to develop simple tests for the three questions</w:t>
      </w:r>
      <w:r w:rsidR="00CC4693" w:rsidRPr="00C235E5">
        <w:rPr>
          <w:rFonts w:ascii="Times New Roman" w:hAnsi="Times New Roman" w:cs="Times New Roman"/>
          <w:sz w:val="24"/>
          <w:szCs w:val="24"/>
        </w:rPr>
        <w:t xml:space="preserve"> </w:t>
      </w:r>
      <w:r w:rsidRPr="00C235E5">
        <w:rPr>
          <w:rFonts w:ascii="Times New Roman" w:hAnsi="Times New Roman" w:cs="Times New Roman"/>
          <w:sz w:val="24"/>
          <w:szCs w:val="24"/>
        </w:rPr>
        <w:t xml:space="preserve">that motivate </w:t>
      </w:r>
      <w:r w:rsidR="00CC4693" w:rsidRPr="00C235E5">
        <w:rPr>
          <w:rFonts w:ascii="Times New Roman" w:hAnsi="Times New Roman" w:cs="Times New Roman"/>
          <w:sz w:val="24"/>
          <w:szCs w:val="24"/>
        </w:rPr>
        <w:t xml:space="preserve">our study. First, to assess whether the target’s product is dead or alive, we </w:t>
      </w:r>
      <w:r w:rsidR="00E31189" w:rsidRPr="00C235E5">
        <w:rPr>
          <w:rFonts w:ascii="Times New Roman" w:hAnsi="Times New Roman" w:cs="Times New Roman"/>
          <w:sz w:val="24"/>
          <w:szCs w:val="24"/>
        </w:rPr>
        <w:t xml:space="preserve">can read the 10-K sections </w:t>
      </w:r>
      <w:r w:rsidR="008467DB" w:rsidRPr="00C235E5">
        <w:rPr>
          <w:rFonts w:ascii="Times New Roman" w:hAnsi="Times New Roman" w:cs="Times New Roman"/>
          <w:sz w:val="24"/>
          <w:szCs w:val="24"/>
        </w:rPr>
        <w:t>where reporting firms are asked to describe</w:t>
      </w:r>
      <w:r w:rsidR="00416757" w:rsidRPr="00C235E5">
        <w:rPr>
          <w:rFonts w:ascii="Times New Roman" w:hAnsi="Times New Roman" w:cs="Times New Roman"/>
          <w:sz w:val="24"/>
          <w:szCs w:val="24"/>
        </w:rPr>
        <w:t xml:space="preserve"> </w:t>
      </w:r>
      <w:r w:rsidR="008467DB" w:rsidRPr="00C235E5">
        <w:rPr>
          <w:rFonts w:ascii="Times New Roman" w:hAnsi="Times New Roman" w:cs="Times New Roman"/>
          <w:sz w:val="24"/>
          <w:szCs w:val="24"/>
        </w:rPr>
        <w:t>their competition (in Item 1 – Business</w:t>
      </w:r>
      <w:r w:rsidR="00922FFB" w:rsidRPr="00C235E5">
        <w:rPr>
          <w:rFonts w:ascii="Times New Roman" w:hAnsi="Times New Roman" w:cs="Times New Roman"/>
          <w:sz w:val="24"/>
          <w:szCs w:val="24"/>
        </w:rPr>
        <w:t xml:space="preserve"> and/or sections on Risk Factors</w:t>
      </w:r>
      <w:r w:rsidR="008467DB" w:rsidRPr="00C235E5">
        <w:rPr>
          <w:rFonts w:ascii="Times New Roman" w:hAnsi="Times New Roman" w:cs="Times New Roman"/>
          <w:sz w:val="24"/>
          <w:szCs w:val="24"/>
        </w:rPr>
        <w:t xml:space="preserve">). </w:t>
      </w:r>
      <w:r w:rsidR="00F14205" w:rsidRPr="00C235E5">
        <w:rPr>
          <w:rFonts w:ascii="Times New Roman" w:hAnsi="Times New Roman" w:cs="Times New Roman"/>
          <w:sz w:val="24"/>
          <w:szCs w:val="24"/>
        </w:rPr>
        <w:t xml:space="preserve">The </w:t>
      </w:r>
      <w:r w:rsidR="00960581" w:rsidRPr="00C235E5">
        <w:rPr>
          <w:rFonts w:ascii="Times New Roman" w:hAnsi="Times New Roman" w:cs="Times New Roman"/>
          <w:i/>
          <w:iCs/>
          <w:sz w:val="24"/>
          <w:szCs w:val="24"/>
          <w:u w:val="single"/>
        </w:rPr>
        <w:t>post-merger</w:t>
      </w:r>
      <w:r w:rsidR="003136E4" w:rsidRPr="00C235E5">
        <w:rPr>
          <w:rFonts w:ascii="Times New Roman" w:hAnsi="Times New Roman" w:cs="Times New Roman"/>
          <w:i/>
          <w:iCs/>
          <w:sz w:val="24"/>
          <w:szCs w:val="24"/>
          <w:u w:val="single"/>
        </w:rPr>
        <w:t xml:space="preserve"> rival perception</w:t>
      </w:r>
      <w:r w:rsidR="003136E4" w:rsidRPr="00C235E5">
        <w:rPr>
          <w:rFonts w:ascii="Times New Roman" w:hAnsi="Times New Roman" w:cs="Times New Roman"/>
          <w:sz w:val="24"/>
          <w:szCs w:val="24"/>
        </w:rPr>
        <w:t xml:space="preserve"> test </w:t>
      </w:r>
      <w:r w:rsidR="00F14205" w:rsidRPr="00C235E5">
        <w:rPr>
          <w:rFonts w:ascii="Times New Roman" w:hAnsi="Times New Roman" w:cs="Times New Roman"/>
          <w:sz w:val="24"/>
          <w:szCs w:val="24"/>
        </w:rPr>
        <w:t xml:space="preserve">consists in establishing whether </w:t>
      </w:r>
      <w:r w:rsidR="00EF42BA" w:rsidRPr="00C235E5">
        <w:rPr>
          <w:rFonts w:ascii="Times New Roman" w:hAnsi="Times New Roman" w:cs="Times New Roman"/>
          <w:sz w:val="24"/>
          <w:szCs w:val="24"/>
        </w:rPr>
        <w:t>post-acquisition</w:t>
      </w:r>
      <w:r w:rsidR="00F14205" w:rsidRPr="00C235E5">
        <w:rPr>
          <w:rFonts w:ascii="Times New Roman" w:hAnsi="Times New Roman" w:cs="Times New Roman"/>
          <w:sz w:val="24"/>
          <w:szCs w:val="24"/>
        </w:rPr>
        <w:t xml:space="preserve">, the target firm </w:t>
      </w:r>
      <w:r w:rsidR="004F0D34" w:rsidRPr="00C235E5">
        <w:rPr>
          <w:rFonts w:ascii="Times New Roman" w:hAnsi="Times New Roman" w:cs="Times New Roman"/>
          <w:sz w:val="24"/>
          <w:szCs w:val="24"/>
        </w:rPr>
        <w:t xml:space="preserve">or product </w:t>
      </w:r>
      <w:r w:rsidR="00F14205" w:rsidRPr="00C235E5">
        <w:rPr>
          <w:rFonts w:ascii="Times New Roman" w:hAnsi="Times New Roman" w:cs="Times New Roman"/>
          <w:sz w:val="24"/>
          <w:szCs w:val="24"/>
        </w:rPr>
        <w:t xml:space="preserve">is still </w:t>
      </w:r>
      <w:r w:rsidR="002F3B8D" w:rsidRPr="00C235E5">
        <w:rPr>
          <w:rFonts w:ascii="Times New Roman" w:hAnsi="Times New Roman" w:cs="Times New Roman"/>
          <w:sz w:val="24"/>
          <w:szCs w:val="24"/>
        </w:rPr>
        <w:t>perceived</w:t>
      </w:r>
      <w:r w:rsidR="00F14205" w:rsidRPr="00C235E5">
        <w:rPr>
          <w:rFonts w:ascii="Times New Roman" w:hAnsi="Times New Roman" w:cs="Times New Roman"/>
          <w:sz w:val="24"/>
          <w:szCs w:val="24"/>
        </w:rPr>
        <w:t xml:space="preserve"> </w:t>
      </w:r>
      <w:r w:rsidR="002F3B8D" w:rsidRPr="00C235E5">
        <w:rPr>
          <w:rFonts w:ascii="Times New Roman" w:hAnsi="Times New Roman" w:cs="Times New Roman"/>
          <w:sz w:val="24"/>
          <w:szCs w:val="24"/>
        </w:rPr>
        <w:t xml:space="preserve">as </w:t>
      </w:r>
      <w:r w:rsidR="004F259F" w:rsidRPr="00C235E5">
        <w:rPr>
          <w:rFonts w:ascii="Times New Roman" w:hAnsi="Times New Roman" w:cs="Times New Roman"/>
          <w:sz w:val="24"/>
          <w:szCs w:val="24"/>
        </w:rPr>
        <w:t xml:space="preserve">a </w:t>
      </w:r>
      <w:r w:rsidR="00F14205" w:rsidRPr="00C235E5">
        <w:rPr>
          <w:rFonts w:ascii="Times New Roman" w:hAnsi="Times New Roman" w:cs="Times New Roman"/>
          <w:sz w:val="24"/>
          <w:szCs w:val="24"/>
        </w:rPr>
        <w:t xml:space="preserve">competitor. </w:t>
      </w:r>
      <w:r w:rsidR="002F3B8D" w:rsidRPr="00C235E5">
        <w:rPr>
          <w:rFonts w:ascii="Times New Roman" w:hAnsi="Times New Roman" w:cs="Times New Roman"/>
          <w:sz w:val="24"/>
          <w:szCs w:val="24"/>
        </w:rPr>
        <w:t xml:space="preserve">This </w:t>
      </w:r>
      <w:r w:rsidR="00AA36E8" w:rsidRPr="00C235E5">
        <w:rPr>
          <w:rFonts w:ascii="Times New Roman" w:hAnsi="Times New Roman" w:cs="Times New Roman"/>
          <w:sz w:val="24"/>
          <w:szCs w:val="24"/>
        </w:rPr>
        <w:t xml:space="preserve">is satisfied if </w:t>
      </w:r>
      <w:r w:rsidR="004C70F5" w:rsidRPr="00C235E5">
        <w:rPr>
          <w:rFonts w:ascii="Times New Roman" w:hAnsi="Times New Roman" w:cs="Times New Roman"/>
          <w:sz w:val="24"/>
          <w:szCs w:val="24"/>
        </w:rPr>
        <w:t>there is reference to</w:t>
      </w:r>
      <w:r w:rsidR="001E5FA5" w:rsidRPr="00C235E5">
        <w:rPr>
          <w:rFonts w:ascii="Times New Roman" w:hAnsi="Times New Roman" w:cs="Times New Roman"/>
          <w:sz w:val="24"/>
          <w:szCs w:val="24"/>
        </w:rPr>
        <w:t xml:space="preserve"> the target firm or product as part</w:t>
      </w:r>
      <w:r w:rsidR="004C70F5" w:rsidRPr="00C235E5">
        <w:rPr>
          <w:rFonts w:ascii="Times New Roman" w:hAnsi="Times New Roman" w:cs="Times New Roman"/>
          <w:sz w:val="24"/>
          <w:szCs w:val="24"/>
        </w:rPr>
        <w:t xml:space="preserve"> </w:t>
      </w:r>
      <w:r w:rsidR="001E5FA5" w:rsidRPr="00C235E5">
        <w:rPr>
          <w:rFonts w:ascii="Times New Roman" w:hAnsi="Times New Roman" w:cs="Times New Roman"/>
          <w:sz w:val="24"/>
          <w:szCs w:val="24"/>
        </w:rPr>
        <w:t xml:space="preserve">of </w:t>
      </w:r>
      <w:r w:rsidR="004C70F5" w:rsidRPr="00C235E5">
        <w:rPr>
          <w:rFonts w:ascii="Times New Roman" w:hAnsi="Times New Roman" w:cs="Times New Roman"/>
          <w:sz w:val="24"/>
          <w:szCs w:val="24"/>
        </w:rPr>
        <w:t xml:space="preserve">the </w:t>
      </w:r>
      <w:r w:rsidR="0075719D" w:rsidRPr="00C235E5">
        <w:rPr>
          <w:rFonts w:ascii="Times New Roman" w:hAnsi="Times New Roman" w:cs="Times New Roman"/>
          <w:sz w:val="24"/>
          <w:szCs w:val="24"/>
        </w:rPr>
        <w:t xml:space="preserve">merged </w:t>
      </w:r>
      <w:r w:rsidR="004C70F5" w:rsidRPr="00C235E5">
        <w:rPr>
          <w:rFonts w:ascii="Times New Roman" w:hAnsi="Times New Roman" w:cs="Times New Roman"/>
          <w:sz w:val="24"/>
          <w:szCs w:val="24"/>
        </w:rPr>
        <w:t xml:space="preserve">entity. </w:t>
      </w:r>
    </w:p>
    <w:p w14:paraId="06D066BC" w14:textId="535B571A" w:rsidR="009A27AA" w:rsidRPr="00C235E5" w:rsidRDefault="00455FB1"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Second, we can assess the </w:t>
      </w:r>
      <w:r w:rsidR="00260D75" w:rsidRPr="00C235E5">
        <w:rPr>
          <w:rFonts w:ascii="Times New Roman" w:hAnsi="Times New Roman" w:cs="Times New Roman"/>
          <w:sz w:val="24"/>
          <w:szCs w:val="24"/>
        </w:rPr>
        <w:t>post-merger</w:t>
      </w:r>
      <w:r w:rsidRPr="00C235E5">
        <w:rPr>
          <w:rFonts w:ascii="Times New Roman" w:hAnsi="Times New Roman" w:cs="Times New Roman"/>
          <w:sz w:val="24"/>
          <w:szCs w:val="24"/>
        </w:rPr>
        <w:t xml:space="preserve"> competitive situation by looking </w:t>
      </w:r>
      <w:r w:rsidR="005150F6" w:rsidRPr="00C235E5">
        <w:rPr>
          <w:rFonts w:ascii="Times New Roman" w:hAnsi="Times New Roman" w:cs="Times New Roman"/>
          <w:sz w:val="24"/>
          <w:szCs w:val="24"/>
        </w:rPr>
        <w:t>at</w:t>
      </w:r>
      <w:r w:rsidRPr="00C235E5">
        <w:rPr>
          <w:rFonts w:ascii="Times New Roman" w:hAnsi="Times New Roman" w:cs="Times New Roman"/>
          <w:sz w:val="24"/>
          <w:szCs w:val="24"/>
        </w:rPr>
        <w:t xml:space="preserve"> </w:t>
      </w:r>
      <w:r w:rsidR="0065716F" w:rsidRPr="00C235E5">
        <w:rPr>
          <w:rFonts w:ascii="Times New Roman" w:hAnsi="Times New Roman" w:cs="Times New Roman"/>
          <w:sz w:val="24"/>
          <w:szCs w:val="24"/>
        </w:rPr>
        <w:t>sales data in 10-K reports</w:t>
      </w:r>
      <w:r w:rsidR="00B47264" w:rsidRPr="00C235E5">
        <w:rPr>
          <w:rFonts w:ascii="Times New Roman" w:hAnsi="Times New Roman" w:cs="Times New Roman"/>
          <w:sz w:val="24"/>
          <w:szCs w:val="24"/>
        </w:rPr>
        <w:t xml:space="preserve">. </w:t>
      </w:r>
      <w:r w:rsidR="0065716F" w:rsidRPr="00C235E5">
        <w:rPr>
          <w:rFonts w:ascii="Times New Roman" w:hAnsi="Times New Roman" w:cs="Times New Roman"/>
          <w:sz w:val="24"/>
          <w:szCs w:val="24"/>
        </w:rPr>
        <w:t xml:space="preserve">The test consists in studying the sales of competitors of the merged entity to evaluate the </w:t>
      </w:r>
      <w:r w:rsidR="00260D75" w:rsidRPr="00C235E5">
        <w:rPr>
          <w:rFonts w:ascii="Times New Roman" w:hAnsi="Times New Roman" w:cs="Times New Roman"/>
          <w:sz w:val="24"/>
          <w:szCs w:val="24"/>
        </w:rPr>
        <w:t>post-merger</w:t>
      </w:r>
      <w:r w:rsidR="0065716F" w:rsidRPr="00C235E5">
        <w:rPr>
          <w:rFonts w:ascii="Times New Roman" w:hAnsi="Times New Roman" w:cs="Times New Roman"/>
          <w:sz w:val="24"/>
          <w:szCs w:val="24"/>
        </w:rPr>
        <w:t xml:space="preserve"> competitive </w:t>
      </w:r>
      <w:r w:rsidR="00DF7C6B" w:rsidRPr="00C235E5">
        <w:rPr>
          <w:rFonts w:ascii="Times New Roman" w:hAnsi="Times New Roman" w:cs="Times New Roman"/>
          <w:sz w:val="24"/>
          <w:szCs w:val="24"/>
        </w:rPr>
        <w:t>landscape</w:t>
      </w:r>
      <w:r w:rsidR="0065716F" w:rsidRPr="00C235E5">
        <w:rPr>
          <w:rFonts w:ascii="Times New Roman" w:hAnsi="Times New Roman" w:cs="Times New Roman"/>
          <w:sz w:val="24"/>
          <w:szCs w:val="24"/>
        </w:rPr>
        <w:t xml:space="preserve">. </w:t>
      </w:r>
      <w:r w:rsidR="00DF7C6B" w:rsidRPr="00C235E5">
        <w:rPr>
          <w:rFonts w:ascii="Times New Roman" w:hAnsi="Times New Roman" w:cs="Times New Roman"/>
          <w:sz w:val="24"/>
          <w:szCs w:val="24"/>
        </w:rPr>
        <w:t xml:space="preserve">This </w:t>
      </w:r>
      <w:r w:rsidR="00260D75" w:rsidRPr="00C235E5">
        <w:rPr>
          <w:rFonts w:ascii="Times New Roman" w:hAnsi="Times New Roman" w:cs="Times New Roman"/>
          <w:i/>
          <w:iCs/>
          <w:sz w:val="24"/>
          <w:szCs w:val="24"/>
          <w:u w:val="single"/>
        </w:rPr>
        <w:t>post-merger</w:t>
      </w:r>
      <w:r w:rsidR="00DF7C6B" w:rsidRPr="00C235E5">
        <w:rPr>
          <w:rFonts w:ascii="Times New Roman" w:hAnsi="Times New Roman" w:cs="Times New Roman"/>
          <w:i/>
          <w:iCs/>
          <w:sz w:val="24"/>
          <w:szCs w:val="24"/>
          <w:u w:val="single"/>
        </w:rPr>
        <w:t xml:space="preserve"> </w:t>
      </w:r>
      <w:r w:rsidR="003136E4" w:rsidRPr="00C235E5">
        <w:rPr>
          <w:rFonts w:ascii="Times New Roman" w:hAnsi="Times New Roman" w:cs="Times New Roman"/>
          <w:i/>
          <w:iCs/>
          <w:sz w:val="24"/>
          <w:szCs w:val="24"/>
          <w:u w:val="single"/>
        </w:rPr>
        <w:t xml:space="preserve">rival </w:t>
      </w:r>
      <w:r w:rsidR="00457160" w:rsidRPr="00C235E5">
        <w:rPr>
          <w:rFonts w:ascii="Times New Roman" w:hAnsi="Times New Roman" w:cs="Times New Roman"/>
          <w:i/>
          <w:iCs/>
          <w:sz w:val="24"/>
          <w:szCs w:val="24"/>
          <w:u w:val="single"/>
        </w:rPr>
        <w:t>sales</w:t>
      </w:r>
      <w:r w:rsidR="00457160" w:rsidRPr="00C235E5">
        <w:rPr>
          <w:rFonts w:ascii="Times New Roman" w:hAnsi="Times New Roman" w:cs="Times New Roman"/>
          <w:sz w:val="24"/>
          <w:szCs w:val="24"/>
        </w:rPr>
        <w:t xml:space="preserve"> </w:t>
      </w:r>
      <w:r w:rsidR="00DF7C6B" w:rsidRPr="00C235E5">
        <w:rPr>
          <w:rFonts w:ascii="Times New Roman" w:hAnsi="Times New Roman" w:cs="Times New Roman"/>
          <w:sz w:val="24"/>
          <w:szCs w:val="24"/>
        </w:rPr>
        <w:t xml:space="preserve">test </w:t>
      </w:r>
      <w:r w:rsidR="00617A85" w:rsidRPr="00C235E5">
        <w:rPr>
          <w:rFonts w:ascii="Times New Roman" w:hAnsi="Times New Roman" w:cs="Times New Roman"/>
          <w:sz w:val="24"/>
          <w:szCs w:val="24"/>
        </w:rPr>
        <w:t>produces</w:t>
      </w:r>
      <w:r w:rsidR="00DF7C6B" w:rsidRPr="00C235E5">
        <w:rPr>
          <w:rFonts w:ascii="Times New Roman" w:hAnsi="Times New Roman" w:cs="Times New Roman"/>
          <w:sz w:val="24"/>
          <w:szCs w:val="24"/>
        </w:rPr>
        <w:t xml:space="preserve"> </w:t>
      </w:r>
      <w:r w:rsidR="00617A85" w:rsidRPr="00C235E5">
        <w:rPr>
          <w:rFonts w:ascii="Times New Roman" w:hAnsi="Times New Roman" w:cs="Times New Roman"/>
          <w:sz w:val="24"/>
          <w:szCs w:val="24"/>
        </w:rPr>
        <w:t xml:space="preserve">insightful </w:t>
      </w:r>
      <w:r w:rsidR="00DF7C6B" w:rsidRPr="00C235E5">
        <w:rPr>
          <w:rFonts w:ascii="Times New Roman" w:hAnsi="Times New Roman" w:cs="Times New Roman"/>
          <w:sz w:val="24"/>
          <w:szCs w:val="24"/>
        </w:rPr>
        <w:t xml:space="preserve">information signals on whether the </w:t>
      </w:r>
      <w:r w:rsidR="00E86053" w:rsidRPr="00C235E5">
        <w:rPr>
          <w:rFonts w:ascii="Times New Roman" w:hAnsi="Times New Roman" w:cs="Times New Roman"/>
          <w:sz w:val="24"/>
          <w:szCs w:val="24"/>
        </w:rPr>
        <w:t xml:space="preserve">transaction killed </w:t>
      </w:r>
      <w:r w:rsidR="008D352A" w:rsidRPr="00C235E5">
        <w:rPr>
          <w:rFonts w:ascii="Times New Roman" w:hAnsi="Times New Roman" w:cs="Times New Roman"/>
          <w:sz w:val="24"/>
          <w:szCs w:val="24"/>
        </w:rPr>
        <w:t xml:space="preserve">competition. </w:t>
      </w:r>
    </w:p>
    <w:p w14:paraId="5B309DE6" w14:textId="7AEC6213" w:rsidR="009A27AA" w:rsidRPr="00C235E5" w:rsidRDefault="009A27AA"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lastRenderedPageBreak/>
        <w:t xml:space="preserve">Third, </w:t>
      </w:r>
      <w:r w:rsidR="00A533B2" w:rsidRPr="00C235E5">
        <w:rPr>
          <w:rFonts w:ascii="Times New Roman" w:hAnsi="Times New Roman" w:cs="Times New Roman"/>
          <w:sz w:val="24"/>
          <w:szCs w:val="24"/>
        </w:rPr>
        <w:t xml:space="preserve">we </w:t>
      </w:r>
      <w:r w:rsidR="002C49BA" w:rsidRPr="00C235E5">
        <w:rPr>
          <w:rFonts w:ascii="Times New Roman" w:hAnsi="Times New Roman" w:cs="Times New Roman"/>
          <w:sz w:val="24"/>
          <w:szCs w:val="24"/>
        </w:rPr>
        <w:t xml:space="preserve">can </w:t>
      </w:r>
      <w:r w:rsidR="00BD0CD9" w:rsidRPr="00C235E5">
        <w:rPr>
          <w:rFonts w:ascii="Times New Roman" w:hAnsi="Times New Roman" w:cs="Times New Roman"/>
          <w:sz w:val="24"/>
          <w:szCs w:val="24"/>
        </w:rPr>
        <w:t>search</w:t>
      </w:r>
      <w:r w:rsidR="002C49BA" w:rsidRPr="00C235E5">
        <w:rPr>
          <w:rFonts w:ascii="Times New Roman" w:hAnsi="Times New Roman" w:cs="Times New Roman"/>
          <w:sz w:val="24"/>
          <w:szCs w:val="24"/>
        </w:rPr>
        <w:t xml:space="preserve"> the disclosure data for </w:t>
      </w:r>
      <w:r w:rsidR="006A6269" w:rsidRPr="00C235E5">
        <w:rPr>
          <w:rFonts w:ascii="Times New Roman" w:hAnsi="Times New Roman" w:cs="Times New Roman"/>
          <w:sz w:val="24"/>
          <w:szCs w:val="24"/>
        </w:rPr>
        <w:t xml:space="preserve">industry events </w:t>
      </w:r>
      <w:r w:rsidR="008E0750" w:rsidRPr="00C235E5">
        <w:rPr>
          <w:rFonts w:ascii="Times New Roman" w:hAnsi="Times New Roman" w:cs="Times New Roman"/>
          <w:sz w:val="24"/>
          <w:szCs w:val="24"/>
        </w:rPr>
        <w:t xml:space="preserve">that should correlate with rising </w:t>
      </w:r>
      <w:r w:rsidR="006A6269" w:rsidRPr="00C235E5">
        <w:rPr>
          <w:rFonts w:ascii="Times New Roman" w:hAnsi="Times New Roman" w:cs="Times New Roman"/>
          <w:sz w:val="24"/>
          <w:szCs w:val="24"/>
        </w:rPr>
        <w:t xml:space="preserve">competition. </w:t>
      </w:r>
      <w:r w:rsidR="00067527" w:rsidRPr="00C235E5">
        <w:rPr>
          <w:rFonts w:ascii="Times New Roman" w:hAnsi="Times New Roman" w:cs="Times New Roman"/>
          <w:sz w:val="24"/>
          <w:szCs w:val="24"/>
        </w:rPr>
        <w:t xml:space="preserve">We </w:t>
      </w:r>
      <w:r w:rsidR="002E3CD0" w:rsidRPr="00C235E5">
        <w:rPr>
          <w:rFonts w:ascii="Times New Roman" w:hAnsi="Times New Roman" w:cs="Times New Roman"/>
          <w:sz w:val="24"/>
          <w:szCs w:val="24"/>
        </w:rPr>
        <w:t xml:space="preserve">focus </w:t>
      </w:r>
      <w:r w:rsidR="00067527" w:rsidRPr="00C235E5">
        <w:rPr>
          <w:rFonts w:ascii="Times New Roman" w:hAnsi="Times New Roman" w:cs="Times New Roman"/>
          <w:sz w:val="24"/>
          <w:szCs w:val="24"/>
        </w:rPr>
        <w:t xml:space="preserve">on </w:t>
      </w:r>
      <w:r w:rsidR="002C49BA" w:rsidRPr="00C235E5">
        <w:rPr>
          <w:rFonts w:ascii="Times New Roman" w:hAnsi="Times New Roman" w:cs="Times New Roman"/>
          <w:sz w:val="24"/>
          <w:szCs w:val="24"/>
        </w:rPr>
        <w:t xml:space="preserve">three </w:t>
      </w:r>
      <w:r w:rsidR="00CF3CA9" w:rsidRPr="00C235E5">
        <w:rPr>
          <w:rFonts w:ascii="Times New Roman" w:hAnsi="Times New Roman" w:cs="Times New Roman"/>
          <w:i/>
          <w:iCs/>
          <w:sz w:val="24"/>
          <w:szCs w:val="24"/>
          <w:u w:val="single"/>
        </w:rPr>
        <w:t>post-merger</w:t>
      </w:r>
      <w:r w:rsidR="008F69A5" w:rsidRPr="00C235E5">
        <w:rPr>
          <w:rFonts w:ascii="Times New Roman" w:hAnsi="Times New Roman" w:cs="Times New Roman"/>
          <w:i/>
          <w:iCs/>
          <w:sz w:val="24"/>
          <w:szCs w:val="24"/>
          <w:u w:val="single"/>
        </w:rPr>
        <w:t xml:space="preserve"> competitive events</w:t>
      </w:r>
      <w:r w:rsidR="001A2E44" w:rsidRPr="00C235E5">
        <w:rPr>
          <w:rFonts w:ascii="Times New Roman" w:hAnsi="Times New Roman" w:cs="Times New Roman"/>
          <w:sz w:val="24"/>
          <w:szCs w:val="24"/>
        </w:rPr>
        <w:t xml:space="preserve">, </w:t>
      </w:r>
      <w:r w:rsidR="002E3CD0" w:rsidRPr="00C235E5">
        <w:rPr>
          <w:rFonts w:ascii="Times New Roman" w:hAnsi="Times New Roman" w:cs="Times New Roman"/>
          <w:sz w:val="24"/>
          <w:szCs w:val="24"/>
        </w:rPr>
        <w:t>namely</w:t>
      </w:r>
      <w:r w:rsidR="00343CB4">
        <w:rPr>
          <w:rFonts w:ascii="Times New Roman" w:hAnsi="Times New Roman" w:cs="Times New Roman"/>
          <w:sz w:val="24"/>
          <w:szCs w:val="24"/>
        </w:rPr>
        <w:t>:</w:t>
      </w:r>
      <w:r w:rsidR="002E3CD0" w:rsidRPr="00C235E5">
        <w:rPr>
          <w:rFonts w:ascii="Times New Roman" w:hAnsi="Times New Roman" w:cs="Times New Roman"/>
          <w:sz w:val="24"/>
          <w:szCs w:val="24"/>
        </w:rPr>
        <w:t xml:space="preserve"> </w:t>
      </w:r>
      <w:r w:rsidR="001A2E44" w:rsidRPr="00C235E5">
        <w:rPr>
          <w:rFonts w:ascii="Times New Roman" w:hAnsi="Times New Roman" w:cs="Times New Roman"/>
          <w:sz w:val="24"/>
          <w:szCs w:val="24"/>
        </w:rPr>
        <w:t>new product introduction, new firm creation, or competitor</w:t>
      </w:r>
      <w:r w:rsidR="00081470" w:rsidRPr="00C235E5">
        <w:rPr>
          <w:rFonts w:ascii="Times New Roman" w:hAnsi="Times New Roman" w:cs="Times New Roman"/>
          <w:sz w:val="24"/>
          <w:szCs w:val="24"/>
        </w:rPr>
        <w:t>s</w:t>
      </w:r>
      <w:r w:rsidR="001A2E44" w:rsidRPr="00C235E5">
        <w:rPr>
          <w:rFonts w:ascii="Times New Roman" w:hAnsi="Times New Roman" w:cs="Times New Roman"/>
          <w:sz w:val="24"/>
          <w:szCs w:val="24"/>
        </w:rPr>
        <w:t xml:space="preserve"> </w:t>
      </w:r>
      <w:r w:rsidR="00081470" w:rsidRPr="00C235E5">
        <w:rPr>
          <w:rFonts w:ascii="Times New Roman" w:hAnsi="Times New Roman" w:cs="Times New Roman"/>
          <w:sz w:val="24"/>
          <w:szCs w:val="24"/>
        </w:rPr>
        <w:t>going public</w:t>
      </w:r>
      <w:r w:rsidR="008C5329" w:rsidRPr="00C235E5">
        <w:rPr>
          <w:rFonts w:ascii="Times New Roman" w:hAnsi="Times New Roman" w:cs="Times New Roman"/>
          <w:sz w:val="24"/>
          <w:szCs w:val="24"/>
        </w:rPr>
        <w:t>.</w:t>
      </w:r>
      <w:r w:rsidR="00212D99" w:rsidRPr="00C235E5">
        <w:rPr>
          <w:rStyle w:val="FootnoteReference"/>
          <w:rFonts w:ascii="Times New Roman" w:hAnsi="Times New Roman" w:cs="Times New Roman"/>
          <w:sz w:val="24"/>
          <w:szCs w:val="24"/>
        </w:rPr>
        <w:footnoteReference w:id="68"/>
      </w:r>
      <w:r w:rsidR="003136E4" w:rsidRPr="00C235E5">
        <w:rPr>
          <w:rFonts w:ascii="Times New Roman" w:hAnsi="Times New Roman" w:cs="Times New Roman"/>
          <w:sz w:val="24"/>
          <w:szCs w:val="24"/>
        </w:rPr>
        <w:t xml:space="preserve"> </w:t>
      </w:r>
    </w:p>
    <w:p w14:paraId="30B7B6DD" w14:textId="39A0C36B" w:rsidR="00832931" w:rsidRPr="00C235E5" w:rsidRDefault="00DC18ED"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T</w:t>
      </w:r>
      <w:r w:rsidR="001B4871" w:rsidRPr="00C235E5">
        <w:rPr>
          <w:rFonts w:ascii="Times New Roman" w:hAnsi="Times New Roman" w:cs="Times New Roman"/>
          <w:sz w:val="24"/>
          <w:szCs w:val="24"/>
        </w:rPr>
        <w:t>he</w:t>
      </w:r>
      <w:r w:rsidR="001067D6" w:rsidRPr="00C235E5">
        <w:rPr>
          <w:rFonts w:ascii="Times New Roman" w:hAnsi="Times New Roman" w:cs="Times New Roman"/>
          <w:sz w:val="24"/>
          <w:szCs w:val="24"/>
        </w:rPr>
        <w:t xml:space="preserve"> three tests </w:t>
      </w:r>
      <w:r w:rsidR="00D50F43" w:rsidRPr="00C235E5">
        <w:rPr>
          <w:rFonts w:ascii="Times New Roman" w:hAnsi="Times New Roman" w:cs="Times New Roman"/>
          <w:sz w:val="24"/>
          <w:szCs w:val="24"/>
        </w:rPr>
        <w:t xml:space="preserve">are intended to draw </w:t>
      </w:r>
      <w:r w:rsidRPr="00C235E5">
        <w:rPr>
          <w:rFonts w:ascii="Times New Roman" w:hAnsi="Times New Roman" w:cs="Times New Roman"/>
          <w:sz w:val="24"/>
          <w:szCs w:val="24"/>
        </w:rPr>
        <w:t>a</w:t>
      </w:r>
      <w:r w:rsidR="00832931" w:rsidRPr="00C235E5">
        <w:rPr>
          <w:rFonts w:ascii="Times New Roman" w:hAnsi="Times New Roman" w:cs="Times New Roman"/>
          <w:sz w:val="24"/>
          <w:szCs w:val="24"/>
        </w:rPr>
        <w:t xml:space="preserve"> </w:t>
      </w:r>
      <w:r w:rsidR="008B4DCE" w:rsidRPr="00C235E5">
        <w:rPr>
          <w:rFonts w:ascii="Times New Roman" w:hAnsi="Times New Roman" w:cs="Times New Roman"/>
          <w:sz w:val="24"/>
          <w:szCs w:val="24"/>
        </w:rPr>
        <w:t xml:space="preserve">picture of </w:t>
      </w:r>
      <w:r w:rsidR="00D50F43" w:rsidRPr="00C235E5">
        <w:rPr>
          <w:rFonts w:ascii="Times New Roman" w:hAnsi="Times New Roman" w:cs="Times New Roman"/>
          <w:sz w:val="24"/>
          <w:szCs w:val="24"/>
        </w:rPr>
        <w:t xml:space="preserve">competition in </w:t>
      </w:r>
      <w:r w:rsidR="008B4DCE" w:rsidRPr="00C235E5">
        <w:rPr>
          <w:rFonts w:ascii="Times New Roman" w:hAnsi="Times New Roman" w:cs="Times New Roman"/>
          <w:sz w:val="24"/>
          <w:szCs w:val="24"/>
        </w:rPr>
        <w:t>the post</w:t>
      </w:r>
      <w:r w:rsidRPr="00C235E5">
        <w:rPr>
          <w:rFonts w:ascii="Times New Roman" w:hAnsi="Times New Roman" w:cs="Times New Roman"/>
          <w:sz w:val="24"/>
          <w:szCs w:val="24"/>
        </w:rPr>
        <w:t>-</w:t>
      </w:r>
      <w:r w:rsidR="00A01180" w:rsidRPr="00C235E5">
        <w:rPr>
          <w:rFonts w:ascii="Times New Roman" w:hAnsi="Times New Roman" w:cs="Times New Roman"/>
          <w:sz w:val="24"/>
          <w:szCs w:val="24"/>
        </w:rPr>
        <w:t>merger</w:t>
      </w:r>
      <w:r w:rsidR="00092E9C" w:rsidRPr="00C235E5">
        <w:rPr>
          <w:rFonts w:ascii="Times New Roman" w:hAnsi="Times New Roman" w:cs="Times New Roman"/>
          <w:sz w:val="24"/>
          <w:szCs w:val="24"/>
        </w:rPr>
        <w:t xml:space="preserve"> </w:t>
      </w:r>
      <w:r w:rsidR="00E31162" w:rsidRPr="00C235E5">
        <w:rPr>
          <w:rFonts w:ascii="Times New Roman" w:hAnsi="Times New Roman" w:cs="Times New Roman"/>
          <w:sz w:val="24"/>
          <w:szCs w:val="24"/>
        </w:rPr>
        <w:t>world</w:t>
      </w:r>
      <w:r w:rsidR="005C01D3" w:rsidRPr="00C235E5">
        <w:rPr>
          <w:rFonts w:ascii="Times New Roman" w:hAnsi="Times New Roman" w:cs="Times New Roman"/>
          <w:sz w:val="24"/>
          <w:szCs w:val="24"/>
        </w:rPr>
        <w:t xml:space="preserve">. </w:t>
      </w:r>
      <w:r w:rsidR="007373B8" w:rsidRPr="00C235E5">
        <w:rPr>
          <w:rFonts w:ascii="Times New Roman" w:hAnsi="Times New Roman" w:cs="Times New Roman"/>
          <w:sz w:val="24"/>
          <w:szCs w:val="24"/>
        </w:rPr>
        <w:t>By applying them, we</w:t>
      </w:r>
      <w:r w:rsidR="00E31162" w:rsidRPr="00C235E5">
        <w:rPr>
          <w:rFonts w:ascii="Times New Roman" w:hAnsi="Times New Roman" w:cs="Times New Roman"/>
          <w:sz w:val="24"/>
          <w:szCs w:val="24"/>
        </w:rPr>
        <w:t xml:space="preserve"> </w:t>
      </w:r>
      <w:r w:rsidR="00C804BF" w:rsidRPr="00C235E5">
        <w:rPr>
          <w:rFonts w:ascii="Times New Roman" w:hAnsi="Times New Roman" w:cs="Times New Roman"/>
          <w:sz w:val="24"/>
          <w:szCs w:val="24"/>
        </w:rPr>
        <w:t xml:space="preserve">get </w:t>
      </w:r>
      <w:r w:rsidR="00E31162" w:rsidRPr="00C235E5">
        <w:rPr>
          <w:rFonts w:ascii="Times New Roman" w:hAnsi="Times New Roman" w:cs="Times New Roman"/>
          <w:sz w:val="24"/>
          <w:szCs w:val="24"/>
        </w:rPr>
        <w:t>an understanding of</w:t>
      </w:r>
      <w:r w:rsidR="008B4DCE" w:rsidRPr="00C235E5">
        <w:rPr>
          <w:rFonts w:ascii="Times New Roman" w:hAnsi="Times New Roman" w:cs="Times New Roman"/>
          <w:sz w:val="24"/>
          <w:szCs w:val="24"/>
        </w:rPr>
        <w:t xml:space="preserve"> </w:t>
      </w:r>
      <w:r w:rsidR="00D50F43" w:rsidRPr="00C235E5">
        <w:rPr>
          <w:rFonts w:ascii="Times New Roman" w:hAnsi="Times New Roman" w:cs="Times New Roman"/>
          <w:sz w:val="24"/>
          <w:szCs w:val="24"/>
        </w:rPr>
        <w:t xml:space="preserve">competitive </w:t>
      </w:r>
      <w:r w:rsidR="001067D6" w:rsidRPr="00C235E5">
        <w:rPr>
          <w:rFonts w:ascii="Times New Roman" w:hAnsi="Times New Roman" w:cs="Times New Roman"/>
          <w:sz w:val="24"/>
          <w:szCs w:val="24"/>
        </w:rPr>
        <w:t xml:space="preserve">perception, </w:t>
      </w:r>
      <w:r w:rsidR="00E31162" w:rsidRPr="00C235E5">
        <w:rPr>
          <w:rFonts w:ascii="Times New Roman" w:hAnsi="Times New Roman" w:cs="Times New Roman"/>
          <w:sz w:val="24"/>
          <w:szCs w:val="24"/>
        </w:rPr>
        <w:t>positions</w:t>
      </w:r>
      <w:r w:rsidR="001067D6" w:rsidRPr="00C235E5">
        <w:rPr>
          <w:rFonts w:ascii="Times New Roman" w:hAnsi="Times New Roman" w:cs="Times New Roman"/>
          <w:sz w:val="24"/>
          <w:szCs w:val="24"/>
        </w:rPr>
        <w:t xml:space="preserve">, and </w:t>
      </w:r>
      <w:r w:rsidR="008B4DCE" w:rsidRPr="00C235E5">
        <w:rPr>
          <w:rFonts w:ascii="Times New Roman" w:hAnsi="Times New Roman" w:cs="Times New Roman"/>
          <w:sz w:val="24"/>
          <w:szCs w:val="24"/>
        </w:rPr>
        <w:t>disruption</w:t>
      </w:r>
      <w:r w:rsidR="00D50F43" w:rsidRPr="00C235E5">
        <w:rPr>
          <w:rFonts w:ascii="Times New Roman" w:hAnsi="Times New Roman" w:cs="Times New Roman"/>
          <w:sz w:val="24"/>
          <w:szCs w:val="24"/>
        </w:rPr>
        <w:t>s</w:t>
      </w:r>
      <w:r w:rsidR="00AA45E2" w:rsidRPr="00C235E5">
        <w:rPr>
          <w:rFonts w:ascii="Times New Roman" w:hAnsi="Times New Roman" w:cs="Times New Roman"/>
          <w:sz w:val="24"/>
          <w:szCs w:val="24"/>
        </w:rPr>
        <w:t xml:space="preserve"> in the relevant market</w:t>
      </w:r>
      <w:r w:rsidR="000B0B81" w:rsidRPr="00C235E5">
        <w:rPr>
          <w:rFonts w:ascii="Times New Roman" w:hAnsi="Times New Roman" w:cs="Times New Roman"/>
          <w:sz w:val="24"/>
          <w:szCs w:val="24"/>
        </w:rPr>
        <w:t>. We can then</w:t>
      </w:r>
      <w:r w:rsidR="00AA45E2" w:rsidRPr="00C235E5">
        <w:rPr>
          <w:rFonts w:ascii="Times New Roman" w:hAnsi="Times New Roman" w:cs="Times New Roman"/>
          <w:sz w:val="24"/>
          <w:szCs w:val="24"/>
        </w:rPr>
        <w:t xml:space="preserve"> </w:t>
      </w:r>
      <w:r w:rsidR="000B0B81" w:rsidRPr="00C235E5">
        <w:rPr>
          <w:rFonts w:ascii="Times New Roman" w:hAnsi="Times New Roman" w:cs="Times New Roman"/>
          <w:sz w:val="24"/>
          <w:szCs w:val="24"/>
        </w:rPr>
        <w:t xml:space="preserve">obtain </w:t>
      </w:r>
      <w:r w:rsidR="00AA45E2" w:rsidRPr="00C235E5">
        <w:rPr>
          <w:rFonts w:ascii="Times New Roman" w:hAnsi="Times New Roman" w:cs="Times New Roman"/>
          <w:sz w:val="24"/>
          <w:szCs w:val="24"/>
        </w:rPr>
        <w:t xml:space="preserve">insights </w:t>
      </w:r>
      <w:r w:rsidR="000B0B81" w:rsidRPr="00C235E5">
        <w:rPr>
          <w:rFonts w:ascii="Times New Roman" w:hAnsi="Times New Roman" w:cs="Times New Roman"/>
          <w:sz w:val="24"/>
          <w:szCs w:val="24"/>
        </w:rPr>
        <w:t>into</w:t>
      </w:r>
      <w:r w:rsidR="00AA45E2" w:rsidRPr="00C235E5">
        <w:rPr>
          <w:rFonts w:ascii="Times New Roman" w:hAnsi="Times New Roman" w:cs="Times New Roman"/>
          <w:sz w:val="24"/>
          <w:szCs w:val="24"/>
        </w:rPr>
        <w:t xml:space="preserve"> the </w:t>
      </w:r>
      <w:r w:rsidR="00F50713">
        <w:rPr>
          <w:rFonts w:ascii="Times New Roman" w:hAnsi="Times New Roman" w:cs="Times New Roman"/>
          <w:sz w:val="24"/>
          <w:szCs w:val="24"/>
        </w:rPr>
        <w:t>plausibility</w:t>
      </w:r>
      <w:r w:rsidR="00F50713" w:rsidRPr="00C235E5">
        <w:rPr>
          <w:rFonts w:ascii="Times New Roman" w:hAnsi="Times New Roman" w:cs="Times New Roman"/>
          <w:sz w:val="24"/>
          <w:szCs w:val="24"/>
        </w:rPr>
        <w:t xml:space="preserve"> </w:t>
      </w:r>
      <w:r w:rsidR="00AA45E2" w:rsidRPr="00C235E5">
        <w:rPr>
          <w:rFonts w:ascii="Times New Roman" w:hAnsi="Times New Roman" w:cs="Times New Roman"/>
          <w:sz w:val="24"/>
          <w:szCs w:val="24"/>
        </w:rPr>
        <w:t xml:space="preserve">of the killer acquisition </w:t>
      </w:r>
      <w:r w:rsidR="00F50713">
        <w:rPr>
          <w:rFonts w:ascii="Times New Roman" w:hAnsi="Times New Roman" w:cs="Times New Roman"/>
          <w:sz w:val="24"/>
          <w:szCs w:val="24"/>
        </w:rPr>
        <w:t>theory</w:t>
      </w:r>
      <w:r w:rsidR="001B4871" w:rsidRPr="00C235E5">
        <w:rPr>
          <w:rFonts w:ascii="Times New Roman" w:hAnsi="Times New Roman" w:cs="Times New Roman"/>
          <w:sz w:val="24"/>
          <w:szCs w:val="24"/>
        </w:rPr>
        <w:t>.</w:t>
      </w:r>
      <w:r w:rsidR="008F69A5" w:rsidRPr="00C235E5">
        <w:rPr>
          <w:rFonts w:ascii="Times New Roman" w:hAnsi="Times New Roman" w:cs="Times New Roman"/>
          <w:sz w:val="24"/>
          <w:szCs w:val="24"/>
        </w:rPr>
        <w:t xml:space="preserve"> </w:t>
      </w:r>
    </w:p>
    <w:p w14:paraId="7C7DF7F4" w14:textId="17EA8090" w:rsidR="00AE07A8" w:rsidRPr="00C235E5" w:rsidRDefault="002D340A" w:rsidP="00792D53">
      <w:pPr>
        <w:spacing w:before="120" w:after="120" w:line="480" w:lineRule="auto"/>
        <w:jc w:val="both"/>
        <w:rPr>
          <w:rFonts w:ascii="Times New Roman" w:eastAsia="Times New Roman" w:hAnsi="Times New Roman" w:cs="Times New Roman"/>
          <w:sz w:val="24"/>
          <w:szCs w:val="24"/>
        </w:rPr>
      </w:pPr>
      <w:r w:rsidRPr="00C235E5">
        <w:rPr>
          <w:rFonts w:ascii="Times New Roman" w:hAnsi="Times New Roman" w:cs="Times New Roman"/>
          <w:sz w:val="24"/>
          <w:szCs w:val="24"/>
        </w:rPr>
        <w:t>Note that a</w:t>
      </w:r>
      <w:r w:rsidR="008F69A5" w:rsidRPr="00C235E5">
        <w:rPr>
          <w:rFonts w:ascii="Times New Roman" w:hAnsi="Times New Roman" w:cs="Times New Roman"/>
          <w:sz w:val="24"/>
          <w:szCs w:val="24"/>
        </w:rPr>
        <w:t xml:space="preserve">ll the cases in our sample would likely lead to more intervention if existing </w:t>
      </w:r>
      <w:r w:rsidR="009544B5" w:rsidRPr="00C235E5">
        <w:rPr>
          <w:rFonts w:ascii="Times New Roman" w:hAnsi="Times New Roman" w:cs="Times New Roman"/>
          <w:sz w:val="24"/>
          <w:szCs w:val="24"/>
        </w:rPr>
        <w:t xml:space="preserve">merger policy </w:t>
      </w:r>
      <w:r w:rsidR="008F69A5" w:rsidRPr="00C235E5">
        <w:rPr>
          <w:rFonts w:ascii="Times New Roman" w:hAnsi="Times New Roman" w:cs="Times New Roman"/>
          <w:sz w:val="24"/>
          <w:szCs w:val="24"/>
        </w:rPr>
        <w:t xml:space="preserve">was </w:t>
      </w:r>
      <w:r w:rsidRPr="00C235E5">
        <w:rPr>
          <w:rFonts w:ascii="Times New Roman" w:hAnsi="Times New Roman" w:cs="Times New Roman"/>
          <w:sz w:val="24"/>
          <w:szCs w:val="24"/>
        </w:rPr>
        <w:t xml:space="preserve">adjusted to be </w:t>
      </w:r>
      <w:r w:rsidR="008F69A5" w:rsidRPr="00C235E5">
        <w:rPr>
          <w:rFonts w:ascii="Times New Roman" w:hAnsi="Times New Roman" w:cs="Times New Roman"/>
          <w:sz w:val="24"/>
          <w:szCs w:val="24"/>
        </w:rPr>
        <w:t>made more aggressive</w:t>
      </w:r>
      <w:r w:rsidR="00165DAD" w:rsidRPr="00C235E5">
        <w:rPr>
          <w:rFonts w:ascii="Times New Roman" w:hAnsi="Times New Roman" w:cs="Times New Roman"/>
          <w:sz w:val="24"/>
          <w:szCs w:val="24"/>
        </w:rPr>
        <w:t xml:space="preserve"> (for example, by a reversal of the burden of proof or a presumption against certain transactions)</w:t>
      </w:r>
      <w:r w:rsidR="00B57689" w:rsidRPr="00C235E5">
        <w:rPr>
          <w:rFonts w:ascii="Times New Roman" w:hAnsi="Times New Roman" w:cs="Times New Roman"/>
          <w:sz w:val="24"/>
          <w:szCs w:val="24"/>
        </w:rPr>
        <w:t xml:space="preserve">. </w:t>
      </w:r>
      <w:r w:rsidR="002274C7" w:rsidRPr="00C235E5">
        <w:rPr>
          <w:rFonts w:ascii="Times New Roman" w:hAnsi="Times New Roman" w:cs="Times New Roman"/>
          <w:sz w:val="24"/>
          <w:szCs w:val="24"/>
        </w:rPr>
        <w:t xml:space="preserve">Our work </w:t>
      </w:r>
      <w:r w:rsidR="00C24FFC" w:rsidRPr="00C235E5">
        <w:rPr>
          <w:rFonts w:ascii="Times New Roman" w:hAnsi="Times New Roman" w:cs="Times New Roman"/>
          <w:sz w:val="24"/>
          <w:szCs w:val="24"/>
        </w:rPr>
        <w:t>is an attempt to document</w:t>
      </w:r>
      <w:r w:rsidR="0068765B" w:rsidRPr="00C235E5">
        <w:rPr>
          <w:rFonts w:ascii="Times New Roman" w:hAnsi="Times New Roman" w:cs="Times New Roman"/>
          <w:sz w:val="24"/>
          <w:szCs w:val="24"/>
        </w:rPr>
        <w:t xml:space="preserve"> </w:t>
      </w:r>
      <w:r w:rsidR="00B57689" w:rsidRPr="00C235E5">
        <w:rPr>
          <w:rFonts w:ascii="Times New Roman" w:hAnsi="Times New Roman" w:cs="Times New Roman"/>
          <w:sz w:val="24"/>
          <w:szCs w:val="24"/>
        </w:rPr>
        <w:t xml:space="preserve">whether a more aggressive merger policy is </w:t>
      </w:r>
      <w:r w:rsidR="0068765B" w:rsidRPr="00C235E5">
        <w:rPr>
          <w:rFonts w:ascii="Times New Roman" w:hAnsi="Times New Roman" w:cs="Times New Roman"/>
          <w:sz w:val="24"/>
          <w:szCs w:val="24"/>
        </w:rPr>
        <w:t>warranted</w:t>
      </w:r>
      <w:r w:rsidR="00B57689" w:rsidRPr="00C235E5">
        <w:rPr>
          <w:rFonts w:ascii="Times New Roman" w:hAnsi="Times New Roman" w:cs="Times New Roman"/>
          <w:sz w:val="24"/>
          <w:szCs w:val="24"/>
        </w:rPr>
        <w:t xml:space="preserve">, by looking at </w:t>
      </w:r>
      <w:r w:rsidR="002274C7" w:rsidRPr="00C235E5">
        <w:rPr>
          <w:rFonts w:ascii="Times New Roman" w:hAnsi="Times New Roman" w:cs="Times New Roman"/>
          <w:sz w:val="24"/>
          <w:szCs w:val="24"/>
        </w:rPr>
        <w:t xml:space="preserve">the risk of </w:t>
      </w:r>
      <w:r w:rsidR="007769AD">
        <w:rPr>
          <w:rFonts w:ascii="Times New Roman" w:hAnsi="Times New Roman" w:cs="Times New Roman"/>
          <w:sz w:val="24"/>
          <w:szCs w:val="24"/>
        </w:rPr>
        <w:t>error</w:t>
      </w:r>
      <w:r w:rsidR="007769AD" w:rsidRPr="00C235E5">
        <w:rPr>
          <w:rFonts w:ascii="Times New Roman" w:hAnsi="Times New Roman" w:cs="Times New Roman"/>
          <w:sz w:val="24"/>
          <w:szCs w:val="24"/>
        </w:rPr>
        <w:t xml:space="preserve"> </w:t>
      </w:r>
      <w:r w:rsidR="002274C7" w:rsidRPr="00C235E5">
        <w:rPr>
          <w:rFonts w:ascii="Times New Roman" w:hAnsi="Times New Roman" w:cs="Times New Roman"/>
          <w:sz w:val="24"/>
          <w:szCs w:val="24"/>
        </w:rPr>
        <w:t>if it was applied on past cases</w:t>
      </w:r>
      <w:r w:rsidR="00B57689" w:rsidRPr="00C235E5">
        <w:rPr>
          <w:rFonts w:ascii="Times New Roman" w:hAnsi="Times New Roman" w:cs="Times New Roman"/>
          <w:sz w:val="24"/>
          <w:szCs w:val="24"/>
        </w:rPr>
        <w:t xml:space="preserve">. </w:t>
      </w:r>
      <w:r w:rsidR="00C24FFC" w:rsidRPr="00C235E5">
        <w:rPr>
          <w:rFonts w:ascii="Times New Roman" w:hAnsi="Times New Roman" w:cs="Times New Roman"/>
          <w:sz w:val="24"/>
          <w:szCs w:val="24"/>
        </w:rPr>
        <w:t xml:space="preserve">In </w:t>
      </w:r>
      <w:r w:rsidR="009544B5" w:rsidRPr="00C235E5">
        <w:rPr>
          <w:rFonts w:ascii="Times New Roman" w:hAnsi="Times New Roman" w:cs="Times New Roman"/>
          <w:sz w:val="24"/>
          <w:szCs w:val="24"/>
        </w:rPr>
        <w:t>other words</w:t>
      </w:r>
      <w:r w:rsidR="00C26CC1" w:rsidRPr="00C235E5">
        <w:rPr>
          <w:rFonts w:ascii="Times New Roman" w:hAnsi="Times New Roman" w:cs="Times New Roman"/>
          <w:sz w:val="24"/>
          <w:szCs w:val="24"/>
        </w:rPr>
        <w:t>, we get</w:t>
      </w:r>
      <w:r w:rsidR="001C10D8" w:rsidRPr="00C235E5">
        <w:rPr>
          <w:rFonts w:ascii="Times New Roman" w:hAnsi="Times New Roman" w:cs="Times New Roman"/>
          <w:sz w:val="24"/>
          <w:szCs w:val="24"/>
        </w:rPr>
        <w:t xml:space="preserve"> </w:t>
      </w:r>
      <w:r w:rsidR="000C3734" w:rsidRPr="00C235E5">
        <w:rPr>
          <w:rFonts w:ascii="Times New Roman" w:hAnsi="Times New Roman" w:cs="Times New Roman"/>
          <w:sz w:val="24"/>
          <w:szCs w:val="24"/>
        </w:rPr>
        <w:t xml:space="preserve">hints into </w:t>
      </w:r>
      <w:r w:rsidR="005C01D3" w:rsidRPr="00C235E5">
        <w:rPr>
          <w:rFonts w:ascii="Times New Roman" w:hAnsi="Times New Roman" w:cs="Times New Roman"/>
          <w:sz w:val="24"/>
          <w:szCs w:val="24"/>
        </w:rPr>
        <w:t xml:space="preserve">the rate of </w:t>
      </w:r>
      <w:r w:rsidR="000C3734" w:rsidRPr="00C235E5">
        <w:rPr>
          <w:rFonts w:ascii="Times New Roman" w:hAnsi="Times New Roman" w:cs="Times New Roman"/>
          <w:sz w:val="24"/>
          <w:szCs w:val="24"/>
        </w:rPr>
        <w:t xml:space="preserve">decisional </w:t>
      </w:r>
      <w:r w:rsidR="005C01D3" w:rsidRPr="00C235E5">
        <w:rPr>
          <w:rFonts w:ascii="Times New Roman" w:hAnsi="Times New Roman" w:cs="Times New Roman"/>
          <w:sz w:val="24"/>
          <w:szCs w:val="24"/>
        </w:rPr>
        <w:t xml:space="preserve">error of a merger reform </w:t>
      </w:r>
      <w:r w:rsidR="000C3734" w:rsidRPr="00C235E5">
        <w:rPr>
          <w:rFonts w:ascii="Times New Roman" w:hAnsi="Times New Roman" w:cs="Times New Roman"/>
          <w:sz w:val="24"/>
          <w:szCs w:val="24"/>
        </w:rPr>
        <w:t xml:space="preserve">that would implement the </w:t>
      </w:r>
      <w:r w:rsidR="005C01D3" w:rsidRPr="00C235E5">
        <w:rPr>
          <w:rFonts w:ascii="Times New Roman" w:hAnsi="Times New Roman" w:cs="Times New Roman"/>
          <w:sz w:val="24"/>
          <w:szCs w:val="24"/>
        </w:rPr>
        <w:t xml:space="preserve">killer acquisition </w:t>
      </w:r>
      <w:r w:rsidR="00F50713">
        <w:rPr>
          <w:rFonts w:ascii="Times New Roman" w:hAnsi="Times New Roman" w:cs="Times New Roman"/>
          <w:sz w:val="24"/>
          <w:szCs w:val="24"/>
        </w:rPr>
        <w:t>theory</w:t>
      </w:r>
      <w:r w:rsidR="000E0153" w:rsidRPr="00C235E5">
        <w:rPr>
          <w:rFonts w:ascii="Times New Roman" w:eastAsia="Times New Roman" w:hAnsi="Times New Roman" w:cs="Times New Roman"/>
          <w:sz w:val="24"/>
          <w:szCs w:val="24"/>
        </w:rPr>
        <w:t>.</w:t>
      </w:r>
    </w:p>
    <w:p w14:paraId="1EAD7747" w14:textId="69D5DC9F" w:rsidR="00210086" w:rsidRPr="00C235E5" w:rsidRDefault="00210086" w:rsidP="00210086">
      <w:pPr>
        <w:pStyle w:val="Heading1"/>
        <w:numPr>
          <w:ilvl w:val="0"/>
          <w:numId w:val="19"/>
        </w:numPr>
        <w:rPr>
          <w:rFonts w:ascii="Times New Roman" w:eastAsia="Times New Roman" w:hAnsi="Times New Roman" w:cs="Times New Roman"/>
          <w:sz w:val="24"/>
          <w:szCs w:val="24"/>
        </w:rPr>
      </w:pPr>
      <w:r w:rsidRPr="00C235E5">
        <w:rPr>
          <w:rFonts w:ascii="Times New Roman" w:eastAsia="Times New Roman" w:hAnsi="Times New Roman" w:cs="Times New Roman"/>
          <w:sz w:val="24"/>
          <w:szCs w:val="24"/>
        </w:rPr>
        <w:t>Results</w:t>
      </w:r>
    </w:p>
    <w:p w14:paraId="2EE0DC22" w14:textId="11947B92" w:rsidR="00BC1875" w:rsidRPr="00C235E5" w:rsidRDefault="006469D8" w:rsidP="00210086">
      <w:pPr>
        <w:pStyle w:val="Heading2"/>
        <w:numPr>
          <w:ilvl w:val="0"/>
          <w:numId w:val="21"/>
        </w:numPr>
        <w:rPr>
          <w:rFonts w:cs="Times New Roman"/>
          <w:sz w:val="24"/>
          <w:szCs w:val="24"/>
        </w:rPr>
      </w:pPr>
      <w:r>
        <w:rPr>
          <w:rFonts w:cs="Times New Roman"/>
          <w:sz w:val="24"/>
          <w:szCs w:val="24"/>
        </w:rPr>
        <w:t xml:space="preserve"> </w:t>
      </w:r>
      <w:r w:rsidR="00D812CD" w:rsidRPr="00C235E5">
        <w:rPr>
          <w:rFonts w:cs="Times New Roman"/>
          <w:sz w:val="24"/>
          <w:szCs w:val="24"/>
        </w:rPr>
        <w:t>Post-merger</w:t>
      </w:r>
      <w:r w:rsidR="005512E6" w:rsidRPr="00C235E5">
        <w:rPr>
          <w:rFonts w:cs="Times New Roman"/>
          <w:sz w:val="24"/>
          <w:szCs w:val="24"/>
        </w:rPr>
        <w:t xml:space="preserve"> </w:t>
      </w:r>
      <w:r w:rsidR="00A91255" w:rsidRPr="00C235E5">
        <w:rPr>
          <w:rFonts w:cs="Times New Roman"/>
          <w:sz w:val="24"/>
          <w:szCs w:val="24"/>
        </w:rPr>
        <w:t>Rival</w:t>
      </w:r>
      <w:r w:rsidR="00F64957" w:rsidRPr="00C235E5">
        <w:rPr>
          <w:rFonts w:cs="Times New Roman"/>
          <w:sz w:val="24"/>
          <w:szCs w:val="24"/>
        </w:rPr>
        <w:t xml:space="preserve"> </w:t>
      </w:r>
      <w:r w:rsidR="00804940" w:rsidRPr="00C235E5">
        <w:rPr>
          <w:rFonts w:cs="Times New Roman"/>
          <w:sz w:val="24"/>
          <w:szCs w:val="24"/>
        </w:rPr>
        <w:t>P</w:t>
      </w:r>
      <w:r w:rsidR="00F64957" w:rsidRPr="00C235E5">
        <w:rPr>
          <w:rFonts w:cs="Times New Roman"/>
          <w:sz w:val="24"/>
          <w:szCs w:val="24"/>
        </w:rPr>
        <w:t>erception</w:t>
      </w:r>
    </w:p>
    <w:p w14:paraId="30F715B5" w14:textId="450C2EF4" w:rsidR="004F259F" w:rsidRPr="00C235E5" w:rsidRDefault="004F259F"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 xml:space="preserve">In the </w:t>
      </w:r>
      <w:r w:rsidR="009E22B0" w:rsidRPr="00C235E5">
        <w:rPr>
          <w:rFonts w:ascii="Times New Roman" w:hAnsi="Times New Roman" w:cs="Times New Roman"/>
          <w:sz w:val="24"/>
          <w:szCs w:val="24"/>
        </w:rPr>
        <w:t xml:space="preserve">12 </w:t>
      </w:r>
      <w:r w:rsidRPr="00C235E5">
        <w:rPr>
          <w:rFonts w:ascii="Times New Roman" w:hAnsi="Times New Roman" w:cs="Times New Roman"/>
          <w:sz w:val="24"/>
          <w:szCs w:val="24"/>
        </w:rPr>
        <w:t xml:space="preserve">transactions that we study, the EC </w:t>
      </w:r>
      <w:r w:rsidR="007D54C3" w:rsidRPr="00C235E5">
        <w:rPr>
          <w:rFonts w:ascii="Times New Roman" w:hAnsi="Times New Roman" w:cs="Times New Roman"/>
          <w:sz w:val="24"/>
          <w:szCs w:val="24"/>
        </w:rPr>
        <w:t>identified</w:t>
      </w:r>
      <w:r w:rsidRPr="00C235E5">
        <w:rPr>
          <w:rFonts w:ascii="Times New Roman" w:hAnsi="Times New Roman" w:cs="Times New Roman"/>
          <w:sz w:val="24"/>
          <w:szCs w:val="24"/>
        </w:rPr>
        <w:t xml:space="preserve"> one</w:t>
      </w:r>
      <w:r w:rsidR="00E03C1C" w:rsidRPr="00C235E5">
        <w:rPr>
          <w:rFonts w:ascii="Times New Roman" w:hAnsi="Times New Roman" w:cs="Times New Roman"/>
          <w:sz w:val="24"/>
          <w:szCs w:val="24"/>
        </w:rPr>
        <w:t xml:space="preserve"> (or more)</w:t>
      </w:r>
      <w:r w:rsidRPr="00C235E5">
        <w:rPr>
          <w:rFonts w:ascii="Times New Roman" w:hAnsi="Times New Roman" w:cs="Times New Roman"/>
          <w:sz w:val="24"/>
          <w:szCs w:val="24"/>
        </w:rPr>
        <w:t xml:space="preserve"> key product</w:t>
      </w:r>
      <w:r w:rsidR="003B2795" w:rsidRPr="00C235E5">
        <w:rPr>
          <w:rFonts w:ascii="Times New Roman" w:hAnsi="Times New Roman" w:cs="Times New Roman"/>
          <w:sz w:val="24"/>
          <w:szCs w:val="24"/>
        </w:rPr>
        <w:t>(s)</w:t>
      </w:r>
      <w:r w:rsidRPr="00C235E5">
        <w:rPr>
          <w:rFonts w:ascii="Times New Roman" w:hAnsi="Times New Roman" w:cs="Times New Roman"/>
          <w:sz w:val="24"/>
          <w:szCs w:val="24"/>
        </w:rPr>
        <w:t xml:space="preserve"> from the target entity. </w:t>
      </w:r>
      <w:r w:rsidR="003B2795" w:rsidRPr="00C235E5">
        <w:rPr>
          <w:rFonts w:ascii="Times New Roman" w:hAnsi="Times New Roman" w:cs="Times New Roman"/>
          <w:sz w:val="24"/>
          <w:szCs w:val="24"/>
        </w:rPr>
        <w:t xml:space="preserve">For each transaction, we </w:t>
      </w:r>
      <w:r w:rsidR="00B27311" w:rsidRPr="00C235E5">
        <w:rPr>
          <w:rFonts w:ascii="Times New Roman" w:hAnsi="Times New Roman" w:cs="Times New Roman"/>
          <w:sz w:val="24"/>
          <w:szCs w:val="24"/>
        </w:rPr>
        <w:t xml:space="preserve">retrieve </w:t>
      </w:r>
      <w:r w:rsidR="003B2795" w:rsidRPr="00C235E5">
        <w:rPr>
          <w:rFonts w:ascii="Times New Roman" w:hAnsi="Times New Roman" w:cs="Times New Roman"/>
          <w:sz w:val="24"/>
          <w:szCs w:val="24"/>
        </w:rPr>
        <w:t xml:space="preserve">the key </w:t>
      </w:r>
      <w:r w:rsidR="00C03971" w:rsidRPr="00C235E5">
        <w:rPr>
          <w:rFonts w:ascii="Times New Roman" w:hAnsi="Times New Roman" w:cs="Times New Roman"/>
          <w:sz w:val="24"/>
          <w:szCs w:val="24"/>
        </w:rPr>
        <w:t xml:space="preserve">target </w:t>
      </w:r>
      <w:r w:rsidR="003B2795" w:rsidRPr="00C235E5">
        <w:rPr>
          <w:rFonts w:ascii="Times New Roman" w:hAnsi="Times New Roman" w:cs="Times New Roman"/>
          <w:sz w:val="24"/>
          <w:szCs w:val="24"/>
        </w:rPr>
        <w:t>product(s)</w:t>
      </w:r>
      <w:r w:rsidR="008F1CCE" w:rsidRPr="00C235E5">
        <w:rPr>
          <w:rFonts w:ascii="Times New Roman" w:hAnsi="Times New Roman" w:cs="Times New Roman"/>
          <w:sz w:val="24"/>
          <w:szCs w:val="24"/>
        </w:rPr>
        <w:t xml:space="preserve"> mentioned by the </w:t>
      </w:r>
      <w:r w:rsidR="00EF42BA" w:rsidRPr="00C235E5">
        <w:rPr>
          <w:rFonts w:ascii="Times New Roman" w:hAnsi="Times New Roman" w:cs="Times New Roman"/>
          <w:sz w:val="24"/>
          <w:szCs w:val="24"/>
        </w:rPr>
        <w:t>EC</w:t>
      </w:r>
      <w:r w:rsidR="00C03971" w:rsidRPr="00C235E5">
        <w:rPr>
          <w:rFonts w:ascii="Times New Roman" w:hAnsi="Times New Roman" w:cs="Times New Roman"/>
          <w:sz w:val="24"/>
          <w:szCs w:val="24"/>
        </w:rPr>
        <w:t xml:space="preserve">, as well as identified </w:t>
      </w:r>
      <w:r w:rsidR="00A91255" w:rsidRPr="00C235E5">
        <w:rPr>
          <w:rFonts w:ascii="Times New Roman" w:hAnsi="Times New Roman" w:cs="Times New Roman"/>
          <w:sz w:val="24"/>
          <w:szCs w:val="24"/>
        </w:rPr>
        <w:t>rivals</w:t>
      </w:r>
      <w:r w:rsidR="003B2795" w:rsidRPr="00C235E5">
        <w:rPr>
          <w:rFonts w:ascii="Times New Roman" w:hAnsi="Times New Roman" w:cs="Times New Roman"/>
          <w:sz w:val="24"/>
          <w:szCs w:val="24"/>
        </w:rPr>
        <w:t xml:space="preserve">. We then </w:t>
      </w:r>
      <w:r w:rsidR="00DC610B">
        <w:rPr>
          <w:rFonts w:ascii="Times New Roman" w:hAnsi="Times New Roman" w:cs="Times New Roman"/>
          <w:sz w:val="24"/>
          <w:szCs w:val="24"/>
        </w:rPr>
        <w:t>check whether</w:t>
      </w:r>
      <w:r w:rsidR="003B2795" w:rsidRPr="00C235E5">
        <w:rPr>
          <w:rFonts w:ascii="Times New Roman" w:hAnsi="Times New Roman" w:cs="Times New Roman"/>
          <w:sz w:val="24"/>
          <w:szCs w:val="24"/>
        </w:rPr>
        <w:t xml:space="preserve">, post transaction, </w:t>
      </w:r>
      <w:r w:rsidR="00A91255" w:rsidRPr="00C235E5">
        <w:rPr>
          <w:rFonts w:ascii="Times New Roman" w:hAnsi="Times New Roman" w:cs="Times New Roman"/>
          <w:sz w:val="24"/>
          <w:szCs w:val="24"/>
        </w:rPr>
        <w:t>rivals</w:t>
      </w:r>
      <w:r w:rsidR="007E7D3A">
        <w:rPr>
          <w:rFonts w:ascii="Times New Roman" w:hAnsi="Times New Roman" w:cs="Times New Roman"/>
          <w:sz w:val="24"/>
          <w:szCs w:val="24"/>
        </w:rPr>
        <w:t>’</w:t>
      </w:r>
      <w:r w:rsidR="004D5D7B" w:rsidRPr="00C235E5">
        <w:rPr>
          <w:rFonts w:ascii="Times New Roman" w:hAnsi="Times New Roman" w:cs="Times New Roman"/>
          <w:sz w:val="24"/>
          <w:szCs w:val="24"/>
        </w:rPr>
        <w:t xml:space="preserve"> disclosures</w:t>
      </w:r>
      <w:r w:rsidR="003B2795" w:rsidRPr="00C235E5">
        <w:rPr>
          <w:rFonts w:ascii="Times New Roman" w:hAnsi="Times New Roman" w:cs="Times New Roman"/>
          <w:sz w:val="24"/>
          <w:szCs w:val="24"/>
        </w:rPr>
        <w:t xml:space="preserve"> </w:t>
      </w:r>
      <w:r w:rsidR="004D5D7B" w:rsidRPr="00C235E5">
        <w:rPr>
          <w:rFonts w:ascii="Times New Roman" w:hAnsi="Times New Roman" w:cs="Times New Roman"/>
          <w:sz w:val="24"/>
          <w:szCs w:val="24"/>
        </w:rPr>
        <w:t xml:space="preserve">mention </w:t>
      </w:r>
      <w:r w:rsidR="003B2795" w:rsidRPr="00C235E5">
        <w:rPr>
          <w:rFonts w:ascii="Times New Roman" w:hAnsi="Times New Roman" w:cs="Times New Roman"/>
          <w:sz w:val="24"/>
          <w:szCs w:val="24"/>
        </w:rPr>
        <w:t xml:space="preserve">the key product of the target. </w:t>
      </w:r>
      <w:r w:rsidR="004143F2">
        <w:rPr>
          <w:rFonts w:ascii="Times New Roman" w:hAnsi="Times New Roman" w:cs="Times New Roman"/>
          <w:sz w:val="24"/>
          <w:szCs w:val="24"/>
        </w:rPr>
        <w:t>The</w:t>
      </w:r>
      <w:r w:rsidR="004143F2" w:rsidRPr="00C235E5">
        <w:rPr>
          <w:rFonts w:ascii="Times New Roman" w:hAnsi="Times New Roman" w:cs="Times New Roman"/>
          <w:sz w:val="24"/>
          <w:szCs w:val="24"/>
        </w:rPr>
        <w:t xml:space="preserve"> </w:t>
      </w:r>
      <w:r w:rsidR="003B2795" w:rsidRPr="00C235E5">
        <w:rPr>
          <w:rFonts w:ascii="Times New Roman" w:hAnsi="Times New Roman" w:cs="Times New Roman"/>
          <w:sz w:val="24"/>
          <w:szCs w:val="24"/>
        </w:rPr>
        <w:t>Y</w:t>
      </w:r>
      <w:r w:rsidR="00A01180" w:rsidRPr="00C235E5">
        <w:rPr>
          <w:rFonts w:ascii="Times New Roman" w:hAnsi="Times New Roman" w:cs="Times New Roman"/>
          <w:sz w:val="24"/>
          <w:szCs w:val="24"/>
        </w:rPr>
        <w:t>es</w:t>
      </w:r>
      <w:r w:rsidR="003B2795" w:rsidRPr="00C235E5">
        <w:rPr>
          <w:rFonts w:ascii="Times New Roman" w:hAnsi="Times New Roman" w:cs="Times New Roman"/>
          <w:sz w:val="24"/>
          <w:szCs w:val="24"/>
        </w:rPr>
        <w:t>/N</w:t>
      </w:r>
      <w:r w:rsidR="00A01180" w:rsidRPr="00C235E5">
        <w:rPr>
          <w:rFonts w:ascii="Times New Roman" w:hAnsi="Times New Roman" w:cs="Times New Roman"/>
          <w:sz w:val="24"/>
          <w:szCs w:val="24"/>
        </w:rPr>
        <w:t>o (Y/N)</w:t>
      </w:r>
      <w:r w:rsidR="003B2795" w:rsidRPr="00C235E5">
        <w:rPr>
          <w:rFonts w:ascii="Times New Roman" w:hAnsi="Times New Roman" w:cs="Times New Roman"/>
          <w:sz w:val="24"/>
          <w:szCs w:val="24"/>
        </w:rPr>
        <w:t xml:space="preserve"> test allows an inference that the target product is not discontinued in the post</w:t>
      </w:r>
      <w:r w:rsidR="00EC2038" w:rsidRPr="00C235E5">
        <w:rPr>
          <w:rFonts w:ascii="Times New Roman" w:hAnsi="Times New Roman" w:cs="Times New Roman"/>
          <w:sz w:val="24"/>
          <w:szCs w:val="24"/>
        </w:rPr>
        <w:t>-</w:t>
      </w:r>
      <w:r w:rsidR="003B2795" w:rsidRPr="00C235E5">
        <w:rPr>
          <w:rFonts w:ascii="Times New Roman" w:hAnsi="Times New Roman" w:cs="Times New Roman"/>
          <w:sz w:val="24"/>
          <w:szCs w:val="24"/>
        </w:rPr>
        <w:t>merger world</w:t>
      </w:r>
      <w:r w:rsidR="00182726">
        <w:rPr>
          <w:rFonts w:ascii="Times New Roman" w:hAnsi="Times New Roman" w:cs="Times New Roman"/>
          <w:sz w:val="24"/>
          <w:szCs w:val="24"/>
        </w:rPr>
        <w:t xml:space="preserve">. As such, the test </w:t>
      </w:r>
      <w:r w:rsidR="00700F79">
        <w:rPr>
          <w:rFonts w:ascii="Times New Roman" w:hAnsi="Times New Roman" w:cs="Times New Roman"/>
          <w:sz w:val="24"/>
          <w:szCs w:val="24"/>
        </w:rPr>
        <w:t xml:space="preserve">corresponds to the </w:t>
      </w:r>
      <w:r w:rsidR="00182726">
        <w:rPr>
          <w:rFonts w:ascii="Times New Roman" w:hAnsi="Times New Roman" w:cs="Times New Roman"/>
          <w:sz w:val="24"/>
          <w:szCs w:val="24"/>
        </w:rPr>
        <w:t>“</w:t>
      </w:r>
      <w:r w:rsidR="00700F79">
        <w:rPr>
          <w:rFonts w:ascii="Times New Roman" w:hAnsi="Times New Roman" w:cs="Times New Roman"/>
          <w:sz w:val="24"/>
          <w:szCs w:val="24"/>
        </w:rPr>
        <w:t>termination prong</w:t>
      </w:r>
      <w:r w:rsidR="00182726">
        <w:rPr>
          <w:rFonts w:ascii="Times New Roman" w:hAnsi="Times New Roman" w:cs="Times New Roman"/>
          <w:sz w:val="24"/>
          <w:szCs w:val="24"/>
        </w:rPr>
        <w:t>”</w:t>
      </w:r>
      <w:r w:rsidR="00700F79">
        <w:rPr>
          <w:rFonts w:ascii="Times New Roman" w:hAnsi="Times New Roman" w:cs="Times New Roman"/>
          <w:sz w:val="24"/>
          <w:szCs w:val="24"/>
        </w:rPr>
        <w:t xml:space="preserve"> of the definition of killer acquisitions given by Cunningham </w:t>
      </w:r>
      <w:r w:rsidR="00700F79" w:rsidRPr="00364DEE">
        <w:rPr>
          <w:rFonts w:ascii="Times New Roman" w:hAnsi="Times New Roman" w:cs="Times New Roman"/>
          <w:i/>
          <w:iCs/>
          <w:sz w:val="24"/>
          <w:szCs w:val="24"/>
        </w:rPr>
        <w:t>et al</w:t>
      </w:r>
      <w:r w:rsidR="00700F79">
        <w:rPr>
          <w:rFonts w:ascii="Times New Roman" w:hAnsi="Times New Roman" w:cs="Times New Roman"/>
          <w:sz w:val="24"/>
          <w:szCs w:val="24"/>
        </w:rPr>
        <w:t>.</w:t>
      </w:r>
    </w:p>
    <w:p w14:paraId="07CE579F" w14:textId="389D8D40" w:rsidR="00A32F19" w:rsidRPr="00C235E5" w:rsidRDefault="00395CB6"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lastRenderedPageBreak/>
        <w:t xml:space="preserve">The post-merger </w:t>
      </w:r>
      <w:r w:rsidR="007C2186" w:rsidRPr="00C235E5">
        <w:rPr>
          <w:rFonts w:ascii="Times New Roman" w:hAnsi="Times New Roman" w:cs="Times New Roman"/>
          <w:sz w:val="24"/>
          <w:szCs w:val="24"/>
        </w:rPr>
        <w:t>rival</w:t>
      </w:r>
      <w:r w:rsidRPr="00C235E5">
        <w:rPr>
          <w:rFonts w:ascii="Times New Roman" w:hAnsi="Times New Roman" w:cs="Times New Roman"/>
          <w:sz w:val="24"/>
          <w:szCs w:val="24"/>
        </w:rPr>
        <w:t xml:space="preserve"> perception test is useful. </w:t>
      </w:r>
      <w:r w:rsidR="00B65A25">
        <w:rPr>
          <w:rFonts w:ascii="Times New Roman" w:hAnsi="Times New Roman" w:cs="Times New Roman"/>
          <w:sz w:val="24"/>
          <w:szCs w:val="24"/>
        </w:rPr>
        <w:t>R</w:t>
      </w:r>
      <w:r w:rsidR="0001218B" w:rsidRPr="00C235E5">
        <w:rPr>
          <w:rFonts w:ascii="Times New Roman" w:hAnsi="Times New Roman" w:cs="Times New Roman"/>
          <w:sz w:val="24"/>
          <w:szCs w:val="24"/>
        </w:rPr>
        <w:t xml:space="preserve">eporting firms </w:t>
      </w:r>
      <w:r w:rsidR="00B65A25">
        <w:rPr>
          <w:rFonts w:ascii="Times New Roman" w:hAnsi="Times New Roman" w:cs="Times New Roman"/>
          <w:sz w:val="24"/>
          <w:szCs w:val="24"/>
        </w:rPr>
        <w:t xml:space="preserve">seldom </w:t>
      </w:r>
      <w:r w:rsidR="0001218B" w:rsidRPr="00C235E5">
        <w:rPr>
          <w:rFonts w:ascii="Times New Roman" w:hAnsi="Times New Roman" w:cs="Times New Roman"/>
          <w:sz w:val="24"/>
          <w:szCs w:val="24"/>
        </w:rPr>
        <w:t xml:space="preserve">mention </w:t>
      </w:r>
      <w:r w:rsidR="007C2186" w:rsidRPr="00C235E5">
        <w:rPr>
          <w:rFonts w:ascii="Times New Roman" w:hAnsi="Times New Roman" w:cs="Times New Roman"/>
          <w:sz w:val="24"/>
          <w:szCs w:val="24"/>
        </w:rPr>
        <w:t>competitors</w:t>
      </w:r>
      <w:r w:rsidR="0001218B" w:rsidRPr="00C235E5">
        <w:rPr>
          <w:rFonts w:ascii="Times New Roman" w:hAnsi="Times New Roman" w:cs="Times New Roman"/>
          <w:sz w:val="24"/>
          <w:szCs w:val="24"/>
        </w:rPr>
        <w:t xml:space="preserve"> in 10-K documents.</w:t>
      </w:r>
      <w:r w:rsidR="00DE33D1" w:rsidRPr="00C235E5">
        <w:rPr>
          <w:rFonts w:ascii="Times New Roman" w:hAnsi="Times New Roman" w:cs="Times New Roman"/>
          <w:sz w:val="24"/>
          <w:szCs w:val="24"/>
        </w:rPr>
        <w:t xml:space="preserve"> </w:t>
      </w:r>
      <w:r w:rsidR="00A44842" w:rsidRPr="00C235E5">
        <w:rPr>
          <w:rFonts w:ascii="Times New Roman" w:hAnsi="Times New Roman" w:cs="Times New Roman"/>
          <w:sz w:val="24"/>
          <w:szCs w:val="24"/>
        </w:rPr>
        <w:t>F</w:t>
      </w:r>
      <w:r w:rsidR="00A73494" w:rsidRPr="00C235E5">
        <w:rPr>
          <w:rFonts w:ascii="Times New Roman" w:hAnsi="Times New Roman" w:cs="Times New Roman"/>
          <w:sz w:val="24"/>
          <w:szCs w:val="24"/>
        </w:rPr>
        <w:t xml:space="preserve">irms </w:t>
      </w:r>
      <w:r w:rsidR="00A44842" w:rsidRPr="00C235E5">
        <w:rPr>
          <w:rFonts w:ascii="Times New Roman" w:hAnsi="Times New Roman" w:cs="Times New Roman"/>
          <w:sz w:val="24"/>
          <w:szCs w:val="24"/>
        </w:rPr>
        <w:t xml:space="preserve">tend to </w:t>
      </w:r>
      <w:r w:rsidR="0034736C" w:rsidRPr="00C235E5">
        <w:rPr>
          <w:rFonts w:ascii="Times New Roman" w:hAnsi="Times New Roman" w:cs="Times New Roman"/>
          <w:sz w:val="24"/>
          <w:szCs w:val="24"/>
        </w:rPr>
        <w:t xml:space="preserve">talk </w:t>
      </w:r>
      <w:r w:rsidR="000D1631" w:rsidRPr="00C235E5">
        <w:rPr>
          <w:rFonts w:ascii="Times New Roman" w:hAnsi="Times New Roman" w:cs="Times New Roman"/>
          <w:i/>
          <w:iCs/>
          <w:sz w:val="24"/>
          <w:szCs w:val="24"/>
        </w:rPr>
        <w:t>abstractly</w:t>
      </w:r>
      <w:r w:rsidR="000D1631" w:rsidRPr="00C235E5">
        <w:rPr>
          <w:rFonts w:ascii="Times New Roman" w:hAnsi="Times New Roman" w:cs="Times New Roman"/>
          <w:sz w:val="24"/>
          <w:szCs w:val="24"/>
        </w:rPr>
        <w:t xml:space="preserve"> </w:t>
      </w:r>
      <w:r w:rsidR="0034736C" w:rsidRPr="00C235E5">
        <w:rPr>
          <w:rFonts w:ascii="Times New Roman" w:hAnsi="Times New Roman" w:cs="Times New Roman"/>
          <w:sz w:val="24"/>
          <w:szCs w:val="24"/>
        </w:rPr>
        <w:t xml:space="preserve">about competition in </w:t>
      </w:r>
      <w:r w:rsidR="00A44842" w:rsidRPr="00C235E5">
        <w:rPr>
          <w:rFonts w:ascii="Times New Roman" w:hAnsi="Times New Roman" w:cs="Times New Roman"/>
          <w:sz w:val="24"/>
          <w:szCs w:val="24"/>
        </w:rPr>
        <w:t>yearly</w:t>
      </w:r>
      <w:r w:rsidR="00A73494" w:rsidRPr="00C235E5">
        <w:rPr>
          <w:rFonts w:ascii="Times New Roman" w:hAnsi="Times New Roman" w:cs="Times New Roman"/>
          <w:sz w:val="24"/>
          <w:szCs w:val="24"/>
        </w:rPr>
        <w:t xml:space="preserve"> </w:t>
      </w:r>
      <w:r w:rsidR="00C03971" w:rsidRPr="00C235E5">
        <w:rPr>
          <w:rFonts w:ascii="Times New Roman" w:hAnsi="Times New Roman" w:cs="Times New Roman"/>
          <w:sz w:val="24"/>
          <w:szCs w:val="24"/>
        </w:rPr>
        <w:t>disclosures</w:t>
      </w:r>
      <w:r w:rsidR="00A44842" w:rsidRPr="00C235E5">
        <w:rPr>
          <w:rFonts w:ascii="Times New Roman" w:hAnsi="Times New Roman" w:cs="Times New Roman"/>
          <w:sz w:val="24"/>
          <w:szCs w:val="24"/>
        </w:rPr>
        <w:t>, using boilerplate language</w:t>
      </w:r>
      <w:r w:rsidR="00E06D0E" w:rsidRPr="00C235E5">
        <w:rPr>
          <w:rFonts w:ascii="Times New Roman" w:hAnsi="Times New Roman" w:cs="Times New Roman"/>
          <w:sz w:val="24"/>
          <w:szCs w:val="24"/>
        </w:rPr>
        <w:t xml:space="preserve">. </w:t>
      </w:r>
      <w:r w:rsidR="00A44842" w:rsidRPr="00C235E5">
        <w:rPr>
          <w:rFonts w:ascii="Times New Roman" w:hAnsi="Times New Roman" w:cs="Times New Roman"/>
          <w:sz w:val="24"/>
          <w:szCs w:val="24"/>
        </w:rPr>
        <w:t>O</w:t>
      </w:r>
      <w:r w:rsidR="00B4740B" w:rsidRPr="00C235E5">
        <w:rPr>
          <w:rFonts w:ascii="Times New Roman" w:hAnsi="Times New Roman" w:cs="Times New Roman"/>
          <w:sz w:val="24"/>
          <w:szCs w:val="24"/>
        </w:rPr>
        <w:t xml:space="preserve">bserving </w:t>
      </w:r>
      <w:r w:rsidR="007C2186" w:rsidRPr="00C235E5">
        <w:rPr>
          <w:rFonts w:ascii="Times New Roman" w:hAnsi="Times New Roman" w:cs="Times New Roman"/>
          <w:sz w:val="24"/>
          <w:szCs w:val="24"/>
        </w:rPr>
        <w:t>firms’</w:t>
      </w:r>
      <w:r w:rsidR="00B4740B" w:rsidRPr="00C235E5">
        <w:rPr>
          <w:rFonts w:ascii="Times New Roman" w:hAnsi="Times New Roman" w:cs="Times New Roman"/>
          <w:sz w:val="24"/>
          <w:szCs w:val="24"/>
        </w:rPr>
        <w:t xml:space="preserve"> </w:t>
      </w:r>
      <w:r w:rsidR="00A44842" w:rsidRPr="00C235E5">
        <w:rPr>
          <w:rFonts w:ascii="Times New Roman" w:hAnsi="Times New Roman" w:cs="Times New Roman"/>
          <w:i/>
          <w:iCs/>
          <w:sz w:val="24"/>
          <w:szCs w:val="24"/>
        </w:rPr>
        <w:t>specific</w:t>
      </w:r>
      <w:r w:rsidR="000D1631" w:rsidRPr="00C235E5">
        <w:rPr>
          <w:rFonts w:ascii="Times New Roman" w:hAnsi="Times New Roman" w:cs="Times New Roman"/>
          <w:i/>
          <w:iCs/>
          <w:sz w:val="24"/>
          <w:szCs w:val="24"/>
        </w:rPr>
        <w:t>ally</w:t>
      </w:r>
      <w:r w:rsidR="000D1631" w:rsidRPr="00C235E5">
        <w:rPr>
          <w:rFonts w:ascii="Times New Roman" w:hAnsi="Times New Roman" w:cs="Times New Roman"/>
          <w:sz w:val="24"/>
          <w:szCs w:val="24"/>
        </w:rPr>
        <w:t xml:space="preserve"> identifying</w:t>
      </w:r>
      <w:r w:rsidR="00A44842" w:rsidRPr="00C235E5">
        <w:rPr>
          <w:rFonts w:ascii="Times New Roman" w:hAnsi="Times New Roman" w:cs="Times New Roman"/>
          <w:sz w:val="24"/>
          <w:szCs w:val="24"/>
        </w:rPr>
        <w:t xml:space="preserve"> </w:t>
      </w:r>
      <w:r w:rsidR="007C2186" w:rsidRPr="00C235E5">
        <w:rPr>
          <w:rFonts w:ascii="Times New Roman" w:hAnsi="Times New Roman" w:cs="Times New Roman"/>
          <w:sz w:val="24"/>
          <w:szCs w:val="24"/>
        </w:rPr>
        <w:t xml:space="preserve">competitors </w:t>
      </w:r>
      <w:r w:rsidR="00B4740B" w:rsidRPr="00C235E5">
        <w:rPr>
          <w:rFonts w:ascii="Times New Roman" w:hAnsi="Times New Roman" w:cs="Times New Roman"/>
          <w:sz w:val="24"/>
          <w:szCs w:val="24"/>
        </w:rPr>
        <w:t xml:space="preserve">in </w:t>
      </w:r>
      <w:r w:rsidR="00EF4E3F" w:rsidRPr="00C235E5">
        <w:rPr>
          <w:rFonts w:ascii="Times New Roman" w:hAnsi="Times New Roman" w:cs="Times New Roman"/>
          <w:sz w:val="24"/>
          <w:szCs w:val="24"/>
        </w:rPr>
        <w:t>10-K</w:t>
      </w:r>
      <w:r w:rsidR="00B4740B" w:rsidRPr="00C235E5">
        <w:rPr>
          <w:rFonts w:ascii="Times New Roman" w:hAnsi="Times New Roman" w:cs="Times New Roman"/>
          <w:sz w:val="24"/>
          <w:szCs w:val="24"/>
        </w:rPr>
        <w:t xml:space="preserve"> documents </w:t>
      </w:r>
      <w:r w:rsidR="00B475C2" w:rsidRPr="00C235E5">
        <w:rPr>
          <w:rFonts w:ascii="Times New Roman" w:hAnsi="Times New Roman" w:cs="Times New Roman"/>
          <w:sz w:val="24"/>
          <w:szCs w:val="24"/>
        </w:rPr>
        <w:t xml:space="preserve">after a transaction </w:t>
      </w:r>
      <w:r w:rsidR="0030626C" w:rsidRPr="00C235E5">
        <w:rPr>
          <w:rFonts w:ascii="Times New Roman" w:hAnsi="Times New Roman" w:cs="Times New Roman"/>
          <w:sz w:val="24"/>
          <w:szCs w:val="24"/>
        </w:rPr>
        <w:t>may prove insightful in terms of how</w:t>
      </w:r>
      <w:r w:rsidR="006756BD" w:rsidRPr="00C235E5">
        <w:rPr>
          <w:rFonts w:ascii="Times New Roman" w:hAnsi="Times New Roman" w:cs="Times New Roman"/>
          <w:sz w:val="24"/>
          <w:szCs w:val="24"/>
        </w:rPr>
        <w:t xml:space="preserve"> participants perceive the evolution of competition in their industry.</w:t>
      </w:r>
      <w:r w:rsidR="00FD4E9D">
        <w:rPr>
          <w:rStyle w:val="FootnoteReference"/>
          <w:rFonts w:ascii="Times New Roman" w:hAnsi="Times New Roman" w:cs="Times New Roman"/>
          <w:sz w:val="24"/>
          <w:szCs w:val="24"/>
        </w:rPr>
        <w:footnoteReference w:id="69"/>
      </w:r>
    </w:p>
    <w:p w14:paraId="2EB5321D" w14:textId="732963BC" w:rsidR="006756BD" w:rsidRPr="00C235E5" w:rsidRDefault="00DD718A" w:rsidP="00792D53">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We implement the</w:t>
      </w:r>
      <w:r w:rsidRPr="00C235E5">
        <w:rPr>
          <w:rFonts w:ascii="Times New Roman" w:hAnsi="Times New Roman" w:cs="Times New Roman"/>
          <w:sz w:val="24"/>
          <w:szCs w:val="24"/>
        </w:rPr>
        <w:t xml:space="preserve"> </w:t>
      </w:r>
      <w:r w:rsidR="00C60EF9" w:rsidRPr="00C235E5">
        <w:rPr>
          <w:rFonts w:ascii="Times New Roman" w:hAnsi="Times New Roman" w:cs="Times New Roman"/>
          <w:sz w:val="24"/>
          <w:szCs w:val="24"/>
        </w:rPr>
        <w:t xml:space="preserve">post-merger </w:t>
      </w:r>
      <w:r w:rsidR="007C2186" w:rsidRPr="00C235E5">
        <w:rPr>
          <w:rFonts w:ascii="Times New Roman" w:hAnsi="Times New Roman" w:cs="Times New Roman"/>
          <w:sz w:val="24"/>
          <w:szCs w:val="24"/>
        </w:rPr>
        <w:t>rival</w:t>
      </w:r>
      <w:r w:rsidR="0062421A" w:rsidRPr="00C235E5">
        <w:rPr>
          <w:rFonts w:ascii="Times New Roman" w:hAnsi="Times New Roman" w:cs="Times New Roman"/>
          <w:sz w:val="24"/>
          <w:szCs w:val="24"/>
        </w:rPr>
        <w:t xml:space="preserve"> </w:t>
      </w:r>
      <w:r w:rsidR="00C60EF9" w:rsidRPr="00C235E5">
        <w:rPr>
          <w:rFonts w:ascii="Times New Roman" w:hAnsi="Times New Roman" w:cs="Times New Roman"/>
          <w:sz w:val="24"/>
          <w:szCs w:val="24"/>
        </w:rPr>
        <w:t xml:space="preserve">perception test </w:t>
      </w:r>
      <w:r w:rsidR="0062421A" w:rsidRPr="00C235E5">
        <w:rPr>
          <w:rFonts w:ascii="Times New Roman" w:hAnsi="Times New Roman" w:cs="Times New Roman"/>
          <w:sz w:val="24"/>
          <w:szCs w:val="24"/>
        </w:rPr>
        <w:t>as follows</w:t>
      </w:r>
      <w:r w:rsidR="00C60EF9" w:rsidRPr="00C235E5">
        <w:rPr>
          <w:rFonts w:ascii="Times New Roman" w:hAnsi="Times New Roman" w:cs="Times New Roman"/>
          <w:sz w:val="24"/>
          <w:szCs w:val="24"/>
        </w:rPr>
        <w:t xml:space="preserve">. </w:t>
      </w:r>
      <w:r w:rsidR="007B66D6" w:rsidRPr="00C235E5">
        <w:rPr>
          <w:rFonts w:ascii="Times New Roman" w:hAnsi="Times New Roman" w:cs="Times New Roman"/>
          <w:sz w:val="24"/>
          <w:szCs w:val="24"/>
        </w:rPr>
        <w:t xml:space="preserve">First, we gather annual reports (10-K, 20-F, or other </w:t>
      </w:r>
      <w:r w:rsidR="004D15E2" w:rsidRPr="00C235E5">
        <w:rPr>
          <w:rFonts w:ascii="Times New Roman" w:hAnsi="Times New Roman" w:cs="Times New Roman"/>
          <w:sz w:val="24"/>
          <w:szCs w:val="24"/>
        </w:rPr>
        <w:t xml:space="preserve">equivalent </w:t>
      </w:r>
      <w:r w:rsidR="007B66D6" w:rsidRPr="00C235E5">
        <w:rPr>
          <w:rFonts w:ascii="Times New Roman" w:hAnsi="Times New Roman" w:cs="Times New Roman"/>
          <w:sz w:val="24"/>
          <w:szCs w:val="24"/>
        </w:rPr>
        <w:t xml:space="preserve">reports </w:t>
      </w:r>
      <w:r w:rsidR="004D15E2" w:rsidRPr="00C235E5">
        <w:rPr>
          <w:rFonts w:ascii="Times New Roman" w:hAnsi="Times New Roman" w:cs="Times New Roman"/>
          <w:sz w:val="24"/>
          <w:szCs w:val="24"/>
        </w:rPr>
        <w:t xml:space="preserve">for </w:t>
      </w:r>
      <w:r w:rsidR="007B66D6" w:rsidRPr="00C235E5">
        <w:rPr>
          <w:rFonts w:ascii="Times New Roman" w:hAnsi="Times New Roman" w:cs="Times New Roman"/>
          <w:sz w:val="24"/>
          <w:szCs w:val="24"/>
        </w:rPr>
        <w:t>foreign firms)</w:t>
      </w:r>
      <w:r w:rsidR="0041494B" w:rsidRPr="00C235E5">
        <w:rPr>
          <w:rFonts w:ascii="Times New Roman" w:hAnsi="Times New Roman" w:cs="Times New Roman"/>
          <w:sz w:val="24"/>
          <w:szCs w:val="24"/>
        </w:rPr>
        <w:t xml:space="preserve"> of publicly traded </w:t>
      </w:r>
      <w:r w:rsidR="007C2186" w:rsidRPr="00C235E5">
        <w:rPr>
          <w:rFonts w:ascii="Times New Roman" w:hAnsi="Times New Roman" w:cs="Times New Roman"/>
          <w:sz w:val="24"/>
          <w:szCs w:val="24"/>
        </w:rPr>
        <w:t>rivals</w:t>
      </w:r>
      <w:r w:rsidR="0041494B" w:rsidRPr="00C235E5">
        <w:rPr>
          <w:rFonts w:ascii="Times New Roman" w:hAnsi="Times New Roman" w:cs="Times New Roman"/>
          <w:sz w:val="24"/>
          <w:szCs w:val="24"/>
        </w:rPr>
        <w:t xml:space="preserve"> in the 12 cases analyzed. Second, </w:t>
      </w:r>
      <w:r w:rsidR="00106EC7" w:rsidRPr="00C235E5">
        <w:rPr>
          <w:rFonts w:ascii="Times New Roman" w:hAnsi="Times New Roman" w:cs="Times New Roman"/>
          <w:sz w:val="24"/>
          <w:szCs w:val="24"/>
        </w:rPr>
        <w:t>we narrow the search to reports issued in the preceding, coinciding, and following years</w:t>
      </w:r>
      <w:r w:rsidR="002C0046" w:rsidRPr="00C235E5">
        <w:rPr>
          <w:rFonts w:ascii="Times New Roman" w:hAnsi="Times New Roman" w:cs="Times New Roman"/>
          <w:sz w:val="24"/>
          <w:szCs w:val="24"/>
        </w:rPr>
        <w:t xml:space="preserve">, with the date of transaction as the point of origin. To illustrate, for </w:t>
      </w:r>
      <w:r w:rsidR="004D15E2" w:rsidRPr="00C235E5">
        <w:rPr>
          <w:rFonts w:ascii="Times New Roman" w:hAnsi="Times New Roman" w:cs="Times New Roman"/>
          <w:sz w:val="24"/>
          <w:szCs w:val="24"/>
        </w:rPr>
        <w:t xml:space="preserve">the 2016 </w:t>
      </w:r>
      <w:r w:rsidR="002C0046" w:rsidRPr="00C235E5">
        <w:rPr>
          <w:rFonts w:ascii="Times New Roman" w:hAnsi="Times New Roman" w:cs="Times New Roman"/>
          <w:i/>
          <w:iCs/>
          <w:sz w:val="24"/>
          <w:szCs w:val="24"/>
        </w:rPr>
        <w:t>Activision/King</w:t>
      </w:r>
      <w:r w:rsidR="004D15E2" w:rsidRPr="00C235E5">
        <w:rPr>
          <w:rFonts w:ascii="Times New Roman" w:hAnsi="Times New Roman" w:cs="Times New Roman"/>
          <w:sz w:val="24"/>
          <w:szCs w:val="24"/>
        </w:rPr>
        <w:t xml:space="preserve"> </w:t>
      </w:r>
      <w:r w:rsidR="002C0046" w:rsidRPr="00C235E5">
        <w:rPr>
          <w:rFonts w:ascii="Times New Roman" w:hAnsi="Times New Roman" w:cs="Times New Roman"/>
          <w:sz w:val="24"/>
          <w:szCs w:val="24"/>
        </w:rPr>
        <w:t xml:space="preserve">transaction, we analyze annual reports of </w:t>
      </w:r>
      <w:r w:rsidR="007C2186" w:rsidRPr="00C235E5">
        <w:rPr>
          <w:rFonts w:ascii="Times New Roman" w:hAnsi="Times New Roman" w:cs="Times New Roman"/>
          <w:sz w:val="24"/>
          <w:szCs w:val="24"/>
        </w:rPr>
        <w:t>rivals</w:t>
      </w:r>
      <w:r w:rsidR="002C0046" w:rsidRPr="00C235E5">
        <w:rPr>
          <w:rFonts w:ascii="Times New Roman" w:hAnsi="Times New Roman" w:cs="Times New Roman"/>
          <w:sz w:val="24"/>
          <w:szCs w:val="24"/>
        </w:rPr>
        <w:t xml:space="preserve"> issued for </w:t>
      </w:r>
      <w:r w:rsidR="00E65EEE" w:rsidRPr="00C235E5">
        <w:rPr>
          <w:rFonts w:ascii="Times New Roman" w:hAnsi="Times New Roman" w:cs="Times New Roman"/>
          <w:sz w:val="24"/>
          <w:szCs w:val="24"/>
        </w:rPr>
        <w:t xml:space="preserve">2015, 2016, and 2017. The </w:t>
      </w:r>
      <w:r w:rsidR="004D15E2" w:rsidRPr="00C235E5">
        <w:rPr>
          <w:rFonts w:ascii="Times New Roman" w:hAnsi="Times New Roman" w:cs="Times New Roman"/>
          <w:sz w:val="24"/>
          <w:szCs w:val="24"/>
        </w:rPr>
        <w:t>goal</w:t>
      </w:r>
      <w:r w:rsidR="00E65EEE" w:rsidRPr="00C235E5">
        <w:rPr>
          <w:rFonts w:ascii="Times New Roman" w:hAnsi="Times New Roman" w:cs="Times New Roman"/>
          <w:sz w:val="24"/>
          <w:szCs w:val="24"/>
        </w:rPr>
        <w:t xml:space="preserve"> is to obtain a</w:t>
      </w:r>
      <w:r w:rsidR="004D15E2" w:rsidRPr="00C235E5">
        <w:rPr>
          <w:rFonts w:ascii="Times New Roman" w:hAnsi="Times New Roman" w:cs="Times New Roman"/>
          <w:sz w:val="24"/>
          <w:szCs w:val="24"/>
        </w:rPr>
        <w:t xml:space="preserve"> </w:t>
      </w:r>
      <w:r w:rsidR="00E65EEE" w:rsidRPr="00C235E5">
        <w:rPr>
          <w:rFonts w:ascii="Times New Roman" w:hAnsi="Times New Roman" w:cs="Times New Roman"/>
          <w:sz w:val="24"/>
          <w:szCs w:val="24"/>
        </w:rPr>
        <w:t xml:space="preserve">“before-after” </w:t>
      </w:r>
      <w:r w:rsidR="0073560F" w:rsidRPr="00C235E5">
        <w:rPr>
          <w:rFonts w:ascii="Times New Roman" w:hAnsi="Times New Roman" w:cs="Times New Roman"/>
          <w:sz w:val="24"/>
          <w:szCs w:val="24"/>
        </w:rPr>
        <w:t xml:space="preserve">evaluation of whether the acquired firm was and </w:t>
      </w:r>
      <w:r w:rsidR="00E35CFC" w:rsidRPr="00C235E5">
        <w:rPr>
          <w:rFonts w:ascii="Times New Roman" w:hAnsi="Times New Roman" w:cs="Times New Roman"/>
          <w:sz w:val="24"/>
          <w:szCs w:val="24"/>
        </w:rPr>
        <w:t xml:space="preserve">remains </w:t>
      </w:r>
      <w:r w:rsidR="0073560F" w:rsidRPr="00C235E5">
        <w:rPr>
          <w:rFonts w:ascii="Times New Roman" w:hAnsi="Times New Roman" w:cs="Times New Roman"/>
          <w:sz w:val="24"/>
          <w:szCs w:val="24"/>
        </w:rPr>
        <w:t xml:space="preserve">a competitor </w:t>
      </w:r>
      <w:r w:rsidR="004456F9" w:rsidRPr="00C235E5">
        <w:rPr>
          <w:rFonts w:ascii="Times New Roman" w:hAnsi="Times New Roman" w:cs="Times New Roman"/>
          <w:sz w:val="24"/>
          <w:szCs w:val="24"/>
        </w:rPr>
        <w:t>post-merger</w:t>
      </w:r>
      <w:r w:rsidR="00E65EEE" w:rsidRPr="00C235E5">
        <w:rPr>
          <w:rFonts w:ascii="Times New Roman" w:hAnsi="Times New Roman" w:cs="Times New Roman"/>
          <w:sz w:val="24"/>
          <w:szCs w:val="24"/>
        </w:rPr>
        <w:t xml:space="preserve">. Third, </w:t>
      </w:r>
      <w:r w:rsidR="00174FE3" w:rsidRPr="00C235E5">
        <w:rPr>
          <w:rFonts w:ascii="Times New Roman" w:hAnsi="Times New Roman" w:cs="Times New Roman"/>
          <w:sz w:val="24"/>
          <w:szCs w:val="24"/>
        </w:rPr>
        <w:t>we focus on the “</w:t>
      </w:r>
      <w:r w:rsidR="004D15E2" w:rsidRPr="00C235E5">
        <w:rPr>
          <w:rFonts w:ascii="Times New Roman" w:hAnsi="Times New Roman" w:cs="Times New Roman"/>
          <w:sz w:val="24"/>
          <w:szCs w:val="24"/>
        </w:rPr>
        <w:t>R</w:t>
      </w:r>
      <w:r w:rsidR="00174FE3" w:rsidRPr="00C235E5">
        <w:rPr>
          <w:rFonts w:ascii="Times New Roman" w:hAnsi="Times New Roman" w:cs="Times New Roman"/>
          <w:sz w:val="24"/>
          <w:szCs w:val="24"/>
        </w:rPr>
        <w:t>isk</w:t>
      </w:r>
      <w:r w:rsidR="004D15E2" w:rsidRPr="00C235E5">
        <w:rPr>
          <w:rFonts w:ascii="Times New Roman" w:hAnsi="Times New Roman" w:cs="Times New Roman"/>
          <w:sz w:val="24"/>
          <w:szCs w:val="24"/>
        </w:rPr>
        <w:t xml:space="preserve"> Factor</w:t>
      </w:r>
      <w:r w:rsidR="0073016E" w:rsidRPr="00C235E5">
        <w:rPr>
          <w:rFonts w:ascii="Times New Roman" w:hAnsi="Times New Roman" w:cs="Times New Roman"/>
          <w:sz w:val="24"/>
          <w:szCs w:val="24"/>
        </w:rPr>
        <w:t>” and “</w:t>
      </w:r>
      <w:r w:rsidR="00F43C99" w:rsidRPr="00C235E5">
        <w:rPr>
          <w:rFonts w:ascii="Times New Roman" w:hAnsi="Times New Roman" w:cs="Times New Roman"/>
          <w:sz w:val="24"/>
          <w:szCs w:val="24"/>
        </w:rPr>
        <w:t>C</w:t>
      </w:r>
      <w:r w:rsidR="0073016E" w:rsidRPr="00C235E5">
        <w:rPr>
          <w:rFonts w:ascii="Times New Roman" w:hAnsi="Times New Roman" w:cs="Times New Roman"/>
          <w:sz w:val="24"/>
          <w:szCs w:val="24"/>
        </w:rPr>
        <w:t>ompetition”</w:t>
      </w:r>
      <w:r w:rsidR="0062421A" w:rsidRPr="00C235E5">
        <w:rPr>
          <w:rFonts w:ascii="Times New Roman" w:hAnsi="Times New Roman" w:cs="Times New Roman"/>
          <w:sz w:val="24"/>
          <w:szCs w:val="24"/>
        </w:rPr>
        <w:t xml:space="preserve"> sections</w:t>
      </w:r>
      <w:r w:rsidR="00F43C99" w:rsidRPr="00C235E5">
        <w:rPr>
          <w:rFonts w:ascii="Times New Roman" w:hAnsi="Times New Roman" w:cs="Times New Roman"/>
          <w:sz w:val="24"/>
          <w:szCs w:val="24"/>
        </w:rPr>
        <w:t xml:space="preserve"> found in </w:t>
      </w:r>
      <w:r w:rsidR="005922E8" w:rsidRPr="00C235E5">
        <w:rPr>
          <w:rFonts w:ascii="Times New Roman" w:hAnsi="Times New Roman" w:cs="Times New Roman"/>
          <w:sz w:val="24"/>
          <w:szCs w:val="24"/>
        </w:rPr>
        <w:t xml:space="preserve">the section titled </w:t>
      </w:r>
      <w:r w:rsidR="00F43C99" w:rsidRPr="00C235E5">
        <w:rPr>
          <w:rFonts w:ascii="Times New Roman" w:hAnsi="Times New Roman" w:cs="Times New Roman"/>
          <w:sz w:val="24"/>
          <w:szCs w:val="24"/>
        </w:rPr>
        <w:t>“Item 1. Business”</w:t>
      </w:r>
      <w:r w:rsidR="005922E8" w:rsidRPr="00C235E5">
        <w:rPr>
          <w:rFonts w:ascii="Times New Roman" w:hAnsi="Times New Roman" w:cs="Times New Roman"/>
          <w:sz w:val="24"/>
          <w:szCs w:val="24"/>
        </w:rPr>
        <w:t xml:space="preserve"> in annual reports</w:t>
      </w:r>
      <w:r w:rsidR="00F43C99" w:rsidRPr="00C235E5">
        <w:rPr>
          <w:rFonts w:ascii="Times New Roman" w:hAnsi="Times New Roman" w:cs="Times New Roman"/>
          <w:sz w:val="24"/>
          <w:szCs w:val="24"/>
        </w:rPr>
        <w:t>.</w:t>
      </w:r>
      <w:r w:rsidR="004456F9" w:rsidRPr="00C235E5">
        <w:rPr>
          <w:rFonts w:ascii="Times New Roman" w:hAnsi="Times New Roman" w:cs="Times New Roman"/>
          <w:sz w:val="24"/>
          <w:szCs w:val="24"/>
        </w:rPr>
        <w:t xml:space="preserve"> </w:t>
      </w:r>
      <w:r w:rsidR="008E17FB" w:rsidRPr="00C235E5">
        <w:rPr>
          <w:rFonts w:ascii="Times New Roman" w:hAnsi="Times New Roman" w:cs="Times New Roman"/>
          <w:sz w:val="24"/>
          <w:szCs w:val="24"/>
        </w:rPr>
        <w:t xml:space="preserve">Fourth, </w:t>
      </w:r>
      <w:r w:rsidR="006428F4" w:rsidRPr="00C235E5">
        <w:rPr>
          <w:rFonts w:ascii="Times New Roman" w:hAnsi="Times New Roman" w:cs="Times New Roman"/>
          <w:sz w:val="24"/>
          <w:szCs w:val="24"/>
        </w:rPr>
        <w:t xml:space="preserve">we </w:t>
      </w:r>
      <w:r w:rsidR="009D0090" w:rsidRPr="00C235E5">
        <w:rPr>
          <w:rFonts w:ascii="Times New Roman" w:hAnsi="Times New Roman" w:cs="Times New Roman"/>
          <w:sz w:val="24"/>
          <w:szCs w:val="24"/>
        </w:rPr>
        <w:t>group all 12 cases into five categories</w:t>
      </w:r>
      <w:r w:rsidR="009A7978" w:rsidRPr="00C235E5">
        <w:rPr>
          <w:rFonts w:ascii="Times New Roman" w:hAnsi="Times New Roman" w:cs="Times New Roman"/>
          <w:sz w:val="24"/>
          <w:szCs w:val="24"/>
        </w:rPr>
        <w:t xml:space="preserve">. These categories correspond to the following: </w:t>
      </w:r>
      <w:r w:rsidR="00E4573C" w:rsidRPr="00C235E5">
        <w:rPr>
          <w:rFonts w:ascii="Times New Roman" w:hAnsi="Times New Roman" w:cs="Times New Roman"/>
          <w:sz w:val="24"/>
          <w:szCs w:val="24"/>
        </w:rPr>
        <w:t xml:space="preserve">“Only Target” (transactions in which competitors mention only the target </w:t>
      </w:r>
      <w:r w:rsidR="00A73265">
        <w:rPr>
          <w:rFonts w:ascii="Times New Roman" w:hAnsi="Times New Roman" w:cs="Times New Roman"/>
          <w:sz w:val="24"/>
          <w:szCs w:val="24"/>
        </w:rPr>
        <w:t xml:space="preserve">as a </w:t>
      </w:r>
      <w:r w:rsidR="002E04EC">
        <w:rPr>
          <w:rFonts w:ascii="Times New Roman" w:hAnsi="Times New Roman" w:cs="Times New Roman"/>
          <w:sz w:val="24"/>
          <w:szCs w:val="24"/>
        </w:rPr>
        <w:t xml:space="preserve">competitor </w:t>
      </w:r>
      <w:r w:rsidR="00E4573C" w:rsidRPr="00C235E5">
        <w:rPr>
          <w:rFonts w:ascii="Times New Roman" w:hAnsi="Times New Roman" w:cs="Times New Roman"/>
          <w:sz w:val="24"/>
          <w:szCs w:val="24"/>
        </w:rPr>
        <w:t>in their 10-Ks)</w:t>
      </w:r>
      <w:r w:rsidR="00DC610B">
        <w:rPr>
          <w:rFonts w:ascii="Times New Roman" w:hAnsi="Times New Roman" w:cs="Times New Roman"/>
          <w:sz w:val="24"/>
          <w:szCs w:val="24"/>
        </w:rPr>
        <w:t>;</w:t>
      </w:r>
      <w:r w:rsidR="00E4573C" w:rsidRPr="00C235E5">
        <w:rPr>
          <w:rFonts w:ascii="Times New Roman" w:hAnsi="Times New Roman" w:cs="Times New Roman"/>
          <w:sz w:val="24"/>
          <w:szCs w:val="24"/>
        </w:rPr>
        <w:t xml:space="preserve"> “Only Acquirer” (</w:t>
      </w:r>
      <w:r w:rsidR="006445A3" w:rsidRPr="00C235E5">
        <w:rPr>
          <w:rFonts w:ascii="Times New Roman" w:hAnsi="Times New Roman" w:cs="Times New Roman"/>
          <w:sz w:val="24"/>
          <w:szCs w:val="24"/>
        </w:rPr>
        <w:t>transactions in which competitors mention only the acquirer</w:t>
      </w:r>
      <w:r w:rsidR="002E04EC">
        <w:rPr>
          <w:rFonts w:ascii="Times New Roman" w:hAnsi="Times New Roman" w:cs="Times New Roman"/>
          <w:sz w:val="24"/>
          <w:szCs w:val="24"/>
        </w:rPr>
        <w:t xml:space="preserve"> as a competitor</w:t>
      </w:r>
      <w:r w:rsidR="006445A3" w:rsidRPr="00C235E5">
        <w:rPr>
          <w:rFonts w:ascii="Times New Roman" w:hAnsi="Times New Roman" w:cs="Times New Roman"/>
          <w:sz w:val="24"/>
          <w:szCs w:val="24"/>
        </w:rPr>
        <w:t xml:space="preserve"> in their 10-Ks)</w:t>
      </w:r>
      <w:r w:rsidR="00DC610B">
        <w:rPr>
          <w:rFonts w:ascii="Times New Roman" w:hAnsi="Times New Roman" w:cs="Times New Roman"/>
          <w:sz w:val="24"/>
          <w:szCs w:val="24"/>
        </w:rPr>
        <w:t>;</w:t>
      </w:r>
      <w:r w:rsidR="006445A3" w:rsidRPr="00C235E5">
        <w:rPr>
          <w:rFonts w:ascii="Times New Roman" w:hAnsi="Times New Roman" w:cs="Times New Roman"/>
          <w:sz w:val="24"/>
          <w:szCs w:val="24"/>
        </w:rPr>
        <w:t xml:space="preserve"> “Both” (transactions where both the target and the acquirer </w:t>
      </w:r>
      <w:r w:rsidR="00027912" w:rsidRPr="00C235E5">
        <w:rPr>
          <w:rFonts w:ascii="Times New Roman" w:hAnsi="Times New Roman" w:cs="Times New Roman"/>
          <w:sz w:val="24"/>
          <w:szCs w:val="24"/>
        </w:rPr>
        <w:t>are</w:t>
      </w:r>
      <w:r w:rsidR="006445A3" w:rsidRPr="00C235E5">
        <w:rPr>
          <w:rFonts w:ascii="Times New Roman" w:hAnsi="Times New Roman" w:cs="Times New Roman"/>
          <w:sz w:val="24"/>
          <w:szCs w:val="24"/>
        </w:rPr>
        <w:t xml:space="preserve"> </w:t>
      </w:r>
      <w:r w:rsidR="002E04EC">
        <w:rPr>
          <w:rFonts w:ascii="Times New Roman" w:hAnsi="Times New Roman" w:cs="Times New Roman"/>
          <w:sz w:val="24"/>
          <w:szCs w:val="24"/>
        </w:rPr>
        <w:t>acknowledged as competitors</w:t>
      </w:r>
      <w:r w:rsidR="006445A3" w:rsidRPr="00C235E5">
        <w:rPr>
          <w:rFonts w:ascii="Times New Roman" w:hAnsi="Times New Roman" w:cs="Times New Roman"/>
          <w:sz w:val="24"/>
          <w:szCs w:val="24"/>
        </w:rPr>
        <w:t>)</w:t>
      </w:r>
      <w:r w:rsidR="00DC610B">
        <w:rPr>
          <w:rFonts w:ascii="Times New Roman" w:hAnsi="Times New Roman" w:cs="Times New Roman"/>
          <w:sz w:val="24"/>
          <w:szCs w:val="24"/>
        </w:rPr>
        <w:t>;</w:t>
      </w:r>
      <w:r w:rsidR="006445A3" w:rsidRPr="00C235E5">
        <w:rPr>
          <w:rFonts w:ascii="Times New Roman" w:hAnsi="Times New Roman" w:cs="Times New Roman"/>
          <w:sz w:val="24"/>
          <w:szCs w:val="24"/>
        </w:rPr>
        <w:t xml:space="preserve"> “</w:t>
      </w:r>
      <w:r w:rsidR="00D0626C" w:rsidRPr="00C235E5">
        <w:rPr>
          <w:rFonts w:ascii="Times New Roman" w:hAnsi="Times New Roman" w:cs="Times New Roman"/>
          <w:sz w:val="24"/>
          <w:szCs w:val="24"/>
        </w:rPr>
        <w:t>Non-responder</w:t>
      </w:r>
      <w:r w:rsidR="006445A3" w:rsidRPr="00C235E5">
        <w:rPr>
          <w:rFonts w:ascii="Times New Roman" w:hAnsi="Times New Roman" w:cs="Times New Roman"/>
          <w:sz w:val="24"/>
          <w:szCs w:val="24"/>
        </w:rPr>
        <w:t xml:space="preserve">” (transactions in which neither the target nor the acquirer </w:t>
      </w:r>
      <w:r w:rsidR="00027912" w:rsidRPr="00C235E5">
        <w:rPr>
          <w:rFonts w:ascii="Times New Roman" w:hAnsi="Times New Roman" w:cs="Times New Roman"/>
          <w:sz w:val="24"/>
          <w:szCs w:val="24"/>
        </w:rPr>
        <w:t>are</w:t>
      </w:r>
      <w:r w:rsidR="006445A3" w:rsidRPr="00C235E5">
        <w:rPr>
          <w:rFonts w:ascii="Times New Roman" w:hAnsi="Times New Roman" w:cs="Times New Roman"/>
          <w:sz w:val="24"/>
          <w:szCs w:val="24"/>
        </w:rPr>
        <w:t xml:space="preserve"> mentioned</w:t>
      </w:r>
      <w:r w:rsidR="002E04EC">
        <w:rPr>
          <w:rFonts w:ascii="Times New Roman" w:hAnsi="Times New Roman" w:cs="Times New Roman"/>
          <w:sz w:val="24"/>
          <w:szCs w:val="24"/>
        </w:rPr>
        <w:t xml:space="preserve"> as competitors</w:t>
      </w:r>
      <w:r w:rsidR="006445A3" w:rsidRPr="00C235E5">
        <w:rPr>
          <w:rFonts w:ascii="Times New Roman" w:hAnsi="Times New Roman" w:cs="Times New Roman"/>
          <w:sz w:val="24"/>
          <w:szCs w:val="24"/>
        </w:rPr>
        <w:t>)</w:t>
      </w:r>
      <w:r w:rsidR="00DC610B">
        <w:rPr>
          <w:rFonts w:ascii="Times New Roman" w:hAnsi="Times New Roman" w:cs="Times New Roman"/>
          <w:sz w:val="24"/>
          <w:szCs w:val="24"/>
        </w:rPr>
        <w:t>;</w:t>
      </w:r>
      <w:r w:rsidR="006445A3" w:rsidRPr="00C235E5">
        <w:rPr>
          <w:rFonts w:ascii="Times New Roman" w:hAnsi="Times New Roman" w:cs="Times New Roman"/>
          <w:sz w:val="24"/>
          <w:szCs w:val="24"/>
        </w:rPr>
        <w:t xml:space="preserve"> </w:t>
      </w:r>
      <w:r w:rsidR="006445A3" w:rsidRPr="00C235E5">
        <w:rPr>
          <w:rFonts w:ascii="Times New Roman" w:hAnsi="Times New Roman" w:cs="Times New Roman"/>
          <w:sz w:val="24"/>
          <w:szCs w:val="24"/>
        </w:rPr>
        <w:lastRenderedPageBreak/>
        <w:t>and “Others” (transactions which</w:t>
      </w:r>
      <w:r w:rsidR="00073365" w:rsidRPr="00C235E5">
        <w:rPr>
          <w:rFonts w:ascii="Times New Roman" w:hAnsi="Times New Roman" w:cs="Times New Roman"/>
          <w:sz w:val="24"/>
          <w:szCs w:val="24"/>
        </w:rPr>
        <w:t xml:space="preserve"> display specific characteristics in terms of post-competitor perception). </w:t>
      </w:r>
      <w:r w:rsidR="0092715C" w:rsidRPr="00C235E5">
        <w:rPr>
          <w:rFonts w:ascii="Times New Roman" w:hAnsi="Times New Roman" w:cs="Times New Roman"/>
          <w:sz w:val="24"/>
          <w:szCs w:val="24"/>
        </w:rPr>
        <w:t xml:space="preserve">Table – I </w:t>
      </w:r>
      <w:r w:rsidR="00073365" w:rsidRPr="00C235E5">
        <w:rPr>
          <w:rFonts w:ascii="Times New Roman" w:hAnsi="Times New Roman" w:cs="Times New Roman"/>
          <w:sz w:val="24"/>
          <w:szCs w:val="24"/>
        </w:rPr>
        <w:t>below displays the results of this exercise.</w:t>
      </w:r>
    </w:p>
    <w:p w14:paraId="00AC639A" w14:textId="799E46FF" w:rsidR="0092715C" w:rsidRPr="00C235E5" w:rsidRDefault="0092715C" w:rsidP="0092715C">
      <w:pPr>
        <w:jc w:val="center"/>
        <w:rPr>
          <w:rFonts w:ascii="Times New Roman" w:hAnsi="Times New Roman" w:cs="Times New Roman"/>
          <w:b/>
          <w:bCs/>
          <w:sz w:val="24"/>
          <w:szCs w:val="24"/>
        </w:rPr>
      </w:pPr>
      <w:r w:rsidRPr="00C235E5">
        <w:rPr>
          <w:rFonts w:ascii="Times New Roman" w:hAnsi="Times New Roman" w:cs="Times New Roman"/>
          <w:b/>
          <w:bCs/>
          <w:sz w:val="24"/>
          <w:szCs w:val="24"/>
        </w:rPr>
        <w:t>Table – I: Post-merger Rival Perception Analysis</w:t>
      </w:r>
    </w:p>
    <w:tbl>
      <w:tblPr>
        <w:tblStyle w:val="TableGrid"/>
        <w:tblW w:w="0" w:type="auto"/>
        <w:tblLook w:val="04A0" w:firstRow="1" w:lastRow="0" w:firstColumn="1" w:lastColumn="0" w:noHBand="0" w:noVBand="1"/>
      </w:tblPr>
      <w:tblGrid>
        <w:gridCol w:w="1684"/>
        <w:gridCol w:w="2070"/>
        <w:gridCol w:w="1739"/>
        <w:gridCol w:w="1641"/>
        <w:gridCol w:w="2216"/>
      </w:tblGrid>
      <w:tr w:rsidR="007201AB" w:rsidRPr="00C235E5" w14:paraId="726C3548" w14:textId="77777777" w:rsidTr="00EF42BA">
        <w:tc>
          <w:tcPr>
            <w:tcW w:w="1870" w:type="dxa"/>
          </w:tcPr>
          <w:p w14:paraId="5923D566" w14:textId="59ECFA06" w:rsidR="00BF74BD" w:rsidRPr="00C235E5" w:rsidRDefault="00BF74BD" w:rsidP="00EF42BA">
            <w:pPr>
              <w:spacing w:before="120" w:after="120"/>
              <w:jc w:val="center"/>
              <w:rPr>
                <w:rFonts w:ascii="Times New Roman" w:hAnsi="Times New Roman" w:cs="Times New Roman"/>
                <w:b/>
                <w:bCs/>
                <w:sz w:val="24"/>
                <w:szCs w:val="24"/>
              </w:rPr>
            </w:pPr>
            <w:r w:rsidRPr="00C235E5">
              <w:rPr>
                <w:rFonts w:ascii="Times New Roman" w:hAnsi="Times New Roman" w:cs="Times New Roman"/>
                <w:b/>
                <w:bCs/>
                <w:sz w:val="24"/>
                <w:szCs w:val="24"/>
              </w:rPr>
              <w:t>Only Target</w:t>
            </w:r>
          </w:p>
        </w:tc>
        <w:tc>
          <w:tcPr>
            <w:tcW w:w="1870" w:type="dxa"/>
          </w:tcPr>
          <w:p w14:paraId="4EBE8504" w14:textId="757BEF6A" w:rsidR="00BF74BD" w:rsidRPr="00C235E5" w:rsidRDefault="00BF74BD" w:rsidP="00EF42BA">
            <w:pPr>
              <w:spacing w:before="120" w:after="120"/>
              <w:jc w:val="center"/>
              <w:rPr>
                <w:rFonts w:ascii="Times New Roman" w:hAnsi="Times New Roman" w:cs="Times New Roman"/>
                <w:b/>
                <w:bCs/>
                <w:sz w:val="24"/>
                <w:szCs w:val="24"/>
              </w:rPr>
            </w:pPr>
            <w:r w:rsidRPr="00C235E5">
              <w:rPr>
                <w:rFonts w:ascii="Times New Roman" w:hAnsi="Times New Roman" w:cs="Times New Roman"/>
                <w:b/>
                <w:bCs/>
                <w:sz w:val="24"/>
                <w:szCs w:val="24"/>
              </w:rPr>
              <w:t>Only Acquirer</w:t>
            </w:r>
          </w:p>
        </w:tc>
        <w:tc>
          <w:tcPr>
            <w:tcW w:w="1870" w:type="dxa"/>
          </w:tcPr>
          <w:p w14:paraId="7E01D7EB" w14:textId="0EF9ED54" w:rsidR="00BF74BD" w:rsidRPr="00C235E5" w:rsidRDefault="00BF74BD" w:rsidP="00EF42BA">
            <w:pPr>
              <w:spacing w:before="120" w:after="120"/>
              <w:jc w:val="center"/>
              <w:rPr>
                <w:rFonts w:ascii="Times New Roman" w:hAnsi="Times New Roman" w:cs="Times New Roman"/>
                <w:b/>
                <w:bCs/>
                <w:sz w:val="24"/>
                <w:szCs w:val="24"/>
              </w:rPr>
            </w:pPr>
            <w:r w:rsidRPr="00C235E5">
              <w:rPr>
                <w:rFonts w:ascii="Times New Roman" w:hAnsi="Times New Roman" w:cs="Times New Roman"/>
                <w:b/>
                <w:bCs/>
                <w:sz w:val="24"/>
                <w:szCs w:val="24"/>
              </w:rPr>
              <w:t>Both</w:t>
            </w:r>
          </w:p>
        </w:tc>
        <w:tc>
          <w:tcPr>
            <w:tcW w:w="1870" w:type="dxa"/>
          </w:tcPr>
          <w:p w14:paraId="27C56109" w14:textId="431F0514" w:rsidR="00BF74BD" w:rsidRPr="00C235E5" w:rsidRDefault="00D0626C" w:rsidP="00EF42BA">
            <w:pPr>
              <w:spacing w:before="120" w:after="120"/>
              <w:jc w:val="center"/>
              <w:rPr>
                <w:rFonts w:ascii="Times New Roman" w:hAnsi="Times New Roman" w:cs="Times New Roman"/>
                <w:b/>
                <w:bCs/>
                <w:sz w:val="24"/>
                <w:szCs w:val="24"/>
              </w:rPr>
            </w:pPr>
            <w:r w:rsidRPr="00C235E5">
              <w:rPr>
                <w:rFonts w:ascii="Times New Roman" w:hAnsi="Times New Roman" w:cs="Times New Roman"/>
                <w:b/>
                <w:bCs/>
                <w:sz w:val="24"/>
                <w:szCs w:val="24"/>
              </w:rPr>
              <w:t>Non-responder</w:t>
            </w:r>
          </w:p>
        </w:tc>
        <w:tc>
          <w:tcPr>
            <w:tcW w:w="1870" w:type="dxa"/>
          </w:tcPr>
          <w:p w14:paraId="5A286A1D" w14:textId="05B183F4" w:rsidR="00BF74BD" w:rsidRPr="00C235E5" w:rsidRDefault="00BF74BD" w:rsidP="00EF42BA">
            <w:pPr>
              <w:spacing w:before="120" w:after="120"/>
              <w:jc w:val="center"/>
              <w:rPr>
                <w:rFonts w:ascii="Times New Roman" w:hAnsi="Times New Roman" w:cs="Times New Roman"/>
                <w:b/>
                <w:bCs/>
                <w:sz w:val="24"/>
                <w:szCs w:val="24"/>
              </w:rPr>
            </w:pPr>
            <w:r w:rsidRPr="00C235E5">
              <w:rPr>
                <w:rFonts w:ascii="Times New Roman" w:hAnsi="Times New Roman" w:cs="Times New Roman"/>
                <w:b/>
                <w:bCs/>
                <w:sz w:val="24"/>
                <w:szCs w:val="24"/>
              </w:rPr>
              <w:t>Others</w:t>
            </w:r>
          </w:p>
        </w:tc>
      </w:tr>
      <w:tr w:rsidR="007201AB" w:rsidRPr="00C235E5" w14:paraId="7B54442D" w14:textId="77777777" w:rsidTr="00EF42BA">
        <w:tc>
          <w:tcPr>
            <w:tcW w:w="1870" w:type="dxa"/>
          </w:tcPr>
          <w:p w14:paraId="353C279B" w14:textId="6B4DEE00" w:rsidR="00BF74BD" w:rsidRPr="00C235E5" w:rsidRDefault="00EC2305" w:rsidP="00EF42BA">
            <w:pPr>
              <w:spacing w:before="120" w:after="120"/>
              <w:jc w:val="center"/>
              <w:rPr>
                <w:rFonts w:ascii="Times New Roman" w:hAnsi="Times New Roman" w:cs="Times New Roman"/>
                <w:sz w:val="24"/>
                <w:szCs w:val="24"/>
              </w:rPr>
            </w:pPr>
            <w:r w:rsidRPr="00C235E5">
              <w:rPr>
                <w:rFonts w:ascii="Times New Roman" w:hAnsi="Times New Roman" w:cs="Times New Roman"/>
                <w:sz w:val="24"/>
                <w:szCs w:val="24"/>
              </w:rPr>
              <w:t>2</w:t>
            </w:r>
          </w:p>
        </w:tc>
        <w:tc>
          <w:tcPr>
            <w:tcW w:w="1870" w:type="dxa"/>
          </w:tcPr>
          <w:p w14:paraId="5FC83BED" w14:textId="1AB6EDA5" w:rsidR="00BF74BD" w:rsidRPr="00C235E5" w:rsidRDefault="00A92CE3" w:rsidP="00EF42BA">
            <w:pPr>
              <w:spacing w:before="120" w:after="120"/>
              <w:jc w:val="center"/>
              <w:rPr>
                <w:rFonts w:ascii="Times New Roman" w:hAnsi="Times New Roman" w:cs="Times New Roman"/>
                <w:sz w:val="24"/>
                <w:szCs w:val="24"/>
              </w:rPr>
            </w:pPr>
            <w:r w:rsidRPr="00C235E5">
              <w:rPr>
                <w:rFonts w:ascii="Times New Roman" w:hAnsi="Times New Roman" w:cs="Times New Roman"/>
                <w:sz w:val="24"/>
                <w:szCs w:val="24"/>
              </w:rPr>
              <w:t>2</w:t>
            </w:r>
          </w:p>
        </w:tc>
        <w:tc>
          <w:tcPr>
            <w:tcW w:w="1870" w:type="dxa"/>
          </w:tcPr>
          <w:p w14:paraId="1FAFCC0A" w14:textId="33B3E4B4" w:rsidR="00BF74BD" w:rsidRPr="00C235E5" w:rsidRDefault="00EC2305" w:rsidP="00EF42BA">
            <w:pPr>
              <w:spacing w:before="120" w:after="120"/>
              <w:jc w:val="center"/>
              <w:rPr>
                <w:rFonts w:ascii="Times New Roman" w:hAnsi="Times New Roman" w:cs="Times New Roman"/>
                <w:sz w:val="24"/>
                <w:szCs w:val="24"/>
              </w:rPr>
            </w:pPr>
            <w:r w:rsidRPr="00C235E5">
              <w:rPr>
                <w:rFonts w:ascii="Times New Roman" w:hAnsi="Times New Roman" w:cs="Times New Roman"/>
                <w:sz w:val="24"/>
                <w:szCs w:val="24"/>
              </w:rPr>
              <w:t>3</w:t>
            </w:r>
          </w:p>
        </w:tc>
        <w:tc>
          <w:tcPr>
            <w:tcW w:w="1870" w:type="dxa"/>
          </w:tcPr>
          <w:p w14:paraId="3633666A" w14:textId="22FEBB3D" w:rsidR="00BF74BD" w:rsidRPr="00C235E5" w:rsidRDefault="00B13EAB" w:rsidP="00EF42BA">
            <w:pPr>
              <w:spacing w:before="120" w:after="120"/>
              <w:jc w:val="center"/>
              <w:rPr>
                <w:rFonts w:ascii="Times New Roman" w:hAnsi="Times New Roman" w:cs="Times New Roman"/>
                <w:sz w:val="24"/>
                <w:szCs w:val="24"/>
              </w:rPr>
            </w:pPr>
            <w:r w:rsidRPr="00C235E5">
              <w:rPr>
                <w:rFonts w:ascii="Times New Roman" w:hAnsi="Times New Roman" w:cs="Times New Roman"/>
                <w:sz w:val="24"/>
                <w:szCs w:val="24"/>
              </w:rPr>
              <w:t>2</w:t>
            </w:r>
          </w:p>
        </w:tc>
        <w:tc>
          <w:tcPr>
            <w:tcW w:w="1870" w:type="dxa"/>
          </w:tcPr>
          <w:p w14:paraId="6CECAE9F" w14:textId="697D8F96" w:rsidR="00BF74BD" w:rsidRPr="00C235E5" w:rsidRDefault="00B13EAB" w:rsidP="00EF42BA">
            <w:pPr>
              <w:spacing w:before="120" w:after="120"/>
              <w:jc w:val="center"/>
              <w:rPr>
                <w:rFonts w:ascii="Times New Roman" w:hAnsi="Times New Roman" w:cs="Times New Roman"/>
                <w:sz w:val="24"/>
                <w:szCs w:val="24"/>
              </w:rPr>
            </w:pPr>
            <w:r w:rsidRPr="00C235E5">
              <w:rPr>
                <w:rFonts w:ascii="Times New Roman" w:hAnsi="Times New Roman" w:cs="Times New Roman"/>
                <w:sz w:val="24"/>
                <w:szCs w:val="24"/>
              </w:rPr>
              <w:t>3</w:t>
            </w:r>
          </w:p>
        </w:tc>
      </w:tr>
      <w:tr w:rsidR="007201AB" w:rsidRPr="00C235E5" w14:paraId="7845D5C7" w14:textId="77777777" w:rsidTr="00EF42BA">
        <w:tc>
          <w:tcPr>
            <w:tcW w:w="1870" w:type="dxa"/>
          </w:tcPr>
          <w:p w14:paraId="3067D334" w14:textId="77777777" w:rsidR="00BF74BD" w:rsidRPr="00C235E5" w:rsidRDefault="009D2836"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SAP/Sybase</w:t>
            </w:r>
          </w:p>
          <w:p w14:paraId="00C51636" w14:textId="040604E5" w:rsidR="009D2836" w:rsidRPr="00C235E5" w:rsidRDefault="009D2836" w:rsidP="00EF42BA">
            <w:pPr>
              <w:spacing w:before="120" w:after="120"/>
              <w:jc w:val="center"/>
              <w:rPr>
                <w:rFonts w:ascii="Times New Roman" w:hAnsi="Times New Roman" w:cs="Times New Roman"/>
                <w:sz w:val="24"/>
                <w:szCs w:val="24"/>
              </w:rPr>
            </w:pPr>
            <w:r w:rsidRPr="00C235E5">
              <w:rPr>
                <w:rFonts w:ascii="Times New Roman" w:hAnsi="Times New Roman" w:cs="Times New Roman"/>
                <w:i/>
                <w:iCs/>
                <w:sz w:val="24"/>
                <w:szCs w:val="24"/>
              </w:rPr>
              <w:t>Verizon/Yahoo</w:t>
            </w:r>
          </w:p>
        </w:tc>
        <w:tc>
          <w:tcPr>
            <w:tcW w:w="1870" w:type="dxa"/>
          </w:tcPr>
          <w:p w14:paraId="75CB450F" w14:textId="38C5742F" w:rsidR="00A92CE3" w:rsidRPr="00C235E5" w:rsidRDefault="009D2836" w:rsidP="00EF42BA">
            <w:pPr>
              <w:spacing w:before="120" w:after="120" w:line="276" w:lineRule="auto"/>
              <w:jc w:val="center"/>
              <w:rPr>
                <w:rFonts w:ascii="Times New Roman" w:hAnsi="Times New Roman" w:cs="Times New Roman"/>
                <w:i/>
                <w:iCs/>
                <w:sz w:val="24"/>
                <w:szCs w:val="24"/>
              </w:rPr>
            </w:pPr>
            <w:r w:rsidRPr="00C235E5">
              <w:rPr>
                <w:rFonts w:ascii="Times New Roman" w:hAnsi="Times New Roman" w:cs="Times New Roman"/>
                <w:i/>
                <w:iCs/>
                <w:sz w:val="24"/>
                <w:szCs w:val="24"/>
              </w:rPr>
              <w:t>Microsoft/Skype</w:t>
            </w:r>
            <w:r w:rsidR="00A92CE3" w:rsidRPr="00C235E5">
              <w:rPr>
                <w:rFonts w:ascii="Times New Roman" w:hAnsi="Times New Roman" w:cs="Times New Roman"/>
                <w:i/>
                <w:iCs/>
                <w:sz w:val="24"/>
                <w:szCs w:val="24"/>
              </w:rPr>
              <w:t xml:space="preserve"> Microsoft/LinkedIn</w:t>
            </w:r>
          </w:p>
          <w:p w14:paraId="23F1CC51" w14:textId="12253741" w:rsidR="00BF74BD" w:rsidRPr="00C235E5" w:rsidRDefault="00BF74BD" w:rsidP="00EF42BA">
            <w:pPr>
              <w:spacing w:before="120" w:after="120"/>
              <w:jc w:val="center"/>
              <w:rPr>
                <w:rFonts w:ascii="Times New Roman" w:hAnsi="Times New Roman" w:cs="Times New Roman"/>
                <w:sz w:val="24"/>
                <w:szCs w:val="24"/>
              </w:rPr>
            </w:pPr>
          </w:p>
        </w:tc>
        <w:tc>
          <w:tcPr>
            <w:tcW w:w="1870" w:type="dxa"/>
          </w:tcPr>
          <w:p w14:paraId="17B48736" w14:textId="77777777" w:rsidR="00BF74BD" w:rsidRPr="00C235E5" w:rsidRDefault="009D2836"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Google/FitBit</w:t>
            </w:r>
          </w:p>
          <w:p w14:paraId="5B11CB1B" w14:textId="77777777" w:rsidR="009D2836" w:rsidRPr="00C235E5" w:rsidRDefault="00A618E8"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Activision/King</w:t>
            </w:r>
          </w:p>
          <w:p w14:paraId="0E3809D6" w14:textId="2CB37984" w:rsidR="00A618E8" w:rsidRPr="00C235E5" w:rsidRDefault="00A618E8" w:rsidP="00EF42BA">
            <w:pPr>
              <w:spacing w:before="120" w:after="120"/>
              <w:jc w:val="center"/>
              <w:rPr>
                <w:rFonts w:ascii="Times New Roman" w:hAnsi="Times New Roman" w:cs="Times New Roman"/>
                <w:sz w:val="24"/>
                <w:szCs w:val="24"/>
              </w:rPr>
            </w:pPr>
            <w:r w:rsidRPr="00C235E5">
              <w:rPr>
                <w:rFonts w:ascii="Times New Roman" w:hAnsi="Times New Roman" w:cs="Times New Roman"/>
                <w:i/>
                <w:iCs/>
                <w:sz w:val="24"/>
                <w:szCs w:val="24"/>
              </w:rPr>
              <w:t>Oracle/Micros</w:t>
            </w:r>
          </w:p>
        </w:tc>
        <w:tc>
          <w:tcPr>
            <w:tcW w:w="1870" w:type="dxa"/>
          </w:tcPr>
          <w:p w14:paraId="33449170" w14:textId="77777777" w:rsidR="00BF74BD" w:rsidRPr="00C235E5" w:rsidRDefault="00A618E8"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Apple/Beats</w:t>
            </w:r>
          </w:p>
          <w:p w14:paraId="075024BD" w14:textId="7C12D929" w:rsidR="00B07731" w:rsidRPr="00C235E5" w:rsidRDefault="004B5B6A"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Apple/Shazam</w:t>
            </w:r>
          </w:p>
          <w:p w14:paraId="16DDFD85" w14:textId="289E0E13" w:rsidR="004B5B6A" w:rsidRPr="00C235E5" w:rsidRDefault="004B5B6A" w:rsidP="00EF42BA">
            <w:pPr>
              <w:spacing w:before="120" w:after="120"/>
              <w:jc w:val="center"/>
              <w:rPr>
                <w:rFonts w:ascii="Times New Roman" w:hAnsi="Times New Roman" w:cs="Times New Roman"/>
                <w:sz w:val="24"/>
                <w:szCs w:val="24"/>
              </w:rPr>
            </w:pPr>
          </w:p>
        </w:tc>
        <w:tc>
          <w:tcPr>
            <w:tcW w:w="1870" w:type="dxa"/>
          </w:tcPr>
          <w:p w14:paraId="45470AE9" w14:textId="2B600D15" w:rsidR="00BF74BD" w:rsidRPr="00C235E5" w:rsidRDefault="004B5B6A"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Microsoft/</w:t>
            </w:r>
            <w:r w:rsidR="00260174" w:rsidRPr="00C235E5">
              <w:rPr>
                <w:rFonts w:ascii="Times New Roman" w:hAnsi="Times New Roman" w:cs="Times New Roman"/>
                <w:i/>
                <w:iCs/>
                <w:sz w:val="24"/>
                <w:szCs w:val="24"/>
              </w:rPr>
              <w:t>ZeniMax</w:t>
            </w:r>
          </w:p>
          <w:p w14:paraId="343882F2" w14:textId="77777777" w:rsidR="004B5B6A" w:rsidRPr="00C235E5" w:rsidRDefault="004B5B6A" w:rsidP="00EF42BA">
            <w:pPr>
              <w:spacing w:before="120" w:after="120"/>
              <w:jc w:val="center"/>
              <w:rPr>
                <w:rFonts w:ascii="Times New Roman" w:hAnsi="Times New Roman" w:cs="Times New Roman"/>
                <w:i/>
                <w:iCs/>
                <w:sz w:val="24"/>
                <w:szCs w:val="24"/>
              </w:rPr>
            </w:pPr>
            <w:r w:rsidRPr="00C235E5">
              <w:rPr>
                <w:rFonts w:ascii="Times New Roman" w:hAnsi="Times New Roman" w:cs="Times New Roman"/>
                <w:i/>
                <w:iCs/>
                <w:sz w:val="24"/>
                <w:szCs w:val="24"/>
              </w:rPr>
              <w:t>Microsoft/GitHub</w:t>
            </w:r>
          </w:p>
          <w:p w14:paraId="5D539DEF" w14:textId="1FFBCBC3" w:rsidR="00B13EAB" w:rsidRPr="00C235E5" w:rsidRDefault="00B13EAB" w:rsidP="00EF42BA">
            <w:pPr>
              <w:spacing w:before="120" w:after="120"/>
              <w:jc w:val="center"/>
              <w:rPr>
                <w:rFonts w:ascii="Times New Roman" w:hAnsi="Times New Roman" w:cs="Times New Roman"/>
                <w:sz w:val="24"/>
                <w:szCs w:val="24"/>
              </w:rPr>
            </w:pPr>
            <w:r w:rsidRPr="00C235E5">
              <w:rPr>
                <w:rFonts w:ascii="Times New Roman" w:hAnsi="Times New Roman" w:cs="Times New Roman"/>
                <w:i/>
                <w:iCs/>
                <w:sz w:val="24"/>
                <w:szCs w:val="24"/>
              </w:rPr>
              <w:t>Facebook/</w:t>
            </w:r>
            <w:r w:rsidR="00EF42BA" w:rsidRPr="00C235E5">
              <w:rPr>
                <w:rFonts w:ascii="Times New Roman" w:hAnsi="Times New Roman" w:cs="Times New Roman"/>
                <w:i/>
                <w:iCs/>
                <w:sz w:val="24"/>
                <w:szCs w:val="24"/>
              </w:rPr>
              <w:t>WhatsApp</w:t>
            </w:r>
          </w:p>
        </w:tc>
      </w:tr>
    </w:tbl>
    <w:p w14:paraId="73F1C91E" w14:textId="69F181EC" w:rsidR="00715307" w:rsidRPr="00C235E5" w:rsidRDefault="00715307" w:rsidP="00792D53">
      <w:pPr>
        <w:spacing w:before="120" w:after="120" w:line="480" w:lineRule="auto"/>
        <w:jc w:val="both"/>
        <w:rPr>
          <w:rFonts w:ascii="Times New Roman" w:hAnsi="Times New Roman" w:cs="Times New Roman"/>
          <w:sz w:val="24"/>
          <w:szCs w:val="24"/>
        </w:rPr>
      </w:pPr>
      <w:r w:rsidRPr="00C235E5">
        <w:rPr>
          <w:rFonts w:ascii="Times New Roman" w:hAnsi="Times New Roman" w:cs="Times New Roman"/>
          <w:sz w:val="24"/>
          <w:szCs w:val="24"/>
        </w:rPr>
        <w:t>The results suggest th</w:t>
      </w:r>
      <w:r w:rsidR="00131242" w:rsidRPr="00C235E5">
        <w:rPr>
          <w:rFonts w:ascii="Times New Roman" w:hAnsi="Times New Roman" w:cs="Times New Roman"/>
          <w:sz w:val="24"/>
          <w:szCs w:val="24"/>
        </w:rPr>
        <w:t>at</w:t>
      </w:r>
      <w:r w:rsidR="00DC610B">
        <w:rPr>
          <w:rFonts w:ascii="Times New Roman" w:hAnsi="Times New Roman" w:cs="Times New Roman"/>
          <w:sz w:val="24"/>
          <w:szCs w:val="24"/>
        </w:rPr>
        <w:t>,</w:t>
      </w:r>
      <w:r w:rsidR="00131242" w:rsidRPr="00C235E5">
        <w:rPr>
          <w:rFonts w:ascii="Times New Roman" w:hAnsi="Times New Roman" w:cs="Times New Roman"/>
          <w:sz w:val="24"/>
          <w:szCs w:val="24"/>
        </w:rPr>
        <w:t xml:space="preserve"> </w:t>
      </w:r>
      <w:r w:rsidR="00735BC1" w:rsidRPr="00C235E5">
        <w:rPr>
          <w:rFonts w:ascii="Times New Roman" w:hAnsi="Times New Roman" w:cs="Times New Roman"/>
          <w:sz w:val="24"/>
          <w:szCs w:val="24"/>
        </w:rPr>
        <w:t xml:space="preserve">in </w:t>
      </w:r>
      <w:r w:rsidR="0014219F" w:rsidRPr="00C235E5">
        <w:rPr>
          <w:rFonts w:ascii="Times New Roman" w:hAnsi="Times New Roman" w:cs="Times New Roman"/>
          <w:sz w:val="24"/>
          <w:szCs w:val="24"/>
        </w:rPr>
        <w:t>seven</w:t>
      </w:r>
      <w:r w:rsidR="00860296" w:rsidRPr="00C235E5">
        <w:rPr>
          <w:rFonts w:ascii="Times New Roman" w:hAnsi="Times New Roman" w:cs="Times New Roman"/>
          <w:sz w:val="24"/>
          <w:szCs w:val="24"/>
        </w:rPr>
        <w:t xml:space="preserve"> </w:t>
      </w:r>
      <w:r w:rsidR="00131242" w:rsidRPr="00C235E5">
        <w:rPr>
          <w:rFonts w:ascii="Times New Roman" w:hAnsi="Times New Roman" w:cs="Times New Roman"/>
          <w:sz w:val="24"/>
          <w:szCs w:val="24"/>
        </w:rPr>
        <w:t>cases</w:t>
      </w:r>
      <w:r w:rsidR="00735BC1" w:rsidRPr="00C235E5">
        <w:rPr>
          <w:rFonts w:ascii="Times New Roman" w:hAnsi="Times New Roman" w:cs="Times New Roman"/>
          <w:sz w:val="24"/>
          <w:szCs w:val="24"/>
        </w:rPr>
        <w:t xml:space="preserve">, </w:t>
      </w:r>
      <w:r w:rsidR="00F66A72" w:rsidRPr="00C235E5">
        <w:rPr>
          <w:rFonts w:ascii="Times New Roman" w:hAnsi="Times New Roman" w:cs="Times New Roman"/>
          <w:sz w:val="24"/>
          <w:szCs w:val="24"/>
        </w:rPr>
        <w:t xml:space="preserve">the </w:t>
      </w:r>
      <w:r w:rsidR="00A91255" w:rsidRPr="00C235E5">
        <w:rPr>
          <w:rFonts w:ascii="Times New Roman" w:hAnsi="Times New Roman" w:cs="Times New Roman"/>
          <w:sz w:val="24"/>
          <w:szCs w:val="24"/>
        </w:rPr>
        <w:t>rivals</w:t>
      </w:r>
      <w:r w:rsidR="00863FD2" w:rsidRPr="00C235E5">
        <w:rPr>
          <w:rFonts w:ascii="Times New Roman" w:hAnsi="Times New Roman" w:cs="Times New Roman"/>
          <w:sz w:val="24"/>
          <w:szCs w:val="24"/>
        </w:rPr>
        <w:t xml:space="preserve"> </w:t>
      </w:r>
      <w:r w:rsidR="00453407" w:rsidRPr="00C235E5">
        <w:rPr>
          <w:rFonts w:ascii="Times New Roman" w:hAnsi="Times New Roman" w:cs="Times New Roman"/>
          <w:sz w:val="24"/>
          <w:szCs w:val="24"/>
        </w:rPr>
        <w:t xml:space="preserve">keep </w:t>
      </w:r>
      <w:r w:rsidR="00B6142D" w:rsidRPr="00C235E5">
        <w:rPr>
          <w:rFonts w:ascii="Times New Roman" w:hAnsi="Times New Roman" w:cs="Times New Roman"/>
          <w:sz w:val="24"/>
          <w:szCs w:val="24"/>
        </w:rPr>
        <w:t>perceiv</w:t>
      </w:r>
      <w:r w:rsidR="00453407" w:rsidRPr="00C235E5">
        <w:rPr>
          <w:rFonts w:ascii="Times New Roman" w:hAnsi="Times New Roman" w:cs="Times New Roman"/>
          <w:sz w:val="24"/>
          <w:szCs w:val="24"/>
        </w:rPr>
        <w:t>ing</w:t>
      </w:r>
      <w:r w:rsidR="00863FD2" w:rsidRPr="00C235E5">
        <w:rPr>
          <w:rFonts w:ascii="Times New Roman" w:hAnsi="Times New Roman" w:cs="Times New Roman"/>
          <w:sz w:val="24"/>
          <w:szCs w:val="24"/>
        </w:rPr>
        <w:t xml:space="preserve"> </w:t>
      </w:r>
      <w:r w:rsidR="00122F5C" w:rsidRPr="00C235E5">
        <w:rPr>
          <w:rFonts w:ascii="Times New Roman" w:hAnsi="Times New Roman" w:cs="Times New Roman"/>
          <w:sz w:val="24"/>
          <w:szCs w:val="24"/>
        </w:rPr>
        <w:t xml:space="preserve">either the target or the acquirer as </w:t>
      </w:r>
      <w:r w:rsidR="00AF3C90" w:rsidRPr="00C235E5">
        <w:rPr>
          <w:rFonts w:ascii="Times New Roman" w:hAnsi="Times New Roman" w:cs="Times New Roman"/>
          <w:sz w:val="24"/>
          <w:szCs w:val="24"/>
        </w:rPr>
        <w:t xml:space="preserve">a </w:t>
      </w:r>
      <w:r w:rsidR="00A91255" w:rsidRPr="00C235E5">
        <w:rPr>
          <w:rFonts w:ascii="Times New Roman" w:hAnsi="Times New Roman" w:cs="Times New Roman"/>
          <w:sz w:val="24"/>
          <w:szCs w:val="24"/>
        </w:rPr>
        <w:t>competitor</w:t>
      </w:r>
      <w:r w:rsidR="00F53697">
        <w:rPr>
          <w:rFonts w:ascii="Times New Roman" w:hAnsi="Times New Roman" w:cs="Times New Roman"/>
          <w:sz w:val="24"/>
          <w:szCs w:val="24"/>
        </w:rPr>
        <w:t>.</w:t>
      </w:r>
      <w:r w:rsidR="00B6142D" w:rsidRPr="00C235E5">
        <w:rPr>
          <w:rFonts w:ascii="Times New Roman" w:hAnsi="Times New Roman" w:cs="Times New Roman"/>
          <w:sz w:val="24"/>
          <w:szCs w:val="24"/>
        </w:rPr>
        <w:t xml:space="preserve"> </w:t>
      </w:r>
      <w:r w:rsidR="00E423B5" w:rsidRPr="00C235E5">
        <w:rPr>
          <w:rFonts w:ascii="Times New Roman" w:hAnsi="Times New Roman" w:cs="Times New Roman"/>
          <w:sz w:val="24"/>
          <w:szCs w:val="24"/>
        </w:rPr>
        <w:t>Specifically,</w:t>
      </w:r>
      <w:r w:rsidR="00DC610B">
        <w:rPr>
          <w:rFonts w:ascii="Times New Roman" w:hAnsi="Times New Roman" w:cs="Times New Roman"/>
          <w:sz w:val="24"/>
          <w:szCs w:val="24"/>
        </w:rPr>
        <w:t xml:space="preserve"> </w:t>
      </w:r>
      <w:r w:rsidR="00F24811" w:rsidRPr="00C235E5">
        <w:rPr>
          <w:rFonts w:ascii="Times New Roman" w:hAnsi="Times New Roman" w:cs="Times New Roman"/>
          <w:sz w:val="24"/>
          <w:szCs w:val="24"/>
        </w:rPr>
        <w:t>the post-</w:t>
      </w:r>
      <w:r w:rsidR="001A6F23" w:rsidRPr="00C235E5">
        <w:rPr>
          <w:rFonts w:ascii="Times New Roman" w:hAnsi="Times New Roman" w:cs="Times New Roman"/>
          <w:sz w:val="24"/>
          <w:szCs w:val="24"/>
        </w:rPr>
        <w:t>transaction</w:t>
      </w:r>
      <w:r w:rsidR="00F24811" w:rsidRPr="00C235E5">
        <w:rPr>
          <w:rFonts w:ascii="Times New Roman" w:hAnsi="Times New Roman" w:cs="Times New Roman"/>
          <w:sz w:val="24"/>
          <w:szCs w:val="24"/>
        </w:rPr>
        <w:t xml:space="preserve"> world reveals that </w:t>
      </w:r>
      <w:r w:rsidR="00A91255" w:rsidRPr="00C235E5">
        <w:rPr>
          <w:rFonts w:ascii="Times New Roman" w:hAnsi="Times New Roman" w:cs="Times New Roman"/>
          <w:sz w:val="24"/>
          <w:szCs w:val="24"/>
        </w:rPr>
        <w:t>rivals</w:t>
      </w:r>
      <w:r w:rsidR="00F24811" w:rsidRPr="00C235E5">
        <w:rPr>
          <w:rFonts w:ascii="Times New Roman" w:hAnsi="Times New Roman" w:cs="Times New Roman"/>
          <w:sz w:val="24"/>
          <w:szCs w:val="24"/>
        </w:rPr>
        <w:t xml:space="preserve"> of the </w:t>
      </w:r>
      <w:r w:rsidR="001A6F23" w:rsidRPr="00C235E5">
        <w:rPr>
          <w:rFonts w:ascii="Times New Roman" w:hAnsi="Times New Roman" w:cs="Times New Roman"/>
          <w:sz w:val="24"/>
          <w:szCs w:val="24"/>
        </w:rPr>
        <w:t xml:space="preserve">merged entity continue viewing either the target or the acquirer as </w:t>
      </w:r>
      <w:r w:rsidR="00E423B5" w:rsidRPr="00C235E5">
        <w:rPr>
          <w:rFonts w:ascii="Times New Roman" w:hAnsi="Times New Roman" w:cs="Times New Roman"/>
          <w:sz w:val="24"/>
          <w:szCs w:val="24"/>
        </w:rPr>
        <w:t xml:space="preserve">their </w:t>
      </w:r>
      <w:r w:rsidR="00A91255" w:rsidRPr="00C235E5">
        <w:rPr>
          <w:rFonts w:ascii="Times New Roman" w:hAnsi="Times New Roman" w:cs="Times New Roman"/>
          <w:sz w:val="24"/>
          <w:szCs w:val="24"/>
        </w:rPr>
        <w:t>competitor</w:t>
      </w:r>
      <w:r w:rsidR="00E423B5" w:rsidRPr="00C235E5">
        <w:rPr>
          <w:rFonts w:ascii="Times New Roman" w:hAnsi="Times New Roman" w:cs="Times New Roman"/>
          <w:sz w:val="24"/>
          <w:szCs w:val="24"/>
        </w:rPr>
        <w:t>.</w:t>
      </w:r>
      <w:r w:rsidR="001F1EAC" w:rsidRPr="00C235E5">
        <w:rPr>
          <w:rFonts w:ascii="Times New Roman" w:hAnsi="Times New Roman" w:cs="Times New Roman"/>
          <w:sz w:val="24"/>
          <w:szCs w:val="24"/>
        </w:rPr>
        <w:t xml:space="preserve"> </w:t>
      </w:r>
      <w:r w:rsidR="00E65806" w:rsidRPr="00C235E5">
        <w:rPr>
          <w:rFonts w:ascii="Times New Roman" w:hAnsi="Times New Roman" w:cs="Times New Roman"/>
          <w:sz w:val="24"/>
          <w:szCs w:val="24"/>
        </w:rPr>
        <w:t>Three</w:t>
      </w:r>
      <w:r w:rsidR="001F1EAC" w:rsidRPr="00C235E5">
        <w:rPr>
          <w:rFonts w:ascii="Times New Roman" w:hAnsi="Times New Roman" w:cs="Times New Roman"/>
          <w:sz w:val="24"/>
          <w:szCs w:val="24"/>
        </w:rPr>
        <w:t xml:space="preserve"> transactions appear to have prompted </w:t>
      </w:r>
      <w:r w:rsidR="00A91255" w:rsidRPr="00C235E5">
        <w:rPr>
          <w:rFonts w:ascii="Times New Roman" w:hAnsi="Times New Roman" w:cs="Times New Roman"/>
          <w:sz w:val="24"/>
          <w:szCs w:val="24"/>
        </w:rPr>
        <w:t>rivals</w:t>
      </w:r>
      <w:r w:rsidR="001F1EAC" w:rsidRPr="00C235E5">
        <w:rPr>
          <w:rFonts w:ascii="Times New Roman" w:hAnsi="Times New Roman" w:cs="Times New Roman"/>
          <w:sz w:val="24"/>
          <w:szCs w:val="24"/>
        </w:rPr>
        <w:t xml:space="preserve"> </w:t>
      </w:r>
      <w:r w:rsidR="00CA02A7" w:rsidRPr="00C235E5">
        <w:rPr>
          <w:rFonts w:ascii="Times New Roman" w:hAnsi="Times New Roman" w:cs="Times New Roman"/>
          <w:sz w:val="24"/>
          <w:szCs w:val="24"/>
        </w:rPr>
        <w:t xml:space="preserve">to </w:t>
      </w:r>
      <w:r w:rsidR="007A0E04" w:rsidRPr="00C235E5">
        <w:rPr>
          <w:rFonts w:ascii="Times New Roman" w:hAnsi="Times New Roman" w:cs="Times New Roman"/>
          <w:sz w:val="24"/>
          <w:szCs w:val="24"/>
        </w:rPr>
        <w:t>perceive both the target and the acquirer</w:t>
      </w:r>
      <w:r w:rsidR="00CA02A7" w:rsidRPr="00C235E5">
        <w:rPr>
          <w:rFonts w:ascii="Times New Roman" w:hAnsi="Times New Roman" w:cs="Times New Roman"/>
          <w:sz w:val="24"/>
          <w:szCs w:val="24"/>
        </w:rPr>
        <w:t xml:space="preserve"> as </w:t>
      </w:r>
      <w:r w:rsidR="00A91255" w:rsidRPr="00C235E5">
        <w:rPr>
          <w:rFonts w:ascii="Times New Roman" w:hAnsi="Times New Roman" w:cs="Times New Roman"/>
          <w:sz w:val="24"/>
          <w:szCs w:val="24"/>
        </w:rPr>
        <w:t>a competitive force</w:t>
      </w:r>
      <w:r w:rsidR="00CA02A7" w:rsidRPr="00C235E5">
        <w:rPr>
          <w:rFonts w:ascii="Times New Roman" w:hAnsi="Times New Roman" w:cs="Times New Roman"/>
          <w:sz w:val="24"/>
          <w:szCs w:val="24"/>
        </w:rPr>
        <w:t xml:space="preserve">. By contrast, </w:t>
      </w:r>
      <w:r w:rsidR="00D12B34" w:rsidRPr="00C235E5">
        <w:rPr>
          <w:rFonts w:ascii="Times New Roman" w:hAnsi="Times New Roman" w:cs="Times New Roman"/>
          <w:sz w:val="24"/>
          <w:szCs w:val="24"/>
        </w:rPr>
        <w:t xml:space="preserve">in </w:t>
      </w:r>
      <w:r w:rsidR="0014219F" w:rsidRPr="00C235E5">
        <w:rPr>
          <w:rFonts w:ascii="Times New Roman" w:hAnsi="Times New Roman" w:cs="Times New Roman"/>
          <w:sz w:val="24"/>
          <w:szCs w:val="24"/>
        </w:rPr>
        <w:t>three</w:t>
      </w:r>
      <w:r w:rsidR="000024E1" w:rsidRPr="00C235E5">
        <w:rPr>
          <w:rFonts w:ascii="Times New Roman" w:hAnsi="Times New Roman" w:cs="Times New Roman"/>
          <w:sz w:val="24"/>
          <w:szCs w:val="24"/>
        </w:rPr>
        <w:t xml:space="preserve"> </w:t>
      </w:r>
      <w:r w:rsidR="00D12B34" w:rsidRPr="00C235E5">
        <w:rPr>
          <w:rFonts w:ascii="Times New Roman" w:hAnsi="Times New Roman" w:cs="Times New Roman"/>
          <w:sz w:val="24"/>
          <w:szCs w:val="24"/>
        </w:rPr>
        <w:t xml:space="preserve">of the cases analyzed, </w:t>
      </w:r>
      <w:r w:rsidR="00A91255" w:rsidRPr="00C235E5">
        <w:rPr>
          <w:rFonts w:ascii="Times New Roman" w:hAnsi="Times New Roman" w:cs="Times New Roman"/>
          <w:sz w:val="24"/>
          <w:szCs w:val="24"/>
        </w:rPr>
        <w:t>rivals</w:t>
      </w:r>
      <w:r w:rsidR="00D12B34" w:rsidRPr="00C235E5">
        <w:rPr>
          <w:rFonts w:ascii="Times New Roman" w:hAnsi="Times New Roman" w:cs="Times New Roman"/>
          <w:sz w:val="24"/>
          <w:szCs w:val="24"/>
        </w:rPr>
        <w:t xml:space="preserve"> give no attention to the merger. The remaining three cases are somewhat ambivalent regarding the change in the </w:t>
      </w:r>
      <w:r w:rsidR="00A91255" w:rsidRPr="00C235E5">
        <w:rPr>
          <w:rFonts w:ascii="Times New Roman" w:hAnsi="Times New Roman" w:cs="Times New Roman"/>
          <w:sz w:val="24"/>
          <w:szCs w:val="24"/>
        </w:rPr>
        <w:t>rivals</w:t>
      </w:r>
      <w:r w:rsidR="00D12B34" w:rsidRPr="00C235E5">
        <w:rPr>
          <w:rFonts w:ascii="Times New Roman" w:hAnsi="Times New Roman" w:cs="Times New Roman"/>
          <w:sz w:val="24"/>
          <w:szCs w:val="24"/>
        </w:rPr>
        <w:t xml:space="preserve">’ perception of </w:t>
      </w:r>
      <w:r w:rsidR="00E10EAB" w:rsidRPr="00C235E5">
        <w:rPr>
          <w:rFonts w:ascii="Times New Roman" w:hAnsi="Times New Roman" w:cs="Times New Roman"/>
          <w:sz w:val="24"/>
          <w:szCs w:val="24"/>
        </w:rPr>
        <w:t>rivalry</w:t>
      </w:r>
      <w:r w:rsidR="00D12B34" w:rsidRPr="00C235E5">
        <w:rPr>
          <w:rFonts w:ascii="Times New Roman" w:hAnsi="Times New Roman" w:cs="Times New Roman"/>
          <w:sz w:val="24"/>
          <w:szCs w:val="24"/>
        </w:rPr>
        <w:t xml:space="preserve">. </w:t>
      </w:r>
      <w:r w:rsidR="00800DD6" w:rsidRPr="00C235E5">
        <w:rPr>
          <w:rFonts w:ascii="Times New Roman" w:hAnsi="Times New Roman" w:cs="Times New Roman"/>
          <w:sz w:val="24"/>
          <w:szCs w:val="24"/>
        </w:rPr>
        <w:t xml:space="preserve">We </w:t>
      </w:r>
      <w:r w:rsidR="007A74F1" w:rsidRPr="00C235E5">
        <w:rPr>
          <w:rFonts w:ascii="Times New Roman" w:hAnsi="Times New Roman" w:cs="Times New Roman"/>
          <w:sz w:val="24"/>
          <w:szCs w:val="24"/>
        </w:rPr>
        <w:t>discuss</w:t>
      </w:r>
      <w:r w:rsidR="00800DD6" w:rsidRPr="00C235E5">
        <w:rPr>
          <w:rFonts w:ascii="Times New Roman" w:hAnsi="Times New Roman" w:cs="Times New Roman"/>
          <w:sz w:val="24"/>
          <w:szCs w:val="24"/>
        </w:rPr>
        <w:t xml:space="preserve"> this phenomenon further below.</w:t>
      </w:r>
    </w:p>
    <w:p w14:paraId="668421A0" w14:textId="7FE94165" w:rsidR="00545180" w:rsidRPr="00C235E5" w:rsidRDefault="004E7593" w:rsidP="00BA549D">
      <w:pPr>
        <w:pStyle w:val="Heading3"/>
        <w:rPr>
          <w:rFonts w:ascii="Times New Roman" w:hAnsi="Times New Roman" w:cs="Times New Roman"/>
          <w:i w:val="0"/>
        </w:rPr>
      </w:pPr>
      <w:r w:rsidRPr="00C235E5">
        <w:rPr>
          <w:rFonts w:ascii="Times New Roman" w:hAnsi="Times New Roman" w:cs="Times New Roman"/>
        </w:rPr>
        <w:t>Only Target</w:t>
      </w:r>
    </w:p>
    <w:p w14:paraId="3BC59B75" w14:textId="64DBC448" w:rsidR="009C7D8E" w:rsidRPr="00C235E5" w:rsidRDefault="004E759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rPr>
        <w:t xml:space="preserve">We observe that in two cases, the target firm was mentioned by at least one </w:t>
      </w:r>
      <w:r w:rsidR="006E6B45" w:rsidRPr="00C235E5">
        <w:rPr>
          <w:rFonts w:ascii="Times New Roman" w:hAnsi="Times New Roman" w:cs="Times New Roman"/>
          <w:sz w:val="24"/>
          <w:szCs w:val="24"/>
        </w:rPr>
        <w:t xml:space="preserve">rival </w:t>
      </w:r>
      <w:r w:rsidRPr="00C235E5">
        <w:rPr>
          <w:rFonts w:ascii="Times New Roman" w:hAnsi="Times New Roman" w:cs="Times New Roman"/>
          <w:sz w:val="24"/>
          <w:szCs w:val="24"/>
        </w:rPr>
        <w:t xml:space="preserve">as a </w:t>
      </w:r>
      <w:r w:rsidR="006E6B45" w:rsidRPr="00C235E5">
        <w:rPr>
          <w:rFonts w:ascii="Times New Roman" w:hAnsi="Times New Roman" w:cs="Times New Roman"/>
          <w:sz w:val="24"/>
          <w:szCs w:val="24"/>
        </w:rPr>
        <w:t>competitor</w:t>
      </w:r>
      <w:r w:rsidRPr="00C235E5">
        <w:rPr>
          <w:rFonts w:ascii="Times New Roman" w:hAnsi="Times New Roman" w:cs="Times New Roman"/>
          <w:sz w:val="24"/>
          <w:szCs w:val="24"/>
        </w:rPr>
        <w:t xml:space="preserve">. </w:t>
      </w:r>
      <w:r w:rsidR="005A507B" w:rsidRPr="00C235E5">
        <w:rPr>
          <w:rFonts w:ascii="Times New Roman" w:hAnsi="Times New Roman" w:cs="Times New Roman"/>
          <w:sz w:val="24"/>
          <w:szCs w:val="24"/>
        </w:rPr>
        <w:t xml:space="preserve">For example, in </w:t>
      </w:r>
      <w:r w:rsidR="005A507B" w:rsidRPr="00C235E5">
        <w:rPr>
          <w:rFonts w:ascii="Times New Roman" w:hAnsi="Times New Roman" w:cs="Times New Roman"/>
          <w:i/>
          <w:iCs/>
          <w:sz w:val="24"/>
          <w:szCs w:val="24"/>
        </w:rPr>
        <w:t>SAP/Sybase</w:t>
      </w:r>
      <w:r w:rsidR="000A1CB7" w:rsidRPr="00C235E5">
        <w:rPr>
          <w:rStyle w:val="FootnoteReference"/>
          <w:rFonts w:ascii="Times New Roman" w:hAnsi="Times New Roman" w:cs="Times New Roman"/>
          <w:i/>
          <w:iCs/>
          <w:sz w:val="24"/>
          <w:szCs w:val="24"/>
        </w:rPr>
        <w:footnoteReference w:id="70"/>
      </w:r>
      <w:r w:rsidR="005A507B" w:rsidRPr="00C235E5">
        <w:rPr>
          <w:rFonts w:ascii="Times New Roman" w:hAnsi="Times New Roman" w:cs="Times New Roman"/>
          <w:sz w:val="24"/>
          <w:szCs w:val="24"/>
        </w:rPr>
        <w:t xml:space="preserve">, Oracle, one of the chief </w:t>
      </w:r>
      <w:r w:rsidR="00A91255" w:rsidRPr="00C235E5">
        <w:rPr>
          <w:rFonts w:ascii="Times New Roman" w:hAnsi="Times New Roman" w:cs="Times New Roman"/>
          <w:sz w:val="24"/>
          <w:szCs w:val="24"/>
        </w:rPr>
        <w:t>rivals</w:t>
      </w:r>
      <w:r w:rsidR="005A507B" w:rsidRPr="00C235E5">
        <w:rPr>
          <w:rFonts w:ascii="Times New Roman" w:hAnsi="Times New Roman" w:cs="Times New Roman"/>
          <w:sz w:val="24"/>
          <w:szCs w:val="24"/>
        </w:rPr>
        <w:t xml:space="preserve"> of SAP in the market for </w:t>
      </w:r>
      <w:r w:rsidR="00FB1359" w:rsidRPr="00C235E5">
        <w:rPr>
          <w:rFonts w:ascii="Times New Roman" w:hAnsi="Times New Roman" w:cs="Times New Roman"/>
          <w:sz w:val="24"/>
          <w:szCs w:val="24"/>
        </w:rPr>
        <w:t>enterprise application software, identified Sybase as a competitor as early as 2009.</w:t>
      </w:r>
      <w:r w:rsidR="00874566" w:rsidRPr="00C235E5">
        <w:rPr>
          <w:rStyle w:val="FootnoteReference"/>
          <w:rFonts w:ascii="Times New Roman" w:hAnsi="Times New Roman" w:cs="Times New Roman"/>
          <w:sz w:val="24"/>
          <w:szCs w:val="24"/>
        </w:rPr>
        <w:footnoteReference w:id="71"/>
      </w:r>
      <w:r w:rsidR="00874566" w:rsidRPr="00C235E5">
        <w:rPr>
          <w:rFonts w:ascii="Times New Roman" w:hAnsi="Times New Roman" w:cs="Times New Roman"/>
          <w:sz w:val="24"/>
          <w:szCs w:val="24"/>
        </w:rPr>
        <w:t xml:space="preserve"> By contrast, another principal </w:t>
      </w:r>
      <w:r w:rsidR="00A91255" w:rsidRPr="00C235E5">
        <w:rPr>
          <w:rFonts w:ascii="Times New Roman" w:hAnsi="Times New Roman" w:cs="Times New Roman"/>
          <w:sz w:val="24"/>
          <w:szCs w:val="24"/>
        </w:rPr>
        <w:t>rival</w:t>
      </w:r>
      <w:r w:rsidR="00874566" w:rsidRPr="00C235E5">
        <w:rPr>
          <w:rFonts w:ascii="Times New Roman" w:hAnsi="Times New Roman" w:cs="Times New Roman"/>
          <w:sz w:val="24"/>
          <w:szCs w:val="24"/>
        </w:rPr>
        <w:t xml:space="preserve"> of SAP, Microsoft, did not recognize Sybase as a </w:t>
      </w:r>
      <w:r w:rsidR="00A91255" w:rsidRPr="00C235E5">
        <w:rPr>
          <w:rFonts w:ascii="Times New Roman" w:hAnsi="Times New Roman" w:cs="Times New Roman"/>
          <w:sz w:val="24"/>
          <w:szCs w:val="24"/>
        </w:rPr>
        <w:t>competitor</w:t>
      </w:r>
      <w:r w:rsidR="00874566" w:rsidRPr="00C235E5">
        <w:rPr>
          <w:rFonts w:ascii="Times New Roman" w:hAnsi="Times New Roman" w:cs="Times New Roman"/>
          <w:sz w:val="24"/>
          <w:szCs w:val="24"/>
        </w:rPr>
        <w:t xml:space="preserve"> in 2009. However, starting with the year of acquisition, Microsoft consistently </w:t>
      </w:r>
      <w:r w:rsidR="000A1CB7" w:rsidRPr="00C235E5">
        <w:rPr>
          <w:rFonts w:ascii="Times New Roman" w:hAnsi="Times New Roman" w:cs="Times New Roman"/>
          <w:sz w:val="24"/>
          <w:szCs w:val="24"/>
        </w:rPr>
        <w:t>acknowledge</w:t>
      </w:r>
      <w:r w:rsidR="009C7D8E" w:rsidRPr="00C235E5">
        <w:rPr>
          <w:rFonts w:ascii="Times New Roman" w:hAnsi="Times New Roman" w:cs="Times New Roman"/>
          <w:sz w:val="24"/>
          <w:szCs w:val="24"/>
        </w:rPr>
        <w:t>d</w:t>
      </w:r>
      <w:r w:rsidR="000A1CB7" w:rsidRPr="00C235E5">
        <w:rPr>
          <w:rFonts w:ascii="Times New Roman" w:hAnsi="Times New Roman" w:cs="Times New Roman"/>
          <w:sz w:val="24"/>
          <w:szCs w:val="24"/>
        </w:rPr>
        <w:t xml:space="preserve"> Sybase as a competitor. </w:t>
      </w:r>
      <w:r w:rsidR="000A1CB7" w:rsidRPr="00C235E5">
        <w:rPr>
          <w:rFonts w:ascii="Times New Roman" w:hAnsi="Times New Roman" w:cs="Times New Roman"/>
          <w:sz w:val="24"/>
          <w:szCs w:val="24"/>
        </w:rPr>
        <w:lastRenderedPageBreak/>
        <w:t xml:space="preserve">Indeed, in its 10-Ks issued at the end of fiscal years 2010 and 2011, </w:t>
      </w:r>
      <w:r w:rsidR="0055700E" w:rsidRPr="00C235E5">
        <w:rPr>
          <w:rFonts w:ascii="Times New Roman" w:hAnsi="Times New Roman" w:cs="Times New Roman"/>
          <w:sz w:val="24"/>
          <w:szCs w:val="24"/>
        </w:rPr>
        <w:t>Microsoft mention</w:t>
      </w:r>
      <w:r w:rsidR="0034759F" w:rsidRPr="00C235E5">
        <w:rPr>
          <w:rFonts w:ascii="Times New Roman" w:hAnsi="Times New Roman" w:cs="Times New Roman"/>
          <w:sz w:val="24"/>
          <w:szCs w:val="24"/>
        </w:rPr>
        <w:t>ed</w:t>
      </w:r>
      <w:r w:rsidR="0055700E" w:rsidRPr="00C235E5">
        <w:rPr>
          <w:rFonts w:ascii="Times New Roman" w:hAnsi="Times New Roman" w:cs="Times New Roman"/>
          <w:sz w:val="24"/>
          <w:szCs w:val="24"/>
        </w:rPr>
        <w:t xml:space="preserve"> Sybase </w:t>
      </w:r>
      <w:r w:rsidR="00833C38" w:rsidRPr="00C235E5">
        <w:rPr>
          <w:rFonts w:ascii="Times New Roman" w:hAnsi="Times New Roman" w:cs="Times New Roman"/>
          <w:sz w:val="24"/>
          <w:szCs w:val="24"/>
        </w:rPr>
        <w:t xml:space="preserve">as a </w:t>
      </w:r>
      <w:r w:rsidR="00A91255" w:rsidRPr="00C235E5">
        <w:rPr>
          <w:rFonts w:ascii="Times New Roman" w:hAnsi="Times New Roman" w:cs="Times New Roman"/>
          <w:sz w:val="24"/>
          <w:szCs w:val="24"/>
        </w:rPr>
        <w:t>competitor</w:t>
      </w:r>
      <w:r w:rsidR="00833C38" w:rsidRPr="00C235E5">
        <w:rPr>
          <w:rFonts w:ascii="Times New Roman" w:hAnsi="Times New Roman" w:cs="Times New Roman"/>
          <w:sz w:val="24"/>
          <w:szCs w:val="24"/>
        </w:rPr>
        <w:t xml:space="preserve"> in offering business </w:t>
      </w:r>
      <w:r w:rsidR="0034759F" w:rsidRPr="00C235E5">
        <w:rPr>
          <w:rFonts w:ascii="Times New Roman" w:hAnsi="Times New Roman" w:cs="Times New Roman"/>
          <w:sz w:val="24"/>
          <w:szCs w:val="24"/>
        </w:rPr>
        <w:t>intelligence and database services.</w:t>
      </w:r>
      <w:r w:rsidR="009C7D8E" w:rsidRPr="00C235E5">
        <w:rPr>
          <w:rStyle w:val="FootnoteReference"/>
          <w:rFonts w:ascii="Times New Roman" w:hAnsi="Times New Roman" w:cs="Times New Roman"/>
          <w:sz w:val="24"/>
          <w:szCs w:val="24"/>
        </w:rPr>
        <w:footnoteReference w:id="72"/>
      </w:r>
      <w:r w:rsidR="0034759F" w:rsidRPr="00C235E5">
        <w:rPr>
          <w:rFonts w:ascii="Times New Roman" w:hAnsi="Times New Roman" w:cs="Times New Roman"/>
          <w:sz w:val="24"/>
          <w:szCs w:val="24"/>
        </w:rPr>
        <w:t xml:space="preserve"> Interestingly, Microsoft </w:t>
      </w:r>
      <w:r w:rsidR="009C7D8E" w:rsidRPr="00C235E5">
        <w:rPr>
          <w:rFonts w:ascii="Times New Roman" w:hAnsi="Times New Roman" w:cs="Times New Roman"/>
          <w:sz w:val="24"/>
          <w:szCs w:val="24"/>
        </w:rPr>
        <w:t>did</w:t>
      </w:r>
      <w:r w:rsidR="0034759F" w:rsidRPr="00C235E5">
        <w:rPr>
          <w:rFonts w:ascii="Times New Roman" w:hAnsi="Times New Roman" w:cs="Times New Roman"/>
          <w:sz w:val="24"/>
          <w:szCs w:val="24"/>
        </w:rPr>
        <w:t xml:space="preserve"> not refer to SAP or its acquisition of Sybase. This </w:t>
      </w:r>
      <w:r w:rsidR="007A74F1" w:rsidRPr="00C235E5">
        <w:rPr>
          <w:rFonts w:ascii="Times New Roman" w:hAnsi="Times New Roman" w:cs="Times New Roman"/>
          <w:sz w:val="24"/>
          <w:szCs w:val="24"/>
        </w:rPr>
        <w:t xml:space="preserve">might </w:t>
      </w:r>
      <w:r w:rsidR="00F20379" w:rsidRPr="00C235E5">
        <w:rPr>
          <w:rFonts w:ascii="Times New Roman" w:hAnsi="Times New Roman" w:cs="Times New Roman"/>
          <w:sz w:val="24"/>
          <w:szCs w:val="24"/>
        </w:rPr>
        <w:t>suggest</w:t>
      </w:r>
      <w:r w:rsidR="0034759F" w:rsidRPr="00C235E5">
        <w:rPr>
          <w:rFonts w:ascii="Times New Roman" w:hAnsi="Times New Roman" w:cs="Times New Roman"/>
          <w:sz w:val="24"/>
          <w:szCs w:val="24"/>
        </w:rPr>
        <w:t xml:space="preserve"> that Microsoft </w:t>
      </w:r>
      <w:r w:rsidR="00F20379" w:rsidRPr="00C235E5">
        <w:rPr>
          <w:rFonts w:ascii="Times New Roman" w:hAnsi="Times New Roman" w:cs="Times New Roman"/>
          <w:sz w:val="24"/>
          <w:szCs w:val="24"/>
        </w:rPr>
        <w:t xml:space="preserve">does </w:t>
      </w:r>
      <w:r w:rsidR="0034759F" w:rsidRPr="00C235E5">
        <w:rPr>
          <w:rFonts w:ascii="Times New Roman" w:hAnsi="Times New Roman" w:cs="Times New Roman"/>
          <w:sz w:val="24"/>
          <w:szCs w:val="24"/>
        </w:rPr>
        <w:t>not</w:t>
      </w:r>
      <w:r w:rsidR="009C7D8E" w:rsidRPr="00C235E5">
        <w:rPr>
          <w:rFonts w:ascii="Times New Roman" w:hAnsi="Times New Roman" w:cs="Times New Roman"/>
          <w:sz w:val="24"/>
          <w:szCs w:val="24"/>
        </w:rPr>
        <w:t xml:space="preserve"> perceive Sybase as the victim of a “kill” by SAP. </w:t>
      </w:r>
      <w:r w:rsidR="002452D5" w:rsidRPr="00C235E5">
        <w:rPr>
          <w:rFonts w:ascii="Times New Roman" w:hAnsi="Times New Roman" w:cs="Times New Roman"/>
          <w:sz w:val="24"/>
          <w:szCs w:val="24"/>
          <w:lang w:val="en-GB"/>
        </w:rPr>
        <w:t>A</w:t>
      </w:r>
      <w:r w:rsidR="009C7D8E" w:rsidRPr="00C235E5">
        <w:rPr>
          <w:rFonts w:ascii="Times New Roman" w:hAnsi="Times New Roman" w:cs="Times New Roman"/>
          <w:sz w:val="24"/>
          <w:szCs w:val="24"/>
          <w:lang w:val="en-GB"/>
        </w:rPr>
        <w:t xml:space="preserve"> similar </w:t>
      </w:r>
      <w:r w:rsidR="002452D5" w:rsidRPr="00C235E5">
        <w:rPr>
          <w:rFonts w:ascii="Times New Roman" w:hAnsi="Times New Roman" w:cs="Times New Roman"/>
          <w:sz w:val="24"/>
          <w:szCs w:val="24"/>
          <w:lang w:val="en-GB"/>
        </w:rPr>
        <w:t xml:space="preserve">observation applies to </w:t>
      </w:r>
      <w:r w:rsidR="009C7D8E" w:rsidRPr="00C235E5">
        <w:rPr>
          <w:rFonts w:ascii="Times New Roman" w:hAnsi="Times New Roman" w:cs="Times New Roman"/>
          <w:i/>
          <w:iCs/>
          <w:sz w:val="24"/>
          <w:szCs w:val="24"/>
          <w:lang w:val="en-GB"/>
        </w:rPr>
        <w:t>Verizon/Yahoo</w:t>
      </w:r>
      <w:r w:rsidR="009C7D8E" w:rsidRPr="00C235E5">
        <w:rPr>
          <w:rFonts w:ascii="Times New Roman" w:hAnsi="Times New Roman" w:cs="Times New Roman"/>
          <w:sz w:val="24"/>
          <w:szCs w:val="24"/>
          <w:lang w:val="en-GB"/>
        </w:rPr>
        <w:t>.</w:t>
      </w:r>
      <w:r w:rsidR="009F1372" w:rsidRPr="00C235E5">
        <w:rPr>
          <w:rStyle w:val="FootnoteReference"/>
          <w:rFonts w:ascii="Times New Roman" w:hAnsi="Times New Roman" w:cs="Times New Roman"/>
          <w:sz w:val="24"/>
          <w:szCs w:val="24"/>
          <w:lang w:val="it-IT"/>
        </w:rPr>
        <w:footnoteReference w:id="73"/>
      </w:r>
      <w:r w:rsidR="009C7D8E" w:rsidRPr="00C235E5">
        <w:rPr>
          <w:rFonts w:ascii="Times New Roman" w:hAnsi="Times New Roman" w:cs="Times New Roman"/>
          <w:sz w:val="24"/>
          <w:szCs w:val="24"/>
          <w:lang w:val="en-GB"/>
        </w:rPr>
        <w:t xml:space="preserve"> </w:t>
      </w:r>
      <w:r w:rsidR="00D674B2" w:rsidRPr="00C235E5">
        <w:rPr>
          <w:rFonts w:ascii="Times New Roman" w:hAnsi="Times New Roman" w:cs="Times New Roman"/>
          <w:sz w:val="24"/>
          <w:szCs w:val="24"/>
          <w:lang w:val="en-GB"/>
        </w:rPr>
        <w:t>In that case, The New York Times</w:t>
      </w:r>
      <w:r w:rsidR="00B95BE9">
        <w:rPr>
          <w:rFonts w:ascii="Times New Roman" w:hAnsi="Times New Roman" w:cs="Times New Roman"/>
          <w:sz w:val="24"/>
          <w:szCs w:val="24"/>
          <w:lang w:val="en-GB"/>
        </w:rPr>
        <w:t xml:space="preserve"> (“</w:t>
      </w:r>
      <w:r w:rsidR="00B95BE9" w:rsidRPr="00B95BE9">
        <w:rPr>
          <w:rFonts w:ascii="Times New Roman" w:hAnsi="Times New Roman" w:cs="Times New Roman"/>
          <w:b/>
          <w:bCs/>
          <w:sz w:val="24"/>
          <w:szCs w:val="24"/>
          <w:lang w:val="en-GB"/>
        </w:rPr>
        <w:t>NYT</w:t>
      </w:r>
      <w:r w:rsidR="00B95BE9">
        <w:rPr>
          <w:rFonts w:ascii="Times New Roman" w:hAnsi="Times New Roman" w:cs="Times New Roman"/>
          <w:sz w:val="24"/>
          <w:szCs w:val="24"/>
          <w:lang w:val="en-GB"/>
        </w:rPr>
        <w:t>”)</w:t>
      </w:r>
      <w:r w:rsidR="00D674B2" w:rsidRPr="00C235E5">
        <w:rPr>
          <w:rFonts w:ascii="Times New Roman" w:hAnsi="Times New Roman" w:cs="Times New Roman"/>
          <w:sz w:val="24"/>
          <w:szCs w:val="24"/>
          <w:lang w:val="en-GB"/>
        </w:rPr>
        <w:t xml:space="preserve"> refers to Yahoo News as a source of </w:t>
      </w:r>
      <w:r w:rsidR="00A91255" w:rsidRPr="00C235E5">
        <w:rPr>
          <w:rFonts w:ascii="Times New Roman" w:hAnsi="Times New Roman" w:cs="Times New Roman"/>
          <w:sz w:val="24"/>
          <w:szCs w:val="24"/>
          <w:lang w:val="en-GB"/>
        </w:rPr>
        <w:t xml:space="preserve">competition </w:t>
      </w:r>
      <w:r w:rsidR="001504F0" w:rsidRPr="00C235E5">
        <w:rPr>
          <w:rFonts w:ascii="Times New Roman" w:hAnsi="Times New Roman" w:cs="Times New Roman"/>
          <w:sz w:val="24"/>
          <w:szCs w:val="24"/>
          <w:lang w:val="en-GB"/>
        </w:rPr>
        <w:t>before, during, and after Yahoo’s acquisition by Verizon.</w:t>
      </w:r>
    </w:p>
    <w:p w14:paraId="3642BBFC" w14:textId="46AD4B2C" w:rsidR="001504F0" w:rsidRPr="00C235E5" w:rsidRDefault="001504F0" w:rsidP="00BA549D">
      <w:pPr>
        <w:pStyle w:val="Heading3"/>
        <w:rPr>
          <w:rFonts w:ascii="Times New Roman" w:hAnsi="Times New Roman" w:cs="Times New Roman"/>
          <w:lang w:val="en-GB"/>
        </w:rPr>
      </w:pPr>
      <w:r w:rsidRPr="00C235E5">
        <w:rPr>
          <w:rFonts w:ascii="Times New Roman" w:hAnsi="Times New Roman" w:cs="Times New Roman"/>
          <w:lang w:val="en-GB"/>
        </w:rPr>
        <w:t>Only Acquirer</w:t>
      </w:r>
    </w:p>
    <w:p w14:paraId="460F8256" w14:textId="46D992C5" w:rsidR="009407D3" w:rsidRPr="00C235E5" w:rsidRDefault="00243094" w:rsidP="00792D53">
      <w:pPr>
        <w:spacing w:before="120" w:after="12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two cases,</w:t>
      </w:r>
      <w:r w:rsidR="006637F8" w:rsidRPr="00C235E5">
        <w:rPr>
          <w:rFonts w:ascii="Times New Roman" w:hAnsi="Times New Roman" w:cs="Times New Roman"/>
          <w:sz w:val="24"/>
          <w:szCs w:val="24"/>
          <w:lang w:val="en-GB"/>
        </w:rPr>
        <w:t xml:space="preserve"> </w:t>
      </w:r>
      <w:r w:rsidR="000B020A" w:rsidRPr="00C235E5">
        <w:rPr>
          <w:rFonts w:ascii="Times New Roman" w:hAnsi="Times New Roman" w:cs="Times New Roman"/>
          <w:sz w:val="24"/>
          <w:szCs w:val="24"/>
          <w:lang w:val="en-GB"/>
        </w:rPr>
        <w:t>rivals</w:t>
      </w:r>
      <w:r w:rsidR="006637F8" w:rsidRPr="00C235E5">
        <w:rPr>
          <w:rFonts w:ascii="Times New Roman" w:hAnsi="Times New Roman" w:cs="Times New Roman"/>
          <w:sz w:val="24"/>
          <w:szCs w:val="24"/>
          <w:lang w:val="en-GB"/>
        </w:rPr>
        <w:t xml:space="preserve"> recognize competition from the acquirer. In </w:t>
      </w:r>
      <w:r w:rsidR="00123660" w:rsidRPr="00C235E5">
        <w:rPr>
          <w:rFonts w:ascii="Times New Roman" w:hAnsi="Times New Roman" w:cs="Times New Roman"/>
          <w:i/>
          <w:iCs/>
          <w:sz w:val="24"/>
          <w:szCs w:val="24"/>
          <w:lang w:val="en-GB"/>
        </w:rPr>
        <w:t>Microsoft/Skype</w:t>
      </w:r>
      <w:r w:rsidR="0064023E" w:rsidRPr="00C235E5">
        <w:rPr>
          <w:rFonts w:ascii="Times New Roman" w:hAnsi="Times New Roman" w:cs="Times New Roman"/>
          <w:i/>
          <w:iCs/>
          <w:sz w:val="24"/>
          <w:szCs w:val="24"/>
          <w:lang w:val="en-GB"/>
        </w:rPr>
        <w:t>,</w:t>
      </w:r>
      <w:r w:rsidR="00123660" w:rsidRPr="00C235E5">
        <w:rPr>
          <w:rFonts w:ascii="Times New Roman" w:hAnsi="Times New Roman" w:cs="Times New Roman"/>
          <w:sz w:val="24"/>
          <w:szCs w:val="24"/>
          <w:lang w:val="en-GB"/>
        </w:rPr>
        <w:t xml:space="preserve"> </w:t>
      </w:r>
      <w:r w:rsidR="006637F8" w:rsidRPr="00C235E5">
        <w:rPr>
          <w:rFonts w:ascii="Times New Roman" w:hAnsi="Times New Roman" w:cs="Times New Roman"/>
          <w:sz w:val="24"/>
          <w:szCs w:val="24"/>
          <w:lang w:val="en-GB"/>
        </w:rPr>
        <w:t xml:space="preserve">the </w:t>
      </w:r>
      <w:r w:rsidR="00EF42BA" w:rsidRPr="00C235E5">
        <w:rPr>
          <w:rFonts w:ascii="Times New Roman" w:hAnsi="Times New Roman" w:cs="Times New Roman"/>
          <w:sz w:val="24"/>
          <w:szCs w:val="24"/>
          <w:lang w:val="en-GB"/>
        </w:rPr>
        <w:t>EC</w:t>
      </w:r>
      <w:r w:rsidR="006637F8" w:rsidRPr="00C235E5">
        <w:rPr>
          <w:rFonts w:ascii="Times New Roman" w:hAnsi="Times New Roman" w:cs="Times New Roman"/>
          <w:sz w:val="24"/>
          <w:szCs w:val="24"/>
          <w:lang w:val="en-GB"/>
        </w:rPr>
        <w:t xml:space="preserve"> </w:t>
      </w:r>
      <w:r w:rsidR="008B2BBD" w:rsidRPr="00C235E5">
        <w:rPr>
          <w:rFonts w:ascii="Times New Roman" w:hAnsi="Times New Roman" w:cs="Times New Roman"/>
          <w:sz w:val="24"/>
          <w:szCs w:val="24"/>
          <w:lang w:val="en-GB"/>
        </w:rPr>
        <w:t>identif</w:t>
      </w:r>
      <w:r w:rsidR="006637F8" w:rsidRPr="00C235E5">
        <w:rPr>
          <w:rFonts w:ascii="Times New Roman" w:hAnsi="Times New Roman" w:cs="Times New Roman"/>
          <w:sz w:val="24"/>
          <w:szCs w:val="24"/>
          <w:lang w:val="en-GB"/>
        </w:rPr>
        <w:t>ied</w:t>
      </w:r>
      <w:r w:rsidR="008B2BBD" w:rsidRPr="00C235E5">
        <w:rPr>
          <w:rFonts w:ascii="Times New Roman" w:hAnsi="Times New Roman" w:cs="Times New Roman"/>
          <w:sz w:val="24"/>
          <w:szCs w:val="24"/>
          <w:lang w:val="en-GB"/>
        </w:rPr>
        <w:t xml:space="preserve"> Google, Yahoo, and AOL as potential competitors of the merged entity in the </w:t>
      </w:r>
      <w:r w:rsidR="00532907">
        <w:rPr>
          <w:rFonts w:ascii="Times New Roman" w:hAnsi="Times New Roman" w:cs="Times New Roman"/>
          <w:sz w:val="24"/>
          <w:szCs w:val="24"/>
          <w:lang w:val="en-GB"/>
        </w:rPr>
        <w:t>customer relationship management (“</w:t>
      </w:r>
      <w:r w:rsidR="00532907" w:rsidRPr="00532907">
        <w:rPr>
          <w:rFonts w:ascii="Times New Roman" w:hAnsi="Times New Roman" w:cs="Times New Roman"/>
          <w:b/>
          <w:bCs/>
          <w:sz w:val="24"/>
          <w:szCs w:val="24"/>
          <w:lang w:val="en-GB"/>
        </w:rPr>
        <w:t>CRM</w:t>
      </w:r>
      <w:r w:rsidR="00532907">
        <w:rPr>
          <w:rFonts w:ascii="Times New Roman" w:hAnsi="Times New Roman" w:cs="Times New Roman"/>
          <w:sz w:val="24"/>
          <w:szCs w:val="24"/>
          <w:lang w:val="en-GB"/>
        </w:rPr>
        <w:t>”)</w:t>
      </w:r>
      <w:r w:rsidR="00C2343A" w:rsidRPr="00C235E5">
        <w:rPr>
          <w:rFonts w:ascii="Times New Roman" w:hAnsi="Times New Roman" w:cs="Times New Roman"/>
          <w:sz w:val="24"/>
          <w:szCs w:val="24"/>
          <w:lang w:val="en-GB"/>
        </w:rPr>
        <w:t xml:space="preserve"> software solutions market.</w:t>
      </w:r>
      <w:r w:rsidR="008C0C13" w:rsidRPr="00C235E5">
        <w:rPr>
          <w:rFonts w:ascii="Times New Roman" w:hAnsi="Times New Roman" w:cs="Times New Roman"/>
          <w:sz w:val="24"/>
          <w:szCs w:val="24"/>
          <w:lang w:val="en-GB"/>
        </w:rPr>
        <w:t xml:space="preserve"> </w:t>
      </w:r>
      <w:r w:rsidR="006637F8" w:rsidRPr="00C235E5">
        <w:rPr>
          <w:rFonts w:ascii="Times New Roman" w:hAnsi="Times New Roman" w:cs="Times New Roman"/>
          <w:sz w:val="24"/>
          <w:szCs w:val="24"/>
          <w:lang w:val="en-GB"/>
        </w:rPr>
        <w:t>B</w:t>
      </w:r>
      <w:r w:rsidR="008C0C13" w:rsidRPr="00C235E5">
        <w:rPr>
          <w:rFonts w:ascii="Times New Roman" w:hAnsi="Times New Roman" w:cs="Times New Roman"/>
          <w:sz w:val="24"/>
          <w:szCs w:val="24"/>
          <w:lang w:val="en-GB"/>
        </w:rPr>
        <w:t>efore the acquisition, all three rivals recognized Microsoft as a powerful competitor</w:t>
      </w:r>
      <w:r w:rsidR="006637F8" w:rsidRPr="00C235E5">
        <w:rPr>
          <w:rFonts w:ascii="Times New Roman" w:hAnsi="Times New Roman" w:cs="Times New Roman"/>
          <w:sz w:val="24"/>
          <w:szCs w:val="24"/>
          <w:lang w:val="en-GB"/>
        </w:rPr>
        <w:t>. T</w:t>
      </w:r>
      <w:r w:rsidR="008C0C13" w:rsidRPr="00C235E5">
        <w:rPr>
          <w:rFonts w:ascii="Times New Roman" w:hAnsi="Times New Roman" w:cs="Times New Roman"/>
          <w:sz w:val="24"/>
          <w:szCs w:val="24"/>
          <w:lang w:val="en-GB"/>
        </w:rPr>
        <w:t xml:space="preserve">his continued after the transaction. </w:t>
      </w:r>
      <w:r w:rsidR="00902BF0" w:rsidRPr="00C235E5">
        <w:rPr>
          <w:rFonts w:ascii="Times New Roman" w:hAnsi="Times New Roman" w:cs="Times New Roman"/>
          <w:sz w:val="24"/>
          <w:szCs w:val="24"/>
          <w:lang w:val="en-GB"/>
        </w:rPr>
        <w:t xml:space="preserve">For </w:t>
      </w:r>
      <w:r w:rsidR="006637F8" w:rsidRPr="00C235E5">
        <w:rPr>
          <w:rFonts w:ascii="Times New Roman" w:hAnsi="Times New Roman" w:cs="Times New Roman"/>
          <w:sz w:val="24"/>
          <w:szCs w:val="24"/>
          <w:lang w:val="en-GB"/>
        </w:rPr>
        <w:t>example</w:t>
      </w:r>
      <w:r w:rsidR="00902BF0" w:rsidRPr="00C235E5">
        <w:rPr>
          <w:rFonts w:ascii="Times New Roman" w:hAnsi="Times New Roman" w:cs="Times New Roman"/>
          <w:sz w:val="24"/>
          <w:szCs w:val="24"/>
          <w:lang w:val="en-GB"/>
        </w:rPr>
        <w:t>, after the acquisition, Google stated that it competes with Microsoft as a “</w:t>
      </w:r>
      <w:r w:rsidR="00902BF0" w:rsidRPr="00C235E5">
        <w:rPr>
          <w:rFonts w:ascii="Times New Roman" w:hAnsi="Times New Roman" w:cs="Times New Roman"/>
          <w:i/>
          <w:iCs/>
          <w:sz w:val="24"/>
          <w:szCs w:val="24"/>
          <w:lang w:val="en-GB"/>
        </w:rPr>
        <w:t>commercial software company</w:t>
      </w:r>
      <w:r w:rsidR="00902BF0" w:rsidRPr="00C235E5">
        <w:rPr>
          <w:rFonts w:ascii="Times New Roman" w:hAnsi="Times New Roman" w:cs="Times New Roman"/>
          <w:sz w:val="24"/>
          <w:szCs w:val="24"/>
          <w:lang w:val="en-GB"/>
        </w:rPr>
        <w:t>”, through various channels such as the use of stand-alone mobile applications (like Skype) “</w:t>
      </w:r>
      <w:r w:rsidR="00902BF0" w:rsidRPr="00C235E5">
        <w:rPr>
          <w:rFonts w:ascii="Times New Roman" w:hAnsi="Times New Roman" w:cs="Times New Roman"/>
          <w:i/>
          <w:iCs/>
          <w:sz w:val="24"/>
          <w:szCs w:val="24"/>
          <w:lang w:val="en-GB"/>
        </w:rPr>
        <w:t>embedded</w:t>
      </w:r>
      <w:r w:rsidR="00902BF0" w:rsidRPr="00C235E5">
        <w:rPr>
          <w:rFonts w:ascii="Times New Roman" w:hAnsi="Times New Roman" w:cs="Times New Roman"/>
          <w:sz w:val="24"/>
          <w:szCs w:val="24"/>
          <w:lang w:val="en-GB"/>
        </w:rPr>
        <w:t>” in operating systems.</w:t>
      </w:r>
      <w:r w:rsidR="000B1694" w:rsidRPr="00C235E5">
        <w:rPr>
          <w:rStyle w:val="FootnoteReference"/>
          <w:rFonts w:ascii="Times New Roman" w:hAnsi="Times New Roman" w:cs="Times New Roman"/>
          <w:sz w:val="24"/>
          <w:szCs w:val="24"/>
          <w:lang w:val="en-GB"/>
        </w:rPr>
        <w:footnoteReference w:id="74"/>
      </w:r>
      <w:r w:rsidR="00902BF0" w:rsidRPr="00C235E5">
        <w:rPr>
          <w:rFonts w:ascii="Times New Roman" w:hAnsi="Times New Roman" w:cs="Times New Roman"/>
          <w:sz w:val="24"/>
          <w:szCs w:val="24"/>
          <w:lang w:val="en-GB"/>
        </w:rPr>
        <w:t xml:space="preserve"> Similarly, Yahoo and AOL also continued recognizing Microsoft as a strong rival after the acquisition. </w:t>
      </w:r>
    </w:p>
    <w:p w14:paraId="31B256F7" w14:textId="568B2371" w:rsidR="001504F0" w:rsidRPr="00C235E5" w:rsidRDefault="006F2222"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 xml:space="preserve">In </w:t>
      </w:r>
      <w:r w:rsidRPr="00C235E5">
        <w:rPr>
          <w:rFonts w:ascii="Times New Roman" w:hAnsi="Times New Roman" w:cs="Times New Roman"/>
          <w:i/>
          <w:iCs/>
          <w:sz w:val="24"/>
          <w:szCs w:val="24"/>
          <w:lang w:val="en-GB"/>
        </w:rPr>
        <w:t>Microsoft/LinkedIn</w:t>
      </w:r>
      <w:r w:rsidRPr="00C235E5">
        <w:rPr>
          <w:rFonts w:ascii="Times New Roman" w:hAnsi="Times New Roman" w:cs="Times New Roman"/>
          <w:sz w:val="24"/>
          <w:szCs w:val="24"/>
          <w:lang w:val="en-GB"/>
        </w:rPr>
        <w:t xml:space="preserve">, </w:t>
      </w:r>
      <w:r w:rsidR="00F55A9A" w:rsidRPr="00C235E5">
        <w:rPr>
          <w:rFonts w:ascii="Times New Roman" w:hAnsi="Times New Roman" w:cs="Times New Roman"/>
          <w:sz w:val="24"/>
          <w:szCs w:val="24"/>
          <w:lang w:val="en-GB"/>
        </w:rPr>
        <w:t xml:space="preserve">the EC identified Adobe, Oracle, Salesforce, and SAP as competitors. </w:t>
      </w:r>
      <w:r w:rsidR="00D04EB1" w:rsidRPr="00C235E5">
        <w:rPr>
          <w:rFonts w:ascii="Times New Roman" w:hAnsi="Times New Roman" w:cs="Times New Roman"/>
          <w:sz w:val="24"/>
          <w:szCs w:val="24"/>
          <w:lang w:val="en-GB"/>
        </w:rPr>
        <w:t>Whereas none of these firms recognize</w:t>
      </w:r>
      <w:r w:rsidR="005353A0" w:rsidRPr="00C235E5">
        <w:rPr>
          <w:rFonts w:ascii="Times New Roman" w:hAnsi="Times New Roman" w:cs="Times New Roman"/>
          <w:sz w:val="24"/>
          <w:szCs w:val="24"/>
          <w:lang w:val="en-GB"/>
        </w:rPr>
        <w:t>d</w:t>
      </w:r>
      <w:r w:rsidR="00D04EB1" w:rsidRPr="00C235E5">
        <w:rPr>
          <w:rFonts w:ascii="Times New Roman" w:hAnsi="Times New Roman" w:cs="Times New Roman"/>
          <w:sz w:val="24"/>
          <w:szCs w:val="24"/>
          <w:lang w:val="en-GB"/>
        </w:rPr>
        <w:t xml:space="preserve"> LinkedIn as a competitive threat, they did perceive Microsoft as such. </w:t>
      </w:r>
      <w:r w:rsidR="00863AB0" w:rsidRPr="00C235E5">
        <w:rPr>
          <w:rFonts w:ascii="Times New Roman" w:hAnsi="Times New Roman" w:cs="Times New Roman"/>
          <w:sz w:val="24"/>
          <w:szCs w:val="24"/>
          <w:lang w:val="en-GB"/>
        </w:rPr>
        <w:t xml:space="preserve">In the case of Oracle and Adobe, the threat of Microsoft was present throughout </w:t>
      </w:r>
      <w:r w:rsidR="00863AB0" w:rsidRPr="00C235E5">
        <w:rPr>
          <w:rFonts w:ascii="Times New Roman" w:hAnsi="Times New Roman" w:cs="Times New Roman"/>
          <w:sz w:val="24"/>
          <w:szCs w:val="24"/>
          <w:lang w:val="en-GB"/>
        </w:rPr>
        <w:lastRenderedPageBreak/>
        <w:t xml:space="preserve">the three years. By contrast, SAP only started acknowledging </w:t>
      </w:r>
      <w:r w:rsidR="007B375E" w:rsidRPr="00C235E5">
        <w:rPr>
          <w:rFonts w:ascii="Times New Roman" w:hAnsi="Times New Roman" w:cs="Times New Roman"/>
          <w:sz w:val="24"/>
          <w:szCs w:val="24"/>
          <w:lang w:val="en-GB"/>
        </w:rPr>
        <w:t>Microsoft as a rival after the transaction, in its 20-F report issued for fiscal year 2017.</w:t>
      </w:r>
    </w:p>
    <w:p w14:paraId="772FFFAE" w14:textId="29026C54" w:rsidR="00CA72EA" w:rsidRPr="00C235E5" w:rsidRDefault="00CA72EA" w:rsidP="00BA549D">
      <w:pPr>
        <w:pStyle w:val="Heading3"/>
        <w:rPr>
          <w:rFonts w:ascii="Times New Roman" w:hAnsi="Times New Roman" w:cs="Times New Roman"/>
          <w:lang w:val="en-GB"/>
        </w:rPr>
      </w:pPr>
      <w:r w:rsidRPr="00C235E5">
        <w:rPr>
          <w:rFonts w:ascii="Times New Roman" w:hAnsi="Times New Roman" w:cs="Times New Roman"/>
          <w:lang w:val="en-GB"/>
        </w:rPr>
        <w:t>Both the Target and the Acquirer</w:t>
      </w:r>
    </w:p>
    <w:p w14:paraId="07EA0E4A" w14:textId="0F4DDCF1" w:rsidR="00CA72EA" w:rsidRPr="00C235E5" w:rsidRDefault="0014219F"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 xml:space="preserve">A quarter </w:t>
      </w:r>
      <w:r w:rsidR="003E5024" w:rsidRPr="00C235E5">
        <w:rPr>
          <w:rFonts w:ascii="Times New Roman" w:hAnsi="Times New Roman" w:cs="Times New Roman"/>
          <w:sz w:val="24"/>
          <w:szCs w:val="24"/>
          <w:lang w:val="en-GB"/>
        </w:rPr>
        <w:t xml:space="preserve">of </w:t>
      </w:r>
      <w:r w:rsidR="00E34641" w:rsidRPr="00C235E5">
        <w:rPr>
          <w:rFonts w:ascii="Times New Roman" w:hAnsi="Times New Roman" w:cs="Times New Roman"/>
          <w:sz w:val="24"/>
          <w:szCs w:val="24"/>
          <w:lang w:val="en-GB"/>
        </w:rPr>
        <w:t xml:space="preserve">our cases concern </w:t>
      </w:r>
      <w:r w:rsidR="003E5024" w:rsidRPr="00C235E5">
        <w:rPr>
          <w:rFonts w:ascii="Times New Roman" w:hAnsi="Times New Roman" w:cs="Times New Roman"/>
          <w:sz w:val="24"/>
          <w:szCs w:val="24"/>
          <w:lang w:val="en-GB"/>
        </w:rPr>
        <w:t xml:space="preserve">transactions </w:t>
      </w:r>
      <w:r w:rsidR="00D56065" w:rsidRPr="00C235E5">
        <w:rPr>
          <w:rFonts w:ascii="Times New Roman" w:hAnsi="Times New Roman" w:cs="Times New Roman"/>
          <w:sz w:val="24"/>
          <w:szCs w:val="24"/>
          <w:lang w:val="en-GB"/>
        </w:rPr>
        <w:t>where</w:t>
      </w:r>
      <w:r w:rsidR="003E5024" w:rsidRPr="00C235E5">
        <w:rPr>
          <w:rFonts w:ascii="Times New Roman" w:hAnsi="Times New Roman" w:cs="Times New Roman"/>
          <w:sz w:val="24"/>
          <w:szCs w:val="24"/>
          <w:lang w:val="en-GB"/>
        </w:rPr>
        <w:t xml:space="preserve"> </w:t>
      </w:r>
      <w:r w:rsidR="006E6B45" w:rsidRPr="00C235E5">
        <w:rPr>
          <w:rFonts w:ascii="Times New Roman" w:hAnsi="Times New Roman" w:cs="Times New Roman"/>
          <w:sz w:val="24"/>
          <w:szCs w:val="24"/>
          <w:lang w:val="en-GB"/>
        </w:rPr>
        <w:t>rivals</w:t>
      </w:r>
      <w:r w:rsidR="003E5024" w:rsidRPr="00C235E5">
        <w:rPr>
          <w:rFonts w:ascii="Times New Roman" w:hAnsi="Times New Roman" w:cs="Times New Roman"/>
          <w:sz w:val="24"/>
          <w:szCs w:val="24"/>
          <w:lang w:val="en-GB"/>
        </w:rPr>
        <w:t xml:space="preserve"> mentioned both the target and the acquirer as </w:t>
      </w:r>
      <w:r w:rsidR="006E6B45" w:rsidRPr="00C235E5">
        <w:rPr>
          <w:rFonts w:ascii="Times New Roman" w:hAnsi="Times New Roman" w:cs="Times New Roman"/>
          <w:sz w:val="24"/>
          <w:szCs w:val="24"/>
          <w:lang w:val="en-GB"/>
        </w:rPr>
        <w:t>competitors</w:t>
      </w:r>
      <w:r w:rsidR="003E5024" w:rsidRPr="00C235E5">
        <w:rPr>
          <w:rFonts w:ascii="Times New Roman" w:hAnsi="Times New Roman" w:cs="Times New Roman"/>
          <w:sz w:val="24"/>
          <w:szCs w:val="24"/>
          <w:lang w:val="en-GB"/>
        </w:rPr>
        <w:t xml:space="preserve">. </w:t>
      </w:r>
      <w:r w:rsidR="00883ABB">
        <w:rPr>
          <w:rFonts w:ascii="Times New Roman" w:hAnsi="Times New Roman" w:cs="Times New Roman"/>
          <w:sz w:val="24"/>
          <w:szCs w:val="24"/>
          <w:lang w:val="en-GB"/>
        </w:rPr>
        <w:t>Before</w:t>
      </w:r>
      <w:r w:rsidR="00883ABB" w:rsidRPr="00C235E5">
        <w:rPr>
          <w:rFonts w:ascii="Times New Roman" w:hAnsi="Times New Roman" w:cs="Times New Roman"/>
          <w:sz w:val="24"/>
          <w:szCs w:val="24"/>
          <w:lang w:val="en-GB"/>
        </w:rPr>
        <w:t xml:space="preserve"> </w:t>
      </w:r>
      <w:r w:rsidR="003E5024" w:rsidRPr="00B95BE9">
        <w:rPr>
          <w:rFonts w:ascii="Times New Roman" w:hAnsi="Times New Roman" w:cs="Times New Roman"/>
          <w:i/>
          <w:iCs/>
          <w:sz w:val="24"/>
          <w:szCs w:val="24"/>
          <w:lang w:val="en-GB"/>
        </w:rPr>
        <w:t>Google/FitBit</w:t>
      </w:r>
      <w:r w:rsidR="00C543F5" w:rsidRPr="00C235E5">
        <w:rPr>
          <w:rFonts w:ascii="Times New Roman" w:hAnsi="Times New Roman" w:cs="Times New Roman"/>
          <w:sz w:val="24"/>
          <w:szCs w:val="24"/>
          <w:lang w:val="en-GB"/>
        </w:rPr>
        <w:t xml:space="preserve"> (</w:t>
      </w:r>
      <w:r w:rsidR="00AE3AE8" w:rsidRPr="00C235E5">
        <w:rPr>
          <w:rFonts w:ascii="Times New Roman" w:hAnsi="Times New Roman" w:cs="Times New Roman"/>
          <w:sz w:val="24"/>
          <w:szCs w:val="24"/>
          <w:lang w:val="en-GB"/>
        </w:rPr>
        <w:t>2020</w:t>
      </w:r>
      <w:r w:rsidR="00C543F5" w:rsidRPr="00C235E5">
        <w:rPr>
          <w:rFonts w:ascii="Times New Roman" w:hAnsi="Times New Roman" w:cs="Times New Roman"/>
          <w:sz w:val="24"/>
          <w:szCs w:val="24"/>
          <w:lang w:val="en-GB"/>
        </w:rPr>
        <w:t>)</w:t>
      </w:r>
      <w:r w:rsidR="003E5024" w:rsidRPr="00C235E5">
        <w:rPr>
          <w:rFonts w:ascii="Times New Roman" w:hAnsi="Times New Roman" w:cs="Times New Roman"/>
          <w:sz w:val="24"/>
          <w:szCs w:val="24"/>
          <w:lang w:val="en-GB"/>
        </w:rPr>
        <w:t xml:space="preserve">, </w:t>
      </w:r>
      <w:r w:rsidR="00A84B4A" w:rsidRPr="00C235E5">
        <w:rPr>
          <w:rFonts w:ascii="Times New Roman" w:hAnsi="Times New Roman" w:cs="Times New Roman"/>
          <w:sz w:val="24"/>
          <w:szCs w:val="24"/>
          <w:lang w:val="en-GB"/>
        </w:rPr>
        <w:t xml:space="preserve">Garmin </w:t>
      </w:r>
      <w:r w:rsidR="00C50C3A" w:rsidRPr="00C235E5">
        <w:rPr>
          <w:rFonts w:ascii="Times New Roman" w:hAnsi="Times New Roman" w:cs="Times New Roman"/>
          <w:sz w:val="24"/>
          <w:szCs w:val="24"/>
          <w:lang w:val="en-GB"/>
        </w:rPr>
        <w:t>identif</w:t>
      </w:r>
      <w:r w:rsidR="00E12FDA" w:rsidRPr="00C235E5">
        <w:rPr>
          <w:rFonts w:ascii="Times New Roman" w:hAnsi="Times New Roman" w:cs="Times New Roman"/>
          <w:sz w:val="24"/>
          <w:szCs w:val="24"/>
          <w:lang w:val="en-GB"/>
        </w:rPr>
        <w:t>ie</w:t>
      </w:r>
      <w:r w:rsidR="005353A0" w:rsidRPr="00C235E5">
        <w:rPr>
          <w:rFonts w:ascii="Times New Roman" w:hAnsi="Times New Roman" w:cs="Times New Roman"/>
          <w:sz w:val="24"/>
          <w:szCs w:val="24"/>
          <w:lang w:val="en-GB"/>
        </w:rPr>
        <w:t>d</w:t>
      </w:r>
      <w:r w:rsidR="00C50C3A" w:rsidRPr="00C235E5">
        <w:rPr>
          <w:rFonts w:ascii="Times New Roman" w:hAnsi="Times New Roman" w:cs="Times New Roman"/>
          <w:sz w:val="24"/>
          <w:szCs w:val="24"/>
          <w:lang w:val="en-GB"/>
        </w:rPr>
        <w:t xml:space="preserve"> FitBit as one of its principal competitors.</w:t>
      </w:r>
      <w:r w:rsidR="00C50C3A" w:rsidRPr="00BD4E1A">
        <w:rPr>
          <w:rFonts w:ascii="Times New Roman" w:hAnsi="Times New Roman" w:cs="Times New Roman"/>
          <w:sz w:val="24"/>
          <w:szCs w:val="24"/>
          <w:vertAlign w:val="superscript"/>
          <w:lang w:val="en-GB"/>
        </w:rPr>
        <w:footnoteReference w:id="75"/>
      </w:r>
      <w:r w:rsidR="00790425" w:rsidRPr="00C235E5">
        <w:rPr>
          <w:rFonts w:ascii="Times New Roman" w:hAnsi="Times New Roman" w:cs="Times New Roman"/>
          <w:sz w:val="24"/>
          <w:szCs w:val="24"/>
          <w:lang w:val="en-GB"/>
        </w:rPr>
        <w:t xml:space="preserve"> After the acquisition was completed, Garmin continued to refer to FitBit as a competitor, albeit with Google written in brackets next to it.</w:t>
      </w:r>
      <w:r w:rsidR="00790425" w:rsidRPr="00BD4E1A">
        <w:rPr>
          <w:rFonts w:ascii="Times New Roman" w:hAnsi="Times New Roman" w:cs="Times New Roman"/>
          <w:sz w:val="24"/>
          <w:szCs w:val="24"/>
          <w:vertAlign w:val="superscript"/>
          <w:lang w:val="en-GB"/>
        </w:rPr>
        <w:footnoteReference w:id="76"/>
      </w:r>
      <w:r w:rsidR="0049309B" w:rsidRPr="00792D53">
        <w:rPr>
          <w:rFonts w:ascii="Times New Roman" w:hAnsi="Times New Roman" w:cs="Times New Roman"/>
          <w:sz w:val="24"/>
          <w:szCs w:val="24"/>
          <w:lang w:val="en-GB"/>
        </w:rPr>
        <w:t xml:space="preserve"> </w:t>
      </w:r>
      <w:r w:rsidR="00384918" w:rsidRPr="00C235E5">
        <w:rPr>
          <w:rFonts w:ascii="Times New Roman" w:hAnsi="Times New Roman" w:cs="Times New Roman"/>
          <w:sz w:val="24"/>
          <w:szCs w:val="24"/>
          <w:lang w:val="en-GB"/>
        </w:rPr>
        <w:t>A</w:t>
      </w:r>
      <w:r w:rsidR="0049309B" w:rsidRPr="00C235E5">
        <w:rPr>
          <w:rFonts w:ascii="Times New Roman" w:hAnsi="Times New Roman" w:cs="Times New Roman"/>
          <w:sz w:val="24"/>
          <w:szCs w:val="24"/>
          <w:lang w:val="en-GB"/>
        </w:rPr>
        <w:t xml:space="preserve">ccording to Garmin, FitBit </w:t>
      </w:r>
      <w:r w:rsidR="00384918" w:rsidRPr="00C235E5">
        <w:rPr>
          <w:rFonts w:ascii="Times New Roman" w:hAnsi="Times New Roman" w:cs="Times New Roman"/>
          <w:sz w:val="24"/>
          <w:szCs w:val="24"/>
          <w:lang w:val="en-GB"/>
        </w:rPr>
        <w:t xml:space="preserve">thus </w:t>
      </w:r>
      <w:r w:rsidR="0049309B" w:rsidRPr="00C235E5">
        <w:rPr>
          <w:rFonts w:ascii="Times New Roman" w:hAnsi="Times New Roman" w:cs="Times New Roman"/>
          <w:sz w:val="24"/>
          <w:szCs w:val="24"/>
          <w:lang w:val="en-GB"/>
        </w:rPr>
        <w:t>continues to operate as a</w:t>
      </w:r>
      <w:r w:rsidR="005F6273" w:rsidRPr="00C235E5">
        <w:rPr>
          <w:rFonts w:ascii="Times New Roman" w:hAnsi="Times New Roman" w:cs="Times New Roman"/>
          <w:sz w:val="24"/>
          <w:szCs w:val="24"/>
          <w:lang w:val="en-GB"/>
        </w:rPr>
        <w:t xml:space="preserve"> competitor</w:t>
      </w:r>
      <w:r w:rsidR="00AA1239" w:rsidRPr="00C235E5">
        <w:rPr>
          <w:rFonts w:ascii="Times New Roman" w:hAnsi="Times New Roman" w:cs="Times New Roman"/>
          <w:sz w:val="24"/>
          <w:szCs w:val="24"/>
          <w:lang w:val="en-GB"/>
        </w:rPr>
        <w:t xml:space="preserve"> and </w:t>
      </w:r>
      <w:r w:rsidR="00384918" w:rsidRPr="00C235E5">
        <w:rPr>
          <w:rFonts w:ascii="Times New Roman" w:hAnsi="Times New Roman" w:cs="Times New Roman"/>
          <w:sz w:val="24"/>
          <w:szCs w:val="24"/>
          <w:lang w:val="en-GB"/>
        </w:rPr>
        <w:t xml:space="preserve">was </w:t>
      </w:r>
      <w:r w:rsidR="00AA1239" w:rsidRPr="00C235E5">
        <w:rPr>
          <w:rFonts w:ascii="Times New Roman" w:hAnsi="Times New Roman" w:cs="Times New Roman"/>
          <w:sz w:val="24"/>
          <w:szCs w:val="24"/>
          <w:lang w:val="en-GB"/>
        </w:rPr>
        <w:t>therefore not “killed” by Google.</w:t>
      </w:r>
      <w:r w:rsidR="00B034CE" w:rsidRPr="00BD4E1A">
        <w:rPr>
          <w:rFonts w:ascii="Times New Roman" w:hAnsi="Times New Roman" w:cs="Times New Roman"/>
          <w:sz w:val="24"/>
          <w:szCs w:val="24"/>
          <w:vertAlign w:val="superscript"/>
          <w:lang w:val="en-GB"/>
        </w:rPr>
        <w:footnoteReference w:id="77"/>
      </w:r>
      <w:r w:rsidR="00AA1239" w:rsidRPr="00BD4E1A">
        <w:rPr>
          <w:rFonts w:ascii="Times New Roman" w:hAnsi="Times New Roman" w:cs="Times New Roman"/>
          <w:sz w:val="24"/>
          <w:szCs w:val="24"/>
          <w:vertAlign w:val="superscript"/>
          <w:lang w:val="en-GB"/>
        </w:rPr>
        <w:t xml:space="preserve"> </w:t>
      </w:r>
    </w:p>
    <w:p w14:paraId="41362920" w14:textId="6FC440FF" w:rsidR="002844F6" w:rsidRPr="00C235E5" w:rsidRDefault="00EB3CB4"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 xml:space="preserve">In </w:t>
      </w:r>
      <w:r w:rsidR="004815A4" w:rsidRPr="00073946">
        <w:rPr>
          <w:rFonts w:ascii="Times New Roman" w:hAnsi="Times New Roman" w:cs="Times New Roman"/>
          <w:i/>
          <w:iCs/>
          <w:sz w:val="24"/>
          <w:szCs w:val="24"/>
          <w:lang w:val="en-GB"/>
        </w:rPr>
        <w:t>Activision/King</w:t>
      </w:r>
      <w:r w:rsidR="00C543F5" w:rsidRPr="00C235E5">
        <w:rPr>
          <w:rFonts w:ascii="Times New Roman" w:hAnsi="Times New Roman" w:cs="Times New Roman"/>
          <w:sz w:val="24"/>
          <w:szCs w:val="24"/>
          <w:lang w:val="en-GB"/>
        </w:rPr>
        <w:t xml:space="preserve"> (</w:t>
      </w:r>
      <w:r w:rsidR="007346C7" w:rsidRPr="00C235E5">
        <w:rPr>
          <w:rFonts w:ascii="Times New Roman" w:hAnsi="Times New Roman" w:cs="Times New Roman"/>
          <w:sz w:val="24"/>
          <w:szCs w:val="24"/>
          <w:lang w:val="en-GB"/>
        </w:rPr>
        <w:t>2016</w:t>
      </w:r>
      <w:r w:rsidR="00C543F5" w:rsidRPr="00C235E5">
        <w:rPr>
          <w:rFonts w:ascii="Times New Roman" w:hAnsi="Times New Roman" w:cs="Times New Roman"/>
          <w:sz w:val="24"/>
          <w:szCs w:val="24"/>
          <w:lang w:val="en-GB"/>
        </w:rPr>
        <w:t>)</w:t>
      </w:r>
      <w:r w:rsidR="00011E07" w:rsidRPr="00C235E5">
        <w:rPr>
          <w:rFonts w:ascii="Times New Roman" w:hAnsi="Times New Roman" w:cs="Times New Roman"/>
          <w:sz w:val="24"/>
          <w:szCs w:val="24"/>
          <w:lang w:val="en-GB"/>
        </w:rPr>
        <w:t>, t</w:t>
      </w:r>
      <w:r w:rsidR="00FB7773" w:rsidRPr="00C235E5">
        <w:rPr>
          <w:rFonts w:ascii="Times New Roman" w:hAnsi="Times New Roman" w:cs="Times New Roman"/>
          <w:sz w:val="24"/>
          <w:szCs w:val="24"/>
          <w:lang w:val="en-GB"/>
        </w:rPr>
        <w:t>he EC decision identified Electronic Arts, Ubisoft, Take-Two Interactive, and Nintendo as rivals</w:t>
      </w:r>
      <w:r w:rsidR="00011E07" w:rsidRPr="00C235E5">
        <w:rPr>
          <w:rFonts w:ascii="Times New Roman" w:hAnsi="Times New Roman" w:cs="Times New Roman"/>
          <w:sz w:val="24"/>
          <w:szCs w:val="24"/>
          <w:lang w:val="en-GB"/>
        </w:rPr>
        <w:t xml:space="preserve"> in the video game publishing market</w:t>
      </w:r>
      <w:r w:rsidR="00FB7773" w:rsidRPr="00C235E5">
        <w:rPr>
          <w:rFonts w:ascii="Times New Roman" w:hAnsi="Times New Roman" w:cs="Times New Roman"/>
          <w:sz w:val="24"/>
          <w:szCs w:val="24"/>
          <w:lang w:val="en-GB"/>
        </w:rPr>
        <w:t>. Before the acquisition, none of the rivals recognize</w:t>
      </w:r>
      <w:r w:rsidRPr="00C235E5">
        <w:rPr>
          <w:rFonts w:ascii="Times New Roman" w:hAnsi="Times New Roman" w:cs="Times New Roman"/>
          <w:sz w:val="24"/>
          <w:szCs w:val="24"/>
          <w:lang w:val="en-GB"/>
        </w:rPr>
        <w:t>d</w:t>
      </w:r>
      <w:r w:rsidR="00FB7773" w:rsidRPr="00C235E5">
        <w:rPr>
          <w:rFonts w:ascii="Times New Roman" w:hAnsi="Times New Roman" w:cs="Times New Roman"/>
          <w:sz w:val="24"/>
          <w:szCs w:val="24"/>
          <w:lang w:val="en-GB"/>
        </w:rPr>
        <w:t xml:space="preserve"> King as a competitor. By contrast, all of them include Activision Blizzard as a powerful </w:t>
      </w:r>
      <w:r w:rsidR="003836BC" w:rsidRPr="00C235E5">
        <w:rPr>
          <w:rFonts w:ascii="Times New Roman" w:hAnsi="Times New Roman" w:cs="Times New Roman"/>
          <w:sz w:val="24"/>
          <w:szCs w:val="24"/>
          <w:lang w:val="en-GB"/>
        </w:rPr>
        <w:t>competitor</w:t>
      </w:r>
      <w:r w:rsidR="00FB7773" w:rsidRPr="00C235E5">
        <w:rPr>
          <w:rFonts w:ascii="Times New Roman" w:hAnsi="Times New Roman" w:cs="Times New Roman"/>
          <w:sz w:val="24"/>
          <w:szCs w:val="24"/>
          <w:lang w:val="en-GB"/>
        </w:rPr>
        <w:t xml:space="preserve">. </w:t>
      </w:r>
      <w:r w:rsidR="002D3CAE" w:rsidRPr="00C235E5">
        <w:rPr>
          <w:rFonts w:ascii="Times New Roman" w:hAnsi="Times New Roman" w:cs="Times New Roman"/>
          <w:sz w:val="24"/>
          <w:szCs w:val="24"/>
          <w:lang w:val="en-GB"/>
        </w:rPr>
        <w:t>A</w:t>
      </w:r>
      <w:r w:rsidR="00FB7773" w:rsidRPr="00C235E5">
        <w:rPr>
          <w:rFonts w:ascii="Times New Roman" w:hAnsi="Times New Roman" w:cs="Times New Roman"/>
          <w:sz w:val="24"/>
          <w:szCs w:val="24"/>
          <w:lang w:val="en-GB"/>
        </w:rPr>
        <w:t xml:space="preserve">fter the acquisition, </w:t>
      </w:r>
      <w:r w:rsidR="002D3CAE" w:rsidRPr="00C235E5">
        <w:rPr>
          <w:rFonts w:ascii="Times New Roman" w:hAnsi="Times New Roman" w:cs="Times New Roman"/>
          <w:sz w:val="24"/>
          <w:szCs w:val="24"/>
          <w:lang w:val="en-GB"/>
        </w:rPr>
        <w:t xml:space="preserve">rival </w:t>
      </w:r>
      <w:r w:rsidR="00FB7773" w:rsidRPr="00C235E5">
        <w:rPr>
          <w:rFonts w:ascii="Times New Roman" w:hAnsi="Times New Roman" w:cs="Times New Roman"/>
          <w:sz w:val="24"/>
          <w:szCs w:val="24"/>
          <w:lang w:val="en-GB"/>
        </w:rPr>
        <w:t>perception changes</w:t>
      </w:r>
      <w:r w:rsidR="002D3CAE" w:rsidRPr="00C235E5">
        <w:rPr>
          <w:rFonts w:ascii="Times New Roman" w:hAnsi="Times New Roman" w:cs="Times New Roman"/>
          <w:sz w:val="24"/>
          <w:szCs w:val="24"/>
          <w:lang w:val="en-GB"/>
        </w:rPr>
        <w:t xml:space="preserve"> slightly</w:t>
      </w:r>
      <w:r w:rsidR="00FB7773" w:rsidRPr="00C235E5">
        <w:rPr>
          <w:rFonts w:ascii="Times New Roman" w:hAnsi="Times New Roman" w:cs="Times New Roman"/>
          <w:sz w:val="24"/>
          <w:szCs w:val="24"/>
          <w:lang w:val="en-GB"/>
        </w:rPr>
        <w:t>. Ubisoft</w:t>
      </w:r>
      <w:r w:rsidR="00BD427A" w:rsidRPr="00C235E5">
        <w:rPr>
          <w:rFonts w:ascii="Times New Roman" w:hAnsi="Times New Roman" w:cs="Times New Roman"/>
          <w:sz w:val="24"/>
          <w:szCs w:val="24"/>
          <w:lang w:val="en-GB"/>
        </w:rPr>
        <w:t xml:space="preserve"> </w:t>
      </w:r>
      <w:r w:rsidR="00EE6273" w:rsidRPr="00C235E5">
        <w:rPr>
          <w:rFonts w:ascii="Times New Roman" w:hAnsi="Times New Roman" w:cs="Times New Roman"/>
          <w:sz w:val="24"/>
          <w:szCs w:val="24"/>
          <w:lang w:val="en-GB"/>
        </w:rPr>
        <w:t xml:space="preserve">now refers to </w:t>
      </w:r>
      <w:r w:rsidR="00FB7773" w:rsidRPr="00C235E5">
        <w:rPr>
          <w:rFonts w:ascii="Times New Roman" w:hAnsi="Times New Roman" w:cs="Times New Roman"/>
          <w:sz w:val="24"/>
          <w:szCs w:val="24"/>
          <w:lang w:val="en-GB"/>
        </w:rPr>
        <w:t>“Activision Blizzard King” as a source of competitive pressure in its 2017 annual report.</w:t>
      </w:r>
      <w:r w:rsidR="00FB7773" w:rsidRPr="00BD4E1A">
        <w:rPr>
          <w:rFonts w:ascii="Times New Roman" w:hAnsi="Times New Roman" w:cs="Times New Roman"/>
          <w:sz w:val="24"/>
          <w:szCs w:val="24"/>
          <w:vertAlign w:val="superscript"/>
          <w:lang w:val="en-GB"/>
        </w:rPr>
        <w:footnoteReference w:id="78"/>
      </w:r>
      <w:r w:rsidR="00EB1461" w:rsidRPr="00BD4E1A">
        <w:rPr>
          <w:rFonts w:ascii="Times New Roman" w:hAnsi="Times New Roman" w:cs="Times New Roman"/>
          <w:sz w:val="24"/>
          <w:szCs w:val="24"/>
          <w:vertAlign w:val="superscript"/>
          <w:lang w:val="en-GB"/>
        </w:rPr>
        <w:t xml:space="preserve"> </w:t>
      </w:r>
      <w:r w:rsidR="002D3CAE" w:rsidRPr="00C235E5">
        <w:rPr>
          <w:rFonts w:ascii="Times New Roman" w:hAnsi="Times New Roman" w:cs="Times New Roman"/>
          <w:sz w:val="24"/>
          <w:szCs w:val="24"/>
          <w:lang w:val="en-GB"/>
        </w:rPr>
        <w:t xml:space="preserve">One </w:t>
      </w:r>
      <w:r w:rsidR="00EE6273" w:rsidRPr="00C235E5">
        <w:rPr>
          <w:rFonts w:ascii="Times New Roman" w:hAnsi="Times New Roman" w:cs="Times New Roman"/>
          <w:sz w:val="24"/>
          <w:szCs w:val="24"/>
          <w:lang w:val="en-GB"/>
        </w:rPr>
        <w:t xml:space="preserve">possible interpretation </w:t>
      </w:r>
      <w:r w:rsidR="002D3CAE" w:rsidRPr="00C235E5">
        <w:rPr>
          <w:rFonts w:ascii="Times New Roman" w:hAnsi="Times New Roman" w:cs="Times New Roman"/>
          <w:sz w:val="24"/>
          <w:szCs w:val="24"/>
          <w:lang w:val="en-GB"/>
        </w:rPr>
        <w:t xml:space="preserve">is that the merger </w:t>
      </w:r>
      <w:r w:rsidR="00EB1461" w:rsidRPr="00C235E5">
        <w:rPr>
          <w:rFonts w:ascii="Times New Roman" w:hAnsi="Times New Roman" w:cs="Times New Roman"/>
          <w:sz w:val="24"/>
          <w:szCs w:val="24"/>
          <w:lang w:val="en-GB"/>
        </w:rPr>
        <w:t xml:space="preserve">bolstered the </w:t>
      </w:r>
      <w:r w:rsidR="00EE6273" w:rsidRPr="00C235E5">
        <w:rPr>
          <w:rFonts w:ascii="Times New Roman" w:hAnsi="Times New Roman" w:cs="Times New Roman"/>
          <w:sz w:val="24"/>
          <w:szCs w:val="24"/>
          <w:lang w:val="en-GB"/>
        </w:rPr>
        <w:t xml:space="preserve">perception of </w:t>
      </w:r>
      <w:r w:rsidR="00EB1461" w:rsidRPr="00C235E5">
        <w:rPr>
          <w:rFonts w:ascii="Times New Roman" w:hAnsi="Times New Roman" w:cs="Times New Roman"/>
          <w:sz w:val="24"/>
          <w:szCs w:val="24"/>
          <w:lang w:val="en-GB"/>
        </w:rPr>
        <w:t xml:space="preserve">King as a </w:t>
      </w:r>
      <w:r w:rsidR="00EE6273" w:rsidRPr="00C235E5">
        <w:rPr>
          <w:rFonts w:ascii="Times New Roman" w:hAnsi="Times New Roman" w:cs="Times New Roman"/>
          <w:sz w:val="24"/>
          <w:szCs w:val="24"/>
          <w:lang w:val="en-GB"/>
        </w:rPr>
        <w:t xml:space="preserve">competitor </w:t>
      </w:r>
      <w:r w:rsidR="00EB1461" w:rsidRPr="00C235E5">
        <w:rPr>
          <w:rFonts w:ascii="Times New Roman" w:hAnsi="Times New Roman" w:cs="Times New Roman"/>
          <w:sz w:val="24"/>
          <w:szCs w:val="24"/>
          <w:lang w:val="en-GB"/>
        </w:rPr>
        <w:t>in the video game publishing market.</w:t>
      </w:r>
    </w:p>
    <w:p w14:paraId="40C9053C" w14:textId="51247B15" w:rsidR="004D2288" w:rsidRPr="00C235E5" w:rsidRDefault="00EE627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lastRenderedPageBreak/>
        <w:t>I</w:t>
      </w:r>
      <w:r w:rsidR="00DC5048" w:rsidRPr="00C235E5">
        <w:rPr>
          <w:rFonts w:ascii="Times New Roman" w:hAnsi="Times New Roman" w:cs="Times New Roman"/>
          <w:sz w:val="24"/>
          <w:szCs w:val="24"/>
          <w:lang w:val="en-GB"/>
        </w:rPr>
        <w:t xml:space="preserve">n </w:t>
      </w:r>
      <w:r w:rsidR="00E04418" w:rsidRPr="00073946">
        <w:rPr>
          <w:rFonts w:ascii="Times New Roman" w:hAnsi="Times New Roman" w:cs="Times New Roman"/>
          <w:i/>
          <w:iCs/>
          <w:sz w:val="24"/>
          <w:szCs w:val="24"/>
          <w:lang w:val="en-GB"/>
        </w:rPr>
        <w:t>Oracle/Micros</w:t>
      </w:r>
      <w:r w:rsidR="00C543F5" w:rsidRPr="00C235E5">
        <w:rPr>
          <w:rFonts w:ascii="Times New Roman" w:hAnsi="Times New Roman" w:cs="Times New Roman"/>
          <w:sz w:val="24"/>
          <w:szCs w:val="24"/>
          <w:lang w:val="en-GB"/>
        </w:rPr>
        <w:t xml:space="preserve"> (</w:t>
      </w:r>
      <w:r w:rsidR="00384358" w:rsidRPr="00C235E5">
        <w:rPr>
          <w:rFonts w:ascii="Times New Roman" w:hAnsi="Times New Roman" w:cs="Times New Roman"/>
          <w:sz w:val="24"/>
          <w:szCs w:val="24"/>
          <w:lang w:val="en-GB"/>
        </w:rPr>
        <w:t>2014</w:t>
      </w:r>
      <w:r w:rsidR="00C543F5" w:rsidRPr="00C235E5">
        <w:rPr>
          <w:rFonts w:ascii="Times New Roman" w:hAnsi="Times New Roman" w:cs="Times New Roman"/>
          <w:sz w:val="24"/>
          <w:szCs w:val="24"/>
          <w:lang w:val="en-GB"/>
        </w:rPr>
        <w:t>)</w:t>
      </w:r>
      <w:r w:rsidRPr="00C235E5">
        <w:rPr>
          <w:rFonts w:ascii="Times New Roman" w:hAnsi="Times New Roman" w:cs="Times New Roman"/>
          <w:sz w:val="24"/>
          <w:szCs w:val="24"/>
          <w:lang w:val="en-GB"/>
        </w:rPr>
        <w:t xml:space="preserve">, </w:t>
      </w:r>
      <w:r w:rsidR="00DC5048" w:rsidRPr="00C235E5">
        <w:rPr>
          <w:rFonts w:ascii="Times New Roman" w:hAnsi="Times New Roman" w:cs="Times New Roman"/>
          <w:sz w:val="24"/>
          <w:szCs w:val="24"/>
          <w:lang w:val="en-GB"/>
        </w:rPr>
        <w:t xml:space="preserve">the </w:t>
      </w:r>
      <w:r w:rsidRPr="00C235E5">
        <w:rPr>
          <w:rFonts w:ascii="Times New Roman" w:hAnsi="Times New Roman" w:cs="Times New Roman"/>
          <w:sz w:val="24"/>
          <w:szCs w:val="24"/>
          <w:lang w:val="en-GB"/>
        </w:rPr>
        <w:t xml:space="preserve">EC decision </w:t>
      </w:r>
      <w:r w:rsidR="00590858" w:rsidRPr="00C235E5">
        <w:rPr>
          <w:rFonts w:ascii="Times New Roman" w:hAnsi="Times New Roman" w:cs="Times New Roman"/>
          <w:sz w:val="24"/>
          <w:szCs w:val="24"/>
          <w:lang w:val="en-GB"/>
        </w:rPr>
        <w:t>identified IBM, NCR, and Diebold Nixdorf</w:t>
      </w:r>
      <w:r w:rsidRPr="00C235E5">
        <w:rPr>
          <w:rFonts w:ascii="Times New Roman" w:hAnsi="Times New Roman" w:cs="Times New Roman"/>
          <w:sz w:val="24"/>
          <w:szCs w:val="24"/>
          <w:lang w:val="en-GB"/>
        </w:rPr>
        <w:t xml:space="preserve"> as rivals </w:t>
      </w:r>
      <w:r w:rsidR="00885C33" w:rsidRPr="00C235E5">
        <w:rPr>
          <w:rFonts w:ascii="Times New Roman" w:hAnsi="Times New Roman" w:cs="Times New Roman"/>
          <w:sz w:val="24"/>
          <w:szCs w:val="24"/>
          <w:lang w:val="en-GB"/>
        </w:rPr>
        <w:t xml:space="preserve">in </w:t>
      </w:r>
      <w:r w:rsidR="00BB3090" w:rsidRPr="00C235E5">
        <w:rPr>
          <w:rFonts w:ascii="Times New Roman" w:hAnsi="Times New Roman" w:cs="Times New Roman"/>
          <w:sz w:val="24"/>
          <w:szCs w:val="24"/>
          <w:lang w:val="en-GB"/>
        </w:rPr>
        <w:t xml:space="preserve">the </w:t>
      </w:r>
      <w:r w:rsidRPr="00C235E5">
        <w:rPr>
          <w:rFonts w:ascii="Times New Roman" w:hAnsi="Times New Roman" w:cs="Times New Roman"/>
          <w:sz w:val="24"/>
          <w:szCs w:val="24"/>
          <w:lang w:val="en-GB"/>
        </w:rPr>
        <w:t>enterprise application software</w:t>
      </w:r>
      <w:r w:rsidR="00BB3090" w:rsidRPr="00C235E5">
        <w:rPr>
          <w:rFonts w:ascii="Times New Roman" w:hAnsi="Times New Roman" w:cs="Times New Roman"/>
          <w:sz w:val="24"/>
          <w:szCs w:val="24"/>
          <w:lang w:val="en-GB"/>
        </w:rPr>
        <w:t xml:space="preserve"> market</w:t>
      </w:r>
      <w:r w:rsidR="00590858" w:rsidRPr="00C235E5">
        <w:rPr>
          <w:rFonts w:ascii="Times New Roman" w:hAnsi="Times New Roman" w:cs="Times New Roman"/>
          <w:sz w:val="24"/>
          <w:szCs w:val="24"/>
          <w:lang w:val="en-GB"/>
        </w:rPr>
        <w:t xml:space="preserve">. </w:t>
      </w:r>
      <w:r w:rsidR="008F2CDF" w:rsidRPr="00C235E5">
        <w:rPr>
          <w:rFonts w:ascii="Times New Roman" w:hAnsi="Times New Roman" w:cs="Times New Roman"/>
          <w:sz w:val="24"/>
          <w:szCs w:val="24"/>
          <w:lang w:val="en-GB"/>
        </w:rPr>
        <w:t>NCR ha</w:t>
      </w:r>
      <w:r w:rsidR="00885C33" w:rsidRPr="00C235E5">
        <w:rPr>
          <w:rFonts w:ascii="Times New Roman" w:hAnsi="Times New Roman" w:cs="Times New Roman"/>
          <w:sz w:val="24"/>
          <w:szCs w:val="24"/>
          <w:lang w:val="en-GB"/>
        </w:rPr>
        <w:t>d</w:t>
      </w:r>
      <w:r w:rsidR="008F2CDF" w:rsidRPr="00C235E5">
        <w:rPr>
          <w:rFonts w:ascii="Times New Roman" w:hAnsi="Times New Roman" w:cs="Times New Roman"/>
          <w:sz w:val="24"/>
          <w:szCs w:val="24"/>
          <w:lang w:val="en-GB"/>
        </w:rPr>
        <w:t xml:space="preserve"> </w:t>
      </w:r>
      <w:r w:rsidR="00885C33" w:rsidRPr="00C235E5">
        <w:rPr>
          <w:rFonts w:ascii="Times New Roman" w:hAnsi="Times New Roman" w:cs="Times New Roman"/>
          <w:sz w:val="24"/>
          <w:szCs w:val="24"/>
          <w:lang w:val="en-GB"/>
        </w:rPr>
        <w:t xml:space="preserve">already </w:t>
      </w:r>
      <w:r w:rsidR="008F2CDF" w:rsidRPr="00C235E5">
        <w:rPr>
          <w:rFonts w:ascii="Times New Roman" w:hAnsi="Times New Roman" w:cs="Times New Roman"/>
          <w:sz w:val="24"/>
          <w:szCs w:val="24"/>
          <w:lang w:val="en-GB"/>
        </w:rPr>
        <w:t xml:space="preserve">identified Micros as a competitor. </w:t>
      </w:r>
      <w:r w:rsidR="00BB3090" w:rsidRPr="00C235E5">
        <w:rPr>
          <w:rFonts w:ascii="Times New Roman" w:hAnsi="Times New Roman" w:cs="Times New Roman"/>
          <w:sz w:val="24"/>
          <w:szCs w:val="24"/>
          <w:lang w:val="en-GB"/>
        </w:rPr>
        <w:t>By contrast,</w:t>
      </w:r>
      <w:r w:rsidR="00885C33" w:rsidRPr="00C235E5">
        <w:rPr>
          <w:rFonts w:ascii="Times New Roman" w:hAnsi="Times New Roman" w:cs="Times New Roman"/>
          <w:sz w:val="24"/>
          <w:szCs w:val="24"/>
          <w:lang w:val="en-GB"/>
        </w:rPr>
        <w:t xml:space="preserve"> NCR </w:t>
      </w:r>
      <w:r w:rsidR="008F2CDF" w:rsidRPr="00C235E5">
        <w:rPr>
          <w:rFonts w:ascii="Times New Roman" w:hAnsi="Times New Roman" w:cs="Times New Roman"/>
          <w:sz w:val="24"/>
          <w:szCs w:val="24"/>
          <w:lang w:val="en-GB"/>
        </w:rPr>
        <w:t xml:space="preserve">did not </w:t>
      </w:r>
      <w:r w:rsidR="00885C33" w:rsidRPr="00C235E5">
        <w:rPr>
          <w:rFonts w:ascii="Times New Roman" w:hAnsi="Times New Roman" w:cs="Times New Roman"/>
          <w:sz w:val="24"/>
          <w:szCs w:val="24"/>
          <w:lang w:val="en-GB"/>
        </w:rPr>
        <w:t xml:space="preserve">recognize </w:t>
      </w:r>
      <w:r w:rsidR="008F2CDF" w:rsidRPr="00C235E5">
        <w:rPr>
          <w:rFonts w:ascii="Times New Roman" w:hAnsi="Times New Roman" w:cs="Times New Roman"/>
          <w:sz w:val="24"/>
          <w:szCs w:val="24"/>
          <w:lang w:val="en-GB"/>
        </w:rPr>
        <w:t xml:space="preserve">Oracle as its </w:t>
      </w:r>
      <w:r w:rsidR="00885C33" w:rsidRPr="00C235E5">
        <w:rPr>
          <w:rFonts w:ascii="Times New Roman" w:hAnsi="Times New Roman" w:cs="Times New Roman"/>
          <w:sz w:val="24"/>
          <w:szCs w:val="24"/>
          <w:lang w:val="en-GB"/>
        </w:rPr>
        <w:t xml:space="preserve">competitor </w:t>
      </w:r>
      <w:r w:rsidR="008F2CDF" w:rsidRPr="00C235E5">
        <w:rPr>
          <w:rFonts w:ascii="Times New Roman" w:hAnsi="Times New Roman" w:cs="Times New Roman"/>
          <w:sz w:val="24"/>
          <w:szCs w:val="24"/>
          <w:lang w:val="en-GB"/>
        </w:rPr>
        <w:t xml:space="preserve">in 2013. </w:t>
      </w:r>
      <w:r w:rsidR="000C2B08" w:rsidRPr="00C235E5">
        <w:rPr>
          <w:rFonts w:ascii="Times New Roman" w:hAnsi="Times New Roman" w:cs="Times New Roman"/>
          <w:sz w:val="24"/>
          <w:szCs w:val="24"/>
          <w:lang w:val="en-GB"/>
        </w:rPr>
        <w:t xml:space="preserve">From </w:t>
      </w:r>
      <w:r w:rsidR="008F2CDF" w:rsidRPr="00C235E5">
        <w:rPr>
          <w:rFonts w:ascii="Times New Roman" w:hAnsi="Times New Roman" w:cs="Times New Roman"/>
          <w:sz w:val="24"/>
          <w:szCs w:val="24"/>
          <w:lang w:val="en-GB"/>
        </w:rPr>
        <w:t>2014</w:t>
      </w:r>
      <w:r w:rsidR="00950F0F" w:rsidRPr="00C235E5">
        <w:rPr>
          <w:rFonts w:ascii="Times New Roman" w:hAnsi="Times New Roman" w:cs="Times New Roman"/>
          <w:sz w:val="24"/>
          <w:szCs w:val="24"/>
          <w:lang w:val="en-GB"/>
        </w:rPr>
        <w:t xml:space="preserve">, </w:t>
      </w:r>
      <w:r w:rsidR="000C2B08" w:rsidRPr="00C235E5">
        <w:rPr>
          <w:rFonts w:ascii="Times New Roman" w:hAnsi="Times New Roman" w:cs="Times New Roman"/>
          <w:sz w:val="24"/>
          <w:szCs w:val="24"/>
          <w:lang w:val="en-GB"/>
        </w:rPr>
        <w:t xml:space="preserve">NCR </w:t>
      </w:r>
      <w:r w:rsidR="008F2CDF" w:rsidRPr="00C235E5">
        <w:rPr>
          <w:rFonts w:ascii="Times New Roman" w:hAnsi="Times New Roman" w:cs="Times New Roman"/>
          <w:sz w:val="24"/>
          <w:szCs w:val="24"/>
          <w:lang w:val="en-GB"/>
        </w:rPr>
        <w:t xml:space="preserve">started to </w:t>
      </w:r>
      <w:r w:rsidR="000C2B08" w:rsidRPr="00C235E5">
        <w:rPr>
          <w:rFonts w:ascii="Times New Roman" w:hAnsi="Times New Roman" w:cs="Times New Roman"/>
          <w:sz w:val="24"/>
          <w:szCs w:val="24"/>
          <w:lang w:val="en-GB"/>
        </w:rPr>
        <w:t>refer to</w:t>
      </w:r>
      <w:r w:rsidR="008F2CDF" w:rsidRPr="00C235E5">
        <w:rPr>
          <w:rFonts w:ascii="Times New Roman" w:hAnsi="Times New Roman" w:cs="Times New Roman"/>
          <w:sz w:val="24"/>
          <w:szCs w:val="24"/>
          <w:lang w:val="en-GB"/>
        </w:rPr>
        <w:t xml:space="preserve"> Oracle as a competitor alongside Micros. In 2015, </w:t>
      </w:r>
      <w:r w:rsidR="000C2B08" w:rsidRPr="00C235E5">
        <w:rPr>
          <w:rFonts w:ascii="Times New Roman" w:hAnsi="Times New Roman" w:cs="Times New Roman"/>
          <w:sz w:val="24"/>
          <w:szCs w:val="24"/>
          <w:lang w:val="en-GB"/>
        </w:rPr>
        <w:t xml:space="preserve">NCR </w:t>
      </w:r>
      <w:r w:rsidR="008F2CDF" w:rsidRPr="00C235E5">
        <w:rPr>
          <w:rFonts w:ascii="Times New Roman" w:hAnsi="Times New Roman" w:cs="Times New Roman"/>
          <w:sz w:val="24"/>
          <w:szCs w:val="24"/>
          <w:lang w:val="en-GB"/>
        </w:rPr>
        <w:t xml:space="preserve">also identified both Micros and Oracle as competitors. </w:t>
      </w:r>
      <w:r w:rsidR="00950F0F" w:rsidRPr="00C235E5">
        <w:rPr>
          <w:rFonts w:ascii="Times New Roman" w:hAnsi="Times New Roman" w:cs="Times New Roman"/>
          <w:sz w:val="24"/>
          <w:szCs w:val="24"/>
          <w:lang w:val="en-GB"/>
        </w:rPr>
        <w:t>In</w:t>
      </w:r>
      <w:r w:rsidR="008F2CDF" w:rsidRPr="00C235E5">
        <w:rPr>
          <w:rFonts w:ascii="Times New Roman" w:hAnsi="Times New Roman" w:cs="Times New Roman"/>
          <w:sz w:val="24"/>
          <w:szCs w:val="24"/>
          <w:lang w:val="en-GB"/>
        </w:rPr>
        <w:t xml:space="preserve"> 2016, NCR </w:t>
      </w:r>
      <w:r w:rsidR="000C2B08" w:rsidRPr="00C235E5">
        <w:rPr>
          <w:rFonts w:ascii="Times New Roman" w:hAnsi="Times New Roman" w:cs="Times New Roman"/>
          <w:sz w:val="24"/>
          <w:szCs w:val="24"/>
          <w:lang w:val="en-GB"/>
        </w:rPr>
        <w:t>mentioned</w:t>
      </w:r>
      <w:r w:rsidR="008F2CDF" w:rsidRPr="00C235E5">
        <w:rPr>
          <w:rFonts w:ascii="Times New Roman" w:hAnsi="Times New Roman" w:cs="Times New Roman"/>
          <w:sz w:val="24"/>
          <w:szCs w:val="24"/>
          <w:lang w:val="en-GB"/>
        </w:rPr>
        <w:t xml:space="preserve"> the acquisition of Micros by Oracle. </w:t>
      </w:r>
      <w:r w:rsidR="00A30B88" w:rsidRPr="00C235E5">
        <w:rPr>
          <w:rFonts w:ascii="Times New Roman" w:hAnsi="Times New Roman" w:cs="Times New Roman"/>
          <w:sz w:val="24"/>
          <w:szCs w:val="24"/>
          <w:lang w:val="en-GB"/>
        </w:rPr>
        <w:t>In 2016,</w:t>
      </w:r>
      <w:r w:rsidR="008F2CDF" w:rsidRPr="00C235E5">
        <w:rPr>
          <w:rFonts w:ascii="Times New Roman" w:hAnsi="Times New Roman" w:cs="Times New Roman"/>
          <w:sz w:val="24"/>
          <w:szCs w:val="24"/>
          <w:lang w:val="en-GB"/>
        </w:rPr>
        <w:t xml:space="preserve"> when listing its competitors, it implicitly refer</w:t>
      </w:r>
      <w:r w:rsidR="00601D54" w:rsidRPr="00C235E5">
        <w:rPr>
          <w:rFonts w:ascii="Times New Roman" w:hAnsi="Times New Roman" w:cs="Times New Roman"/>
          <w:sz w:val="24"/>
          <w:szCs w:val="24"/>
          <w:lang w:val="en-GB"/>
        </w:rPr>
        <w:t>red</w:t>
      </w:r>
      <w:r w:rsidR="008F2CDF" w:rsidRPr="00C235E5">
        <w:rPr>
          <w:rFonts w:ascii="Times New Roman" w:hAnsi="Times New Roman" w:cs="Times New Roman"/>
          <w:sz w:val="24"/>
          <w:szCs w:val="24"/>
          <w:lang w:val="en-GB"/>
        </w:rPr>
        <w:t xml:space="preserve"> to the acquisition by </w:t>
      </w:r>
      <w:r w:rsidR="00B619A6" w:rsidRPr="00C235E5">
        <w:rPr>
          <w:rFonts w:ascii="Times New Roman" w:hAnsi="Times New Roman" w:cs="Times New Roman"/>
          <w:sz w:val="24"/>
          <w:szCs w:val="24"/>
          <w:lang w:val="en-GB"/>
        </w:rPr>
        <w:t>referring to Micros with Oracle in brackets</w:t>
      </w:r>
      <w:r w:rsidR="008F2CDF" w:rsidRPr="00C235E5">
        <w:rPr>
          <w:rFonts w:ascii="Times New Roman" w:hAnsi="Times New Roman" w:cs="Times New Roman"/>
          <w:sz w:val="24"/>
          <w:szCs w:val="24"/>
          <w:lang w:val="en-GB"/>
        </w:rPr>
        <w:t>.</w:t>
      </w:r>
      <w:r w:rsidR="00601D54" w:rsidRPr="007D41AF">
        <w:rPr>
          <w:rFonts w:ascii="Times New Roman" w:hAnsi="Times New Roman" w:cs="Times New Roman"/>
          <w:sz w:val="24"/>
          <w:szCs w:val="24"/>
          <w:vertAlign w:val="superscript"/>
          <w:lang w:val="en-GB"/>
        </w:rPr>
        <w:footnoteReference w:id="79"/>
      </w:r>
      <w:r w:rsidR="00601D54" w:rsidRPr="00C235E5">
        <w:rPr>
          <w:rFonts w:ascii="Times New Roman" w:hAnsi="Times New Roman" w:cs="Times New Roman"/>
          <w:sz w:val="24"/>
          <w:szCs w:val="24"/>
          <w:lang w:val="en-GB"/>
        </w:rPr>
        <w:t xml:space="preserve"> </w:t>
      </w:r>
      <w:r w:rsidR="00B619A6" w:rsidRPr="00C235E5">
        <w:rPr>
          <w:rFonts w:ascii="Times New Roman" w:hAnsi="Times New Roman" w:cs="Times New Roman"/>
          <w:sz w:val="24"/>
          <w:szCs w:val="24"/>
          <w:lang w:val="en-GB"/>
        </w:rPr>
        <w:t xml:space="preserve">This is </w:t>
      </w:r>
      <w:r w:rsidR="00031341" w:rsidRPr="00C235E5">
        <w:rPr>
          <w:rFonts w:ascii="Times New Roman" w:hAnsi="Times New Roman" w:cs="Times New Roman"/>
          <w:sz w:val="24"/>
          <w:szCs w:val="24"/>
          <w:lang w:val="en-GB"/>
        </w:rPr>
        <w:t>like</w:t>
      </w:r>
      <w:r w:rsidR="00B619A6" w:rsidRPr="00C235E5">
        <w:rPr>
          <w:rFonts w:ascii="Times New Roman" w:hAnsi="Times New Roman" w:cs="Times New Roman"/>
          <w:sz w:val="24"/>
          <w:szCs w:val="24"/>
          <w:lang w:val="en-GB"/>
        </w:rPr>
        <w:t xml:space="preserve"> Garmin’s recognition of FitBit as continuing operations under the control of Google. It</w:t>
      </w:r>
      <w:r w:rsidR="008F2CDF" w:rsidRPr="00C235E5">
        <w:rPr>
          <w:rFonts w:ascii="Times New Roman" w:hAnsi="Times New Roman" w:cs="Times New Roman"/>
          <w:sz w:val="24"/>
          <w:szCs w:val="24"/>
          <w:lang w:val="en-GB"/>
        </w:rPr>
        <w:t xml:space="preserve"> suggests </w:t>
      </w:r>
      <w:r w:rsidR="00B619A6" w:rsidRPr="00C235E5">
        <w:rPr>
          <w:rFonts w:ascii="Times New Roman" w:hAnsi="Times New Roman" w:cs="Times New Roman"/>
          <w:sz w:val="24"/>
          <w:szCs w:val="24"/>
          <w:lang w:val="en-GB"/>
        </w:rPr>
        <w:t>that, in NCR’s view, the acquisition of Micros by Oracle did not kill the target, but instead widened the competition NCR faced by introducing Oracle into the picture.</w:t>
      </w:r>
    </w:p>
    <w:p w14:paraId="3BE8F985" w14:textId="597195D6" w:rsidR="0032603C" w:rsidRPr="00C235E5" w:rsidRDefault="0032603C" w:rsidP="00BA549D">
      <w:pPr>
        <w:pStyle w:val="Heading3"/>
        <w:rPr>
          <w:rFonts w:ascii="Times New Roman" w:hAnsi="Times New Roman" w:cs="Times New Roman"/>
          <w:lang w:val="en-GB"/>
        </w:rPr>
      </w:pPr>
      <w:r w:rsidRPr="00C235E5">
        <w:rPr>
          <w:rFonts w:ascii="Times New Roman" w:hAnsi="Times New Roman" w:cs="Times New Roman"/>
          <w:lang w:val="en-GB"/>
        </w:rPr>
        <w:t>Neither the Target nor the Acquirer</w:t>
      </w:r>
    </w:p>
    <w:p w14:paraId="1866ADB9" w14:textId="513C6842" w:rsidR="008C4E32" w:rsidRPr="00C235E5" w:rsidRDefault="00BF162D"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I</w:t>
      </w:r>
      <w:r w:rsidR="000905B0" w:rsidRPr="00C235E5">
        <w:rPr>
          <w:rFonts w:ascii="Times New Roman" w:hAnsi="Times New Roman" w:cs="Times New Roman"/>
          <w:sz w:val="24"/>
          <w:szCs w:val="24"/>
          <w:lang w:val="en-GB"/>
        </w:rPr>
        <w:t xml:space="preserve">n </w:t>
      </w:r>
      <w:r w:rsidR="008D7549" w:rsidRPr="00C235E5">
        <w:rPr>
          <w:rFonts w:ascii="Times New Roman" w:hAnsi="Times New Roman" w:cs="Times New Roman"/>
          <w:sz w:val="24"/>
          <w:szCs w:val="24"/>
          <w:lang w:val="en-GB"/>
        </w:rPr>
        <w:t>two</w:t>
      </w:r>
      <w:r w:rsidR="000905B0" w:rsidRPr="00C235E5">
        <w:rPr>
          <w:rFonts w:ascii="Times New Roman" w:hAnsi="Times New Roman" w:cs="Times New Roman"/>
          <w:sz w:val="24"/>
          <w:szCs w:val="24"/>
          <w:lang w:val="en-GB"/>
        </w:rPr>
        <w:t xml:space="preserve"> cases, </w:t>
      </w:r>
      <w:r w:rsidR="003D7A92" w:rsidRPr="00C235E5">
        <w:rPr>
          <w:rFonts w:ascii="Times New Roman" w:hAnsi="Times New Roman" w:cs="Times New Roman"/>
          <w:sz w:val="24"/>
          <w:szCs w:val="24"/>
          <w:lang w:val="en-GB"/>
        </w:rPr>
        <w:t>rivals</w:t>
      </w:r>
      <w:r w:rsidR="000905B0" w:rsidRPr="00C235E5">
        <w:rPr>
          <w:rFonts w:ascii="Times New Roman" w:hAnsi="Times New Roman" w:cs="Times New Roman"/>
          <w:sz w:val="24"/>
          <w:szCs w:val="24"/>
          <w:lang w:val="en-GB"/>
        </w:rPr>
        <w:t xml:space="preserve"> did not perceive the target </w:t>
      </w:r>
      <w:r w:rsidRPr="00C235E5">
        <w:rPr>
          <w:rFonts w:ascii="Times New Roman" w:hAnsi="Times New Roman" w:cs="Times New Roman"/>
          <w:sz w:val="24"/>
          <w:szCs w:val="24"/>
          <w:lang w:val="en-GB"/>
        </w:rPr>
        <w:t xml:space="preserve">or </w:t>
      </w:r>
      <w:r w:rsidR="000905B0" w:rsidRPr="00C235E5">
        <w:rPr>
          <w:rFonts w:ascii="Times New Roman" w:hAnsi="Times New Roman" w:cs="Times New Roman"/>
          <w:sz w:val="24"/>
          <w:szCs w:val="24"/>
          <w:lang w:val="en-GB"/>
        </w:rPr>
        <w:t xml:space="preserve">the acquirer as a </w:t>
      </w:r>
      <w:r w:rsidR="003D7A92" w:rsidRPr="00C235E5">
        <w:rPr>
          <w:rFonts w:ascii="Times New Roman" w:hAnsi="Times New Roman" w:cs="Times New Roman"/>
          <w:sz w:val="24"/>
          <w:szCs w:val="24"/>
          <w:lang w:val="en-GB"/>
        </w:rPr>
        <w:t>competitor</w:t>
      </w:r>
      <w:r w:rsidR="00F81F3B" w:rsidRPr="00C235E5">
        <w:rPr>
          <w:rFonts w:ascii="Times New Roman" w:hAnsi="Times New Roman" w:cs="Times New Roman"/>
          <w:sz w:val="24"/>
          <w:szCs w:val="24"/>
          <w:lang w:val="en-GB"/>
        </w:rPr>
        <w:t xml:space="preserve">. </w:t>
      </w:r>
      <w:r w:rsidR="008D7549" w:rsidRPr="00C235E5">
        <w:rPr>
          <w:rFonts w:ascii="Times New Roman" w:hAnsi="Times New Roman" w:cs="Times New Roman"/>
          <w:sz w:val="24"/>
          <w:szCs w:val="24"/>
          <w:lang w:val="en-GB"/>
        </w:rPr>
        <w:t xml:space="preserve">Both transactions </w:t>
      </w:r>
      <w:r w:rsidRPr="00C235E5">
        <w:rPr>
          <w:rFonts w:ascii="Times New Roman" w:hAnsi="Times New Roman" w:cs="Times New Roman"/>
          <w:sz w:val="24"/>
          <w:szCs w:val="24"/>
          <w:lang w:val="en-GB"/>
        </w:rPr>
        <w:t xml:space="preserve">involve </w:t>
      </w:r>
      <w:r w:rsidR="00001463" w:rsidRPr="00C235E5">
        <w:rPr>
          <w:rFonts w:ascii="Times New Roman" w:hAnsi="Times New Roman" w:cs="Times New Roman"/>
          <w:sz w:val="24"/>
          <w:szCs w:val="24"/>
          <w:lang w:val="en-GB"/>
        </w:rPr>
        <w:t>Apple.</w:t>
      </w:r>
      <w:r w:rsidR="00EB59FD" w:rsidRPr="00C235E5">
        <w:rPr>
          <w:rFonts w:ascii="Times New Roman" w:hAnsi="Times New Roman" w:cs="Times New Roman"/>
          <w:sz w:val="24"/>
          <w:szCs w:val="24"/>
          <w:lang w:val="en-GB"/>
        </w:rPr>
        <w:t xml:space="preserve"> In</w:t>
      </w:r>
      <w:r w:rsidR="00001463" w:rsidRPr="00C235E5">
        <w:rPr>
          <w:rFonts w:ascii="Times New Roman" w:hAnsi="Times New Roman" w:cs="Times New Roman"/>
          <w:sz w:val="24"/>
          <w:szCs w:val="24"/>
          <w:lang w:val="en-GB"/>
        </w:rPr>
        <w:t xml:space="preserve"> </w:t>
      </w:r>
      <w:r w:rsidR="00BD0D50" w:rsidRPr="00073946">
        <w:rPr>
          <w:rFonts w:ascii="Times New Roman" w:hAnsi="Times New Roman" w:cs="Times New Roman"/>
          <w:i/>
          <w:iCs/>
          <w:sz w:val="24"/>
          <w:szCs w:val="24"/>
          <w:lang w:val="en-GB"/>
        </w:rPr>
        <w:t>Apple/Beats</w:t>
      </w:r>
      <w:r w:rsidR="00BD0D50" w:rsidRPr="00C235E5">
        <w:rPr>
          <w:rFonts w:ascii="Times New Roman" w:hAnsi="Times New Roman" w:cs="Times New Roman"/>
          <w:sz w:val="24"/>
          <w:szCs w:val="24"/>
          <w:lang w:val="en-GB"/>
        </w:rPr>
        <w:t xml:space="preserve"> </w:t>
      </w:r>
      <w:r w:rsidR="00EB59FD" w:rsidRPr="00C235E5">
        <w:rPr>
          <w:rFonts w:ascii="Times New Roman" w:hAnsi="Times New Roman" w:cs="Times New Roman"/>
          <w:sz w:val="24"/>
          <w:szCs w:val="24"/>
          <w:lang w:val="en-GB"/>
        </w:rPr>
        <w:t>(</w:t>
      </w:r>
      <w:r w:rsidR="00BD0D50" w:rsidRPr="00C235E5">
        <w:rPr>
          <w:rFonts w:ascii="Times New Roman" w:hAnsi="Times New Roman" w:cs="Times New Roman"/>
          <w:sz w:val="24"/>
          <w:szCs w:val="24"/>
          <w:lang w:val="en-GB"/>
        </w:rPr>
        <w:t>2014</w:t>
      </w:r>
      <w:r w:rsidR="00EB59FD" w:rsidRPr="00C235E5">
        <w:rPr>
          <w:rFonts w:ascii="Times New Roman" w:hAnsi="Times New Roman" w:cs="Times New Roman"/>
          <w:sz w:val="24"/>
          <w:szCs w:val="24"/>
          <w:lang w:val="en-GB"/>
        </w:rPr>
        <w:t>), t</w:t>
      </w:r>
      <w:r w:rsidR="00BD0D50" w:rsidRPr="00C235E5">
        <w:rPr>
          <w:rFonts w:ascii="Times New Roman" w:hAnsi="Times New Roman" w:cs="Times New Roman"/>
          <w:sz w:val="24"/>
          <w:szCs w:val="24"/>
          <w:lang w:val="en-GB"/>
        </w:rPr>
        <w:t xml:space="preserve">he EC identified Sony and JVC as </w:t>
      </w:r>
      <w:r w:rsidR="00EB59FD" w:rsidRPr="00C235E5">
        <w:rPr>
          <w:rFonts w:ascii="Times New Roman" w:hAnsi="Times New Roman" w:cs="Times New Roman"/>
          <w:sz w:val="24"/>
          <w:szCs w:val="24"/>
          <w:lang w:val="en-GB"/>
        </w:rPr>
        <w:t>rivals in the supply of headphones</w:t>
      </w:r>
      <w:r w:rsidR="00BD0D50" w:rsidRPr="00C235E5">
        <w:rPr>
          <w:rFonts w:ascii="Times New Roman" w:hAnsi="Times New Roman" w:cs="Times New Roman"/>
          <w:sz w:val="24"/>
          <w:szCs w:val="24"/>
          <w:lang w:val="en-GB"/>
        </w:rPr>
        <w:t xml:space="preserve">. </w:t>
      </w:r>
      <w:r w:rsidR="00EB59FD" w:rsidRPr="00C235E5">
        <w:rPr>
          <w:rFonts w:ascii="Times New Roman" w:hAnsi="Times New Roman" w:cs="Times New Roman"/>
          <w:sz w:val="24"/>
          <w:szCs w:val="24"/>
          <w:lang w:val="en-GB"/>
        </w:rPr>
        <w:t>N</w:t>
      </w:r>
      <w:r w:rsidR="00BD0D50" w:rsidRPr="00C235E5">
        <w:rPr>
          <w:rFonts w:ascii="Times New Roman" w:hAnsi="Times New Roman" w:cs="Times New Roman"/>
          <w:sz w:val="24"/>
          <w:szCs w:val="24"/>
          <w:lang w:val="en-GB"/>
        </w:rPr>
        <w:t xml:space="preserve">either of them mentioned Apple or Beats as </w:t>
      </w:r>
      <w:r w:rsidR="00EB59FD" w:rsidRPr="00C235E5">
        <w:rPr>
          <w:rFonts w:ascii="Times New Roman" w:hAnsi="Times New Roman" w:cs="Times New Roman"/>
          <w:sz w:val="24"/>
          <w:szCs w:val="24"/>
          <w:lang w:val="en-GB"/>
        </w:rPr>
        <w:t xml:space="preserve">competitors </w:t>
      </w:r>
      <w:r w:rsidR="00BD0D50" w:rsidRPr="00C235E5">
        <w:rPr>
          <w:rFonts w:ascii="Times New Roman" w:hAnsi="Times New Roman" w:cs="Times New Roman"/>
          <w:sz w:val="24"/>
          <w:szCs w:val="24"/>
          <w:lang w:val="en-GB"/>
        </w:rPr>
        <w:t>in their reports.</w:t>
      </w:r>
      <w:r w:rsidR="00C96C01" w:rsidRPr="007D41AF">
        <w:rPr>
          <w:rFonts w:ascii="Times New Roman" w:hAnsi="Times New Roman" w:cs="Times New Roman"/>
          <w:sz w:val="24"/>
          <w:szCs w:val="24"/>
          <w:vertAlign w:val="superscript"/>
          <w:lang w:val="en-GB"/>
        </w:rPr>
        <w:footnoteReference w:id="80"/>
      </w:r>
      <w:r w:rsidR="00BD0D50" w:rsidRPr="00C235E5">
        <w:rPr>
          <w:rFonts w:ascii="Times New Roman" w:hAnsi="Times New Roman" w:cs="Times New Roman"/>
          <w:sz w:val="24"/>
          <w:szCs w:val="24"/>
          <w:lang w:val="en-GB"/>
        </w:rPr>
        <w:t xml:space="preserve"> </w:t>
      </w:r>
      <w:r w:rsidR="00EB59FD" w:rsidRPr="00C235E5">
        <w:rPr>
          <w:rFonts w:ascii="Times New Roman" w:hAnsi="Times New Roman" w:cs="Times New Roman"/>
          <w:sz w:val="24"/>
          <w:szCs w:val="24"/>
          <w:lang w:val="en-GB"/>
        </w:rPr>
        <w:t xml:space="preserve">In </w:t>
      </w:r>
      <w:r w:rsidR="00122B3F" w:rsidRPr="00073946">
        <w:rPr>
          <w:rFonts w:ascii="Times New Roman" w:hAnsi="Times New Roman" w:cs="Times New Roman"/>
          <w:i/>
          <w:iCs/>
          <w:sz w:val="24"/>
          <w:szCs w:val="24"/>
          <w:lang w:val="en-GB"/>
        </w:rPr>
        <w:t>Apple/Shazam</w:t>
      </w:r>
      <w:r w:rsidR="00EB59FD" w:rsidRPr="00C235E5">
        <w:rPr>
          <w:rFonts w:ascii="Times New Roman" w:hAnsi="Times New Roman" w:cs="Times New Roman"/>
          <w:sz w:val="24"/>
          <w:szCs w:val="24"/>
          <w:lang w:val="en-GB"/>
        </w:rPr>
        <w:t xml:space="preserve"> (2018), </w:t>
      </w:r>
      <w:r w:rsidR="00A34817" w:rsidRPr="00C235E5">
        <w:rPr>
          <w:rFonts w:ascii="Times New Roman" w:hAnsi="Times New Roman" w:cs="Times New Roman"/>
          <w:sz w:val="24"/>
          <w:szCs w:val="24"/>
          <w:lang w:val="en-GB"/>
        </w:rPr>
        <w:t xml:space="preserve">the EC </w:t>
      </w:r>
      <w:r w:rsidR="00EB59FD" w:rsidRPr="00C235E5">
        <w:rPr>
          <w:rFonts w:ascii="Times New Roman" w:hAnsi="Times New Roman" w:cs="Times New Roman"/>
          <w:sz w:val="24"/>
          <w:szCs w:val="24"/>
          <w:lang w:val="en-GB"/>
        </w:rPr>
        <w:t xml:space="preserve">identified </w:t>
      </w:r>
      <w:r w:rsidR="00BE5B37" w:rsidRPr="00C235E5">
        <w:rPr>
          <w:rFonts w:ascii="Times New Roman" w:hAnsi="Times New Roman" w:cs="Times New Roman"/>
          <w:sz w:val="24"/>
          <w:szCs w:val="24"/>
          <w:lang w:val="en-GB"/>
        </w:rPr>
        <w:t xml:space="preserve">Musixmatch, SoundHound, and Deezer </w:t>
      </w:r>
      <w:r w:rsidR="00A34817" w:rsidRPr="00C235E5">
        <w:rPr>
          <w:rFonts w:ascii="Times New Roman" w:hAnsi="Times New Roman" w:cs="Times New Roman"/>
          <w:sz w:val="24"/>
          <w:szCs w:val="24"/>
          <w:lang w:val="en-GB"/>
        </w:rPr>
        <w:t xml:space="preserve">as </w:t>
      </w:r>
      <w:r w:rsidR="00EB59FD" w:rsidRPr="00C235E5">
        <w:rPr>
          <w:rFonts w:ascii="Times New Roman" w:hAnsi="Times New Roman" w:cs="Times New Roman"/>
          <w:sz w:val="24"/>
          <w:szCs w:val="24"/>
          <w:lang w:val="en-GB"/>
        </w:rPr>
        <w:t>rivals in music recognition apps</w:t>
      </w:r>
      <w:r w:rsidR="00BE5B37" w:rsidRPr="00C235E5">
        <w:rPr>
          <w:rFonts w:ascii="Times New Roman" w:hAnsi="Times New Roman" w:cs="Times New Roman"/>
          <w:sz w:val="24"/>
          <w:szCs w:val="24"/>
          <w:lang w:val="en-GB"/>
        </w:rPr>
        <w:t xml:space="preserve">. </w:t>
      </w:r>
      <w:r w:rsidR="00EB59FD" w:rsidRPr="00C235E5">
        <w:rPr>
          <w:rFonts w:ascii="Times New Roman" w:hAnsi="Times New Roman" w:cs="Times New Roman"/>
          <w:sz w:val="24"/>
          <w:szCs w:val="24"/>
          <w:lang w:val="en-GB"/>
        </w:rPr>
        <w:t>N</w:t>
      </w:r>
      <w:r w:rsidR="00713B90" w:rsidRPr="00C235E5">
        <w:rPr>
          <w:rFonts w:ascii="Times New Roman" w:hAnsi="Times New Roman" w:cs="Times New Roman"/>
          <w:sz w:val="24"/>
          <w:szCs w:val="24"/>
          <w:lang w:val="en-GB"/>
        </w:rPr>
        <w:t xml:space="preserve">one of these competitors </w:t>
      </w:r>
      <w:r w:rsidR="00EB59FD" w:rsidRPr="00C235E5">
        <w:rPr>
          <w:rFonts w:ascii="Times New Roman" w:hAnsi="Times New Roman" w:cs="Times New Roman"/>
          <w:sz w:val="24"/>
          <w:szCs w:val="24"/>
          <w:lang w:val="en-GB"/>
        </w:rPr>
        <w:t xml:space="preserve">being </w:t>
      </w:r>
      <w:r w:rsidR="008129FF" w:rsidRPr="00C235E5">
        <w:rPr>
          <w:rFonts w:ascii="Times New Roman" w:hAnsi="Times New Roman" w:cs="Times New Roman"/>
          <w:sz w:val="24"/>
          <w:szCs w:val="24"/>
          <w:lang w:val="en-GB"/>
        </w:rPr>
        <w:t>publicly traded</w:t>
      </w:r>
      <w:r w:rsidR="00A34817" w:rsidRPr="00C235E5">
        <w:rPr>
          <w:rFonts w:ascii="Times New Roman" w:hAnsi="Times New Roman" w:cs="Times New Roman"/>
          <w:sz w:val="24"/>
          <w:szCs w:val="24"/>
          <w:lang w:val="en-GB"/>
        </w:rPr>
        <w:t xml:space="preserve"> at the time</w:t>
      </w:r>
      <w:r w:rsidR="00677872" w:rsidRPr="00C235E5">
        <w:rPr>
          <w:rFonts w:ascii="Times New Roman" w:hAnsi="Times New Roman" w:cs="Times New Roman"/>
          <w:sz w:val="24"/>
          <w:szCs w:val="24"/>
          <w:lang w:val="en-GB"/>
        </w:rPr>
        <w:t>, it is impossible to tease out the impact of the merger on competitor perception</w:t>
      </w:r>
      <w:r w:rsidR="00713B90" w:rsidRPr="00C235E5">
        <w:rPr>
          <w:rFonts w:ascii="Times New Roman" w:hAnsi="Times New Roman" w:cs="Times New Roman"/>
          <w:sz w:val="24"/>
          <w:szCs w:val="24"/>
          <w:lang w:val="en-GB"/>
        </w:rPr>
        <w:t>.</w:t>
      </w:r>
      <w:r w:rsidR="00677872" w:rsidRPr="007D41AF">
        <w:rPr>
          <w:rFonts w:ascii="Times New Roman" w:hAnsi="Times New Roman" w:cs="Times New Roman"/>
          <w:sz w:val="24"/>
          <w:szCs w:val="24"/>
          <w:vertAlign w:val="superscript"/>
          <w:lang w:val="en-GB"/>
        </w:rPr>
        <w:footnoteReference w:id="81"/>
      </w:r>
      <w:r w:rsidR="00713B90" w:rsidRPr="007D41AF">
        <w:rPr>
          <w:rFonts w:ascii="Times New Roman" w:hAnsi="Times New Roman" w:cs="Times New Roman"/>
          <w:sz w:val="24"/>
          <w:szCs w:val="24"/>
          <w:vertAlign w:val="superscript"/>
          <w:lang w:val="en-GB"/>
        </w:rPr>
        <w:t xml:space="preserve"> </w:t>
      </w:r>
    </w:p>
    <w:p w14:paraId="7603DE26" w14:textId="0231422F" w:rsidR="00F81F3B" w:rsidRPr="00C235E5" w:rsidRDefault="007B375E" w:rsidP="00BA549D">
      <w:pPr>
        <w:pStyle w:val="Heading3"/>
        <w:rPr>
          <w:rFonts w:ascii="Times New Roman" w:hAnsi="Times New Roman" w:cs="Times New Roman"/>
          <w:lang w:val="en-GB"/>
        </w:rPr>
      </w:pPr>
      <w:r w:rsidRPr="00C235E5">
        <w:rPr>
          <w:rFonts w:ascii="Times New Roman" w:hAnsi="Times New Roman" w:cs="Times New Roman"/>
          <w:lang w:val="en-GB"/>
        </w:rPr>
        <w:lastRenderedPageBreak/>
        <w:t>Others</w:t>
      </w:r>
    </w:p>
    <w:p w14:paraId="5DA61E93" w14:textId="60054182" w:rsidR="00BA2F62" w:rsidRPr="00C235E5" w:rsidRDefault="001E5955"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Three</w:t>
      </w:r>
      <w:r w:rsidR="003F0004" w:rsidRPr="00C235E5">
        <w:rPr>
          <w:rFonts w:ascii="Times New Roman" w:hAnsi="Times New Roman" w:cs="Times New Roman"/>
          <w:sz w:val="24"/>
          <w:szCs w:val="24"/>
          <w:lang w:val="en-GB"/>
        </w:rPr>
        <w:t xml:space="preserve"> transactions displayed peculiarities</w:t>
      </w:r>
      <w:r w:rsidR="00572717" w:rsidRPr="00C235E5">
        <w:rPr>
          <w:rFonts w:ascii="Times New Roman" w:hAnsi="Times New Roman" w:cs="Times New Roman"/>
          <w:sz w:val="24"/>
          <w:szCs w:val="24"/>
          <w:lang w:val="en-GB"/>
        </w:rPr>
        <w:t xml:space="preserve"> </w:t>
      </w:r>
      <w:r w:rsidR="003F0004" w:rsidRPr="00C235E5">
        <w:rPr>
          <w:rFonts w:ascii="Times New Roman" w:hAnsi="Times New Roman" w:cs="Times New Roman"/>
          <w:sz w:val="24"/>
          <w:szCs w:val="24"/>
          <w:lang w:val="en-GB"/>
        </w:rPr>
        <w:t>whic</w:t>
      </w:r>
      <w:r w:rsidR="00303D86" w:rsidRPr="00C235E5">
        <w:rPr>
          <w:rFonts w:ascii="Times New Roman" w:hAnsi="Times New Roman" w:cs="Times New Roman"/>
          <w:sz w:val="24"/>
          <w:szCs w:val="24"/>
          <w:lang w:val="en-GB"/>
        </w:rPr>
        <w:t xml:space="preserve">h </w:t>
      </w:r>
      <w:r w:rsidR="003F0004" w:rsidRPr="00C235E5">
        <w:rPr>
          <w:rFonts w:ascii="Times New Roman" w:hAnsi="Times New Roman" w:cs="Times New Roman"/>
          <w:sz w:val="24"/>
          <w:szCs w:val="24"/>
          <w:lang w:val="en-GB"/>
        </w:rPr>
        <w:t xml:space="preserve">caution against </w:t>
      </w:r>
      <w:r w:rsidR="00677872" w:rsidRPr="00C235E5">
        <w:rPr>
          <w:rFonts w:ascii="Times New Roman" w:hAnsi="Times New Roman" w:cs="Times New Roman"/>
          <w:sz w:val="24"/>
          <w:szCs w:val="24"/>
          <w:lang w:val="en-GB"/>
        </w:rPr>
        <w:t xml:space="preserve">using </w:t>
      </w:r>
      <w:r w:rsidR="003F0004" w:rsidRPr="00C235E5">
        <w:rPr>
          <w:rFonts w:ascii="Times New Roman" w:hAnsi="Times New Roman" w:cs="Times New Roman"/>
          <w:sz w:val="24"/>
          <w:szCs w:val="24"/>
          <w:lang w:val="en-GB"/>
        </w:rPr>
        <w:t>them</w:t>
      </w:r>
      <w:r w:rsidR="00677872" w:rsidRPr="00C235E5">
        <w:rPr>
          <w:rFonts w:ascii="Times New Roman" w:hAnsi="Times New Roman" w:cs="Times New Roman"/>
          <w:sz w:val="24"/>
          <w:szCs w:val="24"/>
          <w:lang w:val="en-GB"/>
        </w:rPr>
        <w:t xml:space="preserve"> for our test</w:t>
      </w:r>
      <w:r w:rsidR="003F0004" w:rsidRPr="00C235E5">
        <w:rPr>
          <w:rFonts w:ascii="Times New Roman" w:hAnsi="Times New Roman" w:cs="Times New Roman"/>
          <w:sz w:val="24"/>
          <w:szCs w:val="24"/>
          <w:lang w:val="en-GB"/>
        </w:rPr>
        <w:t>.</w:t>
      </w:r>
      <w:r w:rsidR="00444325" w:rsidRPr="00C235E5">
        <w:rPr>
          <w:rFonts w:ascii="Times New Roman" w:hAnsi="Times New Roman" w:cs="Times New Roman"/>
          <w:sz w:val="24"/>
          <w:szCs w:val="24"/>
          <w:lang w:val="en-GB"/>
        </w:rPr>
        <w:t xml:space="preserve"> </w:t>
      </w:r>
      <w:r w:rsidR="009D0C78" w:rsidRPr="00073946">
        <w:rPr>
          <w:rFonts w:ascii="Times New Roman" w:hAnsi="Times New Roman" w:cs="Times New Roman"/>
          <w:i/>
          <w:iCs/>
          <w:sz w:val="24"/>
          <w:szCs w:val="24"/>
          <w:lang w:val="en-GB"/>
        </w:rPr>
        <w:t>Facebook/</w:t>
      </w:r>
      <w:r w:rsidR="00EF42BA" w:rsidRPr="00073946">
        <w:rPr>
          <w:rFonts w:ascii="Times New Roman" w:hAnsi="Times New Roman" w:cs="Times New Roman"/>
          <w:i/>
          <w:iCs/>
          <w:sz w:val="24"/>
          <w:szCs w:val="24"/>
          <w:lang w:val="en-GB"/>
        </w:rPr>
        <w:t>WhatsApp</w:t>
      </w:r>
      <w:r w:rsidR="00BA2F62" w:rsidRPr="00C235E5">
        <w:rPr>
          <w:rFonts w:ascii="Times New Roman" w:hAnsi="Times New Roman" w:cs="Times New Roman"/>
          <w:sz w:val="24"/>
          <w:szCs w:val="24"/>
          <w:lang w:val="en-GB"/>
        </w:rPr>
        <w:t xml:space="preserve"> (2014) </w:t>
      </w:r>
      <w:r w:rsidR="0092200C" w:rsidRPr="00C235E5">
        <w:rPr>
          <w:rFonts w:ascii="Times New Roman" w:hAnsi="Times New Roman" w:cs="Times New Roman"/>
          <w:sz w:val="24"/>
          <w:szCs w:val="24"/>
          <w:lang w:val="en-GB"/>
        </w:rPr>
        <w:t>sh</w:t>
      </w:r>
      <w:r w:rsidR="000C126F" w:rsidRPr="00C235E5">
        <w:rPr>
          <w:rFonts w:ascii="Times New Roman" w:hAnsi="Times New Roman" w:cs="Times New Roman"/>
          <w:sz w:val="24"/>
          <w:szCs w:val="24"/>
          <w:lang w:val="en-GB"/>
        </w:rPr>
        <w:t xml:space="preserve">ould </w:t>
      </w:r>
      <w:r w:rsidR="0092200C" w:rsidRPr="00C235E5">
        <w:rPr>
          <w:rFonts w:ascii="Times New Roman" w:hAnsi="Times New Roman" w:cs="Times New Roman"/>
          <w:sz w:val="24"/>
          <w:szCs w:val="24"/>
          <w:lang w:val="en-GB"/>
        </w:rPr>
        <w:t xml:space="preserve">be </w:t>
      </w:r>
      <w:r w:rsidR="000C126F" w:rsidRPr="00C235E5">
        <w:rPr>
          <w:rFonts w:ascii="Times New Roman" w:hAnsi="Times New Roman" w:cs="Times New Roman"/>
          <w:sz w:val="24"/>
          <w:szCs w:val="24"/>
          <w:lang w:val="en-GB"/>
        </w:rPr>
        <w:t>classified under the “Both the Target and the Acquirer” tab.</w:t>
      </w:r>
      <w:r w:rsidR="0092200C" w:rsidRPr="00C235E5">
        <w:rPr>
          <w:rFonts w:ascii="Times New Roman" w:hAnsi="Times New Roman" w:cs="Times New Roman"/>
          <w:sz w:val="24"/>
          <w:szCs w:val="24"/>
          <w:lang w:val="en-GB"/>
        </w:rPr>
        <w:t xml:space="preserve"> </w:t>
      </w:r>
      <w:r w:rsidR="00BA2F62" w:rsidRPr="00C235E5">
        <w:rPr>
          <w:rFonts w:ascii="Times New Roman" w:hAnsi="Times New Roman" w:cs="Times New Roman"/>
          <w:sz w:val="24"/>
          <w:szCs w:val="24"/>
          <w:lang w:val="en-GB"/>
        </w:rPr>
        <w:t xml:space="preserve">But the </w:t>
      </w:r>
      <w:r w:rsidR="00382BE8" w:rsidRPr="00C235E5">
        <w:rPr>
          <w:rFonts w:ascii="Times New Roman" w:hAnsi="Times New Roman" w:cs="Times New Roman"/>
          <w:sz w:val="24"/>
          <w:szCs w:val="24"/>
          <w:lang w:val="en-GB"/>
        </w:rPr>
        <w:t>case</w:t>
      </w:r>
      <w:r w:rsidR="009D0C78" w:rsidRPr="00C235E5">
        <w:rPr>
          <w:rFonts w:ascii="Times New Roman" w:hAnsi="Times New Roman" w:cs="Times New Roman"/>
          <w:sz w:val="24"/>
          <w:szCs w:val="24"/>
          <w:lang w:val="en-GB"/>
        </w:rPr>
        <w:t xml:space="preserve"> </w:t>
      </w:r>
      <w:r w:rsidR="00BA2F62" w:rsidRPr="00C235E5">
        <w:rPr>
          <w:rFonts w:ascii="Times New Roman" w:hAnsi="Times New Roman" w:cs="Times New Roman"/>
          <w:sz w:val="24"/>
          <w:szCs w:val="24"/>
          <w:lang w:val="en-GB"/>
        </w:rPr>
        <w:t xml:space="preserve">is </w:t>
      </w:r>
      <w:r w:rsidR="00A05E8E" w:rsidRPr="00C235E5">
        <w:rPr>
          <w:rFonts w:ascii="Times New Roman" w:hAnsi="Times New Roman" w:cs="Times New Roman"/>
          <w:sz w:val="24"/>
          <w:szCs w:val="24"/>
          <w:lang w:val="en-GB"/>
        </w:rPr>
        <w:t>not informative</w:t>
      </w:r>
      <w:r w:rsidR="00382BE8" w:rsidRPr="00C235E5">
        <w:rPr>
          <w:rFonts w:ascii="Times New Roman" w:hAnsi="Times New Roman" w:cs="Times New Roman"/>
          <w:sz w:val="24"/>
          <w:szCs w:val="24"/>
          <w:lang w:val="en-GB"/>
        </w:rPr>
        <w:t xml:space="preserve"> </w:t>
      </w:r>
      <w:r w:rsidR="00A05E8E" w:rsidRPr="00C235E5">
        <w:rPr>
          <w:rFonts w:ascii="Times New Roman" w:hAnsi="Times New Roman" w:cs="Times New Roman"/>
          <w:sz w:val="24"/>
          <w:szCs w:val="24"/>
          <w:lang w:val="en-GB"/>
        </w:rPr>
        <w:t xml:space="preserve">because most </w:t>
      </w:r>
      <w:r w:rsidR="009D0C78" w:rsidRPr="00C235E5">
        <w:rPr>
          <w:rFonts w:ascii="Times New Roman" w:hAnsi="Times New Roman" w:cs="Times New Roman"/>
          <w:sz w:val="24"/>
          <w:szCs w:val="24"/>
          <w:lang w:val="en-GB"/>
        </w:rPr>
        <w:t>competitors</w:t>
      </w:r>
      <w:r w:rsidR="00A05E8E" w:rsidRPr="00C235E5">
        <w:rPr>
          <w:rFonts w:ascii="Times New Roman" w:hAnsi="Times New Roman" w:cs="Times New Roman"/>
          <w:sz w:val="24"/>
          <w:szCs w:val="24"/>
          <w:lang w:val="en-GB"/>
        </w:rPr>
        <w:t xml:space="preserve"> identified by the EC </w:t>
      </w:r>
      <w:r w:rsidR="00BA2F62" w:rsidRPr="00C235E5">
        <w:rPr>
          <w:rFonts w:ascii="Times New Roman" w:hAnsi="Times New Roman" w:cs="Times New Roman"/>
          <w:sz w:val="24"/>
          <w:szCs w:val="24"/>
          <w:lang w:val="en-GB"/>
        </w:rPr>
        <w:t xml:space="preserve">in consumer communications services market </w:t>
      </w:r>
      <w:r w:rsidR="00A05E8E" w:rsidRPr="00C235E5">
        <w:rPr>
          <w:rFonts w:ascii="Times New Roman" w:hAnsi="Times New Roman" w:cs="Times New Roman"/>
          <w:sz w:val="24"/>
          <w:szCs w:val="24"/>
          <w:lang w:val="en-GB"/>
        </w:rPr>
        <w:t xml:space="preserve">were either </w:t>
      </w:r>
      <w:r w:rsidR="006C7928" w:rsidRPr="00C235E5">
        <w:rPr>
          <w:rFonts w:ascii="Times New Roman" w:hAnsi="Times New Roman" w:cs="Times New Roman"/>
          <w:sz w:val="24"/>
          <w:szCs w:val="24"/>
          <w:lang w:val="en-GB"/>
        </w:rPr>
        <w:t>Asian</w:t>
      </w:r>
      <w:r w:rsidR="00A05E8E" w:rsidRPr="00C235E5">
        <w:rPr>
          <w:rFonts w:ascii="Times New Roman" w:hAnsi="Times New Roman" w:cs="Times New Roman"/>
          <w:sz w:val="24"/>
          <w:szCs w:val="24"/>
          <w:lang w:val="en-GB"/>
        </w:rPr>
        <w:t xml:space="preserve"> firms (</w:t>
      </w:r>
      <w:r w:rsidR="009D0C78" w:rsidRPr="00C235E5">
        <w:rPr>
          <w:rFonts w:ascii="Times New Roman" w:hAnsi="Times New Roman" w:cs="Times New Roman"/>
          <w:sz w:val="24"/>
          <w:szCs w:val="24"/>
          <w:lang w:val="en-GB"/>
        </w:rPr>
        <w:t>WeChat (Tencent), QQ (Tencent)</w:t>
      </w:r>
      <w:r w:rsidR="006C7928" w:rsidRPr="00C235E5">
        <w:rPr>
          <w:rFonts w:ascii="Times New Roman" w:hAnsi="Times New Roman" w:cs="Times New Roman"/>
          <w:sz w:val="24"/>
          <w:szCs w:val="24"/>
          <w:lang w:val="en-GB"/>
        </w:rPr>
        <w:t>, LINE (NHN Japan/LINE Corp.)</w:t>
      </w:r>
      <w:r w:rsidR="00CF29F0" w:rsidRPr="00C235E5">
        <w:rPr>
          <w:rFonts w:ascii="Times New Roman" w:hAnsi="Times New Roman" w:cs="Times New Roman"/>
          <w:sz w:val="24"/>
          <w:szCs w:val="24"/>
          <w:lang w:val="en-GB"/>
        </w:rPr>
        <w:t xml:space="preserve"> or </w:t>
      </w:r>
      <w:r w:rsidR="007933DC" w:rsidRPr="00C235E5">
        <w:rPr>
          <w:rFonts w:ascii="Times New Roman" w:hAnsi="Times New Roman" w:cs="Times New Roman"/>
          <w:sz w:val="24"/>
          <w:szCs w:val="24"/>
          <w:lang w:val="en-GB"/>
        </w:rPr>
        <w:t>non-publicly</w:t>
      </w:r>
      <w:r w:rsidR="00CF29F0" w:rsidRPr="00C235E5">
        <w:rPr>
          <w:rFonts w:ascii="Times New Roman" w:hAnsi="Times New Roman" w:cs="Times New Roman"/>
          <w:sz w:val="24"/>
          <w:szCs w:val="24"/>
          <w:lang w:val="en-GB"/>
        </w:rPr>
        <w:t xml:space="preserve"> traded ones</w:t>
      </w:r>
      <w:r w:rsidR="009D0C78" w:rsidRPr="00C235E5">
        <w:rPr>
          <w:rFonts w:ascii="Times New Roman" w:hAnsi="Times New Roman" w:cs="Times New Roman"/>
          <w:sz w:val="24"/>
          <w:szCs w:val="24"/>
          <w:lang w:val="en-GB"/>
        </w:rPr>
        <w:t xml:space="preserve"> </w:t>
      </w:r>
      <w:r w:rsidR="00CF29F0" w:rsidRPr="00C235E5">
        <w:rPr>
          <w:rFonts w:ascii="Times New Roman" w:hAnsi="Times New Roman" w:cs="Times New Roman"/>
          <w:sz w:val="24"/>
          <w:szCs w:val="24"/>
          <w:lang w:val="en-GB"/>
        </w:rPr>
        <w:t>(</w:t>
      </w:r>
      <w:r w:rsidR="009D0C78" w:rsidRPr="00C235E5">
        <w:rPr>
          <w:rFonts w:ascii="Times New Roman" w:hAnsi="Times New Roman" w:cs="Times New Roman"/>
          <w:sz w:val="24"/>
          <w:szCs w:val="24"/>
          <w:lang w:val="en-GB"/>
        </w:rPr>
        <w:t>Snapchat, Telegram, and Signal</w:t>
      </w:r>
      <w:r w:rsidR="00BA2F62" w:rsidRPr="00C235E5">
        <w:rPr>
          <w:rFonts w:ascii="Times New Roman" w:hAnsi="Times New Roman" w:cs="Times New Roman"/>
          <w:sz w:val="24"/>
          <w:szCs w:val="24"/>
          <w:lang w:val="en-GB"/>
        </w:rPr>
        <w:t>)</w:t>
      </w:r>
      <w:r w:rsidR="009D0C78" w:rsidRPr="00C235E5">
        <w:rPr>
          <w:rFonts w:ascii="Times New Roman" w:hAnsi="Times New Roman" w:cs="Times New Roman"/>
          <w:sz w:val="24"/>
          <w:szCs w:val="24"/>
          <w:lang w:val="en-GB"/>
        </w:rPr>
        <w:t>.</w:t>
      </w:r>
      <w:r w:rsidR="009D0C78" w:rsidRPr="007D41AF">
        <w:rPr>
          <w:rFonts w:ascii="Times New Roman" w:hAnsi="Times New Roman" w:cs="Times New Roman"/>
          <w:sz w:val="24"/>
          <w:szCs w:val="24"/>
          <w:vertAlign w:val="superscript"/>
          <w:lang w:val="en-GB"/>
        </w:rPr>
        <w:footnoteReference w:id="82"/>
      </w:r>
      <w:r w:rsidR="009D0C78" w:rsidRPr="007D41AF">
        <w:rPr>
          <w:rFonts w:ascii="Times New Roman" w:hAnsi="Times New Roman" w:cs="Times New Roman"/>
          <w:sz w:val="24"/>
          <w:szCs w:val="24"/>
          <w:vertAlign w:val="superscript"/>
          <w:lang w:val="en-GB"/>
        </w:rPr>
        <w:t xml:space="preserve"> </w:t>
      </w:r>
      <w:r w:rsidR="00BA2F62" w:rsidRPr="00C235E5">
        <w:rPr>
          <w:rFonts w:ascii="Times New Roman" w:hAnsi="Times New Roman" w:cs="Times New Roman"/>
          <w:sz w:val="24"/>
          <w:szCs w:val="24"/>
          <w:lang w:val="en-GB"/>
        </w:rPr>
        <w:t xml:space="preserve">Snapchat issued its first annual report as late as 2018, and consistently identified both Facebook and </w:t>
      </w:r>
      <w:r w:rsidR="00EF42BA" w:rsidRPr="00C235E5">
        <w:rPr>
          <w:rFonts w:ascii="Times New Roman" w:hAnsi="Times New Roman" w:cs="Times New Roman"/>
          <w:sz w:val="24"/>
          <w:szCs w:val="24"/>
          <w:lang w:val="en-GB"/>
        </w:rPr>
        <w:t>WhatsApp</w:t>
      </w:r>
      <w:r w:rsidR="00BA2F62" w:rsidRPr="00C235E5">
        <w:rPr>
          <w:rFonts w:ascii="Times New Roman" w:hAnsi="Times New Roman" w:cs="Times New Roman"/>
          <w:sz w:val="24"/>
          <w:szCs w:val="24"/>
          <w:lang w:val="en-GB"/>
        </w:rPr>
        <w:t xml:space="preserve"> as competitors since then.</w:t>
      </w:r>
    </w:p>
    <w:p w14:paraId="4804CB36" w14:textId="4C0B0C00" w:rsidR="0026191C" w:rsidRPr="00C235E5" w:rsidRDefault="0026191C" w:rsidP="00792D53">
      <w:pPr>
        <w:spacing w:before="120" w:after="120" w:line="480" w:lineRule="auto"/>
        <w:jc w:val="both"/>
        <w:rPr>
          <w:rFonts w:ascii="Times New Roman" w:hAnsi="Times New Roman" w:cs="Times New Roman"/>
          <w:sz w:val="24"/>
          <w:szCs w:val="24"/>
          <w:lang w:val="en-GB"/>
        </w:rPr>
      </w:pPr>
      <w:r w:rsidRPr="00073946">
        <w:rPr>
          <w:rFonts w:ascii="Times New Roman" w:hAnsi="Times New Roman" w:cs="Times New Roman"/>
          <w:i/>
          <w:iCs/>
          <w:sz w:val="24"/>
          <w:szCs w:val="24"/>
          <w:lang w:val="en-GB"/>
        </w:rPr>
        <w:t>Microsoft/Git</w:t>
      </w:r>
      <w:r w:rsidR="00906142" w:rsidRPr="00073946">
        <w:rPr>
          <w:rFonts w:ascii="Times New Roman" w:hAnsi="Times New Roman" w:cs="Times New Roman"/>
          <w:i/>
          <w:iCs/>
          <w:sz w:val="24"/>
          <w:szCs w:val="24"/>
          <w:lang w:val="en-GB"/>
        </w:rPr>
        <w:t>H</w:t>
      </w:r>
      <w:r w:rsidRPr="00073946">
        <w:rPr>
          <w:rFonts w:ascii="Times New Roman" w:hAnsi="Times New Roman" w:cs="Times New Roman"/>
          <w:i/>
          <w:iCs/>
          <w:sz w:val="24"/>
          <w:szCs w:val="24"/>
          <w:lang w:val="en-GB"/>
        </w:rPr>
        <w:t>ub</w:t>
      </w:r>
      <w:r w:rsidRPr="00C235E5">
        <w:rPr>
          <w:rFonts w:ascii="Times New Roman" w:hAnsi="Times New Roman" w:cs="Times New Roman"/>
          <w:sz w:val="24"/>
          <w:szCs w:val="24"/>
          <w:lang w:val="en-GB"/>
        </w:rPr>
        <w:t xml:space="preserve"> </w:t>
      </w:r>
      <w:r w:rsidR="00870C27" w:rsidRPr="00C235E5">
        <w:rPr>
          <w:rFonts w:ascii="Times New Roman" w:hAnsi="Times New Roman" w:cs="Times New Roman"/>
          <w:sz w:val="24"/>
          <w:szCs w:val="24"/>
          <w:lang w:val="en-GB"/>
        </w:rPr>
        <w:t>(2018) should</w:t>
      </w:r>
      <w:r w:rsidR="002107FB" w:rsidRPr="00C235E5">
        <w:rPr>
          <w:rFonts w:ascii="Times New Roman" w:hAnsi="Times New Roman" w:cs="Times New Roman"/>
          <w:sz w:val="24"/>
          <w:szCs w:val="24"/>
          <w:lang w:val="en-GB"/>
        </w:rPr>
        <w:t xml:space="preserve"> also</w:t>
      </w:r>
      <w:r w:rsidR="00870C27" w:rsidRPr="00C235E5">
        <w:rPr>
          <w:rFonts w:ascii="Times New Roman" w:hAnsi="Times New Roman" w:cs="Times New Roman"/>
          <w:sz w:val="24"/>
          <w:szCs w:val="24"/>
          <w:lang w:val="en-GB"/>
        </w:rPr>
        <w:t xml:space="preserve"> be classified under the “Both the Target and the Acquirer” tab.</w:t>
      </w:r>
      <w:r w:rsidRPr="00AD1CD2">
        <w:rPr>
          <w:rFonts w:ascii="Times New Roman" w:hAnsi="Times New Roman" w:cs="Times New Roman"/>
          <w:sz w:val="24"/>
          <w:szCs w:val="24"/>
          <w:vertAlign w:val="superscript"/>
          <w:lang w:val="en-GB"/>
        </w:rPr>
        <w:footnoteReference w:id="83"/>
      </w:r>
      <w:r w:rsidRPr="00C235E5">
        <w:rPr>
          <w:rFonts w:ascii="Times New Roman" w:hAnsi="Times New Roman" w:cs="Times New Roman"/>
          <w:sz w:val="24"/>
          <w:szCs w:val="24"/>
          <w:lang w:val="en-GB"/>
        </w:rPr>
        <w:t xml:space="preserve"> </w:t>
      </w:r>
      <w:r w:rsidR="00B87A6E" w:rsidRPr="00C235E5">
        <w:rPr>
          <w:rFonts w:ascii="Times New Roman" w:hAnsi="Times New Roman" w:cs="Times New Roman"/>
          <w:sz w:val="24"/>
          <w:szCs w:val="24"/>
          <w:lang w:val="en-GB"/>
        </w:rPr>
        <w:t>B</w:t>
      </w:r>
      <w:r w:rsidR="00AC7968" w:rsidRPr="00C235E5">
        <w:rPr>
          <w:rFonts w:ascii="Times New Roman" w:hAnsi="Times New Roman" w:cs="Times New Roman"/>
          <w:sz w:val="24"/>
          <w:szCs w:val="24"/>
          <w:lang w:val="en-GB"/>
        </w:rPr>
        <w:t xml:space="preserve">oth </w:t>
      </w:r>
      <w:r w:rsidRPr="00C235E5">
        <w:rPr>
          <w:rFonts w:ascii="Times New Roman" w:hAnsi="Times New Roman" w:cs="Times New Roman"/>
          <w:sz w:val="24"/>
          <w:szCs w:val="24"/>
          <w:lang w:val="en-GB"/>
        </w:rPr>
        <w:t>identified competitors</w:t>
      </w:r>
      <w:r w:rsidR="00AC7968" w:rsidRPr="00C235E5">
        <w:rPr>
          <w:rFonts w:ascii="Times New Roman" w:hAnsi="Times New Roman" w:cs="Times New Roman"/>
          <w:sz w:val="24"/>
          <w:szCs w:val="24"/>
          <w:lang w:val="en-GB"/>
        </w:rPr>
        <w:t xml:space="preserve"> </w:t>
      </w:r>
      <w:r w:rsidR="006E604F" w:rsidRPr="00C235E5">
        <w:rPr>
          <w:rFonts w:ascii="Times New Roman" w:hAnsi="Times New Roman" w:cs="Times New Roman"/>
          <w:sz w:val="24"/>
          <w:szCs w:val="24"/>
          <w:lang w:val="en-GB"/>
        </w:rPr>
        <w:t xml:space="preserve">Atlassian and GitLab </w:t>
      </w:r>
      <w:r w:rsidR="00B87A6E" w:rsidRPr="00C235E5">
        <w:rPr>
          <w:rFonts w:ascii="Times New Roman" w:hAnsi="Times New Roman" w:cs="Times New Roman"/>
          <w:sz w:val="24"/>
          <w:szCs w:val="24"/>
          <w:lang w:val="en-GB"/>
        </w:rPr>
        <w:t>recognize</w:t>
      </w:r>
      <w:r w:rsidR="006E604F" w:rsidRPr="00C235E5">
        <w:rPr>
          <w:rFonts w:ascii="Times New Roman" w:hAnsi="Times New Roman" w:cs="Times New Roman"/>
          <w:sz w:val="24"/>
          <w:szCs w:val="24"/>
          <w:lang w:val="en-GB"/>
        </w:rPr>
        <w:t>d</w:t>
      </w:r>
      <w:r w:rsidR="00B87A6E" w:rsidRPr="00C235E5">
        <w:rPr>
          <w:rFonts w:ascii="Times New Roman" w:hAnsi="Times New Roman" w:cs="Times New Roman"/>
          <w:sz w:val="24"/>
          <w:szCs w:val="24"/>
          <w:lang w:val="en-GB"/>
        </w:rPr>
        <w:t xml:space="preserve"> Microsoft and GitHub as strong competitors</w:t>
      </w:r>
      <w:r w:rsidR="006E604F" w:rsidRPr="00C235E5">
        <w:rPr>
          <w:rFonts w:ascii="Times New Roman" w:hAnsi="Times New Roman" w:cs="Times New Roman"/>
          <w:sz w:val="24"/>
          <w:szCs w:val="24"/>
          <w:lang w:val="en-GB"/>
        </w:rPr>
        <w:t xml:space="preserve"> in source code hosting services for control</w:t>
      </w:r>
      <w:r w:rsidR="00B87A6E" w:rsidRPr="00C235E5">
        <w:rPr>
          <w:rFonts w:ascii="Times New Roman" w:hAnsi="Times New Roman" w:cs="Times New Roman"/>
          <w:sz w:val="24"/>
          <w:szCs w:val="24"/>
          <w:lang w:val="en-GB"/>
        </w:rPr>
        <w:t>.</w:t>
      </w:r>
      <w:r w:rsidR="00AC7968" w:rsidRPr="00AD1CD2">
        <w:rPr>
          <w:rFonts w:ascii="Times New Roman" w:hAnsi="Times New Roman" w:cs="Times New Roman"/>
          <w:sz w:val="24"/>
          <w:szCs w:val="24"/>
          <w:vertAlign w:val="superscript"/>
          <w:lang w:val="en-GB"/>
        </w:rPr>
        <w:footnoteReference w:id="84"/>
      </w:r>
      <w:r w:rsidR="00BD7C33" w:rsidRPr="00792D53">
        <w:rPr>
          <w:rFonts w:ascii="Times New Roman" w:hAnsi="Times New Roman" w:cs="Times New Roman"/>
          <w:sz w:val="24"/>
          <w:szCs w:val="24"/>
          <w:lang w:val="en-GB"/>
        </w:rPr>
        <w:t xml:space="preserve"> </w:t>
      </w:r>
      <w:r w:rsidR="00AC7968" w:rsidRPr="00C235E5">
        <w:rPr>
          <w:rFonts w:ascii="Times New Roman" w:hAnsi="Times New Roman" w:cs="Times New Roman"/>
          <w:sz w:val="24"/>
          <w:szCs w:val="24"/>
          <w:lang w:val="en-GB"/>
        </w:rPr>
        <w:t xml:space="preserve">But </w:t>
      </w:r>
      <w:r w:rsidRPr="00C235E5">
        <w:rPr>
          <w:rFonts w:ascii="Times New Roman" w:hAnsi="Times New Roman" w:cs="Times New Roman"/>
          <w:sz w:val="24"/>
          <w:szCs w:val="24"/>
          <w:lang w:val="en-GB"/>
        </w:rPr>
        <w:t xml:space="preserve">both competitors </w:t>
      </w:r>
      <w:r w:rsidR="00AC7968" w:rsidRPr="00C235E5">
        <w:rPr>
          <w:rFonts w:ascii="Times New Roman" w:hAnsi="Times New Roman" w:cs="Times New Roman"/>
          <w:sz w:val="24"/>
          <w:szCs w:val="24"/>
          <w:lang w:val="en-GB"/>
        </w:rPr>
        <w:t xml:space="preserve">only </w:t>
      </w:r>
      <w:r w:rsidRPr="00C235E5">
        <w:rPr>
          <w:rFonts w:ascii="Times New Roman" w:hAnsi="Times New Roman" w:cs="Times New Roman"/>
          <w:sz w:val="24"/>
          <w:szCs w:val="24"/>
          <w:lang w:val="en-GB"/>
        </w:rPr>
        <w:t xml:space="preserve">went public recently. </w:t>
      </w:r>
      <w:r w:rsidR="00B87A6E" w:rsidRPr="00C235E5">
        <w:rPr>
          <w:rFonts w:ascii="Times New Roman" w:hAnsi="Times New Roman" w:cs="Times New Roman"/>
          <w:sz w:val="24"/>
          <w:szCs w:val="24"/>
          <w:lang w:val="en-GB"/>
        </w:rPr>
        <w:t xml:space="preserve">In the presence of this </w:t>
      </w:r>
      <w:r w:rsidR="000B018F" w:rsidRPr="00C235E5">
        <w:rPr>
          <w:rFonts w:ascii="Times New Roman" w:hAnsi="Times New Roman" w:cs="Times New Roman"/>
          <w:sz w:val="24"/>
          <w:szCs w:val="24"/>
          <w:lang w:val="en-GB"/>
        </w:rPr>
        <w:t>limiting factor</w:t>
      </w:r>
      <w:r w:rsidR="00135ABA" w:rsidRPr="00C235E5">
        <w:rPr>
          <w:rFonts w:ascii="Times New Roman" w:hAnsi="Times New Roman" w:cs="Times New Roman"/>
          <w:sz w:val="24"/>
          <w:szCs w:val="24"/>
          <w:lang w:val="en-GB"/>
        </w:rPr>
        <w:t xml:space="preserve">, </w:t>
      </w:r>
      <w:r w:rsidR="00B87A6E" w:rsidRPr="00C235E5">
        <w:rPr>
          <w:rFonts w:ascii="Times New Roman" w:hAnsi="Times New Roman" w:cs="Times New Roman"/>
          <w:sz w:val="24"/>
          <w:szCs w:val="24"/>
          <w:lang w:val="en-GB"/>
        </w:rPr>
        <w:t xml:space="preserve">we decided to exclude the </w:t>
      </w:r>
      <w:r w:rsidR="00A55CFD" w:rsidRPr="00C235E5">
        <w:rPr>
          <w:rFonts w:ascii="Times New Roman" w:hAnsi="Times New Roman" w:cs="Times New Roman"/>
          <w:sz w:val="24"/>
          <w:szCs w:val="24"/>
          <w:lang w:val="en-GB"/>
        </w:rPr>
        <w:t>transaction</w:t>
      </w:r>
      <w:r w:rsidR="006E604F" w:rsidRPr="00C235E5">
        <w:rPr>
          <w:rFonts w:ascii="Times New Roman" w:hAnsi="Times New Roman" w:cs="Times New Roman"/>
          <w:sz w:val="24"/>
          <w:szCs w:val="24"/>
          <w:lang w:val="en-GB"/>
        </w:rPr>
        <w:t>.</w:t>
      </w:r>
    </w:p>
    <w:p w14:paraId="317A668A" w14:textId="6E50F735" w:rsidR="00E90560" w:rsidRPr="0063447E" w:rsidRDefault="00A55CFD" w:rsidP="0063447E">
      <w:pPr>
        <w:spacing w:before="120" w:after="120" w:line="480" w:lineRule="auto"/>
        <w:jc w:val="both"/>
        <w:rPr>
          <w:rFonts w:cs="Times New Roman"/>
          <w:sz w:val="24"/>
          <w:szCs w:val="24"/>
          <w:lang w:val="en-GB"/>
        </w:rPr>
      </w:pPr>
      <w:r w:rsidRPr="00073946">
        <w:rPr>
          <w:rFonts w:ascii="Times New Roman" w:hAnsi="Times New Roman" w:cs="Times New Roman"/>
          <w:i/>
          <w:iCs/>
          <w:sz w:val="24"/>
          <w:szCs w:val="24"/>
          <w:lang w:val="en-GB"/>
        </w:rPr>
        <w:t>Microsoft/</w:t>
      </w:r>
      <w:r w:rsidR="00260174" w:rsidRPr="00073946">
        <w:rPr>
          <w:rFonts w:ascii="Times New Roman" w:hAnsi="Times New Roman" w:cs="Times New Roman"/>
          <w:i/>
          <w:iCs/>
          <w:sz w:val="24"/>
          <w:szCs w:val="24"/>
          <w:lang w:val="en-GB"/>
        </w:rPr>
        <w:t>ZeniMax</w:t>
      </w:r>
      <w:r w:rsidR="00143342" w:rsidRPr="00C235E5">
        <w:rPr>
          <w:rFonts w:ascii="Times New Roman" w:hAnsi="Times New Roman" w:cs="Times New Roman"/>
          <w:sz w:val="24"/>
          <w:szCs w:val="24"/>
          <w:lang w:val="en-GB"/>
        </w:rPr>
        <w:t xml:space="preserve"> </w:t>
      </w:r>
      <w:r w:rsidR="006E604F" w:rsidRPr="00C235E5">
        <w:rPr>
          <w:rFonts w:ascii="Times New Roman" w:hAnsi="Times New Roman" w:cs="Times New Roman"/>
          <w:sz w:val="24"/>
          <w:szCs w:val="24"/>
          <w:lang w:val="en-GB"/>
        </w:rPr>
        <w:t xml:space="preserve">(2021) was only cleared recently. </w:t>
      </w:r>
      <w:r w:rsidR="0039753B" w:rsidRPr="00C235E5">
        <w:rPr>
          <w:rFonts w:ascii="Times New Roman" w:hAnsi="Times New Roman" w:cs="Times New Roman"/>
          <w:sz w:val="24"/>
          <w:szCs w:val="24"/>
          <w:lang w:val="en-GB"/>
        </w:rPr>
        <w:t xml:space="preserve">Because it is </w:t>
      </w:r>
      <w:r w:rsidR="00D8518B" w:rsidRPr="00C235E5">
        <w:rPr>
          <w:rFonts w:ascii="Times New Roman" w:hAnsi="Times New Roman" w:cs="Times New Roman"/>
          <w:sz w:val="24"/>
          <w:szCs w:val="24"/>
          <w:lang w:val="en-GB"/>
        </w:rPr>
        <w:t>rather recent, we were unable to gather sufficient data</w:t>
      </w:r>
      <w:r w:rsidR="006E604F" w:rsidRPr="00C235E5">
        <w:rPr>
          <w:rFonts w:ascii="Times New Roman" w:hAnsi="Times New Roman" w:cs="Times New Roman"/>
          <w:sz w:val="24"/>
          <w:szCs w:val="24"/>
          <w:lang w:val="en-GB"/>
        </w:rPr>
        <w:t xml:space="preserve"> on competitor </w:t>
      </w:r>
      <w:r w:rsidR="002107FB" w:rsidRPr="00C235E5">
        <w:rPr>
          <w:rFonts w:ascii="Times New Roman" w:hAnsi="Times New Roman" w:cs="Times New Roman"/>
          <w:sz w:val="24"/>
          <w:szCs w:val="24"/>
          <w:lang w:val="en-GB"/>
        </w:rPr>
        <w:t>perception</w:t>
      </w:r>
      <w:r w:rsidR="006E604F" w:rsidRPr="00C235E5">
        <w:rPr>
          <w:rFonts w:ascii="Times New Roman" w:hAnsi="Times New Roman" w:cs="Times New Roman"/>
          <w:sz w:val="24"/>
          <w:szCs w:val="24"/>
          <w:lang w:val="en-GB"/>
        </w:rPr>
        <w:t xml:space="preserve"> in </w:t>
      </w:r>
      <w:r w:rsidR="002107FB" w:rsidRPr="00C235E5">
        <w:rPr>
          <w:rFonts w:ascii="Times New Roman" w:hAnsi="Times New Roman" w:cs="Times New Roman"/>
          <w:sz w:val="24"/>
          <w:szCs w:val="24"/>
          <w:lang w:val="en-GB"/>
        </w:rPr>
        <w:t xml:space="preserve">the market for </w:t>
      </w:r>
      <w:r w:rsidR="00C67847" w:rsidRPr="00C235E5">
        <w:rPr>
          <w:rFonts w:ascii="Times New Roman" w:hAnsi="Times New Roman" w:cs="Times New Roman"/>
          <w:sz w:val="24"/>
          <w:szCs w:val="24"/>
          <w:lang w:val="en-GB"/>
        </w:rPr>
        <w:t xml:space="preserve">the </w:t>
      </w:r>
      <w:r w:rsidR="006E604F" w:rsidRPr="00C235E5">
        <w:rPr>
          <w:rFonts w:ascii="Times New Roman" w:hAnsi="Times New Roman" w:cs="Times New Roman"/>
          <w:sz w:val="24"/>
          <w:szCs w:val="24"/>
          <w:lang w:val="en-GB"/>
        </w:rPr>
        <w:t>digital publishing of video games</w:t>
      </w:r>
      <w:r w:rsidR="00D8518B" w:rsidRPr="00C235E5">
        <w:rPr>
          <w:rFonts w:ascii="Times New Roman" w:hAnsi="Times New Roman" w:cs="Times New Roman"/>
          <w:sz w:val="24"/>
          <w:szCs w:val="24"/>
          <w:lang w:val="en-GB"/>
        </w:rPr>
        <w:t>.</w:t>
      </w:r>
      <w:r w:rsidR="001A4F92" w:rsidRPr="00AD1CD2">
        <w:rPr>
          <w:rFonts w:ascii="Times New Roman" w:hAnsi="Times New Roman" w:cs="Times New Roman"/>
          <w:sz w:val="24"/>
          <w:szCs w:val="24"/>
          <w:vertAlign w:val="superscript"/>
          <w:lang w:val="en-GB"/>
        </w:rPr>
        <w:footnoteReference w:id="85"/>
      </w:r>
      <w:r w:rsidR="00D8518B" w:rsidRPr="00AD1CD2">
        <w:rPr>
          <w:rFonts w:ascii="Times New Roman" w:hAnsi="Times New Roman" w:cs="Times New Roman"/>
          <w:sz w:val="24"/>
          <w:szCs w:val="24"/>
          <w:vertAlign w:val="superscript"/>
          <w:lang w:val="en-GB"/>
        </w:rPr>
        <w:t xml:space="preserve"> </w:t>
      </w:r>
      <w:r w:rsidR="00975A79" w:rsidRPr="0063447E">
        <w:rPr>
          <w:rFonts w:ascii="Times New Roman" w:hAnsi="Times New Roman" w:cs="Times New Roman"/>
          <w:sz w:val="24"/>
          <w:szCs w:val="24"/>
          <w:lang w:val="en-GB"/>
        </w:rPr>
        <w:t xml:space="preserve">The results of our post-merger </w:t>
      </w:r>
      <w:r w:rsidR="00C67847" w:rsidRPr="0063447E">
        <w:rPr>
          <w:rFonts w:ascii="Times New Roman" w:hAnsi="Times New Roman" w:cs="Times New Roman"/>
          <w:sz w:val="24"/>
          <w:szCs w:val="24"/>
          <w:lang w:val="en-GB"/>
        </w:rPr>
        <w:t>rival</w:t>
      </w:r>
      <w:r w:rsidR="00975A79" w:rsidRPr="0063447E">
        <w:rPr>
          <w:rFonts w:ascii="Times New Roman" w:hAnsi="Times New Roman" w:cs="Times New Roman"/>
          <w:sz w:val="24"/>
          <w:szCs w:val="24"/>
          <w:lang w:val="en-GB"/>
        </w:rPr>
        <w:t xml:space="preserve"> perception test </w:t>
      </w:r>
      <w:r w:rsidR="00736AB5" w:rsidRPr="0063447E">
        <w:rPr>
          <w:rFonts w:ascii="Times New Roman" w:hAnsi="Times New Roman" w:cs="Times New Roman"/>
          <w:sz w:val="24"/>
          <w:szCs w:val="24"/>
          <w:lang w:val="en-GB"/>
        </w:rPr>
        <w:t xml:space="preserve">are </w:t>
      </w:r>
      <w:r w:rsidR="009D56AF" w:rsidRPr="0063447E">
        <w:rPr>
          <w:rFonts w:ascii="Times New Roman" w:hAnsi="Times New Roman" w:cs="Times New Roman"/>
          <w:sz w:val="24"/>
          <w:szCs w:val="24"/>
          <w:lang w:val="en-GB"/>
        </w:rPr>
        <w:t>useful</w:t>
      </w:r>
      <w:r w:rsidR="00736AB5" w:rsidRPr="0063447E">
        <w:rPr>
          <w:rFonts w:ascii="Times New Roman" w:hAnsi="Times New Roman" w:cs="Times New Roman"/>
          <w:sz w:val="24"/>
          <w:szCs w:val="24"/>
          <w:lang w:val="en-GB"/>
        </w:rPr>
        <w:t xml:space="preserve">. </w:t>
      </w:r>
      <w:r w:rsidR="00314E5B" w:rsidRPr="0063447E">
        <w:rPr>
          <w:rFonts w:ascii="Times New Roman" w:hAnsi="Times New Roman" w:cs="Times New Roman"/>
          <w:sz w:val="24"/>
          <w:szCs w:val="24"/>
          <w:lang w:val="en-GB"/>
        </w:rPr>
        <w:t xml:space="preserve">As Cunningham et al. </w:t>
      </w:r>
      <w:r w:rsidR="00314E5B" w:rsidRPr="0063447E">
        <w:rPr>
          <w:rFonts w:ascii="Times New Roman" w:hAnsi="Times New Roman" w:cs="Times New Roman"/>
          <w:sz w:val="24"/>
          <w:szCs w:val="24"/>
          <w:lang w:val="en-GB"/>
        </w:rPr>
        <w:lastRenderedPageBreak/>
        <w:t xml:space="preserve">show, one component of killer acquisitions is a deliberate termination of the target’s operations post-merger. Our results </w:t>
      </w:r>
      <w:r w:rsidR="0072636A" w:rsidRPr="0063447E">
        <w:rPr>
          <w:rFonts w:ascii="Times New Roman" w:hAnsi="Times New Roman" w:cs="Times New Roman"/>
          <w:sz w:val="24"/>
          <w:szCs w:val="24"/>
          <w:lang w:val="en-GB"/>
        </w:rPr>
        <w:t xml:space="preserve">indicate limited </w:t>
      </w:r>
      <w:r w:rsidR="00E92E9E" w:rsidRPr="0063447E">
        <w:rPr>
          <w:rFonts w:ascii="Times New Roman" w:hAnsi="Times New Roman" w:cs="Times New Roman"/>
          <w:sz w:val="24"/>
          <w:szCs w:val="24"/>
          <w:lang w:val="en-GB"/>
        </w:rPr>
        <w:t>support</w:t>
      </w:r>
      <w:r w:rsidR="00377F75" w:rsidRPr="0063447E">
        <w:rPr>
          <w:rFonts w:ascii="Times New Roman" w:hAnsi="Times New Roman" w:cs="Times New Roman"/>
          <w:sz w:val="24"/>
          <w:szCs w:val="24"/>
          <w:lang w:val="en-GB"/>
        </w:rPr>
        <w:t xml:space="preserve"> </w:t>
      </w:r>
      <w:r w:rsidR="00311BD1" w:rsidRPr="0063447E">
        <w:rPr>
          <w:rFonts w:ascii="Times New Roman" w:hAnsi="Times New Roman" w:cs="Times New Roman"/>
          <w:sz w:val="24"/>
          <w:szCs w:val="24"/>
          <w:lang w:val="en-GB"/>
        </w:rPr>
        <w:t xml:space="preserve">for </w:t>
      </w:r>
      <w:r w:rsidR="0072636A" w:rsidRPr="0063447E">
        <w:rPr>
          <w:rFonts w:ascii="Times New Roman" w:hAnsi="Times New Roman" w:cs="Times New Roman"/>
          <w:sz w:val="24"/>
          <w:szCs w:val="24"/>
          <w:lang w:val="en-GB"/>
        </w:rPr>
        <w:t xml:space="preserve">the idea </w:t>
      </w:r>
      <w:r w:rsidR="00736AB5" w:rsidRPr="0063447E">
        <w:rPr>
          <w:rFonts w:ascii="Times New Roman" w:hAnsi="Times New Roman" w:cs="Times New Roman"/>
          <w:sz w:val="24"/>
          <w:szCs w:val="24"/>
          <w:lang w:val="en-GB"/>
        </w:rPr>
        <w:t xml:space="preserve">that large technology companies </w:t>
      </w:r>
      <w:r w:rsidR="00AD6966" w:rsidRPr="0063447E">
        <w:rPr>
          <w:rFonts w:ascii="Times New Roman" w:hAnsi="Times New Roman" w:cs="Times New Roman"/>
          <w:sz w:val="24"/>
          <w:szCs w:val="24"/>
          <w:lang w:val="en-GB"/>
        </w:rPr>
        <w:t xml:space="preserve">purchase nascent competitors to </w:t>
      </w:r>
      <w:r w:rsidR="00E92E9E" w:rsidRPr="0063447E">
        <w:rPr>
          <w:rFonts w:ascii="Times New Roman" w:hAnsi="Times New Roman" w:cs="Times New Roman"/>
          <w:sz w:val="24"/>
          <w:szCs w:val="24"/>
          <w:lang w:val="en-GB"/>
        </w:rPr>
        <w:t>“</w:t>
      </w:r>
      <w:r w:rsidR="00AD6966" w:rsidRPr="0063447E">
        <w:rPr>
          <w:rFonts w:ascii="Times New Roman" w:hAnsi="Times New Roman" w:cs="Times New Roman"/>
          <w:sz w:val="24"/>
          <w:szCs w:val="24"/>
          <w:lang w:val="en-GB"/>
        </w:rPr>
        <w:t>kill</w:t>
      </w:r>
      <w:r w:rsidR="00E92E9E" w:rsidRPr="0063447E">
        <w:rPr>
          <w:rFonts w:ascii="Times New Roman" w:hAnsi="Times New Roman" w:cs="Times New Roman"/>
          <w:sz w:val="24"/>
          <w:szCs w:val="24"/>
          <w:lang w:val="en-GB"/>
        </w:rPr>
        <w:t>”</w:t>
      </w:r>
      <w:r w:rsidR="00AD6966" w:rsidRPr="0063447E">
        <w:rPr>
          <w:rFonts w:ascii="Times New Roman" w:hAnsi="Times New Roman" w:cs="Times New Roman"/>
          <w:sz w:val="24"/>
          <w:szCs w:val="24"/>
          <w:lang w:val="en-GB"/>
        </w:rPr>
        <w:t xml:space="preserve"> them. </w:t>
      </w:r>
      <w:r w:rsidR="00FE0304" w:rsidRPr="0063447E">
        <w:rPr>
          <w:rFonts w:ascii="Times New Roman" w:hAnsi="Times New Roman" w:cs="Times New Roman"/>
          <w:sz w:val="24"/>
          <w:szCs w:val="24"/>
          <w:lang w:val="en-GB"/>
        </w:rPr>
        <w:t xml:space="preserve">In </w:t>
      </w:r>
      <w:r w:rsidR="003D0BC0" w:rsidRPr="0063447E">
        <w:rPr>
          <w:rFonts w:ascii="Times New Roman" w:hAnsi="Times New Roman" w:cs="Times New Roman"/>
          <w:sz w:val="24"/>
          <w:szCs w:val="24"/>
          <w:lang w:val="en-GB"/>
        </w:rPr>
        <w:t>five</w:t>
      </w:r>
      <w:r w:rsidR="00FE0304" w:rsidRPr="0063447E">
        <w:rPr>
          <w:rFonts w:ascii="Times New Roman" w:hAnsi="Times New Roman" w:cs="Times New Roman"/>
          <w:sz w:val="24"/>
          <w:szCs w:val="24"/>
          <w:lang w:val="en-GB"/>
        </w:rPr>
        <w:t xml:space="preserve"> cases, rivals </w:t>
      </w:r>
      <w:r w:rsidR="00AD6966" w:rsidRPr="0063447E">
        <w:rPr>
          <w:rFonts w:ascii="Times New Roman" w:hAnsi="Times New Roman" w:cs="Times New Roman"/>
          <w:sz w:val="24"/>
          <w:szCs w:val="24"/>
          <w:lang w:val="en-GB"/>
        </w:rPr>
        <w:t xml:space="preserve">in the </w:t>
      </w:r>
      <w:r w:rsidR="00FE0304" w:rsidRPr="0063447E">
        <w:rPr>
          <w:rFonts w:ascii="Times New Roman" w:hAnsi="Times New Roman" w:cs="Times New Roman"/>
          <w:sz w:val="24"/>
          <w:szCs w:val="24"/>
          <w:lang w:val="en-GB"/>
        </w:rPr>
        <w:t xml:space="preserve">relevant market where an acquisition </w:t>
      </w:r>
      <w:r w:rsidR="00B164EB" w:rsidRPr="0063447E">
        <w:rPr>
          <w:rFonts w:ascii="Times New Roman" w:hAnsi="Times New Roman" w:cs="Times New Roman"/>
          <w:sz w:val="24"/>
          <w:szCs w:val="24"/>
          <w:lang w:val="en-GB"/>
        </w:rPr>
        <w:t xml:space="preserve">took </w:t>
      </w:r>
      <w:r w:rsidR="00FE0304" w:rsidRPr="0063447E">
        <w:rPr>
          <w:rFonts w:ascii="Times New Roman" w:hAnsi="Times New Roman" w:cs="Times New Roman"/>
          <w:sz w:val="24"/>
          <w:szCs w:val="24"/>
          <w:lang w:val="en-GB"/>
        </w:rPr>
        <w:t xml:space="preserve">place </w:t>
      </w:r>
      <w:r w:rsidR="00B164EB" w:rsidRPr="0063447E">
        <w:rPr>
          <w:rFonts w:ascii="Times New Roman" w:hAnsi="Times New Roman" w:cs="Times New Roman"/>
          <w:sz w:val="24"/>
          <w:szCs w:val="24"/>
          <w:lang w:val="en-GB"/>
        </w:rPr>
        <w:t xml:space="preserve">have </w:t>
      </w:r>
      <w:r w:rsidR="00AD6966" w:rsidRPr="0063447E">
        <w:rPr>
          <w:rFonts w:ascii="Times New Roman" w:hAnsi="Times New Roman" w:cs="Times New Roman"/>
          <w:sz w:val="24"/>
          <w:szCs w:val="24"/>
          <w:lang w:val="en-GB"/>
        </w:rPr>
        <w:t>continue</w:t>
      </w:r>
      <w:r w:rsidR="00FE0304" w:rsidRPr="0063447E">
        <w:rPr>
          <w:rFonts w:ascii="Times New Roman" w:hAnsi="Times New Roman" w:cs="Times New Roman"/>
          <w:sz w:val="24"/>
          <w:szCs w:val="24"/>
          <w:lang w:val="en-GB"/>
        </w:rPr>
        <w:t>d to view</w:t>
      </w:r>
      <w:r w:rsidR="00AD6966" w:rsidRPr="0063447E">
        <w:rPr>
          <w:rFonts w:ascii="Times New Roman" w:hAnsi="Times New Roman" w:cs="Times New Roman"/>
          <w:sz w:val="24"/>
          <w:szCs w:val="24"/>
          <w:lang w:val="en-GB"/>
        </w:rPr>
        <w:t xml:space="preserve"> </w:t>
      </w:r>
      <w:r w:rsidR="00D8050B" w:rsidRPr="0063447E">
        <w:rPr>
          <w:rFonts w:ascii="Times New Roman" w:hAnsi="Times New Roman" w:cs="Times New Roman"/>
          <w:sz w:val="24"/>
          <w:szCs w:val="24"/>
          <w:lang w:val="en-GB"/>
        </w:rPr>
        <w:t xml:space="preserve">the target as a viable </w:t>
      </w:r>
      <w:r w:rsidR="00FE0304" w:rsidRPr="0063447E">
        <w:rPr>
          <w:rFonts w:ascii="Times New Roman" w:hAnsi="Times New Roman" w:cs="Times New Roman"/>
          <w:sz w:val="24"/>
          <w:szCs w:val="24"/>
          <w:lang w:val="en-GB"/>
        </w:rPr>
        <w:t>competitor</w:t>
      </w:r>
      <w:r w:rsidR="00143477" w:rsidRPr="0063447E">
        <w:rPr>
          <w:rFonts w:ascii="Times New Roman" w:hAnsi="Times New Roman" w:cs="Times New Roman"/>
          <w:sz w:val="24"/>
          <w:szCs w:val="24"/>
          <w:lang w:val="en-GB"/>
        </w:rPr>
        <w:t xml:space="preserve">. </w:t>
      </w:r>
      <w:r w:rsidR="00A43EDB" w:rsidRPr="0063447E">
        <w:rPr>
          <w:rFonts w:ascii="Times New Roman" w:hAnsi="Times New Roman" w:cs="Times New Roman"/>
          <w:sz w:val="24"/>
          <w:szCs w:val="24"/>
          <w:lang w:val="en-GB"/>
        </w:rPr>
        <w:t>I</w:t>
      </w:r>
      <w:r w:rsidR="00E92E9E" w:rsidRPr="0063447E">
        <w:rPr>
          <w:rFonts w:ascii="Times New Roman" w:hAnsi="Times New Roman" w:cs="Times New Roman"/>
          <w:sz w:val="24"/>
          <w:szCs w:val="24"/>
          <w:lang w:val="en-GB"/>
        </w:rPr>
        <w:t>n</w:t>
      </w:r>
      <w:r w:rsidR="00143477" w:rsidRPr="0063447E">
        <w:rPr>
          <w:rFonts w:ascii="Times New Roman" w:hAnsi="Times New Roman" w:cs="Times New Roman"/>
          <w:sz w:val="24"/>
          <w:szCs w:val="24"/>
          <w:lang w:val="en-GB"/>
        </w:rPr>
        <w:t xml:space="preserve"> </w:t>
      </w:r>
      <w:r w:rsidR="00CE3B1A" w:rsidRPr="0063447E">
        <w:rPr>
          <w:rFonts w:ascii="Times New Roman" w:hAnsi="Times New Roman" w:cs="Times New Roman"/>
          <w:sz w:val="24"/>
          <w:szCs w:val="24"/>
          <w:lang w:val="en-GB"/>
        </w:rPr>
        <w:t xml:space="preserve">more </w:t>
      </w:r>
      <w:r w:rsidR="00143477" w:rsidRPr="0063447E">
        <w:rPr>
          <w:rFonts w:ascii="Times New Roman" w:hAnsi="Times New Roman" w:cs="Times New Roman"/>
          <w:sz w:val="24"/>
          <w:szCs w:val="24"/>
          <w:lang w:val="en-GB"/>
        </w:rPr>
        <w:t>cases</w:t>
      </w:r>
      <w:r w:rsidR="00CE3B1A" w:rsidRPr="0063447E">
        <w:rPr>
          <w:rFonts w:ascii="Times New Roman" w:hAnsi="Times New Roman" w:cs="Times New Roman"/>
          <w:sz w:val="24"/>
          <w:szCs w:val="24"/>
          <w:lang w:val="en-GB"/>
        </w:rPr>
        <w:t xml:space="preserve"> than few</w:t>
      </w:r>
      <w:r w:rsidR="00143477" w:rsidRPr="0063447E">
        <w:rPr>
          <w:rFonts w:ascii="Times New Roman" w:hAnsi="Times New Roman" w:cs="Times New Roman"/>
          <w:sz w:val="24"/>
          <w:szCs w:val="24"/>
          <w:lang w:val="en-GB"/>
        </w:rPr>
        <w:t xml:space="preserve">, the transaction </w:t>
      </w:r>
      <w:r w:rsidR="00B164EB" w:rsidRPr="0063447E">
        <w:rPr>
          <w:rFonts w:ascii="Times New Roman" w:hAnsi="Times New Roman" w:cs="Times New Roman"/>
          <w:sz w:val="24"/>
          <w:szCs w:val="24"/>
          <w:lang w:val="en-GB"/>
        </w:rPr>
        <w:t xml:space="preserve">was </w:t>
      </w:r>
      <w:r w:rsidR="00FE0304" w:rsidRPr="0063447E">
        <w:rPr>
          <w:rFonts w:ascii="Times New Roman" w:hAnsi="Times New Roman" w:cs="Times New Roman"/>
          <w:sz w:val="24"/>
          <w:szCs w:val="24"/>
          <w:lang w:val="en-GB"/>
        </w:rPr>
        <w:t xml:space="preserve">perceived to </w:t>
      </w:r>
      <w:r w:rsidR="00143477" w:rsidRPr="0063447E">
        <w:rPr>
          <w:rFonts w:ascii="Times New Roman" w:hAnsi="Times New Roman" w:cs="Times New Roman"/>
          <w:sz w:val="24"/>
          <w:szCs w:val="24"/>
          <w:lang w:val="en-GB"/>
        </w:rPr>
        <w:t xml:space="preserve">have </w:t>
      </w:r>
      <w:r w:rsidR="00FE0304" w:rsidRPr="0063447E">
        <w:rPr>
          <w:rFonts w:ascii="Times New Roman" w:hAnsi="Times New Roman" w:cs="Times New Roman"/>
          <w:sz w:val="24"/>
          <w:szCs w:val="24"/>
          <w:lang w:val="en-GB"/>
        </w:rPr>
        <w:t>enhanced</w:t>
      </w:r>
      <w:r w:rsidR="00143477" w:rsidRPr="0063447E">
        <w:rPr>
          <w:rFonts w:ascii="Times New Roman" w:hAnsi="Times New Roman" w:cs="Times New Roman"/>
          <w:sz w:val="24"/>
          <w:szCs w:val="24"/>
          <w:lang w:val="en-GB"/>
        </w:rPr>
        <w:t xml:space="preserve">, not </w:t>
      </w:r>
      <w:r w:rsidR="00FE0304" w:rsidRPr="0063447E">
        <w:rPr>
          <w:rFonts w:ascii="Times New Roman" w:hAnsi="Times New Roman" w:cs="Times New Roman"/>
          <w:sz w:val="24"/>
          <w:szCs w:val="24"/>
          <w:lang w:val="en-GB"/>
        </w:rPr>
        <w:t>limited</w:t>
      </w:r>
      <w:r w:rsidR="00143477" w:rsidRPr="0063447E">
        <w:rPr>
          <w:rFonts w:ascii="Times New Roman" w:hAnsi="Times New Roman" w:cs="Times New Roman"/>
          <w:sz w:val="24"/>
          <w:szCs w:val="24"/>
          <w:lang w:val="en-GB"/>
        </w:rPr>
        <w:t xml:space="preserve">, competition. </w:t>
      </w:r>
      <w:r w:rsidR="00FE0304" w:rsidRPr="0063447E">
        <w:rPr>
          <w:rFonts w:ascii="Times New Roman" w:hAnsi="Times New Roman" w:cs="Times New Roman"/>
          <w:sz w:val="24"/>
          <w:szCs w:val="24"/>
          <w:lang w:val="en-GB"/>
        </w:rPr>
        <w:t xml:space="preserve">In cases like </w:t>
      </w:r>
      <w:r w:rsidR="00143477" w:rsidRPr="0063447E">
        <w:rPr>
          <w:rFonts w:ascii="Times New Roman" w:hAnsi="Times New Roman" w:cs="Times New Roman"/>
          <w:i/>
          <w:iCs/>
          <w:sz w:val="24"/>
          <w:szCs w:val="24"/>
          <w:lang w:val="en-GB"/>
        </w:rPr>
        <w:t>Oracle/Micros</w:t>
      </w:r>
      <w:r w:rsidR="00143477" w:rsidRPr="0063447E">
        <w:rPr>
          <w:rFonts w:ascii="Times New Roman" w:hAnsi="Times New Roman" w:cs="Times New Roman"/>
          <w:sz w:val="24"/>
          <w:szCs w:val="24"/>
          <w:lang w:val="en-GB"/>
        </w:rPr>
        <w:t xml:space="preserve">, </w:t>
      </w:r>
      <w:r w:rsidR="00517FE5" w:rsidRPr="0063447E">
        <w:rPr>
          <w:rFonts w:ascii="Times New Roman" w:hAnsi="Times New Roman" w:cs="Times New Roman"/>
          <w:i/>
          <w:iCs/>
          <w:sz w:val="24"/>
          <w:szCs w:val="24"/>
          <w:lang w:val="en-GB"/>
        </w:rPr>
        <w:t>Activision/King</w:t>
      </w:r>
      <w:r w:rsidR="00517FE5" w:rsidRPr="0063447E">
        <w:rPr>
          <w:rFonts w:ascii="Times New Roman" w:hAnsi="Times New Roman" w:cs="Times New Roman"/>
          <w:sz w:val="24"/>
          <w:szCs w:val="24"/>
          <w:lang w:val="en-GB"/>
        </w:rPr>
        <w:t xml:space="preserve">, and </w:t>
      </w:r>
      <w:r w:rsidR="00517FE5" w:rsidRPr="0063447E">
        <w:rPr>
          <w:rFonts w:ascii="Times New Roman" w:hAnsi="Times New Roman" w:cs="Times New Roman"/>
          <w:i/>
          <w:iCs/>
          <w:sz w:val="24"/>
          <w:szCs w:val="24"/>
          <w:lang w:val="en-GB"/>
        </w:rPr>
        <w:t>Google/FitBit</w:t>
      </w:r>
      <w:r w:rsidR="00A43EDB" w:rsidRPr="0063447E">
        <w:rPr>
          <w:rFonts w:ascii="Times New Roman" w:hAnsi="Times New Roman" w:cs="Times New Roman"/>
          <w:sz w:val="24"/>
          <w:szCs w:val="24"/>
          <w:lang w:val="en-GB"/>
        </w:rPr>
        <w:t>,</w:t>
      </w:r>
      <w:r w:rsidR="00517FE5" w:rsidRPr="0063447E">
        <w:rPr>
          <w:rFonts w:ascii="Times New Roman" w:hAnsi="Times New Roman" w:cs="Times New Roman"/>
          <w:sz w:val="24"/>
          <w:szCs w:val="24"/>
          <w:lang w:val="en-GB"/>
        </w:rPr>
        <w:t xml:space="preserve"> </w:t>
      </w:r>
      <w:r w:rsidR="00FE0304" w:rsidRPr="0063447E">
        <w:rPr>
          <w:rFonts w:ascii="Times New Roman" w:hAnsi="Times New Roman" w:cs="Times New Roman"/>
          <w:sz w:val="24"/>
          <w:szCs w:val="24"/>
          <w:lang w:val="en-GB"/>
        </w:rPr>
        <w:t xml:space="preserve">rivals reported a </w:t>
      </w:r>
      <w:r w:rsidR="005725A8" w:rsidRPr="0063447E">
        <w:rPr>
          <w:rFonts w:ascii="Times New Roman" w:hAnsi="Times New Roman" w:cs="Times New Roman"/>
          <w:sz w:val="24"/>
          <w:szCs w:val="24"/>
          <w:lang w:val="en-GB"/>
        </w:rPr>
        <w:t>post-merger</w:t>
      </w:r>
      <w:r w:rsidR="00FE0304" w:rsidRPr="0063447E">
        <w:rPr>
          <w:rFonts w:ascii="Times New Roman" w:hAnsi="Times New Roman" w:cs="Times New Roman"/>
          <w:sz w:val="24"/>
          <w:szCs w:val="24"/>
          <w:lang w:val="en-GB"/>
        </w:rPr>
        <w:t xml:space="preserve"> </w:t>
      </w:r>
      <w:r w:rsidR="00517FE5" w:rsidRPr="0063447E">
        <w:rPr>
          <w:rFonts w:ascii="Times New Roman" w:hAnsi="Times New Roman" w:cs="Times New Roman"/>
          <w:sz w:val="24"/>
          <w:szCs w:val="24"/>
          <w:lang w:val="en-GB"/>
        </w:rPr>
        <w:t>strengthen</w:t>
      </w:r>
      <w:r w:rsidR="00FE0304" w:rsidRPr="0063447E">
        <w:rPr>
          <w:rFonts w:ascii="Times New Roman" w:hAnsi="Times New Roman" w:cs="Times New Roman"/>
          <w:sz w:val="24"/>
          <w:szCs w:val="24"/>
          <w:lang w:val="en-GB"/>
        </w:rPr>
        <w:t>ing of</w:t>
      </w:r>
      <w:r w:rsidR="00517FE5" w:rsidRPr="0063447E">
        <w:rPr>
          <w:rFonts w:ascii="Times New Roman" w:hAnsi="Times New Roman" w:cs="Times New Roman"/>
          <w:sz w:val="24"/>
          <w:szCs w:val="24"/>
          <w:lang w:val="en-GB"/>
        </w:rPr>
        <w:t xml:space="preserve"> </w:t>
      </w:r>
      <w:r w:rsidR="00FE0304" w:rsidRPr="0063447E">
        <w:rPr>
          <w:rFonts w:ascii="Times New Roman" w:hAnsi="Times New Roman" w:cs="Times New Roman"/>
          <w:sz w:val="24"/>
          <w:szCs w:val="24"/>
          <w:lang w:val="en-GB"/>
        </w:rPr>
        <w:t>competition from</w:t>
      </w:r>
      <w:r w:rsidR="00517FE5" w:rsidRPr="0063447E">
        <w:rPr>
          <w:rFonts w:ascii="Times New Roman" w:hAnsi="Times New Roman" w:cs="Times New Roman"/>
          <w:sz w:val="24"/>
          <w:szCs w:val="24"/>
          <w:lang w:val="en-GB"/>
        </w:rPr>
        <w:t xml:space="preserve"> t</w:t>
      </w:r>
      <w:r w:rsidR="000C2340" w:rsidRPr="0063447E">
        <w:rPr>
          <w:rFonts w:ascii="Times New Roman" w:hAnsi="Times New Roman" w:cs="Times New Roman"/>
          <w:sz w:val="24"/>
          <w:szCs w:val="24"/>
          <w:lang w:val="en-GB"/>
        </w:rPr>
        <w:t>arget</w:t>
      </w:r>
      <w:r w:rsidR="00F5433E" w:rsidRPr="0063447E">
        <w:rPr>
          <w:rFonts w:ascii="Times New Roman" w:hAnsi="Times New Roman" w:cs="Times New Roman"/>
          <w:sz w:val="24"/>
          <w:szCs w:val="24"/>
          <w:lang w:val="en-GB"/>
        </w:rPr>
        <w:t>s</w:t>
      </w:r>
      <w:r w:rsidR="000C2340" w:rsidRPr="0063447E">
        <w:rPr>
          <w:rFonts w:ascii="Times New Roman" w:hAnsi="Times New Roman" w:cs="Times New Roman"/>
          <w:sz w:val="24"/>
          <w:szCs w:val="24"/>
          <w:lang w:val="en-GB"/>
        </w:rPr>
        <w:t xml:space="preserve">. </w:t>
      </w:r>
      <w:r w:rsidR="009D65EF" w:rsidRPr="0063447E">
        <w:rPr>
          <w:rFonts w:ascii="Times New Roman" w:hAnsi="Times New Roman" w:cs="Times New Roman"/>
          <w:sz w:val="24"/>
          <w:szCs w:val="24"/>
          <w:lang w:val="en-GB"/>
        </w:rPr>
        <w:t>W</w:t>
      </w:r>
      <w:r w:rsidR="000C2340" w:rsidRPr="0063447E">
        <w:rPr>
          <w:rFonts w:ascii="Times New Roman" w:hAnsi="Times New Roman" w:cs="Times New Roman"/>
          <w:sz w:val="24"/>
          <w:szCs w:val="24"/>
          <w:lang w:val="en-GB"/>
        </w:rPr>
        <w:t xml:space="preserve">e would have reason to suspect </w:t>
      </w:r>
      <w:r w:rsidR="00F5433E" w:rsidRPr="0063447E">
        <w:rPr>
          <w:rFonts w:ascii="Times New Roman" w:hAnsi="Times New Roman" w:cs="Times New Roman"/>
          <w:sz w:val="24"/>
          <w:szCs w:val="24"/>
          <w:lang w:val="en-GB"/>
        </w:rPr>
        <w:t xml:space="preserve">a killer acquisition </w:t>
      </w:r>
      <w:r w:rsidR="000C2340" w:rsidRPr="0063447E">
        <w:rPr>
          <w:rFonts w:ascii="Times New Roman" w:hAnsi="Times New Roman" w:cs="Times New Roman"/>
          <w:sz w:val="24"/>
          <w:szCs w:val="24"/>
          <w:lang w:val="en-GB"/>
        </w:rPr>
        <w:t xml:space="preserve">if </w:t>
      </w:r>
      <w:r w:rsidR="00F5433E" w:rsidRPr="0063447E">
        <w:rPr>
          <w:rFonts w:ascii="Times New Roman" w:hAnsi="Times New Roman" w:cs="Times New Roman"/>
          <w:sz w:val="24"/>
          <w:szCs w:val="24"/>
          <w:lang w:val="en-GB"/>
        </w:rPr>
        <w:t xml:space="preserve">rivals that </w:t>
      </w:r>
      <w:r w:rsidR="007201AB" w:rsidRPr="0063447E">
        <w:rPr>
          <w:rFonts w:ascii="Times New Roman" w:hAnsi="Times New Roman" w:cs="Times New Roman"/>
          <w:sz w:val="24"/>
          <w:szCs w:val="24"/>
          <w:lang w:val="en-GB"/>
        </w:rPr>
        <w:t xml:space="preserve">viewed the target as a rival, </w:t>
      </w:r>
      <w:r w:rsidR="00F5433E" w:rsidRPr="0063447E">
        <w:rPr>
          <w:rFonts w:ascii="Times New Roman" w:hAnsi="Times New Roman" w:cs="Times New Roman"/>
          <w:sz w:val="24"/>
          <w:szCs w:val="24"/>
          <w:lang w:val="en-GB"/>
        </w:rPr>
        <w:t>ceased to do so following the transaction</w:t>
      </w:r>
      <w:r w:rsidR="007201AB" w:rsidRPr="0063447E">
        <w:rPr>
          <w:rFonts w:ascii="Times New Roman" w:hAnsi="Times New Roman" w:cs="Times New Roman"/>
          <w:sz w:val="24"/>
          <w:szCs w:val="24"/>
          <w:lang w:val="en-GB"/>
        </w:rPr>
        <w:t>. We did not</w:t>
      </w:r>
      <w:r w:rsidR="006B1A71" w:rsidRPr="0063447E">
        <w:rPr>
          <w:rFonts w:ascii="Times New Roman" w:hAnsi="Times New Roman" w:cs="Times New Roman"/>
          <w:sz w:val="24"/>
          <w:szCs w:val="24"/>
          <w:lang w:val="en-GB"/>
        </w:rPr>
        <w:t xml:space="preserve"> </w:t>
      </w:r>
      <w:r w:rsidR="00F5433E" w:rsidRPr="0063447E">
        <w:rPr>
          <w:rFonts w:ascii="Times New Roman" w:hAnsi="Times New Roman" w:cs="Times New Roman"/>
          <w:sz w:val="24"/>
          <w:szCs w:val="24"/>
          <w:lang w:val="en-GB"/>
        </w:rPr>
        <w:t>observe this</w:t>
      </w:r>
      <w:r w:rsidR="009E02C3" w:rsidRPr="0063447E">
        <w:rPr>
          <w:rFonts w:ascii="Times New Roman" w:hAnsi="Times New Roman" w:cs="Times New Roman"/>
          <w:sz w:val="24"/>
          <w:szCs w:val="24"/>
          <w:lang w:val="en-GB"/>
        </w:rPr>
        <w:t xml:space="preserve"> in our dataset</w:t>
      </w:r>
      <w:r w:rsidR="007201AB" w:rsidRPr="0063447E">
        <w:rPr>
          <w:rFonts w:ascii="Times New Roman" w:hAnsi="Times New Roman" w:cs="Times New Roman"/>
          <w:sz w:val="24"/>
          <w:szCs w:val="24"/>
          <w:lang w:val="en-GB"/>
        </w:rPr>
        <w:t>.</w:t>
      </w:r>
    </w:p>
    <w:p w14:paraId="61240F05" w14:textId="1ECE4193" w:rsidR="00700390" w:rsidRPr="00C235E5" w:rsidRDefault="00D812CD" w:rsidP="00E90560">
      <w:pPr>
        <w:pStyle w:val="Heading2"/>
        <w:numPr>
          <w:ilvl w:val="0"/>
          <w:numId w:val="21"/>
        </w:numPr>
        <w:rPr>
          <w:rFonts w:cs="Times New Roman"/>
          <w:sz w:val="24"/>
          <w:szCs w:val="24"/>
        </w:rPr>
      </w:pPr>
      <w:r w:rsidRPr="00C235E5">
        <w:rPr>
          <w:rFonts w:cs="Times New Roman"/>
          <w:sz w:val="24"/>
          <w:szCs w:val="24"/>
        </w:rPr>
        <w:t>Post-</w:t>
      </w:r>
      <w:r w:rsidR="00E03AA6" w:rsidRPr="00C235E5">
        <w:rPr>
          <w:rFonts w:cs="Times New Roman"/>
          <w:sz w:val="24"/>
          <w:szCs w:val="24"/>
        </w:rPr>
        <w:t>M</w:t>
      </w:r>
      <w:r w:rsidRPr="00C235E5">
        <w:rPr>
          <w:rFonts w:cs="Times New Roman"/>
          <w:sz w:val="24"/>
          <w:szCs w:val="24"/>
        </w:rPr>
        <w:t>erger</w:t>
      </w:r>
      <w:r w:rsidR="005366D5" w:rsidRPr="00C235E5">
        <w:rPr>
          <w:rFonts w:cs="Times New Roman"/>
          <w:sz w:val="24"/>
          <w:szCs w:val="24"/>
        </w:rPr>
        <w:t xml:space="preserve"> Rival</w:t>
      </w:r>
      <w:r w:rsidRPr="00C235E5">
        <w:rPr>
          <w:rFonts w:cs="Times New Roman"/>
          <w:sz w:val="24"/>
          <w:szCs w:val="24"/>
        </w:rPr>
        <w:t xml:space="preserve"> </w:t>
      </w:r>
      <w:r w:rsidR="005366D5" w:rsidRPr="00C235E5">
        <w:rPr>
          <w:rFonts w:cs="Times New Roman"/>
          <w:sz w:val="24"/>
          <w:szCs w:val="24"/>
        </w:rPr>
        <w:t>Sales</w:t>
      </w:r>
    </w:p>
    <w:p w14:paraId="4F0C49BE" w14:textId="10A5C2C8" w:rsidR="00404A00" w:rsidRPr="00C235E5" w:rsidRDefault="00B30965" w:rsidP="00EC1705">
      <w:pPr>
        <w:pStyle w:val="Heading3"/>
        <w:rPr>
          <w:rFonts w:ascii="Times New Roman" w:hAnsi="Times New Roman" w:cs="Times New Roman"/>
        </w:rPr>
      </w:pPr>
      <w:r w:rsidRPr="00C235E5">
        <w:rPr>
          <w:rFonts w:ascii="Times New Roman" w:hAnsi="Times New Roman" w:cs="Times New Roman"/>
        </w:rPr>
        <w:t>Methodology</w:t>
      </w:r>
    </w:p>
    <w:p w14:paraId="25035A25" w14:textId="012DDAFE" w:rsidR="00994C3F" w:rsidRPr="00792D53" w:rsidRDefault="00D84754"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Sales of </w:t>
      </w:r>
      <w:r w:rsidR="008C756B" w:rsidRPr="00792D53">
        <w:rPr>
          <w:rFonts w:ascii="Times New Roman" w:hAnsi="Times New Roman" w:cs="Times New Roman"/>
          <w:sz w:val="24"/>
          <w:szCs w:val="24"/>
          <w:lang w:val="en-GB"/>
        </w:rPr>
        <w:t>the merged firm’s rivals</w:t>
      </w:r>
      <w:r w:rsidR="00D73192" w:rsidRPr="00792D53">
        <w:rPr>
          <w:rFonts w:ascii="Times New Roman" w:hAnsi="Times New Roman" w:cs="Times New Roman"/>
          <w:sz w:val="24"/>
          <w:szCs w:val="24"/>
          <w:lang w:val="en-GB"/>
        </w:rPr>
        <w:t xml:space="preserve"> </w:t>
      </w:r>
      <w:r w:rsidR="005D1B3A" w:rsidRPr="00792D53">
        <w:rPr>
          <w:rFonts w:ascii="Times New Roman" w:hAnsi="Times New Roman" w:cs="Times New Roman"/>
          <w:sz w:val="24"/>
          <w:szCs w:val="24"/>
          <w:lang w:val="en-GB"/>
        </w:rPr>
        <w:t>give</w:t>
      </w:r>
      <w:r w:rsidR="007D1C80" w:rsidRPr="00792D53">
        <w:rPr>
          <w:rFonts w:ascii="Times New Roman" w:hAnsi="Times New Roman" w:cs="Times New Roman"/>
          <w:sz w:val="24"/>
          <w:szCs w:val="24"/>
          <w:lang w:val="en-GB"/>
        </w:rPr>
        <w:t xml:space="preserve"> insights </w:t>
      </w:r>
      <w:r w:rsidR="001303FE" w:rsidRPr="00792D53">
        <w:rPr>
          <w:rFonts w:ascii="Times New Roman" w:hAnsi="Times New Roman" w:cs="Times New Roman"/>
          <w:sz w:val="24"/>
          <w:szCs w:val="24"/>
          <w:lang w:val="en-GB"/>
        </w:rPr>
        <w:t>on</w:t>
      </w:r>
      <w:r w:rsidR="00AC1664" w:rsidRPr="00792D53">
        <w:rPr>
          <w:rFonts w:ascii="Times New Roman" w:hAnsi="Times New Roman" w:cs="Times New Roman"/>
          <w:sz w:val="24"/>
          <w:szCs w:val="24"/>
          <w:lang w:val="en-GB"/>
        </w:rPr>
        <w:t xml:space="preserve"> </w:t>
      </w:r>
      <w:r w:rsidR="007D1C80" w:rsidRPr="00792D53">
        <w:rPr>
          <w:rFonts w:ascii="Times New Roman" w:hAnsi="Times New Roman" w:cs="Times New Roman"/>
          <w:sz w:val="24"/>
          <w:szCs w:val="24"/>
          <w:lang w:val="en-GB"/>
        </w:rPr>
        <w:t>t</w:t>
      </w:r>
      <w:r w:rsidR="005165A8" w:rsidRPr="00792D53">
        <w:rPr>
          <w:rFonts w:ascii="Times New Roman" w:hAnsi="Times New Roman" w:cs="Times New Roman"/>
          <w:sz w:val="24"/>
          <w:szCs w:val="24"/>
          <w:lang w:val="en-GB"/>
        </w:rPr>
        <w:t xml:space="preserve">he </w:t>
      </w:r>
      <w:r w:rsidR="009973CC" w:rsidRPr="00792D53">
        <w:rPr>
          <w:rFonts w:ascii="Times New Roman" w:hAnsi="Times New Roman" w:cs="Times New Roman"/>
          <w:sz w:val="24"/>
          <w:szCs w:val="24"/>
          <w:lang w:val="en-GB"/>
        </w:rPr>
        <w:t>post-merger</w:t>
      </w:r>
      <w:r w:rsidR="005165A8" w:rsidRPr="00792D53">
        <w:rPr>
          <w:rFonts w:ascii="Times New Roman" w:hAnsi="Times New Roman" w:cs="Times New Roman"/>
          <w:sz w:val="24"/>
          <w:szCs w:val="24"/>
          <w:lang w:val="en-GB"/>
        </w:rPr>
        <w:t xml:space="preserve"> competitive landscape. </w:t>
      </w:r>
      <w:r w:rsidR="007D1C80" w:rsidRPr="00792D53">
        <w:rPr>
          <w:rFonts w:ascii="Times New Roman" w:hAnsi="Times New Roman" w:cs="Times New Roman"/>
          <w:sz w:val="24"/>
          <w:szCs w:val="24"/>
          <w:lang w:val="en-GB"/>
        </w:rPr>
        <w:t xml:space="preserve">We use </w:t>
      </w:r>
      <w:r w:rsidR="00EF4E3F" w:rsidRPr="00792D53">
        <w:rPr>
          <w:rFonts w:ascii="Times New Roman" w:hAnsi="Times New Roman" w:cs="Times New Roman"/>
          <w:sz w:val="24"/>
          <w:szCs w:val="24"/>
          <w:lang w:val="en-GB"/>
        </w:rPr>
        <w:t>10-K</w:t>
      </w:r>
      <w:r w:rsidR="00413E30" w:rsidRPr="00792D53">
        <w:rPr>
          <w:rFonts w:ascii="Times New Roman" w:hAnsi="Times New Roman" w:cs="Times New Roman"/>
          <w:sz w:val="24"/>
          <w:szCs w:val="24"/>
          <w:lang w:val="en-GB"/>
        </w:rPr>
        <w:t xml:space="preserve"> data or</w:t>
      </w:r>
      <w:r w:rsidR="00C82277" w:rsidRPr="00792D53">
        <w:rPr>
          <w:rFonts w:ascii="Times New Roman" w:hAnsi="Times New Roman" w:cs="Times New Roman"/>
          <w:sz w:val="24"/>
          <w:szCs w:val="24"/>
          <w:lang w:val="en-GB"/>
        </w:rPr>
        <w:t xml:space="preserve"> </w:t>
      </w:r>
      <w:r w:rsidR="00413E30" w:rsidRPr="00792D53">
        <w:rPr>
          <w:rFonts w:ascii="Times New Roman" w:hAnsi="Times New Roman" w:cs="Times New Roman"/>
          <w:sz w:val="24"/>
          <w:szCs w:val="24"/>
          <w:lang w:val="en-GB"/>
        </w:rPr>
        <w:t xml:space="preserve">annual reports for each identified </w:t>
      </w:r>
      <w:r w:rsidR="0040560C" w:rsidRPr="00792D53">
        <w:rPr>
          <w:rFonts w:ascii="Times New Roman" w:hAnsi="Times New Roman" w:cs="Times New Roman"/>
          <w:sz w:val="24"/>
          <w:szCs w:val="24"/>
          <w:lang w:val="en-GB"/>
        </w:rPr>
        <w:t xml:space="preserve">rival </w:t>
      </w:r>
      <w:r w:rsidR="00413E30" w:rsidRPr="00792D53">
        <w:rPr>
          <w:rFonts w:ascii="Times New Roman" w:hAnsi="Times New Roman" w:cs="Times New Roman"/>
          <w:sz w:val="24"/>
          <w:szCs w:val="24"/>
          <w:lang w:val="en-GB"/>
        </w:rPr>
        <w:t xml:space="preserve">to compute </w:t>
      </w:r>
      <w:r w:rsidR="003D6AE8" w:rsidRPr="00792D53">
        <w:rPr>
          <w:rFonts w:ascii="Times New Roman" w:hAnsi="Times New Roman" w:cs="Times New Roman"/>
          <w:sz w:val="24"/>
          <w:szCs w:val="24"/>
          <w:lang w:val="en-GB"/>
        </w:rPr>
        <w:t>post-merger</w:t>
      </w:r>
      <w:r w:rsidR="007019AA" w:rsidRPr="00792D53">
        <w:rPr>
          <w:rFonts w:ascii="Times New Roman" w:hAnsi="Times New Roman" w:cs="Times New Roman"/>
          <w:sz w:val="24"/>
          <w:szCs w:val="24"/>
          <w:lang w:val="en-GB"/>
        </w:rPr>
        <w:t xml:space="preserve"> </w:t>
      </w:r>
      <w:r w:rsidR="00DF7BE7" w:rsidRPr="00792D53">
        <w:rPr>
          <w:rFonts w:ascii="Times New Roman" w:hAnsi="Times New Roman" w:cs="Times New Roman"/>
          <w:sz w:val="24"/>
          <w:szCs w:val="24"/>
          <w:lang w:val="en-GB"/>
        </w:rPr>
        <w:t xml:space="preserve">sales </w:t>
      </w:r>
      <w:r w:rsidR="00477CC9" w:rsidRPr="00792D53">
        <w:rPr>
          <w:rFonts w:ascii="Times New Roman" w:hAnsi="Times New Roman" w:cs="Times New Roman"/>
          <w:sz w:val="24"/>
          <w:szCs w:val="24"/>
          <w:lang w:val="en-GB"/>
        </w:rPr>
        <w:t>on a y</w:t>
      </w:r>
      <w:r w:rsidR="00535314" w:rsidRPr="00792D53">
        <w:rPr>
          <w:rFonts w:ascii="Times New Roman" w:hAnsi="Times New Roman" w:cs="Times New Roman"/>
          <w:sz w:val="24"/>
          <w:szCs w:val="24"/>
          <w:lang w:val="en-GB"/>
        </w:rPr>
        <w:t>ear</w:t>
      </w:r>
      <w:r w:rsidR="00C82277" w:rsidRPr="00792D53">
        <w:rPr>
          <w:rFonts w:ascii="Times New Roman" w:hAnsi="Times New Roman" w:cs="Times New Roman"/>
          <w:sz w:val="24"/>
          <w:szCs w:val="24"/>
          <w:lang w:val="en-GB"/>
        </w:rPr>
        <w:t xml:space="preserve">-over-year </w:t>
      </w:r>
      <w:r w:rsidR="00535314" w:rsidRPr="00792D53">
        <w:rPr>
          <w:rFonts w:ascii="Times New Roman" w:hAnsi="Times New Roman" w:cs="Times New Roman"/>
          <w:sz w:val="24"/>
          <w:szCs w:val="24"/>
          <w:lang w:val="en-GB"/>
        </w:rPr>
        <w:t>(</w:t>
      </w:r>
      <w:r w:rsidR="00EF42BA" w:rsidRPr="00792D53">
        <w:rPr>
          <w:rFonts w:ascii="Times New Roman" w:hAnsi="Times New Roman" w:cs="Times New Roman"/>
          <w:sz w:val="24"/>
          <w:szCs w:val="24"/>
          <w:lang w:val="en-GB"/>
        </w:rPr>
        <w:t>“</w:t>
      </w:r>
      <w:r w:rsidR="00535314" w:rsidRPr="00314F46">
        <w:rPr>
          <w:rFonts w:ascii="Times New Roman" w:hAnsi="Times New Roman" w:cs="Times New Roman"/>
          <w:b/>
          <w:bCs/>
          <w:sz w:val="24"/>
          <w:szCs w:val="24"/>
          <w:lang w:val="en-GB"/>
        </w:rPr>
        <w:t>YoY</w:t>
      </w:r>
      <w:r w:rsidR="00EF42BA" w:rsidRPr="00792D53">
        <w:rPr>
          <w:rFonts w:ascii="Times New Roman" w:hAnsi="Times New Roman" w:cs="Times New Roman"/>
          <w:sz w:val="24"/>
          <w:szCs w:val="24"/>
          <w:lang w:val="en-GB"/>
        </w:rPr>
        <w:t>”</w:t>
      </w:r>
      <w:r w:rsidR="00535314" w:rsidRPr="00792D53">
        <w:rPr>
          <w:rFonts w:ascii="Times New Roman" w:hAnsi="Times New Roman" w:cs="Times New Roman"/>
          <w:sz w:val="24"/>
          <w:szCs w:val="24"/>
          <w:lang w:val="en-GB"/>
        </w:rPr>
        <w:t xml:space="preserve">) </w:t>
      </w:r>
      <w:r w:rsidR="005165A8" w:rsidRPr="00792D53">
        <w:rPr>
          <w:rFonts w:ascii="Times New Roman" w:hAnsi="Times New Roman" w:cs="Times New Roman"/>
          <w:sz w:val="24"/>
          <w:szCs w:val="24"/>
          <w:lang w:val="en-GB"/>
        </w:rPr>
        <w:t>basis</w:t>
      </w:r>
      <w:r w:rsidR="00EB4FCF" w:rsidRPr="00792D53">
        <w:rPr>
          <w:rFonts w:ascii="Times New Roman" w:hAnsi="Times New Roman" w:cs="Times New Roman"/>
          <w:sz w:val="24"/>
          <w:szCs w:val="24"/>
          <w:lang w:val="en-GB"/>
        </w:rPr>
        <w:t>.</w:t>
      </w:r>
      <w:r w:rsidR="00413E30" w:rsidRPr="00792D53">
        <w:rPr>
          <w:rFonts w:ascii="Times New Roman" w:hAnsi="Times New Roman" w:cs="Times New Roman"/>
          <w:sz w:val="24"/>
          <w:szCs w:val="24"/>
          <w:lang w:val="en-GB"/>
        </w:rPr>
        <w:t xml:space="preserve"> </w:t>
      </w:r>
      <w:r w:rsidR="00AC0D6B" w:rsidRPr="00792D53">
        <w:rPr>
          <w:rFonts w:ascii="Times New Roman" w:hAnsi="Times New Roman" w:cs="Times New Roman"/>
          <w:sz w:val="24"/>
          <w:szCs w:val="24"/>
          <w:lang w:val="en-GB"/>
        </w:rPr>
        <w:t xml:space="preserve">We </w:t>
      </w:r>
      <w:r w:rsidR="007019AA" w:rsidRPr="00792D53">
        <w:rPr>
          <w:rFonts w:ascii="Times New Roman" w:hAnsi="Times New Roman" w:cs="Times New Roman"/>
          <w:sz w:val="24"/>
          <w:szCs w:val="24"/>
          <w:lang w:val="en-GB"/>
        </w:rPr>
        <w:t>refer</w:t>
      </w:r>
      <w:r w:rsidR="00AC0D6B" w:rsidRPr="00792D53">
        <w:rPr>
          <w:rFonts w:ascii="Times New Roman" w:hAnsi="Times New Roman" w:cs="Times New Roman"/>
          <w:sz w:val="24"/>
          <w:szCs w:val="24"/>
          <w:lang w:val="en-GB"/>
        </w:rPr>
        <w:t xml:space="preserve"> </w:t>
      </w:r>
      <w:r w:rsidR="0086776B" w:rsidRPr="00792D53">
        <w:rPr>
          <w:rFonts w:ascii="Times New Roman" w:hAnsi="Times New Roman" w:cs="Times New Roman"/>
          <w:sz w:val="24"/>
          <w:szCs w:val="24"/>
          <w:lang w:val="en-GB"/>
        </w:rPr>
        <w:t xml:space="preserve">to </w:t>
      </w:r>
      <w:r w:rsidR="00AC0D6B" w:rsidRPr="00792D53">
        <w:rPr>
          <w:rFonts w:ascii="Times New Roman" w:hAnsi="Times New Roman" w:cs="Times New Roman"/>
          <w:sz w:val="24"/>
          <w:szCs w:val="24"/>
          <w:lang w:val="en-GB"/>
        </w:rPr>
        <w:t xml:space="preserve">this </w:t>
      </w:r>
      <w:r w:rsidR="0086776B" w:rsidRPr="00792D53">
        <w:rPr>
          <w:rFonts w:ascii="Times New Roman" w:hAnsi="Times New Roman" w:cs="Times New Roman"/>
          <w:sz w:val="24"/>
          <w:szCs w:val="24"/>
          <w:lang w:val="en-GB"/>
        </w:rPr>
        <w:t xml:space="preserve">as the </w:t>
      </w:r>
      <w:r w:rsidR="00AC0D6B" w:rsidRPr="00792D53">
        <w:rPr>
          <w:rFonts w:ascii="Times New Roman" w:hAnsi="Times New Roman" w:cs="Times New Roman"/>
          <w:sz w:val="24"/>
          <w:szCs w:val="24"/>
          <w:lang w:val="en-GB"/>
        </w:rPr>
        <w:t xml:space="preserve">“sales of identified </w:t>
      </w:r>
      <w:r w:rsidR="00EB535A" w:rsidRPr="00792D53">
        <w:rPr>
          <w:rFonts w:ascii="Times New Roman" w:hAnsi="Times New Roman" w:cs="Times New Roman"/>
          <w:sz w:val="24"/>
          <w:szCs w:val="24"/>
          <w:lang w:val="en-GB"/>
        </w:rPr>
        <w:t>competitor</w:t>
      </w:r>
      <w:r w:rsidR="00EF42BA" w:rsidRPr="00792D53">
        <w:rPr>
          <w:rFonts w:ascii="Times New Roman" w:hAnsi="Times New Roman" w:cs="Times New Roman"/>
          <w:sz w:val="24"/>
          <w:szCs w:val="24"/>
          <w:lang w:val="en-GB"/>
        </w:rPr>
        <w:t>s</w:t>
      </w:r>
      <w:r w:rsidR="00AC0D6B" w:rsidRPr="00792D53">
        <w:rPr>
          <w:rFonts w:ascii="Times New Roman" w:hAnsi="Times New Roman" w:cs="Times New Roman"/>
          <w:sz w:val="24"/>
          <w:szCs w:val="24"/>
          <w:lang w:val="en-GB"/>
        </w:rPr>
        <w:t>” (</w:t>
      </w:r>
      <w:r w:rsidR="00EF42BA" w:rsidRPr="00792D53">
        <w:rPr>
          <w:rFonts w:ascii="Times New Roman" w:hAnsi="Times New Roman" w:cs="Times New Roman"/>
          <w:sz w:val="24"/>
          <w:szCs w:val="24"/>
          <w:lang w:val="en-GB"/>
        </w:rPr>
        <w:t>“</w:t>
      </w:r>
      <w:r w:rsidR="00EB535A" w:rsidRPr="00314F46">
        <w:rPr>
          <w:rFonts w:ascii="Times New Roman" w:hAnsi="Times New Roman" w:cs="Times New Roman"/>
          <w:b/>
          <w:bCs/>
          <w:sz w:val="24"/>
          <w:szCs w:val="24"/>
          <w:lang w:val="en-GB"/>
        </w:rPr>
        <w:t>SIC</w:t>
      </w:r>
      <w:r w:rsidR="00EF42BA" w:rsidRPr="00792D53">
        <w:rPr>
          <w:rFonts w:ascii="Times New Roman" w:hAnsi="Times New Roman" w:cs="Times New Roman"/>
          <w:sz w:val="24"/>
          <w:szCs w:val="24"/>
          <w:lang w:val="en-GB"/>
        </w:rPr>
        <w:t>”</w:t>
      </w:r>
      <w:r w:rsidR="00AC0D6B" w:rsidRPr="00792D53">
        <w:rPr>
          <w:rFonts w:ascii="Times New Roman" w:hAnsi="Times New Roman" w:cs="Times New Roman"/>
          <w:sz w:val="24"/>
          <w:szCs w:val="24"/>
          <w:lang w:val="en-GB"/>
        </w:rPr>
        <w:t>)</w:t>
      </w:r>
      <w:r w:rsidR="00C82277" w:rsidRPr="00792D53">
        <w:rPr>
          <w:rFonts w:ascii="Times New Roman" w:hAnsi="Times New Roman" w:cs="Times New Roman"/>
          <w:sz w:val="24"/>
          <w:szCs w:val="24"/>
          <w:lang w:val="en-GB"/>
        </w:rPr>
        <w:t xml:space="preserve"> test</w:t>
      </w:r>
      <w:r w:rsidR="00AC0D6B" w:rsidRPr="00792D53">
        <w:rPr>
          <w:rFonts w:ascii="Times New Roman" w:hAnsi="Times New Roman" w:cs="Times New Roman"/>
          <w:sz w:val="24"/>
          <w:szCs w:val="24"/>
          <w:lang w:val="en-GB"/>
        </w:rPr>
        <w:t>.</w:t>
      </w:r>
      <w:r w:rsidR="00EF01CD" w:rsidRPr="00792D53">
        <w:rPr>
          <w:rFonts w:ascii="Times New Roman" w:hAnsi="Times New Roman" w:cs="Times New Roman"/>
          <w:sz w:val="24"/>
          <w:szCs w:val="24"/>
          <w:lang w:val="en-GB"/>
        </w:rPr>
        <w:t xml:space="preserve"> As killer acquisitions concern </w:t>
      </w:r>
      <w:r w:rsidR="00D95142" w:rsidRPr="00792D53">
        <w:rPr>
          <w:rFonts w:ascii="Times New Roman" w:hAnsi="Times New Roman" w:cs="Times New Roman"/>
          <w:sz w:val="24"/>
          <w:szCs w:val="24"/>
          <w:lang w:val="en-GB"/>
        </w:rPr>
        <w:t xml:space="preserve">preemption of future competition, </w:t>
      </w:r>
      <w:r w:rsidR="00C76095" w:rsidRPr="00792D53">
        <w:rPr>
          <w:rFonts w:ascii="Times New Roman" w:hAnsi="Times New Roman" w:cs="Times New Roman"/>
          <w:sz w:val="24"/>
          <w:szCs w:val="24"/>
          <w:lang w:val="en-GB"/>
        </w:rPr>
        <w:t xml:space="preserve">we would expect to observe </w:t>
      </w:r>
      <w:r w:rsidR="00D95142" w:rsidRPr="00792D53">
        <w:rPr>
          <w:rFonts w:ascii="Times New Roman" w:hAnsi="Times New Roman" w:cs="Times New Roman"/>
          <w:sz w:val="24"/>
          <w:szCs w:val="24"/>
          <w:lang w:val="en-GB"/>
        </w:rPr>
        <w:t>a decrease in industry output follow</w:t>
      </w:r>
      <w:r w:rsidR="00C76095" w:rsidRPr="00792D53">
        <w:rPr>
          <w:rFonts w:ascii="Times New Roman" w:hAnsi="Times New Roman" w:cs="Times New Roman"/>
          <w:sz w:val="24"/>
          <w:szCs w:val="24"/>
          <w:lang w:val="en-GB"/>
        </w:rPr>
        <w:t>ing</w:t>
      </w:r>
      <w:r w:rsidR="00D95142" w:rsidRPr="00792D53">
        <w:rPr>
          <w:rFonts w:ascii="Times New Roman" w:hAnsi="Times New Roman" w:cs="Times New Roman"/>
          <w:sz w:val="24"/>
          <w:szCs w:val="24"/>
          <w:lang w:val="en-GB"/>
        </w:rPr>
        <w:t xml:space="preserve"> </w:t>
      </w:r>
      <w:r w:rsidR="00721DD6" w:rsidRPr="00792D53">
        <w:rPr>
          <w:rFonts w:ascii="Times New Roman" w:hAnsi="Times New Roman" w:cs="Times New Roman"/>
          <w:sz w:val="24"/>
          <w:szCs w:val="24"/>
          <w:lang w:val="en-GB"/>
        </w:rPr>
        <w:t xml:space="preserve">a suspicious transaction. The SIC test </w:t>
      </w:r>
      <w:r w:rsidR="00C76095" w:rsidRPr="00792D53">
        <w:rPr>
          <w:rFonts w:ascii="Times New Roman" w:hAnsi="Times New Roman" w:cs="Times New Roman"/>
          <w:sz w:val="24"/>
          <w:szCs w:val="24"/>
          <w:lang w:val="en-GB"/>
        </w:rPr>
        <w:t>gives us a proxy to study whether this is the case</w:t>
      </w:r>
      <w:r w:rsidR="00721DD6" w:rsidRPr="00792D53">
        <w:rPr>
          <w:rFonts w:ascii="Times New Roman" w:hAnsi="Times New Roman" w:cs="Times New Roman"/>
          <w:sz w:val="24"/>
          <w:szCs w:val="24"/>
          <w:lang w:val="en-GB"/>
        </w:rPr>
        <w:t>.</w:t>
      </w:r>
    </w:p>
    <w:p w14:paraId="0FD6A79C" w14:textId="5CF677B7" w:rsidR="00423A65" w:rsidRPr="00792D53" w:rsidRDefault="00E03AA6"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It is not easy to </w:t>
      </w:r>
      <w:r w:rsidR="000A10D9" w:rsidRPr="00792D53">
        <w:rPr>
          <w:rFonts w:ascii="Times New Roman" w:hAnsi="Times New Roman" w:cs="Times New Roman"/>
          <w:sz w:val="24"/>
          <w:szCs w:val="24"/>
          <w:lang w:val="en-GB"/>
        </w:rPr>
        <w:t xml:space="preserve">find sales that relate to the relevant market in </w:t>
      </w:r>
      <w:r w:rsidR="00C241D6" w:rsidRPr="00792D53">
        <w:rPr>
          <w:rFonts w:ascii="Times New Roman" w:hAnsi="Times New Roman" w:cs="Times New Roman"/>
          <w:sz w:val="24"/>
          <w:szCs w:val="24"/>
          <w:lang w:val="en-GB"/>
        </w:rPr>
        <w:t>financial disclosures</w:t>
      </w:r>
      <w:r w:rsidR="0018281A" w:rsidRPr="00792D53">
        <w:rPr>
          <w:rFonts w:ascii="Times New Roman" w:hAnsi="Times New Roman" w:cs="Times New Roman"/>
          <w:sz w:val="24"/>
          <w:szCs w:val="24"/>
          <w:lang w:val="en-GB"/>
        </w:rPr>
        <w:t xml:space="preserve">. </w:t>
      </w:r>
      <w:r w:rsidR="00C241D6" w:rsidRPr="00792D53">
        <w:rPr>
          <w:rFonts w:ascii="Times New Roman" w:hAnsi="Times New Roman" w:cs="Times New Roman"/>
          <w:sz w:val="24"/>
          <w:szCs w:val="24"/>
          <w:lang w:val="en-GB"/>
        </w:rPr>
        <w:t>S</w:t>
      </w:r>
      <w:r w:rsidR="0018281A" w:rsidRPr="00792D53">
        <w:rPr>
          <w:rFonts w:ascii="Times New Roman" w:hAnsi="Times New Roman" w:cs="Times New Roman"/>
          <w:sz w:val="24"/>
          <w:szCs w:val="24"/>
          <w:lang w:val="en-GB"/>
        </w:rPr>
        <w:t xml:space="preserve">ales are often </w:t>
      </w:r>
      <w:r w:rsidR="008E666F" w:rsidRPr="00792D53">
        <w:rPr>
          <w:rFonts w:ascii="Times New Roman" w:hAnsi="Times New Roman" w:cs="Times New Roman"/>
          <w:sz w:val="24"/>
          <w:szCs w:val="24"/>
          <w:lang w:val="en-GB"/>
        </w:rPr>
        <w:t xml:space="preserve">reported </w:t>
      </w:r>
      <w:r w:rsidR="00D351B7" w:rsidRPr="00792D53">
        <w:rPr>
          <w:rFonts w:ascii="Times New Roman" w:hAnsi="Times New Roman" w:cs="Times New Roman"/>
          <w:sz w:val="24"/>
          <w:szCs w:val="24"/>
          <w:lang w:val="en-GB"/>
        </w:rPr>
        <w:t>at the firm level</w:t>
      </w:r>
      <w:r w:rsidR="0018281A" w:rsidRPr="00792D53">
        <w:rPr>
          <w:rFonts w:ascii="Times New Roman" w:hAnsi="Times New Roman" w:cs="Times New Roman"/>
          <w:sz w:val="24"/>
          <w:szCs w:val="24"/>
          <w:lang w:val="en-GB"/>
        </w:rPr>
        <w:t xml:space="preserve">. </w:t>
      </w:r>
      <w:r w:rsidR="001D0F13" w:rsidRPr="00792D53">
        <w:rPr>
          <w:rFonts w:ascii="Times New Roman" w:hAnsi="Times New Roman" w:cs="Times New Roman"/>
          <w:sz w:val="24"/>
          <w:szCs w:val="24"/>
          <w:lang w:val="en-GB"/>
        </w:rPr>
        <w:t>In d</w:t>
      </w:r>
      <w:r w:rsidR="000D21B9" w:rsidRPr="00792D53">
        <w:rPr>
          <w:rFonts w:ascii="Times New Roman" w:hAnsi="Times New Roman" w:cs="Times New Roman"/>
          <w:sz w:val="24"/>
          <w:szCs w:val="24"/>
          <w:lang w:val="en-GB"/>
        </w:rPr>
        <w:t>iversified firms</w:t>
      </w:r>
      <w:r w:rsidR="001D0F13" w:rsidRPr="00792D53">
        <w:rPr>
          <w:rFonts w:ascii="Times New Roman" w:hAnsi="Times New Roman" w:cs="Times New Roman"/>
          <w:sz w:val="24"/>
          <w:szCs w:val="24"/>
          <w:lang w:val="en-GB"/>
        </w:rPr>
        <w:t>,</w:t>
      </w:r>
      <w:r w:rsidR="000D21B9" w:rsidRPr="00792D53">
        <w:rPr>
          <w:rFonts w:ascii="Times New Roman" w:hAnsi="Times New Roman" w:cs="Times New Roman"/>
          <w:sz w:val="24"/>
          <w:szCs w:val="24"/>
          <w:lang w:val="en-GB"/>
        </w:rPr>
        <w:t xml:space="preserve"> </w:t>
      </w:r>
      <w:r w:rsidR="001D0F13" w:rsidRPr="00792D53">
        <w:rPr>
          <w:rFonts w:ascii="Times New Roman" w:hAnsi="Times New Roman" w:cs="Times New Roman"/>
          <w:sz w:val="24"/>
          <w:szCs w:val="24"/>
          <w:lang w:val="en-GB"/>
        </w:rPr>
        <w:t xml:space="preserve">reported </w:t>
      </w:r>
      <w:r w:rsidR="002947AB" w:rsidRPr="00792D53">
        <w:rPr>
          <w:rFonts w:ascii="Times New Roman" w:hAnsi="Times New Roman" w:cs="Times New Roman"/>
          <w:sz w:val="24"/>
          <w:szCs w:val="24"/>
          <w:lang w:val="en-GB"/>
        </w:rPr>
        <w:t xml:space="preserve">sales </w:t>
      </w:r>
      <w:r w:rsidR="001D0F13" w:rsidRPr="00792D53">
        <w:rPr>
          <w:rFonts w:ascii="Times New Roman" w:hAnsi="Times New Roman" w:cs="Times New Roman"/>
          <w:sz w:val="24"/>
          <w:szCs w:val="24"/>
          <w:lang w:val="en-GB"/>
        </w:rPr>
        <w:t xml:space="preserve">will </w:t>
      </w:r>
      <w:r w:rsidR="000D21B9" w:rsidRPr="00792D53">
        <w:rPr>
          <w:rFonts w:ascii="Times New Roman" w:hAnsi="Times New Roman" w:cs="Times New Roman"/>
          <w:sz w:val="24"/>
          <w:szCs w:val="24"/>
          <w:lang w:val="en-GB"/>
        </w:rPr>
        <w:t xml:space="preserve">not </w:t>
      </w:r>
      <w:r w:rsidR="002947AB" w:rsidRPr="00792D53">
        <w:rPr>
          <w:rFonts w:ascii="Times New Roman" w:hAnsi="Times New Roman" w:cs="Times New Roman"/>
          <w:sz w:val="24"/>
          <w:szCs w:val="24"/>
          <w:lang w:val="en-GB"/>
        </w:rPr>
        <w:t xml:space="preserve">correspond to </w:t>
      </w:r>
      <w:r w:rsidR="008E666F" w:rsidRPr="00792D53">
        <w:rPr>
          <w:rFonts w:ascii="Times New Roman" w:hAnsi="Times New Roman" w:cs="Times New Roman"/>
          <w:sz w:val="24"/>
          <w:szCs w:val="24"/>
          <w:lang w:val="en-GB"/>
        </w:rPr>
        <w:t xml:space="preserve">sales </w:t>
      </w:r>
      <w:r w:rsidR="0099344B" w:rsidRPr="00792D53">
        <w:rPr>
          <w:rFonts w:ascii="Times New Roman" w:hAnsi="Times New Roman" w:cs="Times New Roman"/>
          <w:sz w:val="24"/>
          <w:szCs w:val="24"/>
          <w:lang w:val="en-GB"/>
        </w:rPr>
        <w:t xml:space="preserve">in </w:t>
      </w:r>
      <w:r w:rsidR="00C42452" w:rsidRPr="00792D53">
        <w:rPr>
          <w:rFonts w:ascii="Times New Roman" w:hAnsi="Times New Roman" w:cs="Times New Roman"/>
          <w:sz w:val="24"/>
          <w:szCs w:val="24"/>
          <w:lang w:val="en-GB"/>
        </w:rPr>
        <w:t>the</w:t>
      </w:r>
      <w:r w:rsidR="0099344B" w:rsidRPr="00792D53">
        <w:rPr>
          <w:rFonts w:ascii="Times New Roman" w:hAnsi="Times New Roman" w:cs="Times New Roman"/>
          <w:sz w:val="24"/>
          <w:szCs w:val="24"/>
          <w:lang w:val="en-GB"/>
        </w:rPr>
        <w:t xml:space="preserve"> relevant</w:t>
      </w:r>
      <w:r w:rsidR="002947AB" w:rsidRPr="00792D53">
        <w:rPr>
          <w:rFonts w:ascii="Times New Roman" w:hAnsi="Times New Roman" w:cs="Times New Roman"/>
          <w:sz w:val="24"/>
          <w:szCs w:val="24"/>
          <w:lang w:val="en-GB"/>
        </w:rPr>
        <w:t xml:space="preserve"> market</w:t>
      </w:r>
      <w:r w:rsidR="00C42452" w:rsidRPr="00792D53">
        <w:rPr>
          <w:rFonts w:ascii="Times New Roman" w:hAnsi="Times New Roman" w:cs="Times New Roman"/>
          <w:sz w:val="24"/>
          <w:szCs w:val="24"/>
          <w:lang w:val="en-GB"/>
        </w:rPr>
        <w:t xml:space="preserve"> considered in the EC decision</w:t>
      </w:r>
      <w:r w:rsidR="002947AB" w:rsidRPr="00792D53">
        <w:rPr>
          <w:rFonts w:ascii="Times New Roman" w:hAnsi="Times New Roman" w:cs="Times New Roman"/>
          <w:sz w:val="24"/>
          <w:szCs w:val="24"/>
          <w:lang w:val="en-GB"/>
        </w:rPr>
        <w:t xml:space="preserve">. </w:t>
      </w:r>
      <w:r w:rsidR="00C42452" w:rsidRPr="00792D53">
        <w:rPr>
          <w:rFonts w:ascii="Times New Roman" w:hAnsi="Times New Roman" w:cs="Times New Roman"/>
          <w:sz w:val="24"/>
          <w:szCs w:val="24"/>
          <w:lang w:val="en-GB"/>
        </w:rPr>
        <w:t xml:space="preserve">With this limitation in mind, </w:t>
      </w:r>
      <w:r w:rsidR="002947AB" w:rsidRPr="00792D53">
        <w:rPr>
          <w:rFonts w:ascii="Times New Roman" w:hAnsi="Times New Roman" w:cs="Times New Roman"/>
          <w:sz w:val="24"/>
          <w:szCs w:val="24"/>
          <w:lang w:val="en-GB"/>
        </w:rPr>
        <w:t>three options</w:t>
      </w:r>
      <w:r w:rsidR="00C42452" w:rsidRPr="00792D53">
        <w:rPr>
          <w:rFonts w:ascii="Times New Roman" w:hAnsi="Times New Roman" w:cs="Times New Roman"/>
          <w:sz w:val="24"/>
          <w:szCs w:val="24"/>
          <w:lang w:val="en-GB"/>
        </w:rPr>
        <w:t xml:space="preserve"> exist to </w:t>
      </w:r>
      <w:r w:rsidR="00C42452" w:rsidRPr="00792D53">
        <w:rPr>
          <w:rFonts w:ascii="Times New Roman" w:hAnsi="Times New Roman" w:cs="Times New Roman"/>
          <w:sz w:val="24"/>
          <w:szCs w:val="24"/>
          <w:lang w:val="en-GB"/>
        </w:rPr>
        <w:lastRenderedPageBreak/>
        <w:t xml:space="preserve">derive </w:t>
      </w:r>
      <w:r w:rsidR="00126D6E" w:rsidRPr="00792D53">
        <w:rPr>
          <w:rFonts w:ascii="Times New Roman" w:hAnsi="Times New Roman" w:cs="Times New Roman"/>
          <w:sz w:val="24"/>
          <w:szCs w:val="24"/>
          <w:lang w:val="en-GB"/>
        </w:rPr>
        <w:t xml:space="preserve">sales data </w:t>
      </w:r>
      <w:r w:rsidR="00DC2ABD" w:rsidRPr="00792D53">
        <w:rPr>
          <w:rFonts w:ascii="Times New Roman" w:hAnsi="Times New Roman" w:cs="Times New Roman"/>
          <w:sz w:val="24"/>
          <w:szCs w:val="24"/>
          <w:lang w:val="en-GB"/>
        </w:rPr>
        <w:t xml:space="preserve">indicative of the </w:t>
      </w:r>
      <w:r w:rsidR="00C42398" w:rsidRPr="00792D53">
        <w:rPr>
          <w:rFonts w:ascii="Times New Roman" w:hAnsi="Times New Roman" w:cs="Times New Roman"/>
          <w:sz w:val="24"/>
          <w:szCs w:val="24"/>
          <w:lang w:val="en-GB"/>
        </w:rPr>
        <w:t>post-merger</w:t>
      </w:r>
      <w:r w:rsidR="00DC2ABD" w:rsidRPr="00792D53">
        <w:rPr>
          <w:rFonts w:ascii="Times New Roman" w:hAnsi="Times New Roman" w:cs="Times New Roman"/>
          <w:sz w:val="24"/>
          <w:szCs w:val="24"/>
          <w:lang w:val="en-GB"/>
        </w:rPr>
        <w:t xml:space="preserve"> competitive landscape</w:t>
      </w:r>
      <w:r w:rsidR="002947AB" w:rsidRPr="00792D53">
        <w:rPr>
          <w:rFonts w:ascii="Times New Roman" w:hAnsi="Times New Roman" w:cs="Times New Roman"/>
          <w:sz w:val="24"/>
          <w:szCs w:val="24"/>
          <w:lang w:val="en-GB"/>
        </w:rPr>
        <w:t xml:space="preserve">. </w:t>
      </w:r>
      <w:r w:rsidR="00DC2ABD" w:rsidRPr="00792D53">
        <w:rPr>
          <w:rFonts w:ascii="Times New Roman" w:hAnsi="Times New Roman" w:cs="Times New Roman"/>
          <w:sz w:val="24"/>
          <w:szCs w:val="24"/>
          <w:lang w:val="en-GB"/>
        </w:rPr>
        <w:t>First</w:t>
      </w:r>
      <w:r w:rsidR="002947AB" w:rsidRPr="00792D53">
        <w:rPr>
          <w:rFonts w:ascii="Times New Roman" w:hAnsi="Times New Roman" w:cs="Times New Roman"/>
          <w:sz w:val="24"/>
          <w:szCs w:val="24"/>
          <w:lang w:val="en-GB"/>
        </w:rPr>
        <w:t xml:space="preserve">, we can </w:t>
      </w:r>
      <w:r w:rsidR="00DC2ABD" w:rsidRPr="00792D53">
        <w:rPr>
          <w:rFonts w:ascii="Times New Roman" w:hAnsi="Times New Roman" w:cs="Times New Roman"/>
          <w:sz w:val="24"/>
          <w:szCs w:val="24"/>
          <w:lang w:val="en-GB"/>
        </w:rPr>
        <w:t xml:space="preserve">use </w:t>
      </w:r>
      <w:r w:rsidR="00B74AA4" w:rsidRPr="00792D53">
        <w:rPr>
          <w:rFonts w:ascii="Times New Roman" w:hAnsi="Times New Roman" w:cs="Times New Roman"/>
          <w:sz w:val="24"/>
          <w:szCs w:val="24"/>
          <w:lang w:val="en-GB"/>
        </w:rPr>
        <w:t xml:space="preserve">firm level </w:t>
      </w:r>
      <w:r w:rsidR="001D0F13" w:rsidRPr="00792D53">
        <w:rPr>
          <w:rFonts w:ascii="Times New Roman" w:hAnsi="Times New Roman" w:cs="Times New Roman"/>
          <w:sz w:val="24"/>
          <w:szCs w:val="24"/>
          <w:lang w:val="en-GB"/>
        </w:rPr>
        <w:t>sales</w:t>
      </w:r>
      <w:r w:rsidR="00DB02EC" w:rsidRPr="00792D53">
        <w:rPr>
          <w:rFonts w:ascii="Times New Roman" w:hAnsi="Times New Roman" w:cs="Times New Roman"/>
          <w:sz w:val="24"/>
          <w:szCs w:val="24"/>
          <w:lang w:val="en-GB"/>
        </w:rPr>
        <w:t xml:space="preserve">, and </w:t>
      </w:r>
      <w:r w:rsidR="00E30BF8" w:rsidRPr="00792D53">
        <w:rPr>
          <w:rFonts w:ascii="Times New Roman" w:hAnsi="Times New Roman" w:cs="Times New Roman"/>
          <w:sz w:val="24"/>
          <w:szCs w:val="24"/>
          <w:lang w:val="en-GB"/>
        </w:rPr>
        <w:t xml:space="preserve">observe changes </w:t>
      </w:r>
      <w:r w:rsidR="00576559" w:rsidRPr="00792D53">
        <w:rPr>
          <w:rFonts w:ascii="Times New Roman" w:hAnsi="Times New Roman" w:cs="Times New Roman"/>
          <w:sz w:val="24"/>
          <w:szCs w:val="24"/>
          <w:lang w:val="en-GB"/>
        </w:rPr>
        <w:t xml:space="preserve">in the distribution of </w:t>
      </w:r>
      <w:r w:rsidR="001D0F13" w:rsidRPr="00792D53">
        <w:rPr>
          <w:rFonts w:ascii="Times New Roman" w:hAnsi="Times New Roman" w:cs="Times New Roman"/>
          <w:sz w:val="24"/>
          <w:szCs w:val="24"/>
          <w:lang w:val="en-GB"/>
        </w:rPr>
        <w:t xml:space="preserve">sales </w:t>
      </w:r>
      <w:r w:rsidR="00B74AA4" w:rsidRPr="00792D53">
        <w:rPr>
          <w:rFonts w:ascii="Times New Roman" w:hAnsi="Times New Roman" w:cs="Times New Roman"/>
          <w:sz w:val="24"/>
          <w:szCs w:val="24"/>
          <w:lang w:val="en-GB"/>
        </w:rPr>
        <w:t xml:space="preserve">amongst firms </w:t>
      </w:r>
      <w:r w:rsidR="00BA434A" w:rsidRPr="00792D53">
        <w:rPr>
          <w:rFonts w:ascii="Times New Roman" w:hAnsi="Times New Roman" w:cs="Times New Roman"/>
          <w:sz w:val="24"/>
          <w:szCs w:val="24"/>
          <w:lang w:val="en-GB"/>
        </w:rPr>
        <w:t>following</w:t>
      </w:r>
      <w:r w:rsidR="00DB02EC" w:rsidRPr="00792D53">
        <w:rPr>
          <w:rFonts w:ascii="Times New Roman" w:hAnsi="Times New Roman" w:cs="Times New Roman"/>
          <w:sz w:val="24"/>
          <w:szCs w:val="24"/>
          <w:lang w:val="en-GB"/>
        </w:rPr>
        <w:t xml:space="preserve"> </w:t>
      </w:r>
      <w:r w:rsidR="00E30BF8" w:rsidRPr="00792D53">
        <w:rPr>
          <w:rFonts w:ascii="Times New Roman" w:hAnsi="Times New Roman" w:cs="Times New Roman"/>
          <w:sz w:val="24"/>
          <w:szCs w:val="24"/>
          <w:lang w:val="en-GB"/>
        </w:rPr>
        <w:t xml:space="preserve">the merger </w:t>
      </w:r>
      <w:r w:rsidR="00DB02EC" w:rsidRPr="00792D53">
        <w:rPr>
          <w:rFonts w:ascii="Times New Roman" w:hAnsi="Times New Roman" w:cs="Times New Roman"/>
          <w:sz w:val="24"/>
          <w:szCs w:val="24"/>
          <w:lang w:val="en-GB"/>
        </w:rPr>
        <w:t>transaction</w:t>
      </w:r>
      <w:r w:rsidR="00E30BF8" w:rsidRPr="00792D53">
        <w:rPr>
          <w:rFonts w:ascii="Times New Roman" w:hAnsi="Times New Roman" w:cs="Times New Roman"/>
          <w:sz w:val="24"/>
          <w:szCs w:val="24"/>
          <w:lang w:val="en-GB"/>
        </w:rPr>
        <w:t xml:space="preserve">. This approach </w:t>
      </w:r>
      <w:r w:rsidR="00CF5464" w:rsidRPr="00792D53">
        <w:rPr>
          <w:rFonts w:ascii="Times New Roman" w:hAnsi="Times New Roman" w:cs="Times New Roman"/>
          <w:sz w:val="24"/>
          <w:szCs w:val="24"/>
          <w:lang w:val="en-GB"/>
        </w:rPr>
        <w:t xml:space="preserve">is easy to implement, but </w:t>
      </w:r>
      <w:r w:rsidR="00031341" w:rsidRPr="00792D53">
        <w:rPr>
          <w:rFonts w:ascii="Times New Roman" w:hAnsi="Times New Roman" w:cs="Times New Roman"/>
          <w:sz w:val="24"/>
          <w:szCs w:val="24"/>
          <w:lang w:val="en-GB"/>
        </w:rPr>
        <w:t xml:space="preserve">obviously </w:t>
      </w:r>
      <w:r w:rsidR="00CF5464" w:rsidRPr="00792D53">
        <w:rPr>
          <w:rFonts w:ascii="Times New Roman" w:hAnsi="Times New Roman" w:cs="Times New Roman"/>
          <w:sz w:val="24"/>
          <w:szCs w:val="24"/>
          <w:lang w:val="en-GB"/>
        </w:rPr>
        <w:t>inaccurate</w:t>
      </w:r>
      <w:r w:rsidR="00E30BF8" w:rsidRPr="00792D53">
        <w:rPr>
          <w:rFonts w:ascii="Times New Roman" w:hAnsi="Times New Roman" w:cs="Times New Roman"/>
          <w:sz w:val="24"/>
          <w:szCs w:val="24"/>
          <w:lang w:val="en-GB"/>
        </w:rPr>
        <w:t xml:space="preserve">. We thus discard </w:t>
      </w:r>
      <w:r w:rsidR="00CF5464" w:rsidRPr="00792D53">
        <w:rPr>
          <w:rFonts w:ascii="Times New Roman" w:hAnsi="Times New Roman" w:cs="Times New Roman"/>
          <w:sz w:val="24"/>
          <w:szCs w:val="24"/>
          <w:lang w:val="en-GB"/>
        </w:rPr>
        <w:t>it</w:t>
      </w:r>
      <w:r w:rsidR="00E30BF8" w:rsidRPr="00792D53">
        <w:rPr>
          <w:rFonts w:ascii="Times New Roman" w:hAnsi="Times New Roman" w:cs="Times New Roman"/>
          <w:sz w:val="24"/>
          <w:szCs w:val="24"/>
          <w:lang w:val="en-GB"/>
        </w:rPr>
        <w:t xml:space="preserve">. </w:t>
      </w:r>
      <w:r w:rsidR="00CF5464" w:rsidRPr="00792D53">
        <w:rPr>
          <w:rFonts w:ascii="Times New Roman" w:hAnsi="Times New Roman" w:cs="Times New Roman"/>
          <w:sz w:val="24"/>
          <w:szCs w:val="24"/>
          <w:lang w:val="en-GB"/>
        </w:rPr>
        <w:t>Second</w:t>
      </w:r>
      <w:r w:rsidR="00E30BF8" w:rsidRPr="00792D53">
        <w:rPr>
          <w:rFonts w:ascii="Times New Roman" w:hAnsi="Times New Roman" w:cs="Times New Roman"/>
          <w:sz w:val="24"/>
          <w:szCs w:val="24"/>
          <w:lang w:val="en-GB"/>
        </w:rPr>
        <w:t xml:space="preserve">, </w:t>
      </w:r>
      <w:r w:rsidR="00663EFD" w:rsidRPr="00792D53">
        <w:rPr>
          <w:rFonts w:ascii="Times New Roman" w:hAnsi="Times New Roman" w:cs="Times New Roman"/>
          <w:sz w:val="24"/>
          <w:szCs w:val="24"/>
          <w:lang w:val="en-GB"/>
        </w:rPr>
        <w:t xml:space="preserve">we can use product-level sales that correspond to the </w:t>
      </w:r>
      <w:r w:rsidR="00CF5464" w:rsidRPr="00792D53">
        <w:rPr>
          <w:rFonts w:ascii="Times New Roman" w:hAnsi="Times New Roman" w:cs="Times New Roman"/>
          <w:sz w:val="24"/>
          <w:szCs w:val="24"/>
          <w:lang w:val="en-GB"/>
        </w:rPr>
        <w:t xml:space="preserve">relevant </w:t>
      </w:r>
      <w:r w:rsidR="00663EFD" w:rsidRPr="00792D53">
        <w:rPr>
          <w:rFonts w:ascii="Times New Roman" w:hAnsi="Times New Roman" w:cs="Times New Roman"/>
          <w:sz w:val="24"/>
          <w:szCs w:val="24"/>
          <w:lang w:val="en-GB"/>
        </w:rPr>
        <w:t xml:space="preserve">market </w:t>
      </w:r>
      <w:r w:rsidR="00CF5464" w:rsidRPr="00792D53">
        <w:rPr>
          <w:rFonts w:ascii="Times New Roman" w:hAnsi="Times New Roman" w:cs="Times New Roman"/>
          <w:sz w:val="24"/>
          <w:szCs w:val="24"/>
          <w:lang w:val="en-GB"/>
        </w:rPr>
        <w:t xml:space="preserve">considered in </w:t>
      </w:r>
      <w:r w:rsidR="00663EFD" w:rsidRPr="00792D53">
        <w:rPr>
          <w:rFonts w:ascii="Times New Roman" w:hAnsi="Times New Roman" w:cs="Times New Roman"/>
          <w:sz w:val="24"/>
          <w:szCs w:val="24"/>
          <w:lang w:val="en-GB"/>
        </w:rPr>
        <w:t>the EC</w:t>
      </w:r>
      <w:r w:rsidR="00CF5464" w:rsidRPr="00792D53">
        <w:rPr>
          <w:rFonts w:ascii="Times New Roman" w:hAnsi="Times New Roman" w:cs="Times New Roman"/>
          <w:sz w:val="24"/>
          <w:szCs w:val="24"/>
          <w:lang w:val="en-GB"/>
        </w:rPr>
        <w:t xml:space="preserve"> decision</w:t>
      </w:r>
      <w:r w:rsidR="00663EFD" w:rsidRPr="00792D53">
        <w:rPr>
          <w:rFonts w:ascii="Times New Roman" w:hAnsi="Times New Roman" w:cs="Times New Roman"/>
          <w:sz w:val="24"/>
          <w:szCs w:val="24"/>
          <w:lang w:val="en-GB"/>
        </w:rPr>
        <w:t xml:space="preserve">. This </w:t>
      </w:r>
      <w:r w:rsidR="00CF5464" w:rsidRPr="00792D53">
        <w:rPr>
          <w:rFonts w:ascii="Times New Roman" w:hAnsi="Times New Roman" w:cs="Times New Roman"/>
          <w:sz w:val="24"/>
          <w:szCs w:val="24"/>
          <w:lang w:val="en-GB"/>
        </w:rPr>
        <w:t>approach is accurate, but costly to implement</w:t>
      </w:r>
      <w:r w:rsidR="001856DE" w:rsidRPr="00792D53">
        <w:rPr>
          <w:rFonts w:ascii="Times New Roman" w:hAnsi="Times New Roman" w:cs="Times New Roman"/>
          <w:sz w:val="24"/>
          <w:szCs w:val="24"/>
          <w:lang w:val="en-GB"/>
        </w:rPr>
        <w:t xml:space="preserve">. </w:t>
      </w:r>
      <w:r w:rsidR="001212D3" w:rsidRPr="00792D53">
        <w:rPr>
          <w:rFonts w:ascii="Times New Roman" w:hAnsi="Times New Roman" w:cs="Times New Roman"/>
          <w:sz w:val="24"/>
          <w:szCs w:val="24"/>
          <w:lang w:val="en-GB"/>
        </w:rPr>
        <w:t>F</w:t>
      </w:r>
      <w:r w:rsidR="001856DE" w:rsidRPr="00792D53">
        <w:rPr>
          <w:rFonts w:ascii="Times New Roman" w:hAnsi="Times New Roman" w:cs="Times New Roman"/>
          <w:sz w:val="24"/>
          <w:szCs w:val="24"/>
          <w:lang w:val="en-GB"/>
        </w:rPr>
        <w:t xml:space="preserve">irms </w:t>
      </w:r>
      <w:r w:rsidR="001212D3" w:rsidRPr="00792D53">
        <w:rPr>
          <w:rFonts w:ascii="Times New Roman" w:hAnsi="Times New Roman" w:cs="Times New Roman"/>
          <w:sz w:val="24"/>
          <w:szCs w:val="24"/>
          <w:lang w:val="en-GB"/>
        </w:rPr>
        <w:t xml:space="preserve">do not disaggregate sales in line with relevant markets in an antitrust sense. </w:t>
      </w:r>
      <w:r w:rsidR="00B865B0" w:rsidRPr="00792D53">
        <w:rPr>
          <w:rFonts w:ascii="Times New Roman" w:hAnsi="Times New Roman" w:cs="Times New Roman"/>
          <w:sz w:val="24"/>
          <w:szCs w:val="24"/>
          <w:lang w:val="en-GB"/>
        </w:rPr>
        <w:t xml:space="preserve">In our dataset, no case </w:t>
      </w:r>
      <w:r w:rsidR="002306AF" w:rsidRPr="00792D53">
        <w:rPr>
          <w:rFonts w:ascii="Times New Roman" w:hAnsi="Times New Roman" w:cs="Times New Roman"/>
          <w:sz w:val="24"/>
          <w:szCs w:val="24"/>
          <w:lang w:val="en-GB"/>
        </w:rPr>
        <w:t xml:space="preserve">clearly </w:t>
      </w:r>
      <w:r w:rsidR="00B865B0" w:rsidRPr="00792D53">
        <w:rPr>
          <w:rFonts w:ascii="Times New Roman" w:hAnsi="Times New Roman" w:cs="Times New Roman"/>
          <w:sz w:val="24"/>
          <w:szCs w:val="24"/>
          <w:lang w:val="en-GB"/>
        </w:rPr>
        <w:t>comprises s</w:t>
      </w:r>
      <w:r w:rsidR="00211DCD" w:rsidRPr="00792D53">
        <w:rPr>
          <w:rFonts w:ascii="Times New Roman" w:hAnsi="Times New Roman" w:cs="Times New Roman"/>
          <w:sz w:val="24"/>
          <w:szCs w:val="24"/>
          <w:lang w:val="en-GB"/>
        </w:rPr>
        <w:t xml:space="preserve">ales data related to </w:t>
      </w:r>
      <w:r w:rsidR="00B865B0" w:rsidRPr="00792D53">
        <w:rPr>
          <w:rFonts w:ascii="Times New Roman" w:hAnsi="Times New Roman" w:cs="Times New Roman"/>
          <w:sz w:val="24"/>
          <w:szCs w:val="24"/>
          <w:lang w:val="en-GB"/>
        </w:rPr>
        <w:t>a relevant market</w:t>
      </w:r>
      <w:r w:rsidR="00211DCD" w:rsidRPr="00792D53">
        <w:rPr>
          <w:rFonts w:ascii="Times New Roman" w:hAnsi="Times New Roman" w:cs="Times New Roman"/>
          <w:sz w:val="24"/>
          <w:szCs w:val="24"/>
          <w:lang w:val="en-GB"/>
        </w:rPr>
        <w:t>.</w:t>
      </w:r>
      <w:r w:rsidR="00850E93" w:rsidRPr="00792D53">
        <w:rPr>
          <w:lang w:val="en-GB"/>
        </w:rPr>
        <w:footnoteReference w:id="86"/>
      </w:r>
      <w:r w:rsidR="00211DCD" w:rsidRPr="00792D53">
        <w:rPr>
          <w:rFonts w:ascii="Times New Roman" w:hAnsi="Times New Roman" w:cs="Times New Roman"/>
          <w:sz w:val="24"/>
          <w:szCs w:val="24"/>
          <w:lang w:val="en-GB"/>
        </w:rPr>
        <w:t xml:space="preserve"> </w:t>
      </w:r>
      <w:r w:rsidR="00850E93" w:rsidRPr="00792D53">
        <w:rPr>
          <w:rFonts w:ascii="Times New Roman" w:hAnsi="Times New Roman" w:cs="Times New Roman"/>
          <w:sz w:val="24"/>
          <w:szCs w:val="24"/>
          <w:lang w:val="en-GB"/>
        </w:rPr>
        <w:t xml:space="preserve">Third, </w:t>
      </w:r>
      <w:r w:rsidR="00806BC0" w:rsidRPr="00792D53">
        <w:rPr>
          <w:rFonts w:ascii="Times New Roman" w:hAnsi="Times New Roman" w:cs="Times New Roman"/>
          <w:sz w:val="24"/>
          <w:szCs w:val="24"/>
          <w:lang w:val="en-GB"/>
        </w:rPr>
        <w:t>we</w:t>
      </w:r>
      <w:r w:rsidR="00D93C08" w:rsidRPr="00792D53">
        <w:rPr>
          <w:rFonts w:ascii="Times New Roman" w:hAnsi="Times New Roman" w:cs="Times New Roman"/>
          <w:sz w:val="24"/>
          <w:szCs w:val="24"/>
          <w:lang w:val="en-GB"/>
        </w:rPr>
        <w:t xml:space="preserve"> </w:t>
      </w:r>
      <w:r w:rsidR="00850E93" w:rsidRPr="00792D53">
        <w:rPr>
          <w:rFonts w:ascii="Times New Roman" w:hAnsi="Times New Roman" w:cs="Times New Roman"/>
          <w:sz w:val="24"/>
          <w:szCs w:val="24"/>
          <w:lang w:val="en-GB"/>
        </w:rPr>
        <w:t xml:space="preserve">can </w:t>
      </w:r>
      <w:r w:rsidR="00D93C08" w:rsidRPr="00792D53">
        <w:rPr>
          <w:rFonts w:ascii="Times New Roman" w:hAnsi="Times New Roman" w:cs="Times New Roman"/>
          <w:sz w:val="24"/>
          <w:szCs w:val="24"/>
          <w:lang w:val="en-GB"/>
        </w:rPr>
        <w:t xml:space="preserve">focus on </w:t>
      </w:r>
      <w:r w:rsidR="0000034A" w:rsidRPr="00792D53">
        <w:rPr>
          <w:rFonts w:ascii="Times New Roman" w:hAnsi="Times New Roman" w:cs="Times New Roman"/>
          <w:sz w:val="24"/>
          <w:szCs w:val="24"/>
          <w:lang w:val="en-GB"/>
        </w:rPr>
        <w:t xml:space="preserve">“reporting segments” in annual reports, which aggregate related lines of business under a common umbrella. </w:t>
      </w:r>
      <w:r w:rsidR="0053642C" w:rsidRPr="00792D53">
        <w:rPr>
          <w:rFonts w:ascii="Times New Roman" w:hAnsi="Times New Roman" w:cs="Times New Roman"/>
          <w:sz w:val="24"/>
          <w:szCs w:val="24"/>
          <w:lang w:val="en-GB"/>
        </w:rPr>
        <w:t xml:space="preserve">Segment data give </w:t>
      </w:r>
      <w:r w:rsidR="00316B40" w:rsidRPr="00792D53">
        <w:rPr>
          <w:rFonts w:ascii="Times New Roman" w:hAnsi="Times New Roman" w:cs="Times New Roman"/>
          <w:sz w:val="24"/>
          <w:szCs w:val="24"/>
          <w:lang w:val="en-GB"/>
        </w:rPr>
        <w:t xml:space="preserve">a </w:t>
      </w:r>
      <w:r w:rsidR="0053642C" w:rsidRPr="00792D53">
        <w:rPr>
          <w:rFonts w:ascii="Times New Roman" w:hAnsi="Times New Roman" w:cs="Times New Roman"/>
          <w:sz w:val="24"/>
          <w:szCs w:val="24"/>
          <w:lang w:val="en-GB"/>
        </w:rPr>
        <w:t xml:space="preserve">better idea of </w:t>
      </w:r>
      <w:r w:rsidR="00126D6E" w:rsidRPr="00792D53">
        <w:rPr>
          <w:rFonts w:ascii="Times New Roman" w:hAnsi="Times New Roman" w:cs="Times New Roman"/>
          <w:sz w:val="24"/>
          <w:szCs w:val="24"/>
          <w:lang w:val="en-GB"/>
        </w:rPr>
        <w:t xml:space="preserve">competitive sales </w:t>
      </w:r>
      <w:r w:rsidR="0086776B" w:rsidRPr="00792D53">
        <w:rPr>
          <w:rFonts w:ascii="Times New Roman" w:hAnsi="Times New Roman" w:cs="Times New Roman"/>
          <w:sz w:val="24"/>
          <w:szCs w:val="24"/>
          <w:lang w:val="en-GB"/>
        </w:rPr>
        <w:t xml:space="preserve">than </w:t>
      </w:r>
      <w:r w:rsidR="0038030C" w:rsidRPr="00792D53">
        <w:rPr>
          <w:rFonts w:ascii="Times New Roman" w:hAnsi="Times New Roman" w:cs="Times New Roman"/>
          <w:sz w:val="24"/>
          <w:szCs w:val="24"/>
          <w:lang w:val="en-GB"/>
        </w:rPr>
        <w:t xml:space="preserve">total </w:t>
      </w:r>
      <w:r w:rsidR="00980ED9" w:rsidRPr="00792D53">
        <w:rPr>
          <w:rFonts w:ascii="Times New Roman" w:hAnsi="Times New Roman" w:cs="Times New Roman"/>
          <w:sz w:val="24"/>
          <w:szCs w:val="24"/>
          <w:lang w:val="en-GB"/>
        </w:rPr>
        <w:t xml:space="preserve">revenue. </w:t>
      </w:r>
      <w:r w:rsidR="00596CCB" w:rsidRPr="00792D53">
        <w:rPr>
          <w:rFonts w:ascii="Times New Roman" w:hAnsi="Times New Roman" w:cs="Times New Roman"/>
          <w:sz w:val="24"/>
          <w:szCs w:val="24"/>
          <w:lang w:val="en-GB"/>
        </w:rPr>
        <w:t>But</w:t>
      </w:r>
      <w:r w:rsidR="00980ED9" w:rsidRPr="00792D53">
        <w:rPr>
          <w:rFonts w:ascii="Times New Roman" w:hAnsi="Times New Roman" w:cs="Times New Roman"/>
          <w:sz w:val="24"/>
          <w:szCs w:val="24"/>
          <w:lang w:val="en-GB"/>
        </w:rPr>
        <w:t xml:space="preserve"> </w:t>
      </w:r>
      <w:r w:rsidR="003341A2" w:rsidRPr="00792D53">
        <w:rPr>
          <w:rFonts w:ascii="Times New Roman" w:hAnsi="Times New Roman" w:cs="Times New Roman"/>
          <w:sz w:val="24"/>
          <w:szCs w:val="24"/>
          <w:lang w:val="en-GB"/>
        </w:rPr>
        <w:t xml:space="preserve">segment data does not </w:t>
      </w:r>
      <w:r w:rsidR="005161F3" w:rsidRPr="00792D53">
        <w:rPr>
          <w:rFonts w:ascii="Times New Roman" w:hAnsi="Times New Roman" w:cs="Times New Roman"/>
          <w:sz w:val="24"/>
          <w:szCs w:val="24"/>
          <w:lang w:val="en-GB"/>
        </w:rPr>
        <w:t>completely</w:t>
      </w:r>
      <w:r w:rsidR="003341A2" w:rsidRPr="00792D53">
        <w:rPr>
          <w:rFonts w:ascii="Times New Roman" w:hAnsi="Times New Roman" w:cs="Times New Roman"/>
          <w:sz w:val="24"/>
          <w:szCs w:val="24"/>
          <w:lang w:val="en-GB"/>
        </w:rPr>
        <w:t xml:space="preserve"> </w:t>
      </w:r>
      <w:r w:rsidR="00455847" w:rsidRPr="00792D53">
        <w:rPr>
          <w:rFonts w:ascii="Times New Roman" w:hAnsi="Times New Roman" w:cs="Times New Roman"/>
          <w:sz w:val="24"/>
          <w:szCs w:val="24"/>
          <w:lang w:val="en-GB"/>
        </w:rPr>
        <w:t xml:space="preserve">remove </w:t>
      </w:r>
      <w:r w:rsidR="00596CCB" w:rsidRPr="00792D53">
        <w:rPr>
          <w:rFonts w:ascii="Times New Roman" w:hAnsi="Times New Roman" w:cs="Times New Roman"/>
          <w:sz w:val="24"/>
          <w:szCs w:val="24"/>
          <w:lang w:val="en-GB"/>
        </w:rPr>
        <w:t xml:space="preserve">all </w:t>
      </w:r>
      <w:r w:rsidR="003341A2" w:rsidRPr="00792D53">
        <w:rPr>
          <w:rFonts w:ascii="Times New Roman" w:hAnsi="Times New Roman" w:cs="Times New Roman"/>
          <w:sz w:val="24"/>
          <w:szCs w:val="24"/>
          <w:lang w:val="en-GB"/>
        </w:rPr>
        <w:t xml:space="preserve">noise, as sales of related products are often </w:t>
      </w:r>
      <w:r w:rsidR="00455847" w:rsidRPr="00792D53">
        <w:rPr>
          <w:rFonts w:ascii="Times New Roman" w:hAnsi="Times New Roman" w:cs="Times New Roman"/>
          <w:sz w:val="24"/>
          <w:szCs w:val="24"/>
          <w:lang w:val="en-GB"/>
        </w:rPr>
        <w:t>lumped</w:t>
      </w:r>
      <w:r w:rsidR="003341A2" w:rsidRPr="00792D53">
        <w:rPr>
          <w:rFonts w:ascii="Times New Roman" w:hAnsi="Times New Roman" w:cs="Times New Roman"/>
          <w:sz w:val="24"/>
          <w:szCs w:val="24"/>
          <w:lang w:val="en-GB"/>
        </w:rPr>
        <w:t xml:space="preserve"> together in most segments.</w:t>
      </w:r>
      <w:r w:rsidR="00596CCB" w:rsidRPr="00C85521">
        <w:rPr>
          <w:rFonts w:ascii="Times New Roman" w:hAnsi="Times New Roman" w:cs="Times New Roman"/>
          <w:sz w:val="24"/>
          <w:szCs w:val="24"/>
          <w:vertAlign w:val="superscript"/>
          <w:lang w:val="en-GB"/>
        </w:rPr>
        <w:footnoteReference w:id="87"/>
      </w:r>
      <w:r w:rsidR="003341A2" w:rsidRPr="00C85521">
        <w:rPr>
          <w:rFonts w:ascii="Times New Roman" w:hAnsi="Times New Roman" w:cs="Times New Roman"/>
          <w:sz w:val="24"/>
          <w:szCs w:val="24"/>
          <w:vertAlign w:val="superscript"/>
          <w:lang w:val="en-GB"/>
        </w:rPr>
        <w:t xml:space="preserve"> </w:t>
      </w:r>
    </w:p>
    <w:p w14:paraId="209366E9" w14:textId="5ED58819" w:rsidR="006146C8" w:rsidRPr="00792D53" w:rsidRDefault="00F74390"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With these limitations in mind, w</w:t>
      </w:r>
      <w:r w:rsidR="00F21DE1" w:rsidRPr="00792D53">
        <w:rPr>
          <w:rFonts w:ascii="Times New Roman" w:hAnsi="Times New Roman" w:cs="Times New Roman"/>
          <w:sz w:val="24"/>
          <w:szCs w:val="24"/>
          <w:lang w:val="en-GB"/>
        </w:rPr>
        <w:t xml:space="preserve">e </w:t>
      </w:r>
      <w:r w:rsidRPr="00792D53">
        <w:rPr>
          <w:rFonts w:ascii="Times New Roman" w:hAnsi="Times New Roman" w:cs="Times New Roman"/>
          <w:sz w:val="24"/>
          <w:szCs w:val="24"/>
          <w:lang w:val="en-GB"/>
        </w:rPr>
        <w:t xml:space="preserve">use </w:t>
      </w:r>
      <w:r w:rsidR="00790CE2" w:rsidRPr="00792D53">
        <w:rPr>
          <w:rFonts w:ascii="Times New Roman" w:hAnsi="Times New Roman" w:cs="Times New Roman"/>
          <w:sz w:val="24"/>
          <w:szCs w:val="24"/>
          <w:lang w:val="en-GB"/>
        </w:rPr>
        <w:t xml:space="preserve">segment data as the basis of our analysis and focus on sales generated by </w:t>
      </w:r>
      <w:r w:rsidR="00317770" w:rsidRPr="00792D53">
        <w:rPr>
          <w:rFonts w:ascii="Times New Roman" w:hAnsi="Times New Roman" w:cs="Times New Roman"/>
          <w:sz w:val="24"/>
          <w:szCs w:val="24"/>
          <w:lang w:val="en-GB"/>
        </w:rPr>
        <w:t>rivals</w:t>
      </w:r>
      <w:r w:rsidR="00790CE2" w:rsidRPr="00792D53">
        <w:rPr>
          <w:rFonts w:ascii="Times New Roman" w:hAnsi="Times New Roman" w:cs="Times New Roman"/>
          <w:sz w:val="24"/>
          <w:szCs w:val="24"/>
          <w:lang w:val="en-GB"/>
        </w:rPr>
        <w:t xml:space="preserve"> on a YoY</w:t>
      </w:r>
      <w:r w:rsidR="009B3912" w:rsidRPr="00792D53">
        <w:rPr>
          <w:rFonts w:ascii="Times New Roman" w:hAnsi="Times New Roman" w:cs="Times New Roman"/>
          <w:sz w:val="24"/>
          <w:szCs w:val="24"/>
          <w:lang w:val="en-GB"/>
        </w:rPr>
        <w:t xml:space="preserve"> basis</w:t>
      </w:r>
      <w:r w:rsidR="00790CE2" w:rsidRPr="00792D53">
        <w:rPr>
          <w:rFonts w:ascii="Times New Roman" w:hAnsi="Times New Roman" w:cs="Times New Roman"/>
          <w:sz w:val="24"/>
          <w:szCs w:val="24"/>
          <w:lang w:val="en-GB"/>
        </w:rPr>
        <w:t>.</w:t>
      </w:r>
      <w:r w:rsidR="00243094" w:rsidRPr="00C85521">
        <w:rPr>
          <w:rFonts w:ascii="Times New Roman" w:hAnsi="Times New Roman" w:cs="Times New Roman"/>
          <w:sz w:val="24"/>
          <w:szCs w:val="24"/>
          <w:vertAlign w:val="superscript"/>
          <w:lang w:val="en-GB"/>
        </w:rPr>
        <w:footnoteReference w:id="88"/>
      </w:r>
      <w:r w:rsidR="00317770" w:rsidRPr="00792D53">
        <w:rPr>
          <w:rFonts w:ascii="Times New Roman" w:hAnsi="Times New Roman" w:cs="Times New Roman"/>
          <w:sz w:val="24"/>
          <w:szCs w:val="24"/>
          <w:lang w:val="en-GB"/>
        </w:rPr>
        <w:t xml:space="preserve"> We examine sales growth and sales distribution amongst rivals. </w:t>
      </w:r>
      <w:r w:rsidR="00934C29" w:rsidRPr="00792D53">
        <w:rPr>
          <w:rFonts w:ascii="Times New Roman" w:hAnsi="Times New Roman" w:cs="Times New Roman"/>
          <w:sz w:val="24"/>
          <w:szCs w:val="24"/>
          <w:lang w:val="en-GB"/>
        </w:rPr>
        <w:t xml:space="preserve"> </w:t>
      </w:r>
      <w:r w:rsidR="007C0E84" w:rsidRPr="00792D53">
        <w:rPr>
          <w:rFonts w:ascii="Times New Roman" w:hAnsi="Times New Roman" w:cs="Times New Roman"/>
          <w:sz w:val="24"/>
          <w:szCs w:val="24"/>
          <w:lang w:val="en-GB"/>
        </w:rPr>
        <w:t xml:space="preserve">We believe </w:t>
      </w:r>
      <w:r w:rsidR="00934C29" w:rsidRPr="00792D53">
        <w:rPr>
          <w:rFonts w:ascii="Times New Roman" w:hAnsi="Times New Roman" w:cs="Times New Roman"/>
          <w:sz w:val="24"/>
          <w:szCs w:val="24"/>
          <w:lang w:val="en-GB"/>
        </w:rPr>
        <w:t>analyzing segment-level data yields</w:t>
      </w:r>
      <w:r w:rsidR="000A5757" w:rsidRPr="00792D53">
        <w:rPr>
          <w:rFonts w:ascii="Times New Roman" w:hAnsi="Times New Roman" w:cs="Times New Roman"/>
          <w:sz w:val="24"/>
          <w:szCs w:val="24"/>
          <w:lang w:val="en-GB"/>
        </w:rPr>
        <w:t xml:space="preserve"> </w:t>
      </w:r>
      <w:r w:rsidR="00E8330A" w:rsidRPr="00792D53">
        <w:rPr>
          <w:rFonts w:ascii="Times New Roman" w:hAnsi="Times New Roman" w:cs="Times New Roman"/>
          <w:sz w:val="24"/>
          <w:szCs w:val="24"/>
          <w:lang w:val="en-GB"/>
        </w:rPr>
        <w:t>three</w:t>
      </w:r>
      <w:r w:rsidR="004E0229" w:rsidRPr="00792D53">
        <w:rPr>
          <w:rFonts w:ascii="Times New Roman" w:hAnsi="Times New Roman" w:cs="Times New Roman"/>
          <w:sz w:val="24"/>
          <w:szCs w:val="24"/>
          <w:lang w:val="en-GB"/>
        </w:rPr>
        <w:t xml:space="preserve"> </w:t>
      </w:r>
      <w:r w:rsidR="000A5757" w:rsidRPr="00792D53">
        <w:rPr>
          <w:rFonts w:ascii="Times New Roman" w:hAnsi="Times New Roman" w:cs="Times New Roman"/>
          <w:sz w:val="24"/>
          <w:szCs w:val="24"/>
          <w:lang w:val="en-GB"/>
        </w:rPr>
        <w:t>relevant information</w:t>
      </w:r>
      <w:r w:rsidR="00A31F18" w:rsidRPr="00792D53">
        <w:rPr>
          <w:rFonts w:ascii="Times New Roman" w:hAnsi="Times New Roman" w:cs="Times New Roman"/>
          <w:sz w:val="24"/>
          <w:szCs w:val="24"/>
          <w:lang w:val="en-GB"/>
        </w:rPr>
        <w:t xml:space="preserve"> signals</w:t>
      </w:r>
      <w:r w:rsidR="000A5757" w:rsidRPr="00792D53">
        <w:rPr>
          <w:rFonts w:ascii="Times New Roman" w:hAnsi="Times New Roman" w:cs="Times New Roman"/>
          <w:sz w:val="24"/>
          <w:szCs w:val="24"/>
          <w:lang w:val="en-GB"/>
        </w:rPr>
        <w:t xml:space="preserve">. </w:t>
      </w:r>
      <w:r w:rsidR="004E0229" w:rsidRPr="00792D53">
        <w:rPr>
          <w:rFonts w:ascii="Times New Roman" w:hAnsi="Times New Roman" w:cs="Times New Roman"/>
          <w:sz w:val="24"/>
          <w:szCs w:val="24"/>
          <w:lang w:val="en-GB"/>
        </w:rPr>
        <w:t>First</w:t>
      </w:r>
      <w:r w:rsidR="000A5757" w:rsidRPr="00792D53">
        <w:rPr>
          <w:rFonts w:ascii="Times New Roman" w:hAnsi="Times New Roman" w:cs="Times New Roman"/>
          <w:sz w:val="24"/>
          <w:szCs w:val="24"/>
          <w:lang w:val="en-GB"/>
        </w:rPr>
        <w:t xml:space="preserve">, the evolution of </w:t>
      </w:r>
      <w:r w:rsidR="00F03976" w:rsidRPr="00792D53">
        <w:rPr>
          <w:rFonts w:ascii="Times New Roman" w:hAnsi="Times New Roman" w:cs="Times New Roman"/>
          <w:sz w:val="24"/>
          <w:szCs w:val="24"/>
          <w:lang w:val="en-GB"/>
        </w:rPr>
        <w:t>segment</w:t>
      </w:r>
      <w:r w:rsidR="000A5757" w:rsidRPr="00792D53">
        <w:rPr>
          <w:rFonts w:ascii="Times New Roman" w:hAnsi="Times New Roman" w:cs="Times New Roman"/>
          <w:sz w:val="24"/>
          <w:szCs w:val="24"/>
          <w:lang w:val="en-GB"/>
        </w:rPr>
        <w:t xml:space="preserve"> level sales of </w:t>
      </w:r>
      <w:r w:rsidR="00F03976" w:rsidRPr="00792D53">
        <w:rPr>
          <w:rFonts w:ascii="Times New Roman" w:hAnsi="Times New Roman" w:cs="Times New Roman"/>
          <w:sz w:val="24"/>
          <w:szCs w:val="24"/>
          <w:lang w:val="en-GB"/>
        </w:rPr>
        <w:t>the industry</w:t>
      </w:r>
      <w:r w:rsidR="000A5757" w:rsidRPr="00792D53">
        <w:rPr>
          <w:rFonts w:ascii="Times New Roman" w:hAnsi="Times New Roman" w:cs="Times New Roman"/>
          <w:sz w:val="24"/>
          <w:szCs w:val="24"/>
          <w:lang w:val="en-GB"/>
        </w:rPr>
        <w:t xml:space="preserve"> </w:t>
      </w:r>
      <w:r w:rsidR="00F03976" w:rsidRPr="00792D53">
        <w:rPr>
          <w:rFonts w:ascii="Times New Roman" w:hAnsi="Times New Roman" w:cs="Times New Roman"/>
          <w:sz w:val="24"/>
          <w:szCs w:val="24"/>
          <w:lang w:val="en-GB"/>
        </w:rPr>
        <w:t>conveys</w:t>
      </w:r>
      <w:r w:rsidR="004E0229" w:rsidRPr="00792D53">
        <w:rPr>
          <w:rFonts w:ascii="Times New Roman" w:hAnsi="Times New Roman" w:cs="Times New Roman"/>
          <w:sz w:val="24"/>
          <w:szCs w:val="24"/>
          <w:lang w:val="en-GB"/>
        </w:rPr>
        <w:t xml:space="preserve"> </w:t>
      </w:r>
      <w:r w:rsidR="00732E06" w:rsidRPr="00792D53">
        <w:rPr>
          <w:rFonts w:ascii="Times New Roman" w:hAnsi="Times New Roman" w:cs="Times New Roman"/>
          <w:sz w:val="24"/>
          <w:szCs w:val="24"/>
          <w:lang w:val="en-GB"/>
        </w:rPr>
        <w:t xml:space="preserve">information on the “kill”. </w:t>
      </w:r>
      <w:r w:rsidR="004A351E" w:rsidRPr="00792D53">
        <w:rPr>
          <w:rFonts w:ascii="Times New Roman" w:hAnsi="Times New Roman" w:cs="Times New Roman"/>
          <w:sz w:val="24"/>
          <w:szCs w:val="24"/>
          <w:lang w:val="en-GB"/>
        </w:rPr>
        <w:t>T</w:t>
      </w:r>
      <w:r w:rsidR="008B108F" w:rsidRPr="00792D53">
        <w:rPr>
          <w:rFonts w:ascii="Times New Roman" w:hAnsi="Times New Roman" w:cs="Times New Roman"/>
          <w:sz w:val="24"/>
          <w:szCs w:val="24"/>
          <w:lang w:val="en-GB"/>
        </w:rPr>
        <w:t xml:space="preserve">o be more accurate, </w:t>
      </w:r>
      <w:r w:rsidR="004A351E" w:rsidRPr="00792D53">
        <w:rPr>
          <w:rFonts w:ascii="Times New Roman" w:hAnsi="Times New Roman" w:cs="Times New Roman"/>
          <w:sz w:val="24"/>
          <w:szCs w:val="24"/>
          <w:lang w:val="en-GB"/>
        </w:rPr>
        <w:t xml:space="preserve">an increase in </w:t>
      </w:r>
      <w:r w:rsidR="00F03976" w:rsidRPr="00792D53">
        <w:rPr>
          <w:rFonts w:ascii="Times New Roman" w:hAnsi="Times New Roman" w:cs="Times New Roman"/>
          <w:sz w:val="24"/>
          <w:szCs w:val="24"/>
          <w:lang w:val="en-GB"/>
        </w:rPr>
        <w:t>segment-</w:t>
      </w:r>
      <w:r w:rsidR="004A351E" w:rsidRPr="00792D53">
        <w:rPr>
          <w:rFonts w:ascii="Times New Roman" w:hAnsi="Times New Roman" w:cs="Times New Roman"/>
          <w:sz w:val="24"/>
          <w:szCs w:val="24"/>
          <w:lang w:val="en-GB"/>
        </w:rPr>
        <w:t>level sales</w:t>
      </w:r>
      <w:r w:rsidR="00F03976" w:rsidRPr="00792D53">
        <w:rPr>
          <w:rFonts w:ascii="Times New Roman" w:hAnsi="Times New Roman" w:cs="Times New Roman"/>
          <w:sz w:val="24"/>
          <w:szCs w:val="24"/>
          <w:lang w:val="en-GB"/>
        </w:rPr>
        <w:t xml:space="preserve"> in the industry</w:t>
      </w:r>
      <w:r w:rsidR="004A351E" w:rsidRPr="00792D53">
        <w:rPr>
          <w:rFonts w:ascii="Times New Roman" w:hAnsi="Times New Roman" w:cs="Times New Roman"/>
          <w:sz w:val="24"/>
          <w:szCs w:val="24"/>
          <w:lang w:val="en-GB"/>
        </w:rPr>
        <w:t xml:space="preserve"> indicates that the </w:t>
      </w:r>
      <w:r w:rsidR="008B108F" w:rsidRPr="00792D53">
        <w:rPr>
          <w:rFonts w:ascii="Times New Roman" w:hAnsi="Times New Roman" w:cs="Times New Roman"/>
          <w:sz w:val="24"/>
          <w:szCs w:val="24"/>
          <w:lang w:val="en-GB"/>
        </w:rPr>
        <w:t>kill</w:t>
      </w:r>
      <w:r w:rsidR="001D2CD8" w:rsidRPr="00792D53">
        <w:rPr>
          <w:rFonts w:ascii="Times New Roman" w:hAnsi="Times New Roman" w:cs="Times New Roman"/>
          <w:sz w:val="24"/>
          <w:szCs w:val="24"/>
          <w:lang w:val="en-GB"/>
        </w:rPr>
        <w:t xml:space="preserve"> (if </w:t>
      </w:r>
      <w:r w:rsidR="004A351E" w:rsidRPr="00792D53">
        <w:rPr>
          <w:rFonts w:ascii="Times New Roman" w:hAnsi="Times New Roman" w:cs="Times New Roman"/>
          <w:sz w:val="24"/>
          <w:szCs w:val="24"/>
          <w:lang w:val="en-GB"/>
        </w:rPr>
        <w:t>any</w:t>
      </w:r>
      <w:r w:rsidR="001D2CD8" w:rsidRPr="00792D53">
        <w:rPr>
          <w:rFonts w:ascii="Times New Roman" w:hAnsi="Times New Roman" w:cs="Times New Roman"/>
          <w:sz w:val="24"/>
          <w:szCs w:val="24"/>
          <w:lang w:val="en-GB"/>
        </w:rPr>
        <w:t xml:space="preserve">) </w:t>
      </w:r>
      <w:r w:rsidR="008B108F" w:rsidRPr="00792D53">
        <w:rPr>
          <w:rFonts w:ascii="Times New Roman" w:hAnsi="Times New Roman" w:cs="Times New Roman"/>
          <w:sz w:val="24"/>
          <w:szCs w:val="24"/>
          <w:lang w:val="en-GB"/>
        </w:rPr>
        <w:t xml:space="preserve">is </w:t>
      </w:r>
      <w:r w:rsidR="002A3E6C" w:rsidRPr="00792D53">
        <w:rPr>
          <w:rFonts w:ascii="Times New Roman" w:hAnsi="Times New Roman" w:cs="Times New Roman"/>
          <w:sz w:val="24"/>
          <w:szCs w:val="24"/>
          <w:lang w:val="en-GB"/>
        </w:rPr>
        <w:t xml:space="preserve">not as </w:t>
      </w:r>
      <w:r w:rsidR="008B108F" w:rsidRPr="00792D53">
        <w:rPr>
          <w:rFonts w:ascii="Times New Roman" w:hAnsi="Times New Roman" w:cs="Times New Roman"/>
          <w:sz w:val="24"/>
          <w:szCs w:val="24"/>
          <w:lang w:val="en-GB"/>
        </w:rPr>
        <w:t>problematic</w:t>
      </w:r>
      <w:r w:rsidR="001D2CD8" w:rsidRPr="00792D53">
        <w:rPr>
          <w:rFonts w:ascii="Times New Roman" w:hAnsi="Times New Roman" w:cs="Times New Roman"/>
          <w:sz w:val="24"/>
          <w:szCs w:val="24"/>
          <w:lang w:val="en-GB"/>
        </w:rPr>
        <w:t xml:space="preserve"> </w:t>
      </w:r>
      <w:r w:rsidR="002A3E6C" w:rsidRPr="00792D53">
        <w:rPr>
          <w:rFonts w:ascii="Times New Roman" w:hAnsi="Times New Roman" w:cs="Times New Roman"/>
          <w:sz w:val="24"/>
          <w:szCs w:val="24"/>
          <w:lang w:val="en-GB"/>
        </w:rPr>
        <w:t xml:space="preserve">as might be thought </w:t>
      </w:r>
      <w:r w:rsidR="001D2CD8" w:rsidRPr="00792D53">
        <w:rPr>
          <w:rFonts w:ascii="Times New Roman" w:hAnsi="Times New Roman" w:cs="Times New Roman"/>
          <w:sz w:val="24"/>
          <w:szCs w:val="24"/>
          <w:lang w:val="en-GB"/>
        </w:rPr>
        <w:t>because it is followed by growth, not decline</w:t>
      </w:r>
      <w:r w:rsidR="004A351E" w:rsidRPr="00792D53">
        <w:rPr>
          <w:rFonts w:ascii="Times New Roman" w:hAnsi="Times New Roman" w:cs="Times New Roman"/>
          <w:sz w:val="24"/>
          <w:szCs w:val="24"/>
          <w:lang w:val="en-GB"/>
        </w:rPr>
        <w:t xml:space="preserve">. </w:t>
      </w:r>
      <w:r w:rsidR="004E0229" w:rsidRPr="00792D53">
        <w:rPr>
          <w:rFonts w:ascii="Times New Roman" w:hAnsi="Times New Roman" w:cs="Times New Roman"/>
          <w:sz w:val="24"/>
          <w:szCs w:val="24"/>
          <w:lang w:val="en-GB"/>
        </w:rPr>
        <w:t>Second</w:t>
      </w:r>
      <w:r w:rsidR="00732E06" w:rsidRPr="00792D53">
        <w:rPr>
          <w:rFonts w:ascii="Times New Roman" w:hAnsi="Times New Roman" w:cs="Times New Roman"/>
          <w:sz w:val="24"/>
          <w:szCs w:val="24"/>
          <w:lang w:val="en-GB"/>
        </w:rPr>
        <w:t xml:space="preserve">, the evolution of </w:t>
      </w:r>
      <w:r w:rsidR="00292CFC" w:rsidRPr="00792D53">
        <w:rPr>
          <w:rFonts w:ascii="Times New Roman" w:hAnsi="Times New Roman" w:cs="Times New Roman"/>
          <w:sz w:val="24"/>
          <w:szCs w:val="24"/>
          <w:lang w:val="en-GB"/>
        </w:rPr>
        <w:t>SI</w:t>
      </w:r>
      <w:r w:rsidR="009B3912" w:rsidRPr="00792D53">
        <w:rPr>
          <w:rFonts w:ascii="Times New Roman" w:hAnsi="Times New Roman" w:cs="Times New Roman"/>
          <w:sz w:val="24"/>
          <w:szCs w:val="24"/>
          <w:lang w:val="en-GB"/>
        </w:rPr>
        <w:t>C</w:t>
      </w:r>
      <w:r w:rsidR="00292CFC" w:rsidRPr="00792D53">
        <w:rPr>
          <w:rFonts w:ascii="Times New Roman" w:hAnsi="Times New Roman" w:cs="Times New Roman"/>
          <w:sz w:val="24"/>
          <w:szCs w:val="24"/>
          <w:lang w:val="en-GB"/>
        </w:rPr>
        <w:t xml:space="preserve"> give</w:t>
      </w:r>
      <w:r w:rsidR="00E8330A" w:rsidRPr="00792D53">
        <w:rPr>
          <w:rFonts w:ascii="Times New Roman" w:hAnsi="Times New Roman" w:cs="Times New Roman"/>
          <w:sz w:val="24"/>
          <w:szCs w:val="24"/>
          <w:lang w:val="en-GB"/>
        </w:rPr>
        <w:t>s</w:t>
      </w:r>
      <w:r w:rsidR="00292CFC" w:rsidRPr="00792D53">
        <w:rPr>
          <w:rFonts w:ascii="Times New Roman" w:hAnsi="Times New Roman" w:cs="Times New Roman"/>
          <w:sz w:val="24"/>
          <w:szCs w:val="24"/>
          <w:lang w:val="en-GB"/>
        </w:rPr>
        <w:t xml:space="preserve"> us </w:t>
      </w:r>
      <w:r w:rsidR="00AA385D" w:rsidRPr="00792D53">
        <w:rPr>
          <w:rFonts w:ascii="Times New Roman" w:hAnsi="Times New Roman" w:cs="Times New Roman"/>
          <w:sz w:val="24"/>
          <w:szCs w:val="24"/>
          <w:lang w:val="en-GB"/>
        </w:rPr>
        <w:t xml:space="preserve">an </w:t>
      </w:r>
      <w:r w:rsidR="002F538D" w:rsidRPr="00792D53">
        <w:rPr>
          <w:rFonts w:ascii="Times New Roman" w:hAnsi="Times New Roman" w:cs="Times New Roman"/>
          <w:sz w:val="24"/>
          <w:szCs w:val="24"/>
          <w:lang w:val="en-GB"/>
        </w:rPr>
        <w:t xml:space="preserve">idea </w:t>
      </w:r>
      <w:r w:rsidR="00AA385D" w:rsidRPr="00792D53">
        <w:rPr>
          <w:rFonts w:ascii="Times New Roman" w:hAnsi="Times New Roman" w:cs="Times New Roman"/>
          <w:sz w:val="24"/>
          <w:szCs w:val="24"/>
          <w:lang w:val="en-GB"/>
        </w:rPr>
        <w:t xml:space="preserve">of </w:t>
      </w:r>
      <w:r w:rsidR="000A020D" w:rsidRPr="00792D53">
        <w:rPr>
          <w:rFonts w:ascii="Times New Roman" w:hAnsi="Times New Roman" w:cs="Times New Roman"/>
          <w:sz w:val="24"/>
          <w:szCs w:val="24"/>
          <w:lang w:val="en-GB"/>
        </w:rPr>
        <w:t xml:space="preserve">whether </w:t>
      </w:r>
      <w:r w:rsidR="00633F54" w:rsidRPr="00792D53">
        <w:rPr>
          <w:rFonts w:ascii="Times New Roman" w:hAnsi="Times New Roman" w:cs="Times New Roman"/>
          <w:sz w:val="24"/>
          <w:szCs w:val="24"/>
          <w:lang w:val="en-GB"/>
        </w:rPr>
        <w:t xml:space="preserve">there is </w:t>
      </w:r>
      <w:r w:rsidR="00224070" w:rsidRPr="00792D53">
        <w:rPr>
          <w:rFonts w:ascii="Times New Roman" w:hAnsi="Times New Roman" w:cs="Times New Roman"/>
          <w:sz w:val="24"/>
          <w:szCs w:val="24"/>
          <w:lang w:val="en-GB"/>
        </w:rPr>
        <w:t>competitor</w:t>
      </w:r>
      <w:r w:rsidR="00633F54" w:rsidRPr="00792D53">
        <w:rPr>
          <w:rFonts w:ascii="Times New Roman" w:hAnsi="Times New Roman" w:cs="Times New Roman"/>
          <w:sz w:val="24"/>
          <w:szCs w:val="24"/>
          <w:lang w:val="en-GB"/>
        </w:rPr>
        <w:t xml:space="preserve"> </w:t>
      </w:r>
      <w:r w:rsidR="00292CFC" w:rsidRPr="00792D53">
        <w:rPr>
          <w:rFonts w:ascii="Times New Roman" w:hAnsi="Times New Roman" w:cs="Times New Roman"/>
          <w:sz w:val="24"/>
          <w:szCs w:val="24"/>
          <w:lang w:val="en-GB"/>
        </w:rPr>
        <w:t>expansion</w:t>
      </w:r>
      <w:r w:rsidR="003A0407" w:rsidRPr="00792D53">
        <w:rPr>
          <w:rFonts w:ascii="Times New Roman" w:hAnsi="Times New Roman" w:cs="Times New Roman"/>
          <w:sz w:val="24"/>
          <w:szCs w:val="24"/>
          <w:lang w:val="en-GB"/>
        </w:rPr>
        <w:t xml:space="preserve"> or</w:t>
      </w:r>
      <w:r w:rsidR="004855E7" w:rsidRPr="00792D53">
        <w:rPr>
          <w:rFonts w:ascii="Times New Roman" w:hAnsi="Times New Roman" w:cs="Times New Roman"/>
          <w:sz w:val="24"/>
          <w:szCs w:val="24"/>
          <w:lang w:val="en-GB"/>
        </w:rPr>
        <w:t xml:space="preserve"> not </w:t>
      </w:r>
      <w:r w:rsidR="002F538D" w:rsidRPr="00792D53">
        <w:rPr>
          <w:rFonts w:ascii="Times New Roman" w:hAnsi="Times New Roman" w:cs="Times New Roman"/>
          <w:sz w:val="24"/>
          <w:szCs w:val="24"/>
          <w:lang w:val="en-GB"/>
        </w:rPr>
        <w:t xml:space="preserve">in response to the merger. </w:t>
      </w:r>
      <w:r w:rsidR="00AA232F" w:rsidRPr="00792D53">
        <w:rPr>
          <w:rFonts w:ascii="Times New Roman" w:hAnsi="Times New Roman" w:cs="Times New Roman"/>
          <w:sz w:val="24"/>
          <w:szCs w:val="24"/>
          <w:lang w:val="en-GB"/>
        </w:rPr>
        <w:t>As noted, segment</w:t>
      </w:r>
      <w:r w:rsidR="00A622FE" w:rsidRPr="00792D53">
        <w:rPr>
          <w:rFonts w:ascii="Times New Roman" w:hAnsi="Times New Roman" w:cs="Times New Roman"/>
          <w:sz w:val="24"/>
          <w:szCs w:val="24"/>
          <w:lang w:val="en-GB"/>
        </w:rPr>
        <w:t>s lump together sales of different but related products. Thus,</w:t>
      </w:r>
      <w:r w:rsidR="00861ABD" w:rsidRPr="00792D53">
        <w:rPr>
          <w:rFonts w:ascii="Times New Roman" w:hAnsi="Times New Roman" w:cs="Times New Roman"/>
          <w:sz w:val="24"/>
          <w:szCs w:val="24"/>
          <w:lang w:val="en-GB"/>
        </w:rPr>
        <w:t xml:space="preserve"> </w:t>
      </w:r>
      <w:r w:rsidR="001D2CD8" w:rsidRPr="00792D53">
        <w:rPr>
          <w:rFonts w:ascii="Times New Roman" w:hAnsi="Times New Roman" w:cs="Times New Roman"/>
          <w:sz w:val="24"/>
          <w:szCs w:val="24"/>
          <w:lang w:val="en-GB"/>
        </w:rPr>
        <w:t xml:space="preserve">rival </w:t>
      </w:r>
      <w:r w:rsidR="001D2CD8" w:rsidRPr="00792D53">
        <w:rPr>
          <w:rFonts w:ascii="Times New Roman" w:hAnsi="Times New Roman" w:cs="Times New Roman"/>
          <w:sz w:val="24"/>
          <w:szCs w:val="24"/>
          <w:lang w:val="en-GB"/>
        </w:rPr>
        <w:lastRenderedPageBreak/>
        <w:t>expansion at the segment level indicates growth in substitutes or complements</w:t>
      </w:r>
      <w:r w:rsidR="00861ABD" w:rsidRPr="00792D53">
        <w:rPr>
          <w:rFonts w:ascii="Times New Roman" w:hAnsi="Times New Roman" w:cs="Times New Roman"/>
          <w:sz w:val="24"/>
          <w:szCs w:val="24"/>
          <w:lang w:val="en-GB"/>
        </w:rPr>
        <w:t xml:space="preserve">, </w:t>
      </w:r>
      <w:r w:rsidR="006351CD" w:rsidRPr="00792D53">
        <w:rPr>
          <w:rFonts w:ascii="Times New Roman" w:hAnsi="Times New Roman" w:cs="Times New Roman"/>
          <w:sz w:val="24"/>
          <w:szCs w:val="24"/>
          <w:lang w:val="en-GB"/>
        </w:rPr>
        <w:t>and both</w:t>
      </w:r>
      <w:r w:rsidR="000B7336" w:rsidRPr="00792D53">
        <w:rPr>
          <w:rFonts w:ascii="Times New Roman" w:hAnsi="Times New Roman" w:cs="Times New Roman"/>
          <w:sz w:val="24"/>
          <w:szCs w:val="24"/>
          <w:lang w:val="en-GB"/>
        </w:rPr>
        <w:t xml:space="preserve"> </w:t>
      </w:r>
      <w:r w:rsidR="006351CD" w:rsidRPr="00792D53">
        <w:rPr>
          <w:rFonts w:ascii="Times New Roman" w:hAnsi="Times New Roman" w:cs="Times New Roman"/>
          <w:sz w:val="24"/>
          <w:szCs w:val="24"/>
          <w:lang w:val="en-GB"/>
        </w:rPr>
        <w:t xml:space="preserve">suggest </w:t>
      </w:r>
      <w:r w:rsidR="008C7F7D" w:rsidRPr="00792D53">
        <w:rPr>
          <w:rFonts w:ascii="Times New Roman" w:hAnsi="Times New Roman" w:cs="Times New Roman"/>
          <w:sz w:val="24"/>
          <w:szCs w:val="24"/>
          <w:lang w:val="en-GB"/>
        </w:rPr>
        <w:t xml:space="preserve">the merger </w:t>
      </w:r>
      <w:r w:rsidR="006351CD" w:rsidRPr="00792D53">
        <w:rPr>
          <w:rFonts w:ascii="Times New Roman" w:hAnsi="Times New Roman" w:cs="Times New Roman"/>
          <w:sz w:val="24"/>
          <w:szCs w:val="24"/>
          <w:lang w:val="en-GB"/>
        </w:rPr>
        <w:t xml:space="preserve">was </w:t>
      </w:r>
      <w:r w:rsidR="008C7F7D" w:rsidRPr="00792D53">
        <w:rPr>
          <w:rFonts w:ascii="Times New Roman" w:hAnsi="Times New Roman" w:cs="Times New Roman"/>
          <w:sz w:val="24"/>
          <w:szCs w:val="24"/>
          <w:lang w:val="en-GB"/>
        </w:rPr>
        <w:t>unproblematic</w:t>
      </w:r>
      <w:r w:rsidR="00861ABD" w:rsidRPr="00792D53">
        <w:rPr>
          <w:rFonts w:ascii="Times New Roman" w:hAnsi="Times New Roman" w:cs="Times New Roman"/>
          <w:sz w:val="24"/>
          <w:szCs w:val="24"/>
          <w:lang w:val="en-GB"/>
        </w:rPr>
        <w:t xml:space="preserve">. </w:t>
      </w:r>
      <w:r w:rsidR="005375FB" w:rsidRPr="00792D53">
        <w:rPr>
          <w:rFonts w:ascii="Times New Roman" w:hAnsi="Times New Roman" w:cs="Times New Roman"/>
          <w:sz w:val="24"/>
          <w:szCs w:val="24"/>
          <w:lang w:val="en-GB"/>
        </w:rPr>
        <w:t>The economic intuition is easy to understand.</w:t>
      </w:r>
      <w:r w:rsidR="000B7336" w:rsidRPr="00792D53">
        <w:rPr>
          <w:rFonts w:ascii="Times New Roman" w:hAnsi="Times New Roman" w:cs="Times New Roman"/>
          <w:sz w:val="24"/>
          <w:szCs w:val="24"/>
          <w:lang w:val="en-GB"/>
        </w:rPr>
        <w:t xml:space="preserve"> </w:t>
      </w:r>
      <w:r w:rsidR="005375FB" w:rsidRPr="00792D53">
        <w:rPr>
          <w:rFonts w:ascii="Times New Roman" w:hAnsi="Times New Roman" w:cs="Times New Roman"/>
          <w:sz w:val="24"/>
          <w:szCs w:val="24"/>
          <w:lang w:val="en-GB"/>
        </w:rPr>
        <w:t xml:space="preserve">Growth </w:t>
      </w:r>
      <w:r w:rsidR="00861ABD" w:rsidRPr="00792D53">
        <w:rPr>
          <w:rFonts w:ascii="Times New Roman" w:hAnsi="Times New Roman" w:cs="Times New Roman"/>
          <w:sz w:val="24"/>
          <w:szCs w:val="24"/>
          <w:lang w:val="en-GB"/>
        </w:rPr>
        <w:t>in substitute</w:t>
      </w:r>
      <w:r w:rsidR="000B7336" w:rsidRPr="00792D53">
        <w:rPr>
          <w:rFonts w:ascii="Times New Roman" w:hAnsi="Times New Roman" w:cs="Times New Roman"/>
          <w:sz w:val="24"/>
          <w:szCs w:val="24"/>
          <w:lang w:val="en-GB"/>
        </w:rPr>
        <w:t>s</w:t>
      </w:r>
      <w:r w:rsidR="00861ABD" w:rsidRPr="00792D53">
        <w:rPr>
          <w:rFonts w:ascii="Times New Roman" w:hAnsi="Times New Roman" w:cs="Times New Roman"/>
          <w:sz w:val="24"/>
          <w:szCs w:val="24"/>
          <w:lang w:val="en-GB"/>
        </w:rPr>
        <w:t xml:space="preserve"> indicates rising rivalry</w:t>
      </w:r>
      <w:r w:rsidR="008C7F7D" w:rsidRPr="00792D53">
        <w:rPr>
          <w:rFonts w:ascii="Times New Roman" w:hAnsi="Times New Roman" w:cs="Times New Roman"/>
          <w:sz w:val="24"/>
          <w:szCs w:val="24"/>
          <w:lang w:val="en-GB"/>
        </w:rPr>
        <w:t>, and</w:t>
      </w:r>
      <w:r w:rsidR="00861ABD" w:rsidRPr="00792D53">
        <w:rPr>
          <w:rFonts w:ascii="Times New Roman" w:hAnsi="Times New Roman" w:cs="Times New Roman"/>
          <w:sz w:val="24"/>
          <w:szCs w:val="24"/>
          <w:lang w:val="en-GB"/>
        </w:rPr>
        <w:t xml:space="preserve"> </w:t>
      </w:r>
      <w:r w:rsidR="008C7F7D" w:rsidRPr="00792D53">
        <w:rPr>
          <w:rFonts w:ascii="Times New Roman" w:hAnsi="Times New Roman" w:cs="Times New Roman"/>
          <w:sz w:val="24"/>
          <w:szCs w:val="24"/>
          <w:lang w:val="en-GB"/>
        </w:rPr>
        <w:t>g</w:t>
      </w:r>
      <w:r w:rsidR="00861ABD" w:rsidRPr="00792D53">
        <w:rPr>
          <w:rFonts w:ascii="Times New Roman" w:hAnsi="Times New Roman" w:cs="Times New Roman"/>
          <w:sz w:val="24"/>
          <w:szCs w:val="24"/>
          <w:lang w:val="en-GB"/>
        </w:rPr>
        <w:t>rowth in complements indicates absence of killing.</w:t>
      </w:r>
      <w:r w:rsidR="006351CD" w:rsidRPr="00C85521">
        <w:rPr>
          <w:rFonts w:ascii="Times New Roman" w:hAnsi="Times New Roman" w:cs="Times New Roman"/>
          <w:sz w:val="24"/>
          <w:szCs w:val="24"/>
          <w:vertAlign w:val="superscript"/>
          <w:lang w:val="en-GB"/>
        </w:rPr>
        <w:footnoteReference w:id="89"/>
      </w:r>
      <w:r w:rsidR="00861ABD" w:rsidRPr="00C85521">
        <w:rPr>
          <w:rFonts w:ascii="Times New Roman" w:hAnsi="Times New Roman" w:cs="Times New Roman"/>
          <w:sz w:val="24"/>
          <w:szCs w:val="24"/>
          <w:vertAlign w:val="superscript"/>
          <w:lang w:val="en-GB"/>
        </w:rPr>
        <w:t xml:space="preserve"> </w:t>
      </w:r>
      <w:r w:rsidR="002F538D" w:rsidRPr="00792D53">
        <w:rPr>
          <w:rFonts w:ascii="Times New Roman" w:hAnsi="Times New Roman" w:cs="Times New Roman"/>
          <w:sz w:val="24"/>
          <w:szCs w:val="24"/>
          <w:lang w:val="en-GB"/>
        </w:rPr>
        <w:t>Third</w:t>
      </w:r>
      <w:r w:rsidR="004855E7" w:rsidRPr="00792D53">
        <w:rPr>
          <w:rFonts w:ascii="Times New Roman" w:hAnsi="Times New Roman" w:cs="Times New Roman"/>
          <w:sz w:val="24"/>
          <w:szCs w:val="24"/>
          <w:lang w:val="en-GB"/>
        </w:rPr>
        <w:t xml:space="preserve">, </w:t>
      </w:r>
      <w:r w:rsidR="002F538D" w:rsidRPr="00792D53">
        <w:rPr>
          <w:rFonts w:ascii="Times New Roman" w:hAnsi="Times New Roman" w:cs="Times New Roman"/>
          <w:sz w:val="24"/>
          <w:szCs w:val="24"/>
          <w:lang w:val="en-GB"/>
        </w:rPr>
        <w:t xml:space="preserve">the evolution of </w:t>
      </w:r>
      <w:r w:rsidR="003A135B" w:rsidRPr="00792D53">
        <w:rPr>
          <w:rFonts w:ascii="Times New Roman" w:hAnsi="Times New Roman" w:cs="Times New Roman"/>
          <w:sz w:val="24"/>
          <w:szCs w:val="24"/>
          <w:lang w:val="en-GB"/>
        </w:rPr>
        <w:t>segmen</w:t>
      </w:r>
      <w:r w:rsidR="00087F10" w:rsidRPr="00792D53">
        <w:rPr>
          <w:rFonts w:ascii="Times New Roman" w:hAnsi="Times New Roman" w:cs="Times New Roman"/>
          <w:sz w:val="24"/>
          <w:szCs w:val="24"/>
          <w:lang w:val="en-GB"/>
        </w:rPr>
        <w:t>t-</w:t>
      </w:r>
      <w:r w:rsidR="003A135B" w:rsidRPr="00792D53">
        <w:rPr>
          <w:rFonts w:ascii="Times New Roman" w:hAnsi="Times New Roman" w:cs="Times New Roman"/>
          <w:sz w:val="24"/>
          <w:szCs w:val="24"/>
          <w:lang w:val="en-GB"/>
        </w:rPr>
        <w:t xml:space="preserve">level </w:t>
      </w:r>
      <w:r w:rsidR="000823C7" w:rsidRPr="00792D53">
        <w:rPr>
          <w:rFonts w:ascii="Times New Roman" w:hAnsi="Times New Roman" w:cs="Times New Roman"/>
          <w:sz w:val="24"/>
          <w:szCs w:val="24"/>
          <w:lang w:val="en-GB"/>
        </w:rPr>
        <w:t xml:space="preserve">sales </w:t>
      </w:r>
      <w:r w:rsidR="000D513E" w:rsidRPr="00792D53">
        <w:rPr>
          <w:rFonts w:ascii="Times New Roman" w:hAnsi="Times New Roman" w:cs="Times New Roman"/>
          <w:sz w:val="24"/>
          <w:szCs w:val="24"/>
          <w:lang w:val="en-GB"/>
        </w:rPr>
        <w:t xml:space="preserve">amongst SICs indicate whether there is </w:t>
      </w:r>
      <w:r w:rsidR="00087F10" w:rsidRPr="00792D53">
        <w:rPr>
          <w:rFonts w:ascii="Times New Roman" w:hAnsi="Times New Roman" w:cs="Times New Roman"/>
          <w:sz w:val="24"/>
          <w:szCs w:val="24"/>
          <w:lang w:val="en-GB"/>
        </w:rPr>
        <w:t xml:space="preserve">intensified </w:t>
      </w:r>
      <w:r w:rsidR="000D513E" w:rsidRPr="00792D53">
        <w:rPr>
          <w:rFonts w:ascii="Times New Roman" w:hAnsi="Times New Roman" w:cs="Times New Roman"/>
          <w:sz w:val="24"/>
          <w:szCs w:val="24"/>
          <w:lang w:val="en-GB"/>
        </w:rPr>
        <w:t xml:space="preserve">rivalry </w:t>
      </w:r>
      <w:r w:rsidR="00195303" w:rsidRPr="00792D53">
        <w:rPr>
          <w:rFonts w:ascii="Times New Roman" w:hAnsi="Times New Roman" w:cs="Times New Roman"/>
          <w:sz w:val="24"/>
          <w:szCs w:val="24"/>
          <w:lang w:val="en-GB"/>
        </w:rPr>
        <w:t>in response to the merger</w:t>
      </w:r>
      <w:r w:rsidR="000A020D" w:rsidRPr="00792D53">
        <w:rPr>
          <w:rFonts w:ascii="Times New Roman" w:hAnsi="Times New Roman" w:cs="Times New Roman"/>
          <w:sz w:val="24"/>
          <w:szCs w:val="24"/>
          <w:lang w:val="en-GB"/>
        </w:rPr>
        <w:t xml:space="preserve">. </w:t>
      </w:r>
      <w:r w:rsidR="00861ABD" w:rsidRPr="00792D53">
        <w:rPr>
          <w:rFonts w:ascii="Times New Roman" w:hAnsi="Times New Roman" w:cs="Times New Roman"/>
          <w:sz w:val="24"/>
          <w:szCs w:val="24"/>
          <w:lang w:val="en-GB"/>
        </w:rPr>
        <w:t>To be more accurate</w:t>
      </w:r>
      <w:r w:rsidR="007C42DC" w:rsidRPr="00792D53">
        <w:rPr>
          <w:rFonts w:ascii="Times New Roman" w:hAnsi="Times New Roman" w:cs="Times New Roman"/>
          <w:sz w:val="24"/>
          <w:szCs w:val="24"/>
          <w:lang w:val="en-GB"/>
        </w:rPr>
        <w:t>, if segment</w:t>
      </w:r>
      <w:r w:rsidR="00087F10" w:rsidRPr="00792D53">
        <w:rPr>
          <w:rFonts w:ascii="Times New Roman" w:hAnsi="Times New Roman" w:cs="Times New Roman"/>
          <w:sz w:val="24"/>
          <w:szCs w:val="24"/>
          <w:lang w:val="en-GB"/>
        </w:rPr>
        <w:t>-</w:t>
      </w:r>
      <w:r w:rsidR="007C42DC" w:rsidRPr="00792D53">
        <w:rPr>
          <w:rFonts w:ascii="Times New Roman" w:hAnsi="Times New Roman" w:cs="Times New Roman"/>
          <w:sz w:val="24"/>
          <w:szCs w:val="24"/>
          <w:lang w:val="en-GB"/>
        </w:rPr>
        <w:t xml:space="preserve">level </w:t>
      </w:r>
      <w:r w:rsidR="00FB08E0" w:rsidRPr="00792D53">
        <w:rPr>
          <w:rFonts w:ascii="Times New Roman" w:hAnsi="Times New Roman" w:cs="Times New Roman"/>
          <w:sz w:val="24"/>
          <w:szCs w:val="24"/>
          <w:lang w:val="en-GB"/>
        </w:rPr>
        <w:t xml:space="preserve">sales </w:t>
      </w:r>
      <w:r w:rsidR="007C42DC" w:rsidRPr="00792D53">
        <w:rPr>
          <w:rFonts w:ascii="Times New Roman" w:hAnsi="Times New Roman" w:cs="Times New Roman"/>
          <w:sz w:val="24"/>
          <w:szCs w:val="24"/>
          <w:lang w:val="en-GB"/>
        </w:rPr>
        <w:t xml:space="preserve">amongst rivals to the merged entity fluctuate, it is likely that </w:t>
      </w:r>
      <w:r w:rsidR="00FB08E0" w:rsidRPr="00792D53">
        <w:rPr>
          <w:rFonts w:ascii="Times New Roman" w:hAnsi="Times New Roman" w:cs="Times New Roman"/>
          <w:sz w:val="24"/>
          <w:szCs w:val="24"/>
          <w:lang w:val="en-GB"/>
        </w:rPr>
        <w:t xml:space="preserve">the reallocation of sales is the result of </w:t>
      </w:r>
      <w:r w:rsidR="00056AE8" w:rsidRPr="00792D53">
        <w:rPr>
          <w:rFonts w:ascii="Times New Roman" w:hAnsi="Times New Roman" w:cs="Times New Roman"/>
          <w:sz w:val="24"/>
          <w:szCs w:val="24"/>
          <w:lang w:val="en-GB"/>
        </w:rPr>
        <w:t xml:space="preserve">an active process of competition </w:t>
      </w:r>
      <w:r w:rsidR="00FB08E0" w:rsidRPr="00792D53">
        <w:rPr>
          <w:rFonts w:ascii="Times New Roman" w:hAnsi="Times New Roman" w:cs="Times New Roman"/>
          <w:sz w:val="24"/>
          <w:szCs w:val="24"/>
          <w:lang w:val="en-GB"/>
        </w:rPr>
        <w:t xml:space="preserve">that </w:t>
      </w:r>
      <w:r w:rsidR="000823C7" w:rsidRPr="00792D53">
        <w:rPr>
          <w:rFonts w:ascii="Times New Roman" w:hAnsi="Times New Roman" w:cs="Times New Roman"/>
          <w:sz w:val="24"/>
          <w:szCs w:val="24"/>
          <w:lang w:val="en-GB"/>
        </w:rPr>
        <w:t xml:space="preserve">is taking place </w:t>
      </w:r>
      <w:r w:rsidR="00056AE8" w:rsidRPr="00792D53">
        <w:rPr>
          <w:rFonts w:ascii="Times New Roman" w:hAnsi="Times New Roman" w:cs="Times New Roman"/>
          <w:sz w:val="24"/>
          <w:szCs w:val="24"/>
          <w:lang w:val="en-GB"/>
        </w:rPr>
        <w:t xml:space="preserve">amongst the </w:t>
      </w:r>
      <w:r w:rsidR="00541E07" w:rsidRPr="00792D53">
        <w:rPr>
          <w:rFonts w:ascii="Times New Roman" w:hAnsi="Times New Roman" w:cs="Times New Roman"/>
          <w:sz w:val="24"/>
          <w:szCs w:val="24"/>
          <w:lang w:val="en-GB"/>
        </w:rPr>
        <w:t>non-merging</w:t>
      </w:r>
      <w:r w:rsidR="00056AE8" w:rsidRPr="00792D53">
        <w:rPr>
          <w:rFonts w:ascii="Times New Roman" w:hAnsi="Times New Roman" w:cs="Times New Roman"/>
          <w:sz w:val="24"/>
          <w:szCs w:val="24"/>
          <w:lang w:val="en-GB"/>
        </w:rPr>
        <w:t xml:space="preserve"> firms in the corresponding segment. </w:t>
      </w:r>
      <w:r w:rsidR="009308BC" w:rsidRPr="00792D53">
        <w:rPr>
          <w:rFonts w:ascii="Times New Roman" w:hAnsi="Times New Roman" w:cs="Times New Roman"/>
          <w:sz w:val="24"/>
          <w:szCs w:val="24"/>
          <w:lang w:val="en-GB"/>
        </w:rPr>
        <w:t xml:space="preserve"> In accordance with the foregoing, we show</w:t>
      </w:r>
      <w:r w:rsidR="006146C8" w:rsidRPr="00792D53">
        <w:rPr>
          <w:rFonts w:ascii="Times New Roman" w:hAnsi="Times New Roman" w:cs="Times New Roman"/>
          <w:sz w:val="24"/>
          <w:szCs w:val="24"/>
          <w:lang w:val="en-GB"/>
        </w:rPr>
        <w:t xml:space="preserve"> the results of the SIC test for </w:t>
      </w:r>
      <w:r w:rsidR="00014FAE" w:rsidRPr="00792D53">
        <w:rPr>
          <w:rFonts w:ascii="Times New Roman" w:hAnsi="Times New Roman" w:cs="Times New Roman"/>
          <w:sz w:val="24"/>
          <w:szCs w:val="24"/>
          <w:lang w:val="en-GB"/>
        </w:rPr>
        <w:t>9</w:t>
      </w:r>
      <w:r w:rsidR="006146C8" w:rsidRPr="00792D53">
        <w:rPr>
          <w:rFonts w:ascii="Times New Roman" w:hAnsi="Times New Roman" w:cs="Times New Roman"/>
          <w:sz w:val="24"/>
          <w:szCs w:val="24"/>
          <w:lang w:val="en-GB"/>
        </w:rPr>
        <w:t xml:space="preserve"> transaction</w:t>
      </w:r>
      <w:r w:rsidR="001B4BAC" w:rsidRPr="00792D53">
        <w:rPr>
          <w:rFonts w:ascii="Times New Roman" w:hAnsi="Times New Roman" w:cs="Times New Roman"/>
          <w:sz w:val="24"/>
          <w:szCs w:val="24"/>
          <w:lang w:val="en-GB"/>
        </w:rPr>
        <w:t>s</w:t>
      </w:r>
      <w:r w:rsidR="00541E07" w:rsidRPr="00792D53">
        <w:rPr>
          <w:rFonts w:ascii="Times New Roman" w:hAnsi="Times New Roman" w:cs="Times New Roman"/>
          <w:sz w:val="24"/>
          <w:szCs w:val="24"/>
          <w:lang w:val="en-GB"/>
        </w:rPr>
        <w:t xml:space="preserve"> in relation to the three information signals</w:t>
      </w:r>
      <w:r w:rsidR="00064D47" w:rsidRPr="00792D53">
        <w:rPr>
          <w:rFonts w:ascii="Times New Roman" w:hAnsi="Times New Roman" w:cs="Times New Roman"/>
          <w:sz w:val="24"/>
          <w:szCs w:val="24"/>
          <w:lang w:val="en-GB"/>
        </w:rPr>
        <w:t>.</w:t>
      </w:r>
      <w:r w:rsidR="00A91BB7" w:rsidRPr="00C85521">
        <w:rPr>
          <w:rFonts w:ascii="Times New Roman" w:hAnsi="Times New Roman" w:cs="Times New Roman"/>
          <w:sz w:val="24"/>
          <w:szCs w:val="24"/>
          <w:vertAlign w:val="superscript"/>
          <w:lang w:val="en-GB"/>
        </w:rPr>
        <w:footnoteReference w:id="90"/>
      </w:r>
      <w:r w:rsidR="009A4AB4" w:rsidRPr="00C85521">
        <w:rPr>
          <w:rFonts w:ascii="Times New Roman" w:hAnsi="Times New Roman" w:cs="Times New Roman"/>
          <w:sz w:val="24"/>
          <w:szCs w:val="24"/>
          <w:vertAlign w:val="superscript"/>
          <w:lang w:val="en-GB"/>
        </w:rPr>
        <w:t xml:space="preserve"> </w:t>
      </w:r>
    </w:p>
    <w:p w14:paraId="54E5B925" w14:textId="326D313D" w:rsidR="00DF35CF" w:rsidRPr="00C235E5" w:rsidRDefault="00DF35CF" w:rsidP="00EC1705">
      <w:pPr>
        <w:pStyle w:val="Heading3"/>
        <w:rPr>
          <w:rFonts w:ascii="Times New Roman" w:hAnsi="Times New Roman" w:cs="Times New Roman"/>
        </w:rPr>
      </w:pPr>
      <w:r w:rsidRPr="00C235E5">
        <w:rPr>
          <w:rFonts w:ascii="Times New Roman" w:hAnsi="Times New Roman" w:cs="Times New Roman"/>
        </w:rPr>
        <w:t>Implications</w:t>
      </w:r>
    </w:p>
    <w:p w14:paraId="43DE8D68" w14:textId="7DD416EF" w:rsidR="002A40F6" w:rsidRPr="00792D53" w:rsidRDefault="007F0659"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The </w:t>
      </w:r>
      <w:r w:rsidR="001604EF" w:rsidRPr="00792D53">
        <w:rPr>
          <w:rFonts w:ascii="Times New Roman" w:hAnsi="Times New Roman" w:cs="Times New Roman"/>
          <w:sz w:val="24"/>
          <w:szCs w:val="24"/>
          <w:lang w:val="en-GB"/>
        </w:rPr>
        <w:t>post-merger</w:t>
      </w:r>
      <w:r w:rsidR="008938ED" w:rsidRPr="00792D53">
        <w:rPr>
          <w:rFonts w:ascii="Times New Roman" w:hAnsi="Times New Roman" w:cs="Times New Roman"/>
          <w:sz w:val="24"/>
          <w:szCs w:val="24"/>
          <w:lang w:val="en-GB"/>
        </w:rPr>
        <w:t xml:space="preserve"> rival test </w:t>
      </w:r>
      <w:r w:rsidR="00B65B05" w:rsidRPr="00792D53">
        <w:rPr>
          <w:rFonts w:ascii="Times New Roman" w:hAnsi="Times New Roman" w:cs="Times New Roman"/>
          <w:sz w:val="24"/>
          <w:szCs w:val="24"/>
          <w:lang w:val="en-GB"/>
        </w:rPr>
        <w:t xml:space="preserve">produces </w:t>
      </w:r>
      <w:r w:rsidR="004F77DF" w:rsidRPr="00792D53">
        <w:rPr>
          <w:rFonts w:ascii="Times New Roman" w:hAnsi="Times New Roman" w:cs="Times New Roman"/>
          <w:sz w:val="24"/>
          <w:szCs w:val="24"/>
          <w:lang w:val="en-GB"/>
        </w:rPr>
        <w:t>several</w:t>
      </w:r>
      <w:r w:rsidRPr="00792D53">
        <w:rPr>
          <w:rFonts w:ascii="Times New Roman" w:hAnsi="Times New Roman" w:cs="Times New Roman"/>
          <w:sz w:val="24"/>
          <w:szCs w:val="24"/>
          <w:lang w:val="en-GB"/>
        </w:rPr>
        <w:t xml:space="preserve"> </w:t>
      </w:r>
      <w:r w:rsidR="00C17BD8" w:rsidRPr="00792D53">
        <w:rPr>
          <w:rFonts w:ascii="Times New Roman" w:hAnsi="Times New Roman" w:cs="Times New Roman"/>
          <w:sz w:val="24"/>
          <w:szCs w:val="24"/>
          <w:lang w:val="en-GB"/>
        </w:rPr>
        <w:t>useful results</w:t>
      </w:r>
      <w:r w:rsidR="008938ED" w:rsidRPr="00792D53">
        <w:rPr>
          <w:rFonts w:ascii="Times New Roman" w:hAnsi="Times New Roman" w:cs="Times New Roman"/>
          <w:sz w:val="24"/>
          <w:szCs w:val="24"/>
          <w:lang w:val="en-GB"/>
        </w:rPr>
        <w:t>.</w:t>
      </w:r>
      <w:r w:rsidRPr="00792D53">
        <w:rPr>
          <w:rFonts w:ascii="Times New Roman" w:hAnsi="Times New Roman" w:cs="Times New Roman"/>
          <w:sz w:val="24"/>
          <w:szCs w:val="24"/>
          <w:lang w:val="en-GB"/>
        </w:rPr>
        <w:t xml:space="preserve"> </w:t>
      </w:r>
      <w:r w:rsidR="00B13BC7" w:rsidRPr="00792D53">
        <w:rPr>
          <w:rFonts w:ascii="Times New Roman" w:hAnsi="Times New Roman" w:cs="Times New Roman"/>
          <w:sz w:val="24"/>
          <w:szCs w:val="24"/>
          <w:lang w:val="en-GB"/>
        </w:rPr>
        <w:t>W</w:t>
      </w:r>
      <w:r w:rsidRPr="00792D53">
        <w:rPr>
          <w:rFonts w:ascii="Times New Roman" w:hAnsi="Times New Roman" w:cs="Times New Roman"/>
          <w:sz w:val="24"/>
          <w:szCs w:val="24"/>
          <w:lang w:val="en-GB"/>
        </w:rPr>
        <w:t xml:space="preserve">e </w:t>
      </w:r>
      <w:r w:rsidR="00C17BD8" w:rsidRPr="00792D53">
        <w:rPr>
          <w:rFonts w:ascii="Times New Roman" w:hAnsi="Times New Roman" w:cs="Times New Roman"/>
          <w:sz w:val="24"/>
          <w:szCs w:val="24"/>
          <w:lang w:val="en-GB"/>
        </w:rPr>
        <w:t xml:space="preserve">now know </w:t>
      </w:r>
      <w:r w:rsidR="00AF3A60" w:rsidRPr="00792D53">
        <w:rPr>
          <w:rFonts w:ascii="Times New Roman" w:hAnsi="Times New Roman" w:cs="Times New Roman"/>
          <w:sz w:val="24"/>
          <w:szCs w:val="24"/>
          <w:lang w:val="en-GB"/>
        </w:rPr>
        <w:t xml:space="preserve">that </w:t>
      </w:r>
      <w:r w:rsidRPr="00792D53">
        <w:rPr>
          <w:rFonts w:ascii="Times New Roman" w:hAnsi="Times New Roman" w:cs="Times New Roman"/>
          <w:sz w:val="24"/>
          <w:szCs w:val="24"/>
          <w:lang w:val="en-GB"/>
        </w:rPr>
        <w:t>there has been rival expansion in response to the merger</w:t>
      </w:r>
      <w:r w:rsidR="00AF3A60" w:rsidRPr="00792D53">
        <w:rPr>
          <w:rFonts w:ascii="Times New Roman" w:hAnsi="Times New Roman" w:cs="Times New Roman"/>
          <w:sz w:val="24"/>
          <w:szCs w:val="24"/>
          <w:lang w:val="en-GB"/>
        </w:rPr>
        <w:t xml:space="preserve"> in 6 out of </w:t>
      </w:r>
      <w:r w:rsidR="00B26FA0" w:rsidRPr="00792D53">
        <w:rPr>
          <w:rFonts w:ascii="Times New Roman" w:hAnsi="Times New Roman" w:cs="Times New Roman"/>
          <w:sz w:val="24"/>
          <w:szCs w:val="24"/>
          <w:lang w:val="en-GB"/>
        </w:rPr>
        <w:t>9</w:t>
      </w:r>
      <w:r w:rsidR="00AF3A60" w:rsidRPr="00792D53">
        <w:rPr>
          <w:rFonts w:ascii="Times New Roman" w:hAnsi="Times New Roman" w:cs="Times New Roman"/>
          <w:sz w:val="24"/>
          <w:szCs w:val="24"/>
          <w:lang w:val="en-GB"/>
        </w:rPr>
        <w:t xml:space="preserve"> cases</w:t>
      </w:r>
      <w:r w:rsidRPr="00792D53">
        <w:rPr>
          <w:rFonts w:ascii="Times New Roman" w:hAnsi="Times New Roman" w:cs="Times New Roman"/>
          <w:sz w:val="24"/>
          <w:szCs w:val="24"/>
          <w:lang w:val="en-GB"/>
        </w:rPr>
        <w:t xml:space="preserve">. </w:t>
      </w:r>
      <w:r w:rsidR="00B26FA0" w:rsidRPr="00792D53">
        <w:rPr>
          <w:rFonts w:ascii="Times New Roman" w:hAnsi="Times New Roman" w:cs="Times New Roman"/>
          <w:sz w:val="24"/>
          <w:szCs w:val="24"/>
          <w:lang w:val="en-GB"/>
        </w:rPr>
        <w:t>And w</w:t>
      </w:r>
      <w:r w:rsidRPr="00792D53">
        <w:rPr>
          <w:rFonts w:ascii="Times New Roman" w:hAnsi="Times New Roman" w:cs="Times New Roman"/>
          <w:sz w:val="24"/>
          <w:szCs w:val="24"/>
          <w:lang w:val="en-GB"/>
        </w:rPr>
        <w:t xml:space="preserve">e </w:t>
      </w:r>
      <w:r w:rsidR="00C17BD8" w:rsidRPr="00792D53">
        <w:rPr>
          <w:rFonts w:ascii="Times New Roman" w:hAnsi="Times New Roman" w:cs="Times New Roman"/>
          <w:sz w:val="24"/>
          <w:szCs w:val="24"/>
          <w:lang w:val="en-GB"/>
        </w:rPr>
        <w:t xml:space="preserve">learn </w:t>
      </w:r>
      <w:r w:rsidR="00AF3A60" w:rsidRPr="00792D53">
        <w:rPr>
          <w:rFonts w:ascii="Times New Roman" w:hAnsi="Times New Roman" w:cs="Times New Roman"/>
          <w:sz w:val="24"/>
          <w:szCs w:val="24"/>
          <w:lang w:val="en-GB"/>
        </w:rPr>
        <w:t xml:space="preserve">that </w:t>
      </w:r>
      <w:r w:rsidR="008B1A45" w:rsidRPr="00792D53">
        <w:rPr>
          <w:rFonts w:ascii="Times New Roman" w:hAnsi="Times New Roman" w:cs="Times New Roman"/>
          <w:sz w:val="24"/>
          <w:szCs w:val="24"/>
          <w:lang w:val="en-GB"/>
        </w:rPr>
        <w:t>transaction</w:t>
      </w:r>
      <w:r w:rsidR="00BD1FF2" w:rsidRPr="00792D53">
        <w:rPr>
          <w:rFonts w:ascii="Times New Roman" w:hAnsi="Times New Roman" w:cs="Times New Roman"/>
          <w:sz w:val="24"/>
          <w:szCs w:val="24"/>
          <w:lang w:val="en-GB"/>
        </w:rPr>
        <w:t>s</w:t>
      </w:r>
      <w:r w:rsidR="008B1A45" w:rsidRPr="00792D53">
        <w:rPr>
          <w:rFonts w:ascii="Times New Roman" w:hAnsi="Times New Roman" w:cs="Times New Roman"/>
          <w:sz w:val="24"/>
          <w:szCs w:val="24"/>
          <w:lang w:val="en-GB"/>
        </w:rPr>
        <w:t xml:space="preserve"> </w:t>
      </w:r>
      <w:r w:rsidR="00BD1FF2" w:rsidRPr="00792D53">
        <w:rPr>
          <w:rFonts w:ascii="Times New Roman" w:hAnsi="Times New Roman" w:cs="Times New Roman"/>
          <w:sz w:val="24"/>
          <w:szCs w:val="24"/>
          <w:lang w:val="en-GB"/>
        </w:rPr>
        <w:t xml:space="preserve">have </w:t>
      </w:r>
      <w:r w:rsidR="008B1A45" w:rsidRPr="00792D53">
        <w:rPr>
          <w:rFonts w:ascii="Times New Roman" w:hAnsi="Times New Roman" w:cs="Times New Roman"/>
          <w:sz w:val="24"/>
          <w:szCs w:val="24"/>
          <w:lang w:val="en-GB"/>
        </w:rPr>
        <w:t xml:space="preserve">been followed by </w:t>
      </w:r>
      <w:r w:rsidR="003058EB" w:rsidRPr="00792D53">
        <w:rPr>
          <w:rFonts w:ascii="Times New Roman" w:hAnsi="Times New Roman" w:cs="Times New Roman"/>
          <w:sz w:val="24"/>
          <w:szCs w:val="24"/>
          <w:lang w:val="en-GB"/>
        </w:rPr>
        <w:t xml:space="preserve">competition </w:t>
      </w:r>
      <w:r w:rsidR="00F73FD7" w:rsidRPr="00792D53">
        <w:rPr>
          <w:rFonts w:ascii="Times New Roman" w:hAnsi="Times New Roman" w:cs="Times New Roman"/>
          <w:sz w:val="24"/>
          <w:szCs w:val="24"/>
          <w:lang w:val="en-GB"/>
        </w:rPr>
        <w:t xml:space="preserve">for </w:t>
      </w:r>
      <w:r w:rsidR="003058EB" w:rsidRPr="00792D53">
        <w:rPr>
          <w:rFonts w:ascii="Times New Roman" w:hAnsi="Times New Roman" w:cs="Times New Roman"/>
          <w:sz w:val="24"/>
          <w:szCs w:val="24"/>
          <w:lang w:val="en-GB"/>
        </w:rPr>
        <w:t xml:space="preserve">share </w:t>
      </w:r>
      <w:r w:rsidR="00F73FD7" w:rsidRPr="00792D53">
        <w:rPr>
          <w:rFonts w:ascii="Times New Roman" w:hAnsi="Times New Roman" w:cs="Times New Roman"/>
          <w:sz w:val="24"/>
          <w:szCs w:val="24"/>
          <w:lang w:val="en-GB"/>
        </w:rPr>
        <w:t xml:space="preserve">amongst </w:t>
      </w:r>
      <w:r w:rsidR="00AF3A60" w:rsidRPr="00792D53">
        <w:rPr>
          <w:rFonts w:ascii="Times New Roman" w:hAnsi="Times New Roman" w:cs="Times New Roman"/>
          <w:sz w:val="24"/>
          <w:szCs w:val="24"/>
          <w:lang w:val="en-GB"/>
        </w:rPr>
        <w:t xml:space="preserve">rivals </w:t>
      </w:r>
      <w:r w:rsidR="00F73FD7" w:rsidRPr="00792D53">
        <w:rPr>
          <w:rFonts w:ascii="Times New Roman" w:hAnsi="Times New Roman" w:cs="Times New Roman"/>
          <w:sz w:val="24"/>
          <w:szCs w:val="24"/>
          <w:lang w:val="en-GB"/>
        </w:rPr>
        <w:t>of the merged entity</w:t>
      </w:r>
      <w:r w:rsidR="00B13BC7" w:rsidRPr="00792D53">
        <w:rPr>
          <w:rFonts w:ascii="Times New Roman" w:hAnsi="Times New Roman" w:cs="Times New Roman"/>
          <w:sz w:val="24"/>
          <w:szCs w:val="24"/>
          <w:lang w:val="en-GB"/>
        </w:rPr>
        <w:t xml:space="preserve"> in 6 out of </w:t>
      </w:r>
      <w:r w:rsidR="00B26FA0" w:rsidRPr="00792D53">
        <w:rPr>
          <w:rFonts w:ascii="Times New Roman" w:hAnsi="Times New Roman" w:cs="Times New Roman"/>
          <w:sz w:val="24"/>
          <w:szCs w:val="24"/>
          <w:lang w:val="en-GB"/>
        </w:rPr>
        <w:t>9</w:t>
      </w:r>
      <w:r w:rsidR="00B13BC7" w:rsidRPr="00792D53">
        <w:rPr>
          <w:rFonts w:ascii="Times New Roman" w:hAnsi="Times New Roman" w:cs="Times New Roman"/>
          <w:sz w:val="24"/>
          <w:szCs w:val="24"/>
          <w:lang w:val="en-GB"/>
        </w:rPr>
        <w:t xml:space="preserve"> cases</w:t>
      </w:r>
      <w:r w:rsidR="00F73FD7" w:rsidRPr="00792D53">
        <w:rPr>
          <w:rFonts w:ascii="Times New Roman" w:hAnsi="Times New Roman" w:cs="Times New Roman"/>
          <w:sz w:val="24"/>
          <w:szCs w:val="24"/>
          <w:lang w:val="en-GB"/>
        </w:rPr>
        <w:t xml:space="preserve">. </w:t>
      </w:r>
    </w:p>
    <w:p w14:paraId="147B33D7" w14:textId="08CBFF3D" w:rsidR="00D607EB" w:rsidRPr="00792D53" w:rsidRDefault="00B26FA0"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In 3 </w:t>
      </w:r>
      <w:r w:rsidR="00DE0E0A" w:rsidRPr="00792D53">
        <w:rPr>
          <w:rFonts w:ascii="Times New Roman" w:hAnsi="Times New Roman" w:cs="Times New Roman"/>
          <w:sz w:val="24"/>
          <w:szCs w:val="24"/>
          <w:lang w:val="en-GB"/>
        </w:rPr>
        <w:t>cases</w:t>
      </w:r>
      <w:r w:rsidRPr="00792D53">
        <w:rPr>
          <w:rFonts w:ascii="Times New Roman" w:hAnsi="Times New Roman" w:cs="Times New Roman"/>
          <w:sz w:val="24"/>
          <w:szCs w:val="24"/>
          <w:lang w:val="en-GB"/>
        </w:rPr>
        <w:t xml:space="preserve">, we observe a </w:t>
      </w:r>
      <w:r w:rsidR="00DE0E0A" w:rsidRPr="00792D53">
        <w:rPr>
          <w:rFonts w:ascii="Times New Roman" w:hAnsi="Times New Roman" w:cs="Times New Roman"/>
          <w:sz w:val="24"/>
          <w:szCs w:val="24"/>
          <w:lang w:val="en-GB"/>
        </w:rPr>
        <w:t xml:space="preserve">decrease in </w:t>
      </w:r>
      <w:r w:rsidR="00744B07" w:rsidRPr="00792D53">
        <w:rPr>
          <w:rFonts w:ascii="Times New Roman" w:hAnsi="Times New Roman" w:cs="Times New Roman"/>
          <w:sz w:val="24"/>
          <w:szCs w:val="24"/>
          <w:lang w:val="en-GB"/>
        </w:rPr>
        <w:t xml:space="preserve">industry </w:t>
      </w:r>
      <w:r w:rsidR="00DE0E0A" w:rsidRPr="00792D53">
        <w:rPr>
          <w:rFonts w:ascii="Times New Roman" w:hAnsi="Times New Roman" w:cs="Times New Roman"/>
          <w:sz w:val="24"/>
          <w:szCs w:val="24"/>
          <w:lang w:val="en-GB"/>
        </w:rPr>
        <w:t xml:space="preserve">output: </w:t>
      </w:r>
      <w:r w:rsidR="00DE0E0A" w:rsidRPr="00F64092">
        <w:rPr>
          <w:rFonts w:ascii="Times New Roman" w:hAnsi="Times New Roman" w:cs="Times New Roman"/>
          <w:i/>
          <w:iCs/>
          <w:sz w:val="24"/>
          <w:szCs w:val="24"/>
          <w:lang w:val="en-GB"/>
        </w:rPr>
        <w:t>Apple/Beats, Verizon/Yahoo</w:t>
      </w:r>
      <w:r w:rsidR="00DE0E0A" w:rsidRPr="00792D53">
        <w:rPr>
          <w:rFonts w:ascii="Times New Roman" w:hAnsi="Times New Roman" w:cs="Times New Roman"/>
          <w:sz w:val="24"/>
          <w:szCs w:val="24"/>
          <w:lang w:val="en-GB"/>
        </w:rPr>
        <w:t xml:space="preserve">, and </w:t>
      </w:r>
      <w:r w:rsidR="00DE0E0A" w:rsidRPr="00F64092">
        <w:rPr>
          <w:rFonts w:ascii="Times New Roman" w:hAnsi="Times New Roman" w:cs="Times New Roman"/>
          <w:i/>
          <w:iCs/>
          <w:sz w:val="24"/>
          <w:szCs w:val="24"/>
          <w:lang w:val="en-GB"/>
        </w:rPr>
        <w:t>Google/FitBit</w:t>
      </w:r>
      <w:r w:rsidR="00DE0E0A" w:rsidRPr="00792D53">
        <w:rPr>
          <w:rFonts w:ascii="Times New Roman" w:hAnsi="Times New Roman" w:cs="Times New Roman"/>
          <w:sz w:val="24"/>
          <w:szCs w:val="24"/>
          <w:lang w:val="en-GB"/>
        </w:rPr>
        <w:t>.</w:t>
      </w:r>
      <w:r w:rsidR="002A40F6" w:rsidRPr="00792D53">
        <w:rPr>
          <w:rFonts w:ascii="Times New Roman" w:hAnsi="Times New Roman" w:cs="Times New Roman"/>
          <w:sz w:val="24"/>
          <w:szCs w:val="24"/>
          <w:lang w:val="en-GB"/>
        </w:rPr>
        <w:t xml:space="preserve"> </w:t>
      </w:r>
      <w:r w:rsidR="00E327D3" w:rsidRPr="00792D53">
        <w:rPr>
          <w:rFonts w:ascii="Times New Roman" w:hAnsi="Times New Roman" w:cs="Times New Roman"/>
          <w:sz w:val="24"/>
          <w:szCs w:val="24"/>
          <w:lang w:val="en-GB"/>
        </w:rPr>
        <w:t xml:space="preserve">We can discard </w:t>
      </w:r>
      <w:r w:rsidR="00493CD0" w:rsidRPr="00F64092">
        <w:rPr>
          <w:rFonts w:ascii="Times New Roman" w:hAnsi="Times New Roman" w:cs="Times New Roman"/>
          <w:i/>
          <w:iCs/>
          <w:sz w:val="24"/>
          <w:szCs w:val="24"/>
          <w:lang w:val="en-GB"/>
        </w:rPr>
        <w:t>Google/Fit</w:t>
      </w:r>
      <w:r w:rsidR="00F64092">
        <w:rPr>
          <w:rFonts w:ascii="Times New Roman" w:hAnsi="Times New Roman" w:cs="Times New Roman"/>
          <w:i/>
          <w:iCs/>
          <w:sz w:val="24"/>
          <w:szCs w:val="24"/>
          <w:lang w:val="en-GB"/>
        </w:rPr>
        <w:t>B</w:t>
      </w:r>
      <w:r w:rsidR="00493CD0" w:rsidRPr="00F64092">
        <w:rPr>
          <w:rFonts w:ascii="Times New Roman" w:hAnsi="Times New Roman" w:cs="Times New Roman"/>
          <w:i/>
          <w:iCs/>
          <w:sz w:val="24"/>
          <w:szCs w:val="24"/>
          <w:lang w:val="en-GB"/>
        </w:rPr>
        <w:t>it</w:t>
      </w:r>
      <w:r w:rsidR="00493CD0" w:rsidRPr="00792D53">
        <w:rPr>
          <w:rFonts w:ascii="Times New Roman" w:hAnsi="Times New Roman" w:cs="Times New Roman"/>
          <w:sz w:val="24"/>
          <w:szCs w:val="24"/>
          <w:lang w:val="en-GB"/>
        </w:rPr>
        <w:t xml:space="preserve">. The main driver of </w:t>
      </w:r>
      <w:r w:rsidR="003A4404" w:rsidRPr="00792D53">
        <w:rPr>
          <w:rFonts w:ascii="Times New Roman" w:hAnsi="Times New Roman" w:cs="Times New Roman"/>
          <w:sz w:val="24"/>
          <w:szCs w:val="24"/>
          <w:lang w:val="en-GB"/>
        </w:rPr>
        <w:t>output reduction in that case is Huawei, whose sales nearly halved after the merger</w:t>
      </w:r>
      <w:r w:rsidR="00553538" w:rsidRPr="00792D53">
        <w:rPr>
          <w:rFonts w:ascii="Times New Roman" w:hAnsi="Times New Roman" w:cs="Times New Roman"/>
          <w:sz w:val="24"/>
          <w:szCs w:val="24"/>
          <w:lang w:val="en-GB"/>
        </w:rPr>
        <w:t xml:space="preserve">, likely due to the ban of the company in the </w:t>
      </w:r>
      <w:r w:rsidR="00553538" w:rsidRPr="00792D53">
        <w:rPr>
          <w:rFonts w:ascii="Times New Roman" w:hAnsi="Times New Roman" w:cs="Times New Roman"/>
          <w:sz w:val="24"/>
          <w:szCs w:val="24"/>
          <w:lang w:val="en-GB"/>
        </w:rPr>
        <w:lastRenderedPageBreak/>
        <w:t>US</w:t>
      </w:r>
      <w:r w:rsidR="003A4404" w:rsidRPr="00792D53">
        <w:rPr>
          <w:rFonts w:ascii="Times New Roman" w:hAnsi="Times New Roman" w:cs="Times New Roman"/>
          <w:sz w:val="24"/>
          <w:szCs w:val="24"/>
          <w:lang w:val="en-GB"/>
        </w:rPr>
        <w:t>.</w:t>
      </w:r>
      <w:r w:rsidR="00553538" w:rsidRPr="00C85521">
        <w:rPr>
          <w:rFonts w:ascii="Times New Roman" w:hAnsi="Times New Roman" w:cs="Times New Roman"/>
          <w:sz w:val="24"/>
          <w:szCs w:val="24"/>
          <w:vertAlign w:val="superscript"/>
          <w:lang w:val="en-GB"/>
        </w:rPr>
        <w:footnoteReference w:id="91"/>
      </w:r>
      <w:r w:rsidR="003A4404" w:rsidRPr="00792D53">
        <w:rPr>
          <w:rFonts w:ascii="Times New Roman" w:hAnsi="Times New Roman" w:cs="Times New Roman"/>
          <w:sz w:val="24"/>
          <w:szCs w:val="24"/>
          <w:lang w:val="en-GB"/>
        </w:rPr>
        <w:t xml:space="preserve"> </w:t>
      </w:r>
      <w:r w:rsidR="002479AA" w:rsidRPr="00792D53">
        <w:rPr>
          <w:rFonts w:ascii="Times New Roman" w:hAnsi="Times New Roman" w:cs="Times New Roman"/>
          <w:sz w:val="24"/>
          <w:szCs w:val="24"/>
          <w:lang w:val="en-GB"/>
        </w:rPr>
        <w:t xml:space="preserve">Disregarding Huawei, </w:t>
      </w:r>
      <w:r w:rsidR="002479AA" w:rsidRPr="00C235E5">
        <w:rPr>
          <w:rFonts w:ascii="Times New Roman" w:hAnsi="Times New Roman" w:cs="Times New Roman"/>
          <w:sz w:val="24"/>
          <w:szCs w:val="24"/>
          <w:lang w:val="en-GB"/>
        </w:rPr>
        <w:t xml:space="preserve">we </w:t>
      </w:r>
      <w:r w:rsidR="00031341">
        <w:rPr>
          <w:rFonts w:ascii="Times New Roman" w:hAnsi="Times New Roman" w:cs="Times New Roman"/>
          <w:sz w:val="24"/>
          <w:szCs w:val="24"/>
          <w:lang w:val="en-GB"/>
        </w:rPr>
        <w:t>observe</w:t>
      </w:r>
      <w:r w:rsidR="00031341" w:rsidRPr="00C235E5">
        <w:rPr>
          <w:rFonts w:ascii="Times New Roman" w:hAnsi="Times New Roman" w:cs="Times New Roman"/>
          <w:sz w:val="24"/>
          <w:szCs w:val="24"/>
          <w:lang w:val="en-GB"/>
        </w:rPr>
        <w:t xml:space="preserve"> </w:t>
      </w:r>
      <w:r w:rsidR="002479AA" w:rsidRPr="00C235E5">
        <w:rPr>
          <w:rFonts w:ascii="Times New Roman" w:hAnsi="Times New Roman" w:cs="Times New Roman"/>
          <w:sz w:val="24"/>
          <w:szCs w:val="24"/>
          <w:lang w:val="en-GB"/>
        </w:rPr>
        <w:t>that the evolution of rivals</w:t>
      </w:r>
      <w:r w:rsidR="00031341">
        <w:rPr>
          <w:rFonts w:ascii="Times New Roman" w:hAnsi="Times New Roman" w:cs="Times New Roman"/>
          <w:sz w:val="24"/>
          <w:szCs w:val="24"/>
          <w:lang w:val="en-GB"/>
        </w:rPr>
        <w:t>’</w:t>
      </w:r>
      <w:r w:rsidR="002479AA" w:rsidRPr="00C235E5">
        <w:rPr>
          <w:rFonts w:ascii="Times New Roman" w:hAnsi="Times New Roman" w:cs="Times New Roman"/>
          <w:sz w:val="24"/>
          <w:szCs w:val="24"/>
          <w:lang w:val="en-GB"/>
        </w:rPr>
        <w:t xml:space="preserve"> shares is not even in </w:t>
      </w:r>
      <w:r w:rsidR="002479AA" w:rsidRPr="00F64092">
        <w:rPr>
          <w:rFonts w:ascii="Times New Roman" w:hAnsi="Times New Roman" w:cs="Times New Roman"/>
          <w:i/>
          <w:iCs/>
          <w:sz w:val="24"/>
          <w:szCs w:val="24"/>
          <w:lang w:val="en-GB"/>
        </w:rPr>
        <w:t>Google/FitBit</w:t>
      </w:r>
      <w:r w:rsidR="002479AA" w:rsidRPr="00C235E5">
        <w:rPr>
          <w:rFonts w:ascii="Times New Roman" w:hAnsi="Times New Roman" w:cs="Times New Roman"/>
          <w:sz w:val="24"/>
          <w:szCs w:val="24"/>
          <w:lang w:val="en-GB"/>
        </w:rPr>
        <w:t>. While Xiaomi and, more importantly, Apple experienced growth, others like Samsung and Garmin have seen their shares fluctuate, with Garmin stagnating and Samsung receding.</w:t>
      </w:r>
      <w:r w:rsidR="00C919B3" w:rsidRPr="00C235E5">
        <w:rPr>
          <w:rFonts w:ascii="Times New Roman" w:hAnsi="Times New Roman" w:cs="Times New Roman"/>
          <w:sz w:val="24"/>
          <w:szCs w:val="24"/>
          <w:lang w:val="en-GB"/>
        </w:rPr>
        <w:t xml:space="preserve"> This </w:t>
      </w:r>
      <w:r w:rsidR="00563CC4" w:rsidRPr="00C235E5">
        <w:rPr>
          <w:rFonts w:ascii="Times New Roman" w:hAnsi="Times New Roman" w:cs="Times New Roman"/>
          <w:sz w:val="24"/>
          <w:szCs w:val="24"/>
          <w:lang w:val="en-GB"/>
        </w:rPr>
        <w:t>suggests effective</w:t>
      </w:r>
      <w:r w:rsidR="00C919B3" w:rsidRPr="00C235E5">
        <w:rPr>
          <w:rFonts w:ascii="Times New Roman" w:hAnsi="Times New Roman" w:cs="Times New Roman"/>
          <w:sz w:val="24"/>
          <w:szCs w:val="24"/>
          <w:lang w:val="en-GB"/>
        </w:rPr>
        <w:t xml:space="preserve"> competition.</w:t>
      </w:r>
    </w:p>
    <w:p w14:paraId="62F6E879" w14:textId="65C795F1" w:rsidR="002A40F6" w:rsidRPr="00792D53" w:rsidRDefault="002B4C69"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In </w:t>
      </w:r>
      <w:r w:rsidRPr="00F64092">
        <w:rPr>
          <w:rFonts w:ascii="Times New Roman" w:hAnsi="Times New Roman" w:cs="Times New Roman"/>
          <w:i/>
          <w:iCs/>
          <w:sz w:val="24"/>
          <w:szCs w:val="24"/>
          <w:lang w:val="en-GB"/>
        </w:rPr>
        <w:t>Verizon/Yahoo</w:t>
      </w:r>
      <w:r w:rsidRPr="00792D53">
        <w:rPr>
          <w:rFonts w:ascii="Times New Roman" w:hAnsi="Times New Roman" w:cs="Times New Roman"/>
          <w:sz w:val="24"/>
          <w:szCs w:val="24"/>
          <w:lang w:val="en-GB"/>
        </w:rPr>
        <w:t xml:space="preserve">, </w:t>
      </w:r>
      <w:r w:rsidR="0085531A" w:rsidRPr="00792D53">
        <w:rPr>
          <w:rFonts w:ascii="Times New Roman" w:hAnsi="Times New Roman" w:cs="Times New Roman"/>
          <w:sz w:val="24"/>
          <w:szCs w:val="24"/>
          <w:lang w:val="en-GB"/>
        </w:rPr>
        <w:t xml:space="preserve">the primary </w:t>
      </w:r>
      <w:r w:rsidR="00563CC4" w:rsidRPr="00792D53">
        <w:rPr>
          <w:rFonts w:ascii="Times New Roman" w:hAnsi="Times New Roman" w:cs="Times New Roman"/>
          <w:sz w:val="24"/>
          <w:szCs w:val="24"/>
          <w:lang w:val="en-GB"/>
        </w:rPr>
        <w:t>contributes to</w:t>
      </w:r>
      <w:r w:rsidR="0085531A" w:rsidRPr="00792D53">
        <w:rPr>
          <w:rFonts w:ascii="Times New Roman" w:hAnsi="Times New Roman" w:cs="Times New Roman"/>
          <w:sz w:val="24"/>
          <w:szCs w:val="24"/>
          <w:lang w:val="en-GB"/>
        </w:rPr>
        <w:t xml:space="preserve"> the reduced industry output were </w:t>
      </w:r>
      <w:r w:rsidR="00F64092">
        <w:rPr>
          <w:rFonts w:ascii="Times New Roman" w:hAnsi="Times New Roman" w:cs="Times New Roman"/>
          <w:sz w:val="24"/>
          <w:szCs w:val="24"/>
          <w:lang w:val="en-GB"/>
        </w:rPr>
        <w:t>NYT</w:t>
      </w:r>
      <w:r w:rsidR="00C217D8">
        <w:rPr>
          <w:rFonts w:ascii="Times New Roman" w:hAnsi="Times New Roman" w:cs="Times New Roman"/>
          <w:sz w:val="24"/>
          <w:szCs w:val="24"/>
          <w:lang w:val="en-GB"/>
        </w:rPr>
        <w:t xml:space="preserve"> </w:t>
      </w:r>
      <w:r w:rsidR="0085531A" w:rsidRPr="00792D53">
        <w:rPr>
          <w:rFonts w:ascii="Times New Roman" w:hAnsi="Times New Roman" w:cs="Times New Roman"/>
          <w:sz w:val="24"/>
          <w:szCs w:val="24"/>
          <w:lang w:val="en-GB"/>
        </w:rPr>
        <w:t>and Axel Springer AG. By contrast, Thomson Reuters increased its revenues in terms of digital finance content. It is unclear whether Verizon’s acquisition of Yahoo played a role in this slump. This is because the industry went through other events that might have had an impact on decreased revenues. For instance, NYT introduced a stricter paywall in 2017 for its digital content.</w:t>
      </w:r>
      <w:r w:rsidR="0085531A" w:rsidRPr="00B23AE5">
        <w:rPr>
          <w:rFonts w:ascii="Times New Roman" w:hAnsi="Times New Roman" w:cs="Times New Roman"/>
          <w:sz w:val="24"/>
          <w:szCs w:val="24"/>
          <w:vertAlign w:val="superscript"/>
          <w:lang w:val="en-GB"/>
        </w:rPr>
        <w:footnoteReference w:id="92"/>
      </w:r>
      <w:r w:rsidR="0085531A" w:rsidRPr="00B23AE5">
        <w:rPr>
          <w:rFonts w:ascii="Times New Roman" w:hAnsi="Times New Roman" w:cs="Times New Roman"/>
          <w:sz w:val="24"/>
          <w:szCs w:val="24"/>
          <w:vertAlign w:val="superscript"/>
          <w:lang w:val="en-GB"/>
        </w:rPr>
        <w:t xml:space="preserve"> </w:t>
      </w:r>
    </w:p>
    <w:p w14:paraId="5DCE067A" w14:textId="32AA56C4" w:rsidR="00EC1C27" w:rsidRPr="00792D53" w:rsidRDefault="00316A60" w:rsidP="00792D53">
      <w:pPr>
        <w:spacing w:before="120" w:after="120" w:line="480" w:lineRule="auto"/>
        <w:jc w:val="both"/>
        <w:rPr>
          <w:rFonts w:ascii="Times New Roman" w:hAnsi="Times New Roman" w:cs="Times New Roman"/>
          <w:sz w:val="24"/>
          <w:szCs w:val="24"/>
          <w:lang w:val="en-GB"/>
        </w:rPr>
      </w:pPr>
      <w:r w:rsidRPr="00AC2DBD">
        <w:rPr>
          <w:rFonts w:ascii="Times New Roman" w:hAnsi="Times New Roman" w:cs="Times New Roman"/>
          <w:i/>
          <w:iCs/>
          <w:sz w:val="24"/>
          <w:szCs w:val="24"/>
          <w:lang w:val="en-GB"/>
        </w:rPr>
        <w:t xml:space="preserve">Apple/Beats </w:t>
      </w:r>
      <w:r w:rsidRPr="00792D53">
        <w:rPr>
          <w:rFonts w:ascii="Times New Roman" w:hAnsi="Times New Roman" w:cs="Times New Roman"/>
          <w:sz w:val="24"/>
          <w:szCs w:val="24"/>
          <w:lang w:val="en-GB"/>
        </w:rPr>
        <w:t xml:space="preserve">presents a more interesting study. At first glance, the case fails both of our tests. Total output in the market in 2021 is at a lower figure than in 2013. Furthermore, it appears that sales have dropped following the merger. However, we note that sales have been dropping in the years preceding the merger as well, and the further decrease we observe may simply be an extension of this overall trend. Nevertheless, we also note that, under the rival perception test, neither Sony nor JVC acknowledged Apple or Beats as a rival. These findings do not readily advocate for labelling </w:t>
      </w:r>
      <w:r w:rsidRPr="00792D53">
        <w:rPr>
          <w:rFonts w:ascii="Times New Roman" w:hAnsi="Times New Roman" w:cs="Times New Roman"/>
          <w:sz w:val="24"/>
          <w:szCs w:val="24"/>
          <w:lang w:val="en-GB"/>
        </w:rPr>
        <w:lastRenderedPageBreak/>
        <w:t xml:space="preserve">the transaction as anticompetitive, but we note that the case, as it stands, </w:t>
      </w:r>
      <w:r w:rsidR="002E7926" w:rsidRPr="00792D53">
        <w:rPr>
          <w:rFonts w:ascii="Times New Roman" w:hAnsi="Times New Roman" w:cs="Times New Roman"/>
          <w:sz w:val="24"/>
          <w:szCs w:val="24"/>
          <w:lang w:val="en-GB"/>
        </w:rPr>
        <w:t xml:space="preserve">is the one raising </w:t>
      </w:r>
      <w:r w:rsidRPr="00792D53">
        <w:rPr>
          <w:rFonts w:ascii="Times New Roman" w:hAnsi="Times New Roman" w:cs="Times New Roman"/>
          <w:sz w:val="24"/>
          <w:szCs w:val="24"/>
          <w:lang w:val="en-GB"/>
        </w:rPr>
        <w:t xml:space="preserve">the most suspicion in our dataset. </w:t>
      </w:r>
    </w:p>
    <w:p w14:paraId="2148A5F2" w14:textId="4BCF6668" w:rsidR="00B62EB3" w:rsidRPr="00792D53" w:rsidRDefault="00B62EB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In the remaining six cases, we observe an increase in industry output.</w:t>
      </w:r>
      <w:r w:rsidR="00CF27F9" w:rsidRPr="00792D53">
        <w:rPr>
          <w:rFonts w:ascii="Times New Roman" w:hAnsi="Times New Roman" w:cs="Times New Roman"/>
          <w:sz w:val="24"/>
          <w:szCs w:val="24"/>
          <w:lang w:val="en-GB"/>
        </w:rPr>
        <w:t xml:space="preserve"> In some cases, the increase in output was the result of </w:t>
      </w:r>
      <w:r w:rsidR="00FD0D31" w:rsidRPr="00792D53">
        <w:rPr>
          <w:rFonts w:ascii="Times New Roman" w:hAnsi="Times New Roman" w:cs="Times New Roman"/>
          <w:sz w:val="24"/>
          <w:szCs w:val="24"/>
          <w:lang w:val="en-GB"/>
        </w:rPr>
        <w:t xml:space="preserve">a rival expanding at the expense of others. For example, in </w:t>
      </w:r>
      <w:r w:rsidR="00FD0D31" w:rsidRPr="00AC2DBD">
        <w:rPr>
          <w:rFonts w:ascii="Times New Roman" w:hAnsi="Times New Roman" w:cs="Times New Roman"/>
          <w:i/>
          <w:iCs/>
          <w:sz w:val="24"/>
          <w:szCs w:val="24"/>
          <w:lang w:val="en-GB"/>
        </w:rPr>
        <w:t>SAP/Sybase</w:t>
      </w:r>
      <w:r w:rsidR="00FD0D31" w:rsidRPr="00792D53">
        <w:rPr>
          <w:rFonts w:ascii="Times New Roman" w:hAnsi="Times New Roman" w:cs="Times New Roman"/>
          <w:sz w:val="24"/>
          <w:szCs w:val="24"/>
          <w:lang w:val="en-GB"/>
        </w:rPr>
        <w:t xml:space="preserve">, we observe that Microsoft managed to steadily increase its market share. By contrast, Oracle registered lower market share growth and a gradual decline towards the end, landing around the same </w:t>
      </w:r>
      <w:r w:rsidR="00483835" w:rsidRPr="00792D53">
        <w:rPr>
          <w:rFonts w:ascii="Times New Roman" w:hAnsi="Times New Roman" w:cs="Times New Roman"/>
          <w:sz w:val="24"/>
          <w:szCs w:val="24"/>
          <w:lang w:val="en-GB"/>
        </w:rPr>
        <w:t xml:space="preserve">level </w:t>
      </w:r>
      <w:r w:rsidR="00FD0D31" w:rsidRPr="00792D53">
        <w:rPr>
          <w:rFonts w:ascii="Times New Roman" w:hAnsi="Times New Roman" w:cs="Times New Roman"/>
          <w:sz w:val="24"/>
          <w:szCs w:val="24"/>
          <w:lang w:val="en-GB"/>
        </w:rPr>
        <w:t xml:space="preserve">it occupied before the transaction. The hardest hit competitor was IBM. Over the seven years analyzed, IBM consistently lost market share to the benefit of competitors, mainly Microsoft. This indicates heightened competition in the market post-acquisition and does not </w:t>
      </w:r>
      <w:r w:rsidR="00483835" w:rsidRPr="00792D53">
        <w:rPr>
          <w:rFonts w:ascii="Times New Roman" w:hAnsi="Times New Roman" w:cs="Times New Roman"/>
          <w:sz w:val="24"/>
          <w:szCs w:val="24"/>
          <w:lang w:val="en-GB"/>
        </w:rPr>
        <w:t xml:space="preserve">necessarily </w:t>
      </w:r>
      <w:r w:rsidR="00FD0D31" w:rsidRPr="00792D53">
        <w:rPr>
          <w:rFonts w:ascii="Times New Roman" w:hAnsi="Times New Roman" w:cs="Times New Roman"/>
          <w:sz w:val="24"/>
          <w:szCs w:val="24"/>
          <w:lang w:val="en-GB"/>
        </w:rPr>
        <w:t>imply a competitive kill.</w:t>
      </w:r>
      <w:r w:rsidR="00FD0D31" w:rsidRPr="00B23AE5">
        <w:rPr>
          <w:rFonts w:ascii="Times New Roman" w:hAnsi="Times New Roman" w:cs="Times New Roman"/>
          <w:sz w:val="24"/>
          <w:szCs w:val="24"/>
          <w:vertAlign w:val="superscript"/>
          <w:lang w:val="en-GB"/>
        </w:rPr>
        <w:footnoteReference w:id="93"/>
      </w:r>
      <w:r w:rsidR="00FD0D31" w:rsidRPr="00B23AE5">
        <w:rPr>
          <w:rFonts w:ascii="Times New Roman" w:hAnsi="Times New Roman" w:cs="Times New Roman"/>
          <w:sz w:val="24"/>
          <w:szCs w:val="24"/>
          <w:vertAlign w:val="superscript"/>
          <w:lang w:val="en-GB"/>
        </w:rPr>
        <w:t xml:space="preserve"> </w:t>
      </w:r>
      <w:r w:rsidR="009712C7" w:rsidRPr="00792D53">
        <w:rPr>
          <w:rFonts w:ascii="Times New Roman" w:hAnsi="Times New Roman" w:cs="Times New Roman"/>
          <w:sz w:val="24"/>
          <w:szCs w:val="24"/>
          <w:lang w:val="en-GB"/>
        </w:rPr>
        <w:t xml:space="preserve">Similarly, in </w:t>
      </w:r>
      <w:r w:rsidR="009712C7" w:rsidRPr="00AC2DBD">
        <w:rPr>
          <w:rFonts w:ascii="Times New Roman" w:hAnsi="Times New Roman" w:cs="Times New Roman"/>
          <w:i/>
          <w:iCs/>
          <w:sz w:val="24"/>
          <w:szCs w:val="24"/>
          <w:lang w:val="en-GB"/>
        </w:rPr>
        <w:t>Microsoft/Skype</w:t>
      </w:r>
      <w:r w:rsidR="009712C7" w:rsidRPr="00792D53">
        <w:rPr>
          <w:rFonts w:ascii="Times New Roman" w:hAnsi="Times New Roman" w:cs="Times New Roman"/>
          <w:sz w:val="24"/>
          <w:szCs w:val="24"/>
          <w:lang w:val="en-GB"/>
        </w:rPr>
        <w:t>, we observe that a large part of industry growth post-merger was attributable to Google. By contrast, Yahoo and AOL gradually lost market shares over time, both ending up with sub-10% shares. These observations suggest that output increased in a manner consistent with cutthroat competition, in which winners emerge and dominate their rivals.</w:t>
      </w:r>
    </w:p>
    <w:p w14:paraId="4C370544" w14:textId="33630127" w:rsidR="00994408" w:rsidRPr="00C235E5" w:rsidRDefault="00994408"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We acknowledge that some cases </w:t>
      </w:r>
      <w:r w:rsidR="00DD718A" w:rsidRPr="00792D53">
        <w:rPr>
          <w:rFonts w:ascii="Times New Roman" w:hAnsi="Times New Roman" w:cs="Times New Roman"/>
          <w:sz w:val="24"/>
          <w:szCs w:val="24"/>
          <w:lang w:val="en-GB"/>
        </w:rPr>
        <w:t xml:space="preserve">are too recent to allow us to </w:t>
      </w:r>
      <w:r w:rsidR="007A0D92" w:rsidRPr="00792D53">
        <w:rPr>
          <w:rFonts w:ascii="Times New Roman" w:hAnsi="Times New Roman" w:cs="Times New Roman"/>
          <w:sz w:val="24"/>
          <w:szCs w:val="24"/>
          <w:lang w:val="en-GB"/>
        </w:rPr>
        <w:t>inform our findings</w:t>
      </w:r>
      <w:r w:rsidRPr="00792D53">
        <w:rPr>
          <w:rFonts w:ascii="Times New Roman" w:hAnsi="Times New Roman" w:cs="Times New Roman"/>
          <w:sz w:val="24"/>
          <w:szCs w:val="24"/>
          <w:lang w:val="en-GB"/>
        </w:rPr>
        <w:t xml:space="preserve">. </w:t>
      </w:r>
      <w:r w:rsidR="007A0D92" w:rsidRPr="00792D53">
        <w:rPr>
          <w:rFonts w:ascii="Times New Roman" w:hAnsi="Times New Roman" w:cs="Times New Roman"/>
          <w:sz w:val="24"/>
          <w:szCs w:val="24"/>
          <w:lang w:val="en-GB"/>
        </w:rPr>
        <w:t xml:space="preserve">It is too early, for example, to draw conclusions from </w:t>
      </w:r>
      <w:r w:rsidRPr="00BC32C3">
        <w:rPr>
          <w:rFonts w:ascii="Times New Roman" w:hAnsi="Times New Roman" w:cs="Times New Roman"/>
          <w:i/>
          <w:iCs/>
          <w:sz w:val="24"/>
          <w:szCs w:val="24"/>
          <w:lang w:val="en-GB"/>
        </w:rPr>
        <w:t>Google/FitBit</w:t>
      </w:r>
      <w:r w:rsidRPr="00C235E5">
        <w:rPr>
          <w:rFonts w:ascii="Times New Roman" w:hAnsi="Times New Roman" w:cs="Times New Roman"/>
          <w:sz w:val="24"/>
          <w:szCs w:val="24"/>
          <w:lang w:val="en-GB"/>
        </w:rPr>
        <w:t xml:space="preserve"> and </w:t>
      </w:r>
      <w:r w:rsidRPr="00BC32C3">
        <w:rPr>
          <w:rFonts w:ascii="Times New Roman" w:hAnsi="Times New Roman" w:cs="Times New Roman"/>
          <w:i/>
          <w:iCs/>
          <w:sz w:val="24"/>
          <w:szCs w:val="24"/>
          <w:lang w:val="en-GB"/>
        </w:rPr>
        <w:t>Microsoft/</w:t>
      </w:r>
      <w:r w:rsidR="00B23AE5" w:rsidRPr="00BC32C3">
        <w:rPr>
          <w:rFonts w:ascii="Times New Roman" w:hAnsi="Times New Roman" w:cs="Times New Roman"/>
          <w:i/>
          <w:iCs/>
          <w:sz w:val="24"/>
          <w:szCs w:val="24"/>
          <w:lang w:val="en-GB"/>
        </w:rPr>
        <w:t>ZeniMax</w:t>
      </w:r>
      <w:r w:rsidRPr="00C235E5">
        <w:rPr>
          <w:rFonts w:ascii="Times New Roman" w:hAnsi="Times New Roman" w:cs="Times New Roman"/>
          <w:sz w:val="24"/>
          <w:szCs w:val="24"/>
          <w:lang w:val="en-GB"/>
        </w:rPr>
        <w:t xml:space="preserve">. Nevertheless, we include these cases as candidates to revisit in the </w:t>
      </w:r>
      <w:r w:rsidR="00AF2420">
        <w:rPr>
          <w:rFonts w:ascii="Times New Roman" w:hAnsi="Times New Roman" w:cs="Times New Roman"/>
          <w:sz w:val="24"/>
          <w:szCs w:val="24"/>
          <w:lang w:val="en-GB"/>
        </w:rPr>
        <w:t>following</w:t>
      </w:r>
      <w:r w:rsidRPr="00C235E5">
        <w:rPr>
          <w:rFonts w:ascii="Times New Roman" w:hAnsi="Times New Roman" w:cs="Times New Roman"/>
          <w:sz w:val="24"/>
          <w:szCs w:val="24"/>
          <w:lang w:val="en-GB"/>
        </w:rPr>
        <w:t xml:space="preserve"> years to better evaluate the competitive landscape post-acquisition. Notably, with the available data in mind, both cases produced industry growth after the transactions were consummated.</w:t>
      </w:r>
    </w:p>
    <w:p w14:paraId="7F8545A0" w14:textId="3CD6F480" w:rsidR="00897C9D" w:rsidRPr="00792D53" w:rsidRDefault="005C74A1"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lastRenderedPageBreak/>
        <w:t>In summary, in very few cases, a merger appeared to have been followed by a weakening, let alone a killing</w:t>
      </w:r>
      <w:r w:rsidR="00D607EB" w:rsidRPr="00792D53">
        <w:rPr>
          <w:rFonts w:ascii="Times New Roman" w:hAnsi="Times New Roman" w:cs="Times New Roman"/>
          <w:sz w:val="24"/>
          <w:szCs w:val="24"/>
          <w:lang w:val="en-GB"/>
        </w:rPr>
        <w:t>,</w:t>
      </w:r>
      <w:r w:rsidRPr="00792D53">
        <w:rPr>
          <w:rFonts w:ascii="Times New Roman" w:hAnsi="Times New Roman" w:cs="Times New Roman"/>
          <w:sz w:val="24"/>
          <w:szCs w:val="24"/>
          <w:lang w:val="en-GB"/>
        </w:rPr>
        <w:t xml:space="preserve"> of competition. The competitive landscape </w:t>
      </w:r>
      <w:r w:rsidR="00E913F8" w:rsidRPr="00792D53">
        <w:rPr>
          <w:rFonts w:ascii="Times New Roman" w:hAnsi="Times New Roman" w:cs="Times New Roman"/>
          <w:sz w:val="24"/>
          <w:szCs w:val="24"/>
          <w:lang w:val="en-GB"/>
        </w:rPr>
        <w:t>post-merger</w:t>
      </w:r>
      <w:r w:rsidRPr="00792D53">
        <w:rPr>
          <w:rFonts w:ascii="Times New Roman" w:hAnsi="Times New Roman" w:cs="Times New Roman"/>
          <w:sz w:val="24"/>
          <w:szCs w:val="24"/>
          <w:lang w:val="en-GB"/>
        </w:rPr>
        <w:t xml:space="preserve"> remained </w:t>
      </w:r>
      <w:r w:rsidR="00CC0768" w:rsidRPr="00792D53">
        <w:rPr>
          <w:rFonts w:ascii="Times New Roman" w:hAnsi="Times New Roman" w:cs="Times New Roman"/>
          <w:sz w:val="24"/>
          <w:szCs w:val="24"/>
          <w:lang w:val="en-GB"/>
        </w:rPr>
        <w:t>vibrant in most cases, inval</w:t>
      </w:r>
      <w:r w:rsidR="00930547" w:rsidRPr="00792D53">
        <w:rPr>
          <w:rFonts w:ascii="Times New Roman" w:hAnsi="Times New Roman" w:cs="Times New Roman"/>
          <w:sz w:val="24"/>
          <w:szCs w:val="24"/>
          <w:lang w:val="en-GB"/>
        </w:rPr>
        <w:t>idating one key condition required for</w:t>
      </w:r>
      <w:r w:rsidR="00CC0768" w:rsidRPr="00792D53">
        <w:rPr>
          <w:rFonts w:ascii="Times New Roman" w:hAnsi="Times New Roman" w:cs="Times New Roman"/>
          <w:sz w:val="24"/>
          <w:szCs w:val="24"/>
          <w:lang w:val="en-GB"/>
        </w:rPr>
        <w:t xml:space="preserve"> the killer acquisition </w:t>
      </w:r>
      <w:r w:rsidR="00F50713" w:rsidRPr="00792D53">
        <w:rPr>
          <w:rFonts w:ascii="Times New Roman" w:hAnsi="Times New Roman" w:cs="Times New Roman"/>
          <w:sz w:val="24"/>
          <w:szCs w:val="24"/>
          <w:lang w:val="en-GB"/>
        </w:rPr>
        <w:t xml:space="preserve">theory </w:t>
      </w:r>
      <w:r w:rsidR="00930547" w:rsidRPr="00792D53">
        <w:rPr>
          <w:rFonts w:ascii="Times New Roman" w:hAnsi="Times New Roman" w:cs="Times New Roman"/>
          <w:sz w:val="24"/>
          <w:szCs w:val="24"/>
          <w:lang w:val="en-GB"/>
        </w:rPr>
        <w:t xml:space="preserve">to </w:t>
      </w:r>
      <w:r w:rsidR="00F50713" w:rsidRPr="00792D53">
        <w:rPr>
          <w:rFonts w:ascii="Times New Roman" w:hAnsi="Times New Roman" w:cs="Times New Roman"/>
          <w:sz w:val="24"/>
          <w:szCs w:val="24"/>
          <w:lang w:val="en-GB"/>
        </w:rPr>
        <w:t>be plausible</w:t>
      </w:r>
      <w:r w:rsidR="00CC0768" w:rsidRPr="00792D53">
        <w:rPr>
          <w:rFonts w:ascii="Times New Roman" w:hAnsi="Times New Roman" w:cs="Times New Roman"/>
          <w:sz w:val="24"/>
          <w:szCs w:val="24"/>
          <w:lang w:val="en-GB"/>
        </w:rPr>
        <w:t xml:space="preserve">. </w:t>
      </w:r>
    </w:p>
    <w:p w14:paraId="0B4F9295" w14:textId="1D9A1247" w:rsidR="00723021" w:rsidRPr="00792D53" w:rsidRDefault="00897C9D"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Whereas the evidence seems hardly sufficient to support a killer acquisition </w:t>
      </w:r>
      <w:r w:rsidR="00FB761D" w:rsidRPr="00792D53">
        <w:rPr>
          <w:rFonts w:ascii="Times New Roman" w:hAnsi="Times New Roman" w:cs="Times New Roman"/>
          <w:sz w:val="24"/>
          <w:szCs w:val="24"/>
          <w:lang w:val="en-GB"/>
        </w:rPr>
        <w:t>scenario</w:t>
      </w:r>
      <w:r w:rsidRPr="00792D53">
        <w:rPr>
          <w:rFonts w:ascii="Times New Roman" w:hAnsi="Times New Roman" w:cs="Times New Roman"/>
          <w:sz w:val="24"/>
          <w:szCs w:val="24"/>
          <w:lang w:val="en-GB"/>
        </w:rPr>
        <w:t xml:space="preserve">, we observe a likelier outcome for a different </w:t>
      </w:r>
      <w:r w:rsidR="00723021" w:rsidRPr="00792D53">
        <w:rPr>
          <w:rFonts w:ascii="Times New Roman" w:hAnsi="Times New Roman" w:cs="Times New Roman"/>
          <w:sz w:val="24"/>
          <w:szCs w:val="24"/>
          <w:lang w:val="en-GB"/>
        </w:rPr>
        <w:t xml:space="preserve">theory. As </w:t>
      </w:r>
      <w:r w:rsidR="00CC79BA" w:rsidRPr="00792D53">
        <w:rPr>
          <w:rFonts w:ascii="Times New Roman" w:hAnsi="Times New Roman" w:cs="Times New Roman"/>
          <w:sz w:val="24"/>
          <w:szCs w:val="24"/>
          <w:lang w:val="en-GB"/>
        </w:rPr>
        <w:t xml:space="preserve">explained </w:t>
      </w:r>
      <w:r w:rsidR="00723021" w:rsidRPr="00792D53">
        <w:rPr>
          <w:rFonts w:ascii="Times New Roman" w:hAnsi="Times New Roman" w:cs="Times New Roman"/>
          <w:sz w:val="24"/>
          <w:szCs w:val="24"/>
          <w:lang w:val="en-GB"/>
        </w:rPr>
        <w:t xml:space="preserve">above, in most cases, the post-transaction world involved some competitors increasing their sales at the expense of others. This means that, at least in some cases, there was a trend of increasing concentration. Thus, post-merger oligopolization becomes a viable theory for those cases. What motivates this trend may be intensified organic competition or competitors </w:t>
      </w:r>
      <w:r w:rsidR="00B40A36" w:rsidRPr="00792D53">
        <w:rPr>
          <w:rFonts w:ascii="Times New Roman" w:hAnsi="Times New Roman" w:cs="Times New Roman"/>
          <w:sz w:val="24"/>
          <w:szCs w:val="24"/>
          <w:lang w:val="en-GB"/>
        </w:rPr>
        <w:t>making</w:t>
      </w:r>
      <w:r w:rsidR="00723021" w:rsidRPr="00792D53">
        <w:rPr>
          <w:rFonts w:ascii="Times New Roman" w:hAnsi="Times New Roman" w:cs="Times New Roman"/>
          <w:sz w:val="24"/>
          <w:szCs w:val="24"/>
          <w:lang w:val="en-GB"/>
        </w:rPr>
        <w:t xml:space="preserve"> their own acquisitions. For the purposes of our third (and last) test below, we consider the extent to which competitors respond to the acquisitions of their rivals by carrying out their own purchases.</w:t>
      </w:r>
    </w:p>
    <w:p w14:paraId="6BAB7FD2" w14:textId="56DF352D" w:rsidR="00F64957" w:rsidRPr="00C235E5" w:rsidRDefault="00D812CD" w:rsidP="00F42292">
      <w:pPr>
        <w:pStyle w:val="Heading2"/>
        <w:numPr>
          <w:ilvl w:val="0"/>
          <w:numId w:val="21"/>
        </w:numPr>
        <w:rPr>
          <w:rFonts w:cs="Times New Roman"/>
          <w:sz w:val="24"/>
          <w:szCs w:val="24"/>
        </w:rPr>
      </w:pPr>
      <w:r w:rsidRPr="00C235E5">
        <w:rPr>
          <w:rFonts w:cs="Times New Roman"/>
          <w:sz w:val="24"/>
          <w:szCs w:val="24"/>
        </w:rPr>
        <w:t xml:space="preserve">Post-merger </w:t>
      </w:r>
      <w:r w:rsidR="00F73FD7" w:rsidRPr="00C235E5">
        <w:rPr>
          <w:rFonts w:cs="Times New Roman"/>
          <w:sz w:val="24"/>
          <w:szCs w:val="24"/>
        </w:rPr>
        <w:t xml:space="preserve">Competitive </w:t>
      </w:r>
      <w:r w:rsidR="00534FFB" w:rsidRPr="00C235E5">
        <w:rPr>
          <w:rFonts w:cs="Times New Roman"/>
          <w:sz w:val="24"/>
          <w:szCs w:val="24"/>
        </w:rPr>
        <w:t>Events</w:t>
      </w:r>
    </w:p>
    <w:p w14:paraId="652B8105" w14:textId="485DA985" w:rsidR="006F4615" w:rsidRPr="00792D53" w:rsidRDefault="000D0D24"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Our third test asks whether the merger was followed by an external shock likely to denote increased competition. We </w:t>
      </w:r>
      <w:r w:rsidR="00E07D5A" w:rsidRPr="00792D53">
        <w:rPr>
          <w:rFonts w:ascii="Times New Roman" w:hAnsi="Times New Roman" w:cs="Times New Roman"/>
          <w:sz w:val="24"/>
          <w:szCs w:val="24"/>
          <w:lang w:val="en-GB"/>
        </w:rPr>
        <w:t>investigate</w:t>
      </w:r>
      <w:r w:rsidRPr="00792D53">
        <w:rPr>
          <w:rFonts w:ascii="Times New Roman" w:hAnsi="Times New Roman" w:cs="Times New Roman"/>
          <w:sz w:val="24"/>
          <w:szCs w:val="24"/>
          <w:lang w:val="en-GB"/>
        </w:rPr>
        <w:t xml:space="preserve"> the dataset for three types of events: new product introduction, </w:t>
      </w:r>
      <w:r w:rsidR="00CD2DF8" w:rsidRPr="00792D53">
        <w:rPr>
          <w:rFonts w:ascii="Times New Roman" w:hAnsi="Times New Roman" w:cs="Times New Roman"/>
          <w:sz w:val="24"/>
          <w:szCs w:val="24"/>
          <w:lang w:val="en-GB"/>
        </w:rPr>
        <w:t>new firm creation, or rival</w:t>
      </w:r>
      <w:r w:rsidR="00920A23" w:rsidRPr="00792D53">
        <w:rPr>
          <w:rFonts w:ascii="Times New Roman" w:hAnsi="Times New Roman" w:cs="Times New Roman"/>
          <w:sz w:val="24"/>
          <w:szCs w:val="24"/>
          <w:lang w:val="en-GB"/>
        </w:rPr>
        <w:t xml:space="preserve"> </w:t>
      </w:r>
      <w:r w:rsidR="00A422BF" w:rsidRPr="00792D53">
        <w:rPr>
          <w:rFonts w:ascii="Times New Roman" w:hAnsi="Times New Roman" w:cs="Times New Roman"/>
          <w:sz w:val="24"/>
          <w:szCs w:val="24"/>
          <w:lang w:val="en-GB"/>
        </w:rPr>
        <w:t>transformation</w:t>
      </w:r>
      <w:r w:rsidR="00CD2DF8" w:rsidRPr="00792D53">
        <w:rPr>
          <w:rFonts w:ascii="Times New Roman" w:hAnsi="Times New Roman" w:cs="Times New Roman"/>
          <w:sz w:val="24"/>
          <w:szCs w:val="24"/>
          <w:lang w:val="en-GB"/>
        </w:rPr>
        <w:t>.</w:t>
      </w:r>
      <w:r w:rsidR="00D2685E" w:rsidRPr="00792D53">
        <w:rPr>
          <w:rFonts w:ascii="Times New Roman" w:hAnsi="Times New Roman" w:cs="Times New Roman"/>
          <w:sz w:val="24"/>
          <w:szCs w:val="24"/>
          <w:lang w:val="en-GB"/>
        </w:rPr>
        <w:t xml:space="preserve"> We try to answer by a simple yes or no, for each type of event.</w:t>
      </w:r>
      <w:r w:rsidR="009C28A2" w:rsidRPr="00792D53">
        <w:rPr>
          <w:rFonts w:ascii="Times New Roman" w:hAnsi="Times New Roman" w:cs="Times New Roman"/>
          <w:sz w:val="24"/>
          <w:szCs w:val="24"/>
          <w:lang w:val="en-GB"/>
        </w:rPr>
        <w:t xml:space="preserve"> </w:t>
      </w:r>
      <w:r w:rsidR="00C76095" w:rsidRPr="00792D53">
        <w:rPr>
          <w:rFonts w:ascii="Times New Roman" w:hAnsi="Times New Roman" w:cs="Times New Roman"/>
          <w:sz w:val="24"/>
          <w:szCs w:val="24"/>
          <w:lang w:val="en-GB"/>
        </w:rPr>
        <w:t xml:space="preserve">The economic intuition is a simple one. </w:t>
      </w:r>
      <w:r w:rsidR="009C28A2" w:rsidRPr="00792D53">
        <w:rPr>
          <w:rFonts w:ascii="Times New Roman" w:hAnsi="Times New Roman" w:cs="Times New Roman"/>
          <w:sz w:val="24"/>
          <w:szCs w:val="24"/>
          <w:lang w:val="en-GB"/>
        </w:rPr>
        <w:t xml:space="preserve">A killer acquisition </w:t>
      </w:r>
      <w:r w:rsidR="00C76095" w:rsidRPr="00792D53">
        <w:rPr>
          <w:rFonts w:ascii="Times New Roman" w:hAnsi="Times New Roman" w:cs="Times New Roman"/>
          <w:sz w:val="24"/>
          <w:szCs w:val="24"/>
          <w:lang w:val="en-GB"/>
        </w:rPr>
        <w:t xml:space="preserve">supposes a diminution of </w:t>
      </w:r>
      <w:r w:rsidR="009C28A2" w:rsidRPr="00792D53">
        <w:rPr>
          <w:rFonts w:ascii="Times New Roman" w:hAnsi="Times New Roman" w:cs="Times New Roman"/>
          <w:sz w:val="24"/>
          <w:szCs w:val="24"/>
          <w:lang w:val="en-GB"/>
        </w:rPr>
        <w:t>competition</w:t>
      </w:r>
      <w:r w:rsidR="00C76095" w:rsidRPr="00792D53">
        <w:rPr>
          <w:rFonts w:ascii="Times New Roman" w:hAnsi="Times New Roman" w:cs="Times New Roman"/>
          <w:sz w:val="24"/>
          <w:szCs w:val="24"/>
          <w:lang w:val="en-GB"/>
        </w:rPr>
        <w:t xml:space="preserve"> in the future</w:t>
      </w:r>
      <w:r w:rsidR="009C28A2" w:rsidRPr="00792D53">
        <w:rPr>
          <w:rFonts w:ascii="Times New Roman" w:hAnsi="Times New Roman" w:cs="Times New Roman"/>
          <w:sz w:val="24"/>
          <w:szCs w:val="24"/>
          <w:lang w:val="en-GB"/>
        </w:rPr>
        <w:t xml:space="preserve">. </w:t>
      </w:r>
      <w:r w:rsidR="00C76095" w:rsidRPr="00792D53">
        <w:rPr>
          <w:rFonts w:ascii="Times New Roman" w:hAnsi="Times New Roman" w:cs="Times New Roman"/>
          <w:sz w:val="24"/>
          <w:szCs w:val="24"/>
          <w:lang w:val="en-GB"/>
        </w:rPr>
        <w:t>A post</w:t>
      </w:r>
      <w:r w:rsidR="00E07D5A" w:rsidRPr="00792D53">
        <w:rPr>
          <w:rFonts w:ascii="Times New Roman" w:hAnsi="Times New Roman" w:cs="Times New Roman"/>
          <w:sz w:val="24"/>
          <w:szCs w:val="24"/>
          <w:lang w:val="en-GB"/>
        </w:rPr>
        <w:t>-</w:t>
      </w:r>
      <w:r w:rsidR="00C76095" w:rsidRPr="00792D53">
        <w:rPr>
          <w:rFonts w:ascii="Times New Roman" w:hAnsi="Times New Roman" w:cs="Times New Roman"/>
          <w:sz w:val="24"/>
          <w:szCs w:val="24"/>
          <w:lang w:val="en-GB"/>
        </w:rPr>
        <w:t xml:space="preserve">merger </w:t>
      </w:r>
      <w:r w:rsidR="00087597" w:rsidRPr="00792D53">
        <w:rPr>
          <w:rFonts w:ascii="Times New Roman" w:hAnsi="Times New Roman" w:cs="Times New Roman"/>
          <w:sz w:val="24"/>
          <w:szCs w:val="24"/>
          <w:lang w:val="en-GB"/>
        </w:rPr>
        <w:t xml:space="preserve">market </w:t>
      </w:r>
      <w:r w:rsidR="00C76095" w:rsidRPr="00792D53">
        <w:rPr>
          <w:rFonts w:ascii="Times New Roman" w:hAnsi="Times New Roman" w:cs="Times New Roman"/>
          <w:sz w:val="24"/>
          <w:szCs w:val="24"/>
          <w:lang w:val="en-GB"/>
        </w:rPr>
        <w:t xml:space="preserve">that displays </w:t>
      </w:r>
      <w:r w:rsidR="00087597" w:rsidRPr="00792D53">
        <w:rPr>
          <w:rFonts w:ascii="Times New Roman" w:hAnsi="Times New Roman" w:cs="Times New Roman"/>
          <w:sz w:val="24"/>
          <w:szCs w:val="24"/>
          <w:lang w:val="en-GB"/>
        </w:rPr>
        <w:t xml:space="preserve">rival entry, </w:t>
      </w:r>
      <w:r w:rsidR="00984F38" w:rsidRPr="00792D53">
        <w:rPr>
          <w:rFonts w:ascii="Times New Roman" w:hAnsi="Times New Roman" w:cs="Times New Roman"/>
          <w:sz w:val="24"/>
          <w:szCs w:val="24"/>
          <w:lang w:val="en-GB"/>
        </w:rPr>
        <w:t xml:space="preserve">product </w:t>
      </w:r>
      <w:r w:rsidR="00087597" w:rsidRPr="00792D53">
        <w:rPr>
          <w:rFonts w:ascii="Times New Roman" w:hAnsi="Times New Roman" w:cs="Times New Roman"/>
          <w:sz w:val="24"/>
          <w:szCs w:val="24"/>
          <w:lang w:val="en-GB"/>
        </w:rPr>
        <w:t xml:space="preserve">innovation, or </w:t>
      </w:r>
      <w:r w:rsidR="00984F38" w:rsidRPr="00792D53">
        <w:rPr>
          <w:rFonts w:ascii="Times New Roman" w:hAnsi="Times New Roman" w:cs="Times New Roman"/>
          <w:sz w:val="24"/>
          <w:szCs w:val="24"/>
          <w:lang w:val="en-GB"/>
        </w:rPr>
        <w:t xml:space="preserve">firm </w:t>
      </w:r>
      <w:r w:rsidR="00087597" w:rsidRPr="00792D53">
        <w:rPr>
          <w:rFonts w:ascii="Times New Roman" w:hAnsi="Times New Roman" w:cs="Times New Roman"/>
          <w:sz w:val="24"/>
          <w:szCs w:val="24"/>
          <w:lang w:val="en-GB"/>
        </w:rPr>
        <w:t xml:space="preserve">expansion, </w:t>
      </w:r>
      <w:r w:rsidR="00C76095" w:rsidRPr="00792D53">
        <w:rPr>
          <w:rFonts w:ascii="Times New Roman" w:hAnsi="Times New Roman" w:cs="Times New Roman"/>
          <w:sz w:val="24"/>
          <w:szCs w:val="24"/>
          <w:lang w:val="en-GB"/>
        </w:rPr>
        <w:t xml:space="preserve"> is incompatible with a </w:t>
      </w:r>
      <w:r w:rsidR="00984F38" w:rsidRPr="00792D53">
        <w:rPr>
          <w:rFonts w:ascii="Times New Roman" w:hAnsi="Times New Roman" w:cs="Times New Roman"/>
          <w:sz w:val="24"/>
          <w:szCs w:val="24"/>
          <w:lang w:val="en-GB"/>
        </w:rPr>
        <w:t>killer acquisition</w:t>
      </w:r>
      <w:r w:rsidR="00CB66B2" w:rsidRPr="00792D53">
        <w:rPr>
          <w:rFonts w:ascii="Times New Roman" w:hAnsi="Times New Roman" w:cs="Times New Roman"/>
          <w:sz w:val="24"/>
          <w:szCs w:val="24"/>
          <w:lang w:val="en-GB"/>
        </w:rPr>
        <w:t>.</w:t>
      </w:r>
    </w:p>
    <w:p w14:paraId="5353FBB7" w14:textId="4C3D3985" w:rsidR="00D2685E" w:rsidRPr="00792D53" w:rsidRDefault="00D2685E"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To operationalize the test, we proceed as follow</w:t>
      </w:r>
      <w:r w:rsidR="00B47E99" w:rsidRPr="00792D53">
        <w:rPr>
          <w:rFonts w:ascii="Times New Roman" w:hAnsi="Times New Roman" w:cs="Times New Roman"/>
          <w:sz w:val="24"/>
          <w:szCs w:val="24"/>
          <w:lang w:val="en-GB"/>
        </w:rPr>
        <w:t>s</w:t>
      </w:r>
      <w:r w:rsidRPr="00792D53">
        <w:rPr>
          <w:rFonts w:ascii="Times New Roman" w:hAnsi="Times New Roman" w:cs="Times New Roman"/>
          <w:sz w:val="24"/>
          <w:szCs w:val="24"/>
          <w:lang w:val="en-GB"/>
        </w:rPr>
        <w:t xml:space="preserve">. The </w:t>
      </w:r>
      <w:r w:rsidR="00805F68" w:rsidRPr="00792D53">
        <w:rPr>
          <w:rFonts w:ascii="Times New Roman" w:hAnsi="Times New Roman" w:cs="Times New Roman"/>
          <w:sz w:val="24"/>
          <w:szCs w:val="24"/>
          <w:lang w:val="en-GB"/>
        </w:rPr>
        <w:t xml:space="preserve">new product introduction </w:t>
      </w:r>
      <w:r w:rsidR="00141541" w:rsidRPr="00792D53">
        <w:rPr>
          <w:rFonts w:ascii="Times New Roman" w:hAnsi="Times New Roman" w:cs="Times New Roman"/>
          <w:sz w:val="24"/>
          <w:szCs w:val="24"/>
          <w:lang w:val="en-GB"/>
        </w:rPr>
        <w:t xml:space="preserve">event </w:t>
      </w:r>
      <w:r w:rsidR="00805F68" w:rsidRPr="00792D53">
        <w:rPr>
          <w:rFonts w:ascii="Times New Roman" w:hAnsi="Times New Roman" w:cs="Times New Roman"/>
          <w:sz w:val="24"/>
          <w:szCs w:val="24"/>
          <w:lang w:val="en-GB"/>
        </w:rPr>
        <w:t xml:space="preserve">can be </w:t>
      </w:r>
      <w:r w:rsidR="00141541" w:rsidRPr="00792D53">
        <w:rPr>
          <w:rFonts w:ascii="Times New Roman" w:hAnsi="Times New Roman" w:cs="Times New Roman"/>
          <w:sz w:val="24"/>
          <w:szCs w:val="24"/>
          <w:lang w:val="en-GB"/>
        </w:rPr>
        <w:t xml:space="preserve">observed </w:t>
      </w:r>
      <w:r w:rsidR="00805F68" w:rsidRPr="00792D53">
        <w:rPr>
          <w:rFonts w:ascii="Times New Roman" w:hAnsi="Times New Roman" w:cs="Times New Roman"/>
          <w:sz w:val="24"/>
          <w:szCs w:val="24"/>
          <w:lang w:val="en-GB"/>
        </w:rPr>
        <w:t xml:space="preserve">by looking, for each transaction, at </w:t>
      </w:r>
      <w:r w:rsidR="00441333" w:rsidRPr="00792D53">
        <w:rPr>
          <w:rFonts w:ascii="Times New Roman" w:hAnsi="Times New Roman" w:cs="Times New Roman"/>
          <w:sz w:val="24"/>
          <w:szCs w:val="24"/>
          <w:lang w:val="en-GB"/>
        </w:rPr>
        <w:t xml:space="preserve">all subsequent </w:t>
      </w:r>
      <w:r w:rsidR="00876E12" w:rsidRPr="00792D53">
        <w:rPr>
          <w:rFonts w:ascii="Times New Roman" w:hAnsi="Times New Roman" w:cs="Times New Roman"/>
          <w:sz w:val="24"/>
          <w:szCs w:val="24"/>
          <w:lang w:val="en-GB"/>
        </w:rPr>
        <w:t xml:space="preserve">EC </w:t>
      </w:r>
      <w:r w:rsidR="00805F68" w:rsidRPr="00792D53">
        <w:rPr>
          <w:rFonts w:ascii="Times New Roman" w:hAnsi="Times New Roman" w:cs="Times New Roman"/>
          <w:sz w:val="24"/>
          <w:szCs w:val="24"/>
          <w:lang w:val="en-GB"/>
        </w:rPr>
        <w:t>decision</w:t>
      </w:r>
      <w:r w:rsidR="00441333" w:rsidRPr="00792D53">
        <w:rPr>
          <w:rFonts w:ascii="Times New Roman" w:hAnsi="Times New Roman" w:cs="Times New Roman"/>
          <w:sz w:val="24"/>
          <w:szCs w:val="24"/>
          <w:lang w:val="en-GB"/>
        </w:rPr>
        <w:t>s</w:t>
      </w:r>
      <w:r w:rsidR="00805F68" w:rsidRPr="00792D53">
        <w:rPr>
          <w:rFonts w:ascii="Times New Roman" w:hAnsi="Times New Roman" w:cs="Times New Roman"/>
          <w:sz w:val="24"/>
          <w:szCs w:val="24"/>
          <w:lang w:val="en-GB"/>
        </w:rPr>
        <w:t xml:space="preserve"> </w:t>
      </w:r>
      <w:r w:rsidR="00876E12" w:rsidRPr="00792D53">
        <w:rPr>
          <w:rFonts w:ascii="Times New Roman" w:hAnsi="Times New Roman" w:cs="Times New Roman"/>
          <w:sz w:val="24"/>
          <w:szCs w:val="24"/>
          <w:lang w:val="en-GB"/>
        </w:rPr>
        <w:t xml:space="preserve">concerning the same </w:t>
      </w:r>
      <w:r w:rsidR="00D715DD" w:rsidRPr="00792D53">
        <w:rPr>
          <w:rFonts w:ascii="Times New Roman" w:hAnsi="Times New Roman" w:cs="Times New Roman"/>
          <w:sz w:val="24"/>
          <w:szCs w:val="24"/>
          <w:lang w:val="en-GB"/>
        </w:rPr>
        <w:t xml:space="preserve">relevant </w:t>
      </w:r>
      <w:r w:rsidR="00017AB2" w:rsidRPr="00792D53">
        <w:rPr>
          <w:rFonts w:ascii="Times New Roman" w:hAnsi="Times New Roman" w:cs="Times New Roman"/>
          <w:sz w:val="24"/>
          <w:szCs w:val="24"/>
          <w:lang w:val="en-GB"/>
        </w:rPr>
        <w:t xml:space="preserve">market, and </w:t>
      </w:r>
      <w:r w:rsidR="00141541" w:rsidRPr="00792D53">
        <w:rPr>
          <w:rFonts w:ascii="Times New Roman" w:hAnsi="Times New Roman" w:cs="Times New Roman"/>
          <w:sz w:val="24"/>
          <w:szCs w:val="24"/>
          <w:lang w:val="en-GB"/>
        </w:rPr>
        <w:t xml:space="preserve">check </w:t>
      </w:r>
      <w:r w:rsidR="006B05B4" w:rsidRPr="00792D53">
        <w:rPr>
          <w:rFonts w:ascii="Times New Roman" w:hAnsi="Times New Roman" w:cs="Times New Roman"/>
          <w:sz w:val="24"/>
          <w:szCs w:val="24"/>
          <w:lang w:val="en-GB"/>
        </w:rPr>
        <w:t xml:space="preserve">whether a widening </w:t>
      </w:r>
      <w:r w:rsidR="00141541" w:rsidRPr="00792D53">
        <w:rPr>
          <w:rFonts w:ascii="Times New Roman" w:hAnsi="Times New Roman" w:cs="Times New Roman"/>
          <w:sz w:val="24"/>
          <w:szCs w:val="24"/>
          <w:lang w:val="en-GB"/>
        </w:rPr>
        <w:t xml:space="preserve">of the market definition </w:t>
      </w:r>
      <w:r w:rsidR="006B05B4" w:rsidRPr="00792D53">
        <w:rPr>
          <w:rFonts w:ascii="Times New Roman" w:hAnsi="Times New Roman" w:cs="Times New Roman"/>
          <w:sz w:val="24"/>
          <w:szCs w:val="24"/>
          <w:lang w:val="en-GB"/>
        </w:rPr>
        <w:t xml:space="preserve">can be observed. The </w:t>
      </w:r>
      <w:r w:rsidR="00D715DD" w:rsidRPr="00792D53">
        <w:rPr>
          <w:rFonts w:ascii="Times New Roman" w:hAnsi="Times New Roman" w:cs="Times New Roman"/>
          <w:sz w:val="24"/>
          <w:szCs w:val="24"/>
          <w:lang w:val="en-GB"/>
        </w:rPr>
        <w:t xml:space="preserve">new firm creation event can be observed by looking, for each transaction, at all subsequent EC decisions concerning the same relevant market, and check whether the EC identified a new competitor. </w:t>
      </w:r>
      <w:r w:rsidR="00A422BF" w:rsidRPr="00792D53">
        <w:rPr>
          <w:rFonts w:ascii="Times New Roman" w:hAnsi="Times New Roman" w:cs="Times New Roman"/>
          <w:sz w:val="24"/>
          <w:szCs w:val="24"/>
          <w:lang w:val="en-GB"/>
        </w:rPr>
        <w:t xml:space="preserve">The </w:t>
      </w:r>
      <w:r w:rsidR="00C1777C" w:rsidRPr="00792D53">
        <w:rPr>
          <w:rFonts w:ascii="Times New Roman" w:hAnsi="Times New Roman" w:cs="Times New Roman"/>
          <w:sz w:val="24"/>
          <w:szCs w:val="24"/>
          <w:lang w:val="en-GB"/>
        </w:rPr>
        <w:lastRenderedPageBreak/>
        <w:t xml:space="preserve">rival transformation event can be looked at by asking whether an identified competitor has gone through an IPO or an M&amp;A transaction. </w:t>
      </w:r>
      <w:r w:rsidR="00B47E99" w:rsidRPr="00792D53">
        <w:rPr>
          <w:rFonts w:ascii="Times New Roman" w:hAnsi="Times New Roman" w:cs="Times New Roman"/>
          <w:sz w:val="24"/>
          <w:szCs w:val="24"/>
          <w:lang w:val="en-GB"/>
        </w:rPr>
        <w:t xml:space="preserve">We display the results of this test in the following </w:t>
      </w:r>
      <w:r w:rsidR="008B7502" w:rsidRPr="00792D53">
        <w:rPr>
          <w:rFonts w:ascii="Times New Roman" w:hAnsi="Times New Roman" w:cs="Times New Roman"/>
          <w:sz w:val="24"/>
          <w:szCs w:val="24"/>
          <w:lang w:val="en-GB"/>
        </w:rPr>
        <w:t>Table – II</w:t>
      </w:r>
      <w:r w:rsidR="00E07D5A" w:rsidRPr="00792D53">
        <w:rPr>
          <w:rFonts w:ascii="Times New Roman" w:hAnsi="Times New Roman" w:cs="Times New Roman"/>
          <w:sz w:val="24"/>
          <w:szCs w:val="24"/>
          <w:lang w:val="en-GB"/>
        </w:rPr>
        <w:t xml:space="preserve"> which indicates whether the three different events have been met or not in each case. </w:t>
      </w:r>
    </w:p>
    <w:p w14:paraId="5AFDFCA0" w14:textId="3CE262ED" w:rsidR="008B7502" w:rsidRPr="00C235E5" w:rsidRDefault="008B7502" w:rsidP="008B7502">
      <w:pPr>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Table – II: Post-merger Competitive Events Analysis</w:t>
      </w:r>
    </w:p>
    <w:tbl>
      <w:tblPr>
        <w:tblStyle w:val="TableGrid"/>
        <w:tblW w:w="0" w:type="auto"/>
        <w:tblLook w:val="04A0" w:firstRow="1" w:lastRow="0" w:firstColumn="1" w:lastColumn="0" w:noHBand="0" w:noVBand="1"/>
      </w:tblPr>
      <w:tblGrid>
        <w:gridCol w:w="2337"/>
        <w:gridCol w:w="2337"/>
        <w:gridCol w:w="2338"/>
        <w:gridCol w:w="2338"/>
      </w:tblGrid>
      <w:tr w:rsidR="00B47E99" w:rsidRPr="00C235E5" w14:paraId="2ACF0617" w14:textId="77777777" w:rsidTr="00B47E99">
        <w:tc>
          <w:tcPr>
            <w:tcW w:w="2337" w:type="dxa"/>
          </w:tcPr>
          <w:p w14:paraId="3F5BCE70" w14:textId="15B7F42D" w:rsidR="00B47E99" w:rsidRPr="00C235E5" w:rsidRDefault="00B47E99" w:rsidP="003E20C0">
            <w:pPr>
              <w:jc w:val="both"/>
              <w:rPr>
                <w:rFonts w:ascii="Times New Roman" w:hAnsi="Times New Roman" w:cs="Times New Roman"/>
                <w:b/>
                <w:bCs/>
                <w:sz w:val="24"/>
                <w:szCs w:val="24"/>
              </w:rPr>
            </w:pPr>
            <w:r w:rsidRPr="00C235E5">
              <w:rPr>
                <w:rFonts w:ascii="Times New Roman" w:hAnsi="Times New Roman" w:cs="Times New Roman"/>
                <w:b/>
                <w:bCs/>
                <w:sz w:val="24"/>
                <w:szCs w:val="24"/>
              </w:rPr>
              <w:t>Transaction/Events</w:t>
            </w:r>
          </w:p>
        </w:tc>
        <w:tc>
          <w:tcPr>
            <w:tcW w:w="2337" w:type="dxa"/>
          </w:tcPr>
          <w:p w14:paraId="400B69B1" w14:textId="4291AA10" w:rsidR="00B47E99" w:rsidRPr="00C235E5" w:rsidRDefault="00B47E99" w:rsidP="003E20C0">
            <w:pPr>
              <w:jc w:val="both"/>
              <w:rPr>
                <w:rFonts w:ascii="Times New Roman" w:hAnsi="Times New Roman" w:cs="Times New Roman"/>
                <w:b/>
                <w:bCs/>
                <w:sz w:val="24"/>
                <w:szCs w:val="24"/>
              </w:rPr>
            </w:pPr>
            <w:r w:rsidRPr="00C235E5">
              <w:rPr>
                <w:rFonts w:ascii="Times New Roman" w:hAnsi="Times New Roman" w:cs="Times New Roman"/>
                <w:b/>
                <w:bCs/>
                <w:sz w:val="24"/>
                <w:szCs w:val="24"/>
              </w:rPr>
              <w:t>New Product</w:t>
            </w:r>
            <w:r w:rsidR="00E07D5A">
              <w:rPr>
                <w:rFonts w:ascii="Times New Roman" w:hAnsi="Times New Roman" w:cs="Times New Roman"/>
                <w:b/>
                <w:bCs/>
                <w:sz w:val="24"/>
                <w:szCs w:val="24"/>
              </w:rPr>
              <w:t xml:space="preserve"> introduction</w:t>
            </w:r>
            <w:r w:rsidRPr="00C235E5">
              <w:rPr>
                <w:rFonts w:ascii="Times New Roman" w:hAnsi="Times New Roman" w:cs="Times New Roman"/>
                <w:b/>
                <w:bCs/>
                <w:sz w:val="24"/>
                <w:szCs w:val="24"/>
              </w:rPr>
              <w:t>?</w:t>
            </w:r>
          </w:p>
        </w:tc>
        <w:tc>
          <w:tcPr>
            <w:tcW w:w="2338" w:type="dxa"/>
          </w:tcPr>
          <w:p w14:paraId="10E27E53" w14:textId="0942FD82" w:rsidR="00B47E99" w:rsidRPr="00C235E5" w:rsidRDefault="00B47E99" w:rsidP="003E20C0">
            <w:pPr>
              <w:jc w:val="both"/>
              <w:rPr>
                <w:rFonts w:ascii="Times New Roman" w:hAnsi="Times New Roman" w:cs="Times New Roman"/>
                <w:b/>
                <w:bCs/>
                <w:sz w:val="24"/>
                <w:szCs w:val="24"/>
              </w:rPr>
            </w:pPr>
            <w:r w:rsidRPr="00C235E5">
              <w:rPr>
                <w:rFonts w:ascii="Times New Roman" w:hAnsi="Times New Roman" w:cs="Times New Roman"/>
                <w:b/>
                <w:bCs/>
                <w:sz w:val="24"/>
                <w:szCs w:val="24"/>
              </w:rPr>
              <w:t>New Firm</w:t>
            </w:r>
            <w:r w:rsidR="00E07D5A">
              <w:rPr>
                <w:rFonts w:ascii="Times New Roman" w:hAnsi="Times New Roman" w:cs="Times New Roman"/>
                <w:b/>
                <w:bCs/>
                <w:sz w:val="24"/>
                <w:szCs w:val="24"/>
              </w:rPr>
              <w:t xml:space="preserve"> creation</w:t>
            </w:r>
            <w:r w:rsidRPr="00C235E5">
              <w:rPr>
                <w:rFonts w:ascii="Times New Roman" w:hAnsi="Times New Roman" w:cs="Times New Roman"/>
                <w:b/>
                <w:bCs/>
                <w:sz w:val="24"/>
                <w:szCs w:val="24"/>
              </w:rPr>
              <w:t>?</w:t>
            </w:r>
          </w:p>
        </w:tc>
        <w:tc>
          <w:tcPr>
            <w:tcW w:w="2338" w:type="dxa"/>
          </w:tcPr>
          <w:p w14:paraId="5C14F384" w14:textId="73A0A1A6" w:rsidR="00B47E99" w:rsidRPr="00C235E5" w:rsidRDefault="00B47E99" w:rsidP="003E20C0">
            <w:pPr>
              <w:jc w:val="both"/>
              <w:rPr>
                <w:rFonts w:ascii="Times New Roman" w:hAnsi="Times New Roman" w:cs="Times New Roman"/>
                <w:b/>
                <w:bCs/>
                <w:sz w:val="24"/>
                <w:szCs w:val="24"/>
              </w:rPr>
            </w:pPr>
            <w:r w:rsidRPr="00C235E5">
              <w:rPr>
                <w:rFonts w:ascii="Times New Roman" w:hAnsi="Times New Roman" w:cs="Times New Roman"/>
                <w:b/>
                <w:bCs/>
                <w:sz w:val="24"/>
                <w:szCs w:val="24"/>
              </w:rPr>
              <w:t>Rival Transformation?</w:t>
            </w:r>
          </w:p>
        </w:tc>
      </w:tr>
      <w:tr w:rsidR="00B47E99" w:rsidRPr="00C235E5" w14:paraId="4B08BD5B" w14:textId="77777777" w:rsidTr="00B47E99">
        <w:tc>
          <w:tcPr>
            <w:tcW w:w="2337" w:type="dxa"/>
          </w:tcPr>
          <w:p w14:paraId="632972DA" w14:textId="3D07B077"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SAP/Sybase</w:t>
            </w:r>
          </w:p>
        </w:tc>
        <w:tc>
          <w:tcPr>
            <w:tcW w:w="2337" w:type="dxa"/>
          </w:tcPr>
          <w:p w14:paraId="4827EE82" w14:textId="0876B967" w:rsidR="00B47E99" w:rsidRPr="00C235E5" w:rsidRDefault="003F4D3B"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3EF5DED9" w14:textId="4DB34E01" w:rsidR="00B47E99" w:rsidRPr="00C235E5" w:rsidRDefault="003F4D3B"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7972FAB4" w14:textId="72C44EEE" w:rsidR="00B47E99" w:rsidRPr="00C235E5" w:rsidRDefault="003F4D3B"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r>
      <w:tr w:rsidR="00B47E99" w:rsidRPr="00C235E5" w14:paraId="0E0F3FDF" w14:textId="77777777" w:rsidTr="00B47E99">
        <w:tc>
          <w:tcPr>
            <w:tcW w:w="2337" w:type="dxa"/>
          </w:tcPr>
          <w:p w14:paraId="2955308A" w14:textId="1FD7CDF1"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Microsoft/Skype</w:t>
            </w:r>
          </w:p>
        </w:tc>
        <w:tc>
          <w:tcPr>
            <w:tcW w:w="2337" w:type="dxa"/>
          </w:tcPr>
          <w:p w14:paraId="4433E7DD" w14:textId="0248E536" w:rsidR="00B47E99" w:rsidRPr="00C235E5" w:rsidRDefault="008D728A"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c>
          <w:tcPr>
            <w:tcW w:w="2338" w:type="dxa"/>
          </w:tcPr>
          <w:p w14:paraId="1652D8F0" w14:textId="32A7FDC9" w:rsidR="00B47E99" w:rsidRPr="00C235E5" w:rsidRDefault="008D728A"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c>
          <w:tcPr>
            <w:tcW w:w="2338" w:type="dxa"/>
          </w:tcPr>
          <w:p w14:paraId="035925E4" w14:textId="7E8C8E14" w:rsidR="00B47E99" w:rsidRPr="00C235E5" w:rsidRDefault="008D728A"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r>
      <w:tr w:rsidR="00B47E99" w:rsidRPr="00C235E5" w14:paraId="00C63B89" w14:textId="77777777" w:rsidTr="00B47E99">
        <w:tc>
          <w:tcPr>
            <w:tcW w:w="2337" w:type="dxa"/>
          </w:tcPr>
          <w:p w14:paraId="7A120FA5" w14:textId="6AFA181D"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Apple/Beats</w:t>
            </w:r>
          </w:p>
        </w:tc>
        <w:tc>
          <w:tcPr>
            <w:tcW w:w="2337" w:type="dxa"/>
          </w:tcPr>
          <w:p w14:paraId="21EF31A4" w14:textId="51E54AB2" w:rsidR="00B47E99" w:rsidRPr="00C235E5" w:rsidRDefault="005C7A31"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70502E6D" w14:textId="646F7B62" w:rsidR="00B47E99" w:rsidRPr="00C235E5" w:rsidRDefault="005C7A31"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c>
          <w:tcPr>
            <w:tcW w:w="2338" w:type="dxa"/>
          </w:tcPr>
          <w:p w14:paraId="4F12013C" w14:textId="43710138" w:rsidR="00B47E99" w:rsidRPr="00C235E5" w:rsidRDefault="005C7A31"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r>
      <w:tr w:rsidR="00B47E99" w:rsidRPr="00C235E5" w14:paraId="3A21B892" w14:textId="77777777" w:rsidTr="00B47E99">
        <w:tc>
          <w:tcPr>
            <w:tcW w:w="2337" w:type="dxa"/>
          </w:tcPr>
          <w:p w14:paraId="4FE696FD" w14:textId="48221DA9"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Oracle/Micros</w:t>
            </w:r>
          </w:p>
        </w:tc>
        <w:tc>
          <w:tcPr>
            <w:tcW w:w="2337" w:type="dxa"/>
          </w:tcPr>
          <w:p w14:paraId="5C3B45CC" w14:textId="5BF694AC" w:rsidR="00B47E99" w:rsidRPr="00C235E5" w:rsidRDefault="001D5453"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68F178E6" w14:textId="1DB26659" w:rsidR="00B47E99" w:rsidRPr="00C235E5" w:rsidRDefault="001D5453"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12B80EF0" w14:textId="5876ADCE" w:rsidR="00B47E99" w:rsidRPr="00C235E5" w:rsidRDefault="001D5453"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r>
      <w:tr w:rsidR="00B47E99" w:rsidRPr="00C235E5" w14:paraId="0A7FF07F" w14:textId="77777777" w:rsidTr="00B47E99">
        <w:tc>
          <w:tcPr>
            <w:tcW w:w="2337" w:type="dxa"/>
          </w:tcPr>
          <w:p w14:paraId="3AB29966" w14:textId="7AC37C6C"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Activision/King</w:t>
            </w:r>
          </w:p>
        </w:tc>
        <w:tc>
          <w:tcPr>
            <w:tcW w:w="2337" w:type="dxa"/>
          </w:tcPr>
          <w:p w14:paraId="70B3A828" w14:textId="21CD971D" w:rsidR="00B47E99" w:rsidRPr="00C235E5" w:rsidRDefault="004065B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3746F906" w14:textId="672B019C" w:rsidR="00B47E99" w:rsidRPr="00C235E5" w:rsidRDefault="004065B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38CC23A3" w14:textId="7CCA4EA3" w:rsidR="00B47E99" w:rsidRPr="00C235E5" w:rsidRDefault="004065B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r>
      <w:tr w:rsidR="00B47E99" w:rsidRPr="00C235E5" w14:paraId="1FA601C6" w14:textId="77777777" w:rsidTr="00B47E99">
        <w:tc>
          <w:tcPr>
            <w:tcW w:w="2337" w:type="dxa"/>
          </w:tcPr>
          <w:p w14:paraId="6939E82A" w14:textId="729A3020"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Microsoft/LinkedIn</w:t>
            </w:r>
          </w:p>
        </w:tc>
        <w:tc>
          <w:tcPr>
            <w:tcW w:w="2337" w:type="dxa"/>
          </w:tcPr>
          <w:p w14:paraId="6D8C7DA7" w14:textId="7BF73010" w:rsidR="00B47E99" w:rsidRPr="00C235E5" w:rsidRDefault="004C5DA1"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41BD6D2C" w14:textId="54FBBE90" w:rsidR="00B47E99" w:rsidRPr="00C235E5" w:rsidRDefault="004C5DA1"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1B12146B" w14:textId="58CA71C1" w:rsidR="00B47E99" w:rsidRPr="00C235E5" w:rsidRDefault="004C5DA1"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r>
      <w:tr w:rsidR="00B47E99" w:rsidRPr="00C235E5" w14:paraId="47637A7E" w14:textId="77777777" w:rsidTr="00B47E99">
        <w:tc>
          <w:tcPr>
            <w:tcW w:w="2337" w:type="dxa"/>
          </w:tcPr>
          <w:p w14:paraId="3E9EC58C" w14:textId="690C3282"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Verizon/Yahoo</w:t>
            </w:r>
          </w:p>
        </w:tc>
        <w:tc>
          <w:tcPr>
            <w:tcW w:w="2337" w:type="dxa"/>
          </w:tcPr>
          <w:p w14:paraId="6C0D63AC" w14:textId="1948EBD2" w:rsidR="00B47E99" w:rsidRPr="00C235E5" w:rsidRDefault="009F2DBB"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58B5B931" w14:textId="1D8BA272" w:rsidR="00B47E99" w:rsidRPr="00C235E5" w:rsidRDefault="009F2DBB"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4E8E6271" w14:textId="10E3AA03" w:rsidR="00B47E99" w:rsidRPr="00C235E5" w:rsidRDefault="009F2DBB"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r>
      <w:tr w:rsidR="00B47E99" w:rsidRPr="00C235E5" w14:paraId="21CA459D" w14:textId="77777777" w:rsidTr="00B47E99">
        <w:tc>
          <w:tcPr>
            <w:tcW w:w="2337" w:type="dxa"/>
          </w:tcPr>
          <w:p w14:paraId="4E5F0DC3" w14:textId="2382EDBA"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Google/FitBit</w:t>
            </w:r>
          </w:p>
        </w:tc>
        <w:tc>
          <w:tcPr>
            <w:tcW w:w="2337" w:type="dxa"/>
          </w:tcPr>
          <w:p w14:paraId="2F9FD173" w14:textId="7E5A8646" w:rsidR="00B47E99" w:rsidRPr="00C235E5" w:rsidRDefault="0092022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2132F9ED" w14:textId="71DE2AA8" w:rsidR="00B47E99" w:rsidRPr="00C235E5" w:rsidRDefault="0092022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3BAAC813" w14:textId="7317595A" w:rsidR="00B47E99" w:rsidRPr="00C235E5" w:rsidRDefault="0092022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Y</w:t>
            </w:r>
          </w:p>
        </w:tc>
      </w:tr>
      <w:tr w:rsidR="00B47E99" w:rsidRPr="00C235E5" w14:paraId="6AD3CB49" w14:textId="77777777" w:rsidTr="00B47E99">
        <w:tc>
          <w:tcPr>
            <w:tcW w:w="2337" w:type="dxa"/>
          </w:tcPr>
          <w:p w14:paraId="67DD612A" w14:textId="075E985F" w:rsidR="00B47E99" w:rsidRPr="00C235E5" w:rsidRDefault="00B47E99" w:rsidP="003E20C0">
            <w:pPr>
              <w:jc w:val="both"/>
              <w:rPr>
                <w:rFonts w:ascii="Times New Roman" w:hAnsi="Times New Roman" w:cs="Times New Roman"/>
                <w:i/>
                <w:iCs/>
                <w:sz w:val="24"/>
                <w:szCs w:val="24"/>
              </w:rPr>
            </w:pPr>
            <w:r w:rsidRPr="00C235E5">
              <w:rPr>
                <w:rFonts w:ascii="Times New Roman" w:hAnsi="Times New Roman" w:cs="Times New Roman"/>
                <w:i/>
                <w:iCs/>
                <w:sz w:val="24"/>
                <w:szCs w:val="24"/>
              </w:rPr>
              <w:t>Microsoft/</w:t>
            </w:r>
            <w:r w:rsidR="00260174" w:rsidRPr="00C235E5">
              <w:rPr>
                <w:rFonts w:ascii="Times New Roman" w:hAnsi="Times New Roman" w:cs="Times New Roman"/>
                <w:i/>
                <w:iCs/>
                <w:sz w:val="24"/>
                <w:szCs w:val="24"/>
              </w:rPr>
              <w:t>ZeniMax</w:t>
            </w:r>
            <w:r w:rsidR="00920225" w:rsidRPr="00C235E5">
              <w:rPr>
                <w:rFonts w:ascii="Times New Roman" w:hAnsi="Times New Roman" w:cs="Times New Roman"/>
                <w:i/>
                <w:iCs/>
                <w:sz w:val="24"/>
                <w:szCs w:val="24"/>
              </w:rPr>
              <w:t>*</w:t>
            </w:r>
          </w:p>
        </w:tc>
        <w:tc>
          <w:tcPr>
            <w:tcW w:w="2337" w:type="dxa"/>
          </w:tcPr>
          <w:p w14:paraId="32E56CE3" w14:textId="61CBC84E" w:rsidR="00B47E99" w:rsidRPr="00C235E5" w:rsidRDefault="0092022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268F1822" w14:textId="61D046DA" w:rsidR="00B47E99" w:rsidRPr="00C235E5" w:rsidRDefault="0092022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c>
          <w:tcPr>
            <w:tcW w:w="2338" w:type="dxa"/>
          </w:tcPr>
          <w:p w14:paraId="5A9D97C2" w14:textId="0E3B1654" w:rsidR="00B47E99" w:rsidRPr="00C235E5" w:rsidRDefault="00920225" w:rsidP="005C7A31">
            <w:pPr>
              <w:jc w:val="center"/>
              <w:rPr>
                <w:rFonts w:ascii="Times New Roman" w:hAnsi="Times New Roman" w:cs="Times New Roman"/>
                <w:b/>
                <w:bCs/>
                <w:sz w:val="24"/>
                <w:szCs w:val="24"/>
              </w:rPr>
            </w:pPr>
            <w:r w:rsidRPr="00C235E5">
              <w:rPr>
                <w:rFonts w:ascii="Times New Roman" w:hAnsi="Times New Roman" w:cs="Times New Roman"/>
                <w:b/>
                <w:bCs/>
                <w:sz w:val="24"/>
                <w:szCs w:val="24"/>
              </w:rPr>
              <w:t>N</w:t>
            </w:r>
          </w:p>
        </w:tc>
      </w:tr>
    </w:tbl>
    <w:p w14:paraId="71BE8061" w14:textId="3A1C143D" w:rsidR="003F4D3B" w:rsidRPr="00792D53" w:rsidRDefault="003F4D3B"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For </w:t>
      </w:r>
      <w:r w:rsidRPr="00BC32C3">
        <w:rPr>
          <w:rFonts w:ascii="Times New Roman" w:hAnsi="Times New Roman" w:cs="Times New Roman"/>
          <w:i/>
          <w:iCs/>
          <w:sz w:val="24"/>
          <w:szCs w:val="24"/>
          <w:lang w:val="en-GB"/>
        </w:rPr>
        <w:t>SAP/Sybase</w:t>
      </w:r>
      <w:r w:rsidRPr="00792D53">
        <w:rPr>
          <w:rFonts w:ascii="Times New Roman" w:hAnsi="Times New Roman" w:cs="Times New Roman"/>
          <w:sz w:val="24"/>
          <w:szCs w:val="24"/>
          <w:lang w:val="en-GB"/>
        </w:rPr>
        <w:t xml:space="preserve">, the first two </w:t>
      </w:r>
      <w:r w:rsidR="002624F5" w:rsidRPr="00792D53">
        <w:rPr>
          <w:rFonts w:ascii="Times New Roman" w:hAnsi="Times New Roman" w:cs="Times New Roman"/>
          <w:sz w:val="24"/>
          <w:szCs w:val="24"/>
          <w:lang w:val="en-GB"/>
        </w:rPr>
        <w:t>events have not happened</w:t>
      </w:r>
      <w:r w:rsidRPr="00792D53">
        <w:rPr>
          <w:rFonts w:ascii="Times New Roman" w:hAnsi="Times New Roman" w:cs="Times New Roman"/>
          <w:sz w:val="24"/>
          <w:szCs w:val="24"/>
          <w:lang w:val="en-GB"/>
        </w:rPr>
        <w:t xml:space="preserve">, whereas the third </w:t>
      </w:r>
      <w:r w:rsidR="002624F5" w:rsidRPr="00792D53">
        <w:rPr>
          <w:rFonts w:ascii="Times New Roman" w:hAnsi="Times New Roman" w:cs="Times New Roman"/>
          <w:sz w:val="24"/>
          <w:szCs w:val="24"/>
          <w:lang w:val="en-GB"/>
        </w:rPr>
        <w:t>event is observed</w:t>
      </w:r>
      <w:r w:rsidRPr="00792D53">
        <w:rPr>
          <w:rFonts w:ascii="Times New Roman" w:hAnsi="Times New Roman" w:cs="Times New Roman"/>
          <w:sz w:val="24"/>
          <w:szCs w:val="24"/>
          <w:lang w:val="en-GB"/>
        </w:rPr>
        <w:t xml:space="preserve">. In terms of subsequent EC decisions, we </w:t>
      </w:r>
      <w:r w:rsidR="002624F5" w:rsidRPr="00792D53">
        <w:rPr>
          <w:rFonts w:ascii="Times New Roman" w:hAnsi="Times New Roman" w:cs="Times New Roman"/>
          <w:sz w:val="24"/>
          <w:szCs w:val="24"/>
          <w:lang w:val="en-GB"/>
        </w:rPr>
        <w:t xml:space="preserve">note </w:t>
      </w:r>
      <w:r w:rsidRPr="00792D53">
        <w:rPr>
          <w:rFonts w:ascii="Times New Roman" w:hAnsi="Times New Roman" w:cs="Times New Roman"/>
          <w:sz w:val="24"/>
          <w:szCs w:val="24"/>
          <w:lang w:val="en-GB"/>
        </w:rPr>
        <w:t xml:space="preserve">that the relevant market becomes increasingly narrower as opposed to </w:t>
      </w:r>
      <w:r w:rsidRPr="00BC32C3">
        <w:rPr>
          <w:rFonts w:ascii="Times New Roman" w:hAnsi="Times New Roman" w:cs="Times New Roman"/>
          <w:i/>
          <w:iCs/>
          <w:sz w:val="24"/>
          <w:szCs w:val="24"/>
          <w:lang w:val="en-GB"/>
        </w:rPr>
        <w:t>SAP/Sybase</w:t>
      </w:r>
      <w:r w:rsidRPr="00792D53">
        <w:rPr>
          <w:rFonts w:ascii="Times New Roman" w:hAnsi="Times New Roman" w:cs="Times New Roman"/>
          <w:sz w:val="24"/>
          <w:szCs w:val="24"/>
          <w:lang w:val="en-GB"/>
        </w:rPr>
        <w:t>, which adopted “enterprise application software” (“</w:t>
      </w:r>
      <w:r w:rsidRPr="00BC32C3">
        <w:rPr>
          <w:rFonts w:ascii="Times New Roman" w:hAnsi="Times New Roman" w:cs="Times New Roman"/>
          <w:b/>
          <w:bCs/>
          <w:sz w:val="24"/>
          <w:szCs w:val="24"/>
          <w:lang w:val="en-GB"/>
        </w:rPr>
        <w:t>EAS</w:t>
      </w:r>
      <w:r w:rsidRPr="00792D53">
        <w:rPr>
          <w:rFonts w:ascii="Times New Roman" w:hAnsi="Times New Roman" w:cs="Times New Roman"/>
          <w:sz w:val="24"/>
          <w:szCs w:val="24"/>
          <w:lang w:val="en-GB"/>
        </w:rPr>
        <w:t xml:space="preserve">”) as its relevant market. Some cases like Microsoft/Nokia adopted “mobile productivity apps” as the relevant market, a sub-segment of EAS. In others, the EC considered whether the EAS market </w:t>
      </w:r>
      <w:r w:rsidR="00CC79BA" w:rsidRPr="00792D53">
        <w:rPr>
          <w:rFonts w:ascii="Times New Roman" w:hAnsi="Times New Roman" w:cs="Times New Roman"/>
          <w:sz w:val="24"/>
          <w:szCs w:val="24"/>
          <w:lang w:val="en-GB"/>
        </w:rPr>
        <w:t xml:space="preserve">could </w:t>
      </w:r>
      <w:r w:rsidRPr="00792D53">
        <w:rPr>
          <w:rFonts w:ascii="Times New Roman" w:hAnsi="Times New Roman" w:cs="Times New Roman"/>
          <w:sz w:val="24"/>
          <w:szCs w:val="24"/>
          <w:lang w:val="en-GB"/>
        </w:rPr>
        <w:t>be segmented in terms of industry.</w:t>
      </w:r>
      <w:r w:rsidRPr="00B23AE5">
        <w:rPr>
          <w:rFonts w:ascii="Times New Roman" w:hAnsi="Times New Roman" w:cs="Times New Roman"/>
          <w:sz w:val="24"/>
          <w:szCs w:val="24"/>
          <w:vertAlign w:val="superscript"/>
          <w:lang w:val="en-GB"/>
        </w:rPr>
        <w:footnoteReference w:id="94"/>
      </w:r>
      <w:r w:rsidRPr="00792D53">
        <w:rPr>
          <w:rFonts w:ascii="Times New Roman" w:hAnsi="Times New Roman" w:cs="Times New Roman"/>
          <w:sz w:val="24"/>
          <w:szCs w:val="24"/>
          <w:lang w:val="en-GB"/>
        </w:rPr>
        <w:t xml:space="preserve"> In general, the EC seems unfriendly towards defining the market as EAS, and favors segmentation, often against the wishes of merging parties.</w:t>
      </w:r>
      <w:r w:rsidRPr="00B23AE5">
        <w:rPr>
          <w:rFonts w:ascii="Times New Roman" w:hAnsi="Times New Roman" w:cs="Times New Roman"/>
          <w:sz w:val="24"/>
          <w:szCs w:val="24"/>
          <w:vertAlign w:val="superscript"/>
          <w:lang w:val="en-GB"/>
        </w:rPr>
        <w:footnoteReference w:id="95"/>
      </w:r>
      <w:r w:rsidR="00B50186" w:rsidRPr="00792D53">
        <w:rPr>
          <w:rFonts w:ascii="Times New Roman" w:hAnsi="Times New Roman" w:cs="Times New Roman"/>
          <w:sz w:val="24"/>
          <w:szCs w:val="24"/>
          <w:lang w:val="en-GB"/>
        </w:rPr>
        <w:t xml:space="preserve"> In recent cases, we observe greater focus in terms of relevant markets, as segments of EAS </w:t>
      </w:r>
      <w:r w:rsidR="00314489" w:rsidRPr="00792D53">
        <w:rPr>
          <w:rFonts w:ascii="Times New Roman" w:hAnsi="Times New Roman" w:cs="Times New Roman"/>
          <w:sz w:val="24"/>
          <w:szCs w:val="24"/>
          <w:lang w:val="en-GB"/>
        </w:rPr>
        <w:t>themselves are dissected into sub-segments.</w:t>
      </w:r>
      <w:r w:rsidR="00314489" w:rsidRPr="00B23AE5">
        <w:rPr>
          <w:rFonts w:ascii="Times New Roman" w:hAnsi="Times New Roman" w:cs="Times New Roman"/>
          <w:sz w:val="24"/>
          <w:szCs w:val="24"/>
          <w:vertAlign w:val="superscript"/>
          <w:lang w:val="en-GB"/>
        </w:rPr>
        <w:footnoteReference w:id="96"/>
      </w:r>
      <w:r w:rsidR="00314489" w:rsidRPr="00792D53">
        <w:rPr>
          <w:rFonts w:ascii="Times New Roman" w:hAnsi="Times New Roman" w:cs="Times New Roman"/>
          <w:sz w:val="24"/>
          <w:szCs w:val="24"/>
          <w:lang w:val="en-GB"/>
        </w:rPr>
        <w:t xml:space="preserve"> These results suggest that the industry has become </w:t>
      </w:r>
      <w:r w:rsidR="00314489" w:rsidRPr="00792D53">
        <w:rPr>
          <w:rFonts w:ascii="Times New Roman" w:hAnsi="Times New Roman" w:cs="Times New Roman"/>
          <w:sz w:val="24"/>
          <w:szCs w:val="24"/>
          <w:lang w:val="en-GB"/>
        </w:rPr>
        <w:lastRenderedPageBreak/>
        <w:t>increasingly specialized following the acquisition. We note that such specialization coincides with acquisitions completed by competitors. Indeed, both Oracle and Microsoft made acquisitions in segments of the EAS market. For instance, Oracle acquired Micros, whereas Microsoft purchased Nokia, LinkedIn, and Nuance.</w:t>
      </w:r>
      <w:r w:rsidR="00CF5FA2" w:rsidRPr="00792D53">
        <w:rPr>
          <w:rFonts w:ascii="Times New Roman" w:hAnsi="Times New Roman" w:cs="Times New Roman"/>
          <w:sz w:val="24"/>
          <w:szCs w:val="24"/>
          <w:lang w:val="en-GB"/>
        </w:rPr>
        <w:t xml:space="preserve"> By contrast, we do not find any developments for IBM. Indeed, IBM has experienced decreased sales in all cases it featured in. We thus observe IBM to be struggling against its rivals across the board.</w:t>
      </w:r>
    </w:p>
    <w:p w14:paraId="3114B2E0" w14:textId="07731E13" w:rsidR="00234617" w:rsidRPr="00792D53" w:rsidRDefault="00EB25DC"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For </w:t>
      </w:r>
      <w:r w:rsidRPr="005E7256">
        <w:rPr>
          <w:rFonts w:ascii="Times New Roman" w:hAnsi="Times New Roman" w:cs="Times New Roman"/>
          <w:i/>
          <w:iCs/>
          <w:sz w:val="24"/>
          <w:szCs w:val="24"/>
          <w:lang w:val="en-GB"/>
        </w:rPr>
        <w:t>Microsoft/Skype</w:t>
      </w:r>
      <w:r w:rsidRPr="00792D53">
        <w:rPr>
          <w:rFonts w:ascii="Times New Roman" w:hAnsi="Times New Roman" w:cs="Times New Roman"/>
          <w:sz w:val="24"/>
          <w:szCs w:val="24"/>
          <w:lang w:val="en-GB"/>
        </w:rPr>
        <w:t xml:space="preserve">, </w:t>
      </w:r>
      <w:r w:rsidR="008D728A" w:rsidRPr="00792D53">
        <w:rPr>
          <w:rFonts w:ascii="Times New Roman" w:hAnsi="Times New Roman" w:cs="Times New Roman"/>
          <w:sz w:val="24"/>
          <w:szCs w:val="24"/>
          <w:lang w:val="en-GB"/>
        </w:rPr>
        <w:t xml:space="preserve">we observe that all three </w:t>
      </w:r>
      <w:r w:rsidR="002624F5" w:rsidRPr="00792D53">
        <w:rPr>
          <w:rFonts w:ascii="Times New Roman" w:hAnsi="Times New Roman" w:cs="Times New Roman"/>
          <w:sz w:val="24"/>
          <w:szCs w:val="24"/>
          <w:lang w:val="en-GB"/>
        </w:rPr>
        <w:t>events have been met</w:t>
      </w:r>
      <w:r w:rsidR="008D728A" w:rsidRPr="00792D53">
        <w:rPr>
          <w:rFonts w:ascii="Times New Roman" w:hAnsi="Times New Roman" w:cs="Times New Roman"/>
          <w:sz w:val="24"/>
          <w:szCs w:val="24"/>
          <w:lang w:val="en-GB"/>
        </w:rPr>
        <w:t xml:space="preserve">. In </w:t>
      </w:r>
      <w:r w:rsidR="008D728A" w:rsidRPr="005E7256">
        <w:rPr>
          <w:rFonts w:ascii="Times New Roman" w:hAnsi="Times New Roman" w:cs="Times New Roman"/>
          <w:i/>
          <w:iCs/>
          <w:sz w:val="24"/>
          <w:szCs w:val="24"/>
          <w:lang w:val="en-GB"/>
        </w:rPr>
        <w:t>Microsoft/Skype</w:t>
      </w:r>
      <w:r w:rsidR="008D728A" w:rsidRPr="00792D53">
        <w:rPr>
          <w:rFonts w:ascii="Times New Roman" w:hAnsi="Times New Roman" w:cs="Times New Roman"/>
          <w:sz w:val="24"/>
          <w:szCs w:val="24"/>
          <w:lang w:val="en-GB"/>
        </w:rPr>
        <w:t xml:space="preserve">, the EC identified “video calls” as a plausible product market. Subsequent decisions that discuss this market are </w:t>
      </w:r>
      <w:r w:rsidR="008D728A" w:rsidRPr="005E7256">
        <w:rPr>
          <w:rFonts w:ascii="Times New Roman" w:hAnsi="Times New Roman" w:cs="Times New Roman"/>
          <w:i/>
          <w:iCs/>
          <w:sz w:val="24"/>
          <w:szCs w:val="24"/>
          <w:lang w:val="en-GB"/>
        </w:rPr>
        <w:t>Microsoft/Nokia</w:t>
      </w:r>
      <w:r w:rsidR="008D728A" w:rsidRPr="00792D53">
        <w:rPr>
          <w:rFonts w:ascii="Times New Roman" w:hAnsi="Times New Roman" w:cs="Times New Roman"/>
          <w:sz w:val="24"/>
          <w:szCs w:val="24"/>
          <w:lang w:val="en-GB"/>
        </w:rPr>
        <w:t xml:space="preserve">, </w:t>
      </w:r>
      <w:r w:rsidR="008D728A" w:rsidRPr="005E7256">
        <w:rPr>
          <w:rFonts w:ascii="Times New Roman" w:hAnsi="Times New Roman" w:cs="Times New Roman"/>
          <w:i/>
          <w:iCs/>
          <w:sz w:val="24"/>
          <w:szCs w:val="24"/>
          <w:lang w:val="en-GB"/>
        </w:rPr>
        <w:t>Facebook/WhatsApp</w:t>
      </w:r>
      <w:r w:rsidR="008D728A" w:rsidRPr="00792D53">
        <w:rPr>
          <w:rFonts w:ascii="Times New Roman" w:hAnsi="Times New Roman" w:cs="Times New Roman"/>
          <w:sz w:val="24"/>
          <w:szCs w:val="24"/>
          <w:lang w:val="en-GB"/>
        </w:rPr>
        <w:t xml:space="preserve">, and </w:t>
      </w:r>
      <w:r w:rsidR="008D728A" w:rsidRPr="005E7256">
        <w:rPr>
          <w:rFonts w:ascii="Times New Roman" w:hAnsi="Times New Roman" w:cs="Times New Roman"/>
          <w:i/>
          <w:iCs/>
          <w:sz w:val="24"/>
          <w:szCs w:val="24"/>
          <w:lang w:val="en-GB"/>
        </w:rPr>
        <w:t>Verizon/Yahoo</w:t>
      </w:r>
      <w:r w:rsidR="008D728A" w:rsidRPr="00792D53">
        <w:rPr>
          <w:rFonts w:ascii="Times New Roman" w:hAnsi="Times New Roman" w:cs="Times New Roman"/>
          <w:sz w:val="24"/>
          <w:szCs w:val="24"/>
          <w:lang w:val="en-GB"/>
        </w:rPr>
        <w:t xml:space="preserve">. We note that in the Nokia and WhatsApp acquisitions, the EC constructed a broader market titled “consumer communication apps”. </w:t>
      </w:r>
      <w:r w:rsidR="00D10CE4" w:rsidRPr="00792D53">
        <w:rPr>
          <w:rFonts w:ascii="Times New Roman" w:hAnsi="Times New Roman" w:cs="Times New Roman"/>
          <w:sz w:val="24"/>
          <w:szCs w:val="24"/>
          <w:lang w:val="en-GB"/>
        </w:rPr>
        <w:t xml:space="preserve">It explicitly noted that, in light of the transforming consumer demand, it is inappropriate to define the relevant market in terms of functionality (video communications, VoIP communications, </w:t>
      </w:r>
      <w:r w:rsidR="001736CC">
        <w:rPr>
          <w:rFonts w:ascii="Times New Roman" w:hAnsi="Times New Roman" w:cs="Times New Roman"/>
          <w:sz w:val="24"/>
          <w:szCs w:val="24"/>
          <w:lang w:val="en-GB"/>
        </w:rPr>
        <w:t>and so on</w:t>
      </w:r>
      <w:r w:rsidR="00D10CE4" w:rsidRPr="00792D53">
        <w:rPr>
          <w:rFonts w:ascii="Times New Roman" w:hAnsi="Times New Roman" w:cs="Times New Roman"/>
          <w:sz w:val="24"/>
          <w:szCs w:val="24"/>
          <w:lang w:val="en-GB"/>
        </w:rPr>
        <w:t xml:space="preserve">). Instead, as consumers demand a single package containing multiple communication functionalities, the EC opted for a broader market. Furthermore, in the market for consumer communication apps, the EC identified new competitors. For instance, in </w:t>
      </w:r>
      <w:r w:rsidR="00D10CE4" w:rsidRPr="005E7256">
        <w:rPr>
          <w:rFonts w:ascii="Times New Roman" w:hAnsi="Times New Roman" w:cs="Times New Roman"/>
          <w:i/>
          <w:iCs/>
          <w:sz w:val="24"/>
          <w:szCs w:val="24"/>
          <w:lang w:val="en-GB"/>
        </w:rPr>
        <w:t>Microsoft/Nokia</w:t>
      </w:r>
      <w:r w:rsidR="00D10CE4" w:rsidRPr="00792D53">
        <w:rPr>
          <w:rFonts w:ascii="Times New Roman" w:hAnsi="Times New Roman" w:cs="Times New Roman"/>
          <w:sz w:val="24"/>
          <w:szCs w:val="24"/>
          <w:lang w:val="en-GB"/>
        </w:rPr>
        <w:t xml:space="preserve">, the EC considered Apple (iMessage and FaceTime), WeChat, and Tango as new competitors. In </w:t>
      </w:r>
      <w:r w:rsidR="00D10CE4" w:rsidRPr="005E7256">
        <w:rPr>
          <w:rFonts w:ascii="Times New Roman" w:hAnsi="Times New Roman" w:cs="Times New Roman"/>
          <w:i/>
          <w:iCs/>
          <w:sz w:val="24"/>
          <w:szCs w:val="24"/>
          <w:lang w:val="en-GB"/>
        </w:rPr>
        <w:t>Facebook/WhatsApp</w:t>
      </w:r>
      <w:r w:rsidR="00D10CE4" w:rsidRPr="00792D53">
        <w:rPr>
          <w:rFonts w:ascii="Times New Roman" w:hAnsi="Times New Roman" w:cs="Times New Roman"/>
          <w:sz w:val="24"/>
          <w:szCs w:val="24"/>
          <w:lang w:val="en-GB"/>
        </w:rPr>
        <w:t xml:space="preserve">, the EC added Viber and Snapchat to the list of firms competing within the consumer communication apps market. </w:t>
      </w:r>
      <w:r w:rsidR="00CF5FA2" w:rsidRPr="00792D53">
        <w:rPr>
          <w:rFonts w:ascii="Times New Roman" w:hAnsi="Times New Roman" w:cs="Times New Roman"/>
          <w:sz w:val="24"/>
          <w:szCs w:val="24"/>
          <w:lang w:val="en-GB"/>
        </w:rPr>
        <w:t>We</w:t>
      </w:r>
      <w:r w:rsidR="00D10CE4" w:rsidRPr="00792D53">
        <w:rPr>
          <w:rFonts w:ascii="Times New Roman" w:hAnsi="Times New Roman" w:cs="Times New Roman"/>
          <w:sz w:val="24"/>
          <w:szCs w:val="24"/>
          <w:lang w:val="en-GB"/>
        </w:rPr>
        <w:t xml:space="preserve"> note that competitors identified within the original </w:t>
      </w:r>
      <w:r w:rsidR="00D10CE4" w:rsidRPr="005E7256">
        <w:rPr>
          <w:rFonts w:ascii="Times New Roman" w:hAnsi="Times New Roman" w:cs="Times New Roman"/>
          <w:i/>
          <w:iCs/>
          <w:sz w:val="24"/>
          <w:szCs w:val="24"/>
          <w:lang w:val="en-GB"/>
        </w:rPr>
        <w:t>Microsoft/Skype</w:t>
      </w:r>
      <w:r w:rsidR="00D10CE4" w:rsidRPr="00792D53">
        <w:rPr>
          <w:rFonts w:ascii="Times New Roman" w:hAnsi="Times New Roman" w:cs="Times New Roman"/>
          <w:sz w:val="24"/>
          <w:szCs w:val="24"/>
          <w:lang w:val="en-GB"/>
        </w:rPr>
        <w:t xml:space="preserve"> decision completed their own acquisitions, with notable events including </w:t>
      </w:r>
      <w:r w:rsidR="00D10CE4" w:rsidRPr="005E7256">
        <w:rPr>
          <w:rFonts w:ascii="Times New Roman" w:hAnsi="Times New Roman" w:cs="Times New Roman"/>
          <w:i/>
          <w:iCs/>
          <w:sz w:val="24"/>
          <w:szCs w:val="24"/>
          <w:lang w:val="en-GB"/>
        </w:rPr>
        <w:t>Facebook/WhatsApp</w:t>
      </w:r>
      <w:r w:rsidR="00D10CE4" w:rsidRPr="00792D53">
        <w:rPr>
          <w:rFonts w:ascii="Times New Roman" w:hAnsi="Times New Roman" w:cs="Times New Roman"/>
          <w:sz w:val="24"/>
          <w:szCs w:val="24"/>
          <w:lang w:val="en-GB"/>
        </w:rPr>
        <w:t>.</w:t>
      </w:r>
      <w:r w:rsidR="00CF5FA2" w:rsidRPr="00792D53">
        <w:rPr>
          <w:rFonts w:ascii="Times New Roman" w:hAnsi="Times New Roman" w:cs="Times New Roman"/>
          <w:sz w:val="24"/>
          <w:szCs w:val="24"/>
          <w:lang w:val="en-GB"/>
        </w:rPr>
        <w:t xml:space="preserve"> Lastly, due to the COVID-19 pandemic, demand for video calls soared exponentially. This led to significant transformations in the market, with new players </w:t>
      </w:r>
      <w:r w:rsidR="00CF5FA2" w:rsidRPr="00792D53">
        <w:rPr>
          <w:rFonts w:ascii="Times New Roman" w:hAnsi="Times New Roman" w:cs="Times New Roman"/>
          <w:sz w:val="24"/>
          <w:szCs w:val="24"/>
          <w:lang w:val="en-GB"/>
        </w:rPr>
        <w:lastRenderedPageBreak/>
        <w:t>quickly entering and gaining market share, notably Zoom. Zoom has also completed its initial public offering in 2021.</w:t>
      </w:r>
      <w:r w:rsidR="00CF5FA2" w:rsidRPr="00031310">
        <w:rPr>
          <w:rFonts w:ascii="Times New Roman" w:hAnsi="Times New Roman" w:cs="Times New Roman"/>
          <w:sz w:val="24"/>
          <w:szCs w:val="24"/>
          <w:vertAlign w:val="superscript"/>
          <w:lang w:val="en-GB"/>
        </w:rPr>
        <w:footnoteReference w:id="97"/>
      </w:r>
    </w:p>
    <w:p w14:paraId="23B1241A" w14:textId="2C194409" w:rsidR="00D10CE4" w:rsidRPr="00792D53" w:rsidRDefault="005C7A31"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There is only one subsequent decision concerning</w:t>
      </w:r>
      <w:r w:rsidR="00D10CE4" w:rsidRPr="00792D53">
        <w:rPr>
          <w:rFonts w:ascii="Times New Roman" w:hAnsi="Times New Roman" w:cs="Times New Roman"/>
          <w:sz w:val="24"/>
          <w:szCs w:val="24"/>
          <w:lang w:val="en-GB"/>
        </w:rPr>
        <w:t xml:space="preserve"> </w:t>
      </w:r>
      <w:r w:rsidR="00D10CE4" w:rsidRPr="00C84445">
        <w:rPr>
          <w:rFonts w:ascii="Times New Roman" w:hAnsi="Times New Roman" w:cs="Times New Roman"/>
          <w:i/>
          <w:iCs/>
          <w:sz w:val="24"/>
          <w:szCs w:val="24"/>
          <w:lang w:val="en-GB"/>
        </w:rPr>
        <w:t>Apple/Beats</w:t>
      </w:r>
      <w:r w:rsidR="00D10CE4" w:rsidRPr="00792D53">
        <w:rPr>
          <w:rFonts w:ascii="Times New Roman" w:hAnsi="Times New Roman" w:cs="Times New Roman"/>
          <w:sz w:val="24"/>
          <w:szCs w:val="24"/>
          <w:lang w:val="en-GB"/>
        </w:rPr>
        <w:t>, which considered the “supply of headphones” as the relevant market</w:t>
      </w:r>
      <w:r w:rsidRPr="00792D53">
        <w:rPr>
          <w:rFonts w:ascii="Times New Roman" w:hAnsi="Times New Roman" w:cs="Times New Roman"/>
          <w:sz w:val="24"/>
          <w:szCs w:val="24"/>
          <w:lang w:val="en-GB"/>
        </w:rPr>
        <w:t>. In this very recent case (decided in 2022), Hewlett-Packard (“HP”) acquired Plantronics</w:t>
      </w:r>
      <w:r w:rsidR="001D5453" w:rsidRPr="00792D53">
        <w:rPr>
          <w:rFonts w:ascii="Times New Roman" w:hAnsi="Times New Roman" w:cs="Times New Roman"/>
          <w:sz w:val="24"/>
          <w:szCs w:val="24"/>
          <w:lang w:val="en-GB"/>
        </w:rPr>
        <w:t xml:space="preserve"> (“Poly”)</w:t>
      </w:r>
      <w:r w:rsidRPr="00792D53">
        <w:rPr>
          <w:rFonts w:ascii="Times New Roman" w:hAnsi="Times New Roman" w:cs="Times New Roman"/>
          <w:sz w:val="24"/>
          <w:szCs w:val="24"/>
          <w:lang w:val="en-GB"/>
        </w:rPr>
        <w:t>, a communications technology company that produces, among others, headsets.</w:t>
      </w:r>
      <w:r w:rsidRPr="00031310">
        <w:rPr>
          <w:rFonts w:ascii="Times New Roman" w:hAnsi="Times New Roman" w:cs="Times New Roman"/>
          <w:sz w:val="24"/>
          <w:szCs w:val="24"/>
          <w:vertAlign w:val="superscript"/>
          <w:lang w:val="en-GB"/>
        </w:rPr>
        <w:footnoteReference w:id="98"/>
      </w:r>
      <w:r w:rsidRPr="00031310">
        <w:rPr>
          <w:rFonts w:ascii="Times New Roman" w:hAnsi="Times New Roman" w:cs="Times New Roman"/>
          <w:sz w:val="24"/>
          <w:szCs w:val="24"/>
          <w:vertAlign w:val="superscript"/>
          <w:lang w:val="en-GB"/>
        </w:rPr>
        <w:t xml:space="preserve"> </w:t>
      </w:r>
      <w:r w:rsidRPr="00792D53">
        <w:rPr>
          <w:rFonts w:ascii="Times New Roman" w:hAnsi="Times New Roman" w:cs="Times New Roman"/>
          <w:sz w:val="24"/>
          <w:szCs w:val="24"/>
          <w:lang w:val="en-GB"/>
        </w:rPr>
        <w:t>This case produces negative results for the first and third test, and a positive result for the second test. In the decision, the EC left the relevant market open. However, it considered that the “supply of headphones” continues to prove valid as a relevant product market. At the same time, the EC expressed that it may be appropriate to differentiate headphones according to usage (business</w:t>
      </w:r>
      <w:r w:rsidR="001736CC">
        <w:rPr>
          <w:rFonts w:ascii="Times New Roman" w:hAnsi="Times New Roman" w:cs="Times New Roman"/>
          <w:sz w:val="24"/>
          <w:szCs w:val="24"/>
          <w:lang w:val="en-GB"/>
        </w:rPr>
        <w:t xml:space="preserve"> or gaming, for example</w:t>
      </w:r>
      <w:r w:rsidRPr="00792D53">
        <w:rPr>
          <w:rFonts w:ascii="Times New Roman" w:hAnsi="Times New Roman" w:cs="Times New Roman"/>
          <w:sz w:val="24"/>
          <w:szCs w:val="24"/>
          <w:lang w:val="en-GB"/>
        </w:rPr>
        <w:t xml:space="preserve">). In any case, there was no discussion of widening the market, which fails the first test. </w:t>
      </w:r>
      <w:r w:rsidR="001D5453" w:rsidRPr="00792D53">
        <w:rPr>
          <w:rFonts w:ascii="Times New Roman" w:hAnsi="Times New Roman" w:cs="Times New Roman"/>
          <w:sz w:val="24"/>
          <w:szCs w:val="24"/>
          <w:lang w:val="en-GB"/>
        </w:rPr>
        <w:t xml:space="preserve">Furthermore, we were unable to locate any acquisitions made by JVC or Sony relating to headphones, after Apple acquired Beats. This is unsurprising as neither rival identified </w:t>
      </w:r>
      <w:r w:rsidR="001D5453" w:rsidRPr="00C84445">
        <w:rPr>
          <w:rFonts w:ascii="Times New Roman" w:hAnsi="Times New Roman" w:cs="Times New Roman"/>
          <w:i/>
          <w:iCs/>
          <w:sz w:val="24"/>
          <w:szCs w:val="24"/>
          <w:lang w:val="en-GB"/>
        </w:rPr>
        <w:t>Apple/Beats</w:t>
      </w:r>
      <w:r w:rsidR="001D5453" w:rsidRPr="00792D53">
        <w:rPr>
          <w:rFonts w:ascii="Times New Roman" w:hAnsi="Times New Roman" w:cs="Times New Roman"/>
          <w:sz w:val="24"/>
          <w:szCs w:val="24"/>
          <w:lang w:val="en-GB"/>
        </w:rPr>
        <w:t xml:space="preserve"> as a competitor in their annual reports. As regards the second test, the </w:t>
      </w:r>
      <w:r w:rsidR="001D5453" w:rsidRPr="00C84445">
        <w:rPr>
          <w:rFonts w:ascii="Times New Roman" w:hAnsi="Times New Roman" w:cs="Times New Roman"/>
          <w:i/>
          <w:iCs/>
          <w:sz w:val="24"/>
          <w:szCs w:val="24"/>
          <w:lang w:val="en-GB"/>
        </w:rPr>
        <w:t>HP/Poly</w:t>
      </w:r>
      <w:r w:rsidR="001D5453" w:rsidRPr="00792D53">
        <w:rPr>
          <w:rFonts w:ascii="Times New Roman" w:hAnsi="Times New Roman" w:cs="Times New Roman"/>
          <w:sz w:val="24"/>
          <w:szCs w:val="24"/>
          <w:lang w:val="en-GB"/>
        </w:rPr>
        <w:t xml:space="preserve"> deal identified Logitech and Jabra as competitors. This means that new firms have been created or entry has occurred, which satisfies the second test.</w:t>
      </w:r>
    </w:p>
    <w:p w14:paraId="557EDEC7" w14:textId="3D66074C" w:rsidR="00234617" w:rsidRPr="00792D53" w:rsidRDefault="001D5453" w:rsidP="00792D53">
      <w:pPr>
        <w:spacing w:before="120" w:after="120" w:line="480" w:lineRule="auto"/>
        <w:jc w:val="both"/>
        <w:rPr>
          <w:rFonts w:ascii="Times New Roman" w:hAnsi="Times New Roman" w:cs="Times New Roman"/>
          <w:sz w:val="24"/>
          <w:szCs w:val="24"/>
          <w:lang w:val="en-GB"/>
        </w:rPr>
      </w:pPr>
      <w:r w:rsidRPr="00C84445">
        <w:rPr>
          <w:rFonts w:ascii="Times New Roman" w:hAnsi="Times New Roman" w:cs="Times New Roman"/>
          <w:i/>
          <w:iCs/>
          <w:sz w:val="24"/>
          <w:szCs w:val="24"/>
          <w:lang w:val="en-GB"/>
        </w:rPr>
        <w:t>Oracle/Micros</w:t>
      </w:r>
      <w:r w:rsidRPr="00792D53">
        <w:rPr>
          <w:rFonts w:ascii="Times New Roman" w:hAnsi="Times New Roman" w:cs="Times New Roman"/>
          <w:sz w:val="24"/>
          <w:szCs w:val="24"/>
          <w:lang w:val="en-GB"/>
        </w:rPr>
        <w:t xml:space="preserve"> concerned the enterprise application software market. This is identical to the one considered in </w:t>
      </w:r>
      <w:r w:rsidRPr="00C84445">
        <w:rPr>
          <w:rFonts w:ascii="Times New Roman" w:hAnsi="Times New Roman" w:cs="Times New Roman"/>
          <w:i/>
          <w:iCs/>
          <w:sz w:val="24"/>
          <w:szCs w:val="24"/>
          <w:lang w:val="en-GB"/>
        </w:rPr>
        <w:t>SAP/Sybase</w:t>
      </w:r>
      <w:r w:rsidRPr="00792D53">
        <w:rPr>
          <w:rFonts w:ascii="Times New Roman" w:hAnsi="Times New Roman" w:cs="Times New Roman"/>
          <w:sz w:val="24"/>
          <w:szCs w:val="24"/>
          <w:lang w:val="en-GB"/>
        </w:rPr>
        <w:t xml:space="preserve">. Thus, our findings in </w:t>
      </w:r>
      <w:r w:rsidRPr="00C84445">
        <w:rPr>
          <w:rFonts w:ascii="Times New Roman" w:hAnsi="Times New Roman" w:cs="Times New Roman"/>
          <w:i/>
          <w:iCs/>
          <w:sz w:val="24"/>
          <w:szCs w:val="24"/>
          <w:lang w:val="en-GB"/>
        </w:rPr>
        <w:t>SAP/Sybase</w:t>
      </w:r>
      <w:r w:rsidRPr="00792D53">
        <w:rPr>
          <w:rFonts w:ascii="Times New Roman" w:hAnsi="Times New Roman" w:cs="Times New Roman"/>
          <w:sz w:val="24"/>
          <w:szCs w:val="24"/>
          <w:lang w:val="en-GB"/>
        </w:rPr>
        <w:t xml:space="preserve"> regarding the first and second </w:t>
      </w:r>
      <w:r w:rsidR="002624F5" w:rsidRPr="00792D53">
        <w:rPr>
          <w:rFonts w:ascii="Times New Roman" w:hAnsi="Times New Roman" w:cs="Times New Roman"/>
          <w:sz w:val="24"/>
          <w:szCs w:val="24"/>
          <w:lang w:val="en-GB"/>
        </w:rPr>
        <w:t xml:space="preserve">events </w:t>
      </w:r>
      <w:r w:rsidRPr="00792D53">
        <w:rPr>
          <w:rFonts w:ascii="Times New Roman" w:hAnsi="Times New Roman" w:cs="Times New Roman"/>
          <w:sz w:val="24"/>
          <w:szCs w:val="24"/>
          <w:lang w:val="en-GB"/>
        </w:rPr>
        <w:t xml:space="preserve">hold for </w:t>
      </w:r>
      <w:r w:rsidRPr="00C84445">
        <w:rPr>
          <w:rFonts w:ascii="Times New Roman" w:hAnsi="Times New Roman" w:cs="Times New Roman"/>
          <w:i/>
          <w:iCs/>
          <w:sz w:val="24"/>
          <w:szCs w:val="24"/>
          <w:lang w:val="en-GB"/>
        </w:rPr>
        <w:t>Oracle/Micros</w:t>
      </w:r>
      <w:r w:rsidRPr="00792D53">
        <w:rPr>
          <w:rFonts w:ascii="Times New Roman" w:hAnsi="Times New Roman" w:cs="Times New Roman"/>
          <w:sz w:val="24"/>
          <w:szCs w:val="24"/>
          <w:lang w:val="en-GB"/>
        </w:rPr>
        <w:t xml:space="preserve"> as well (narrower market definition and no new competitors). As regards the third </w:t>
      </w:r>
      <w:r w:rsidR="002624F5" w:rsidRPr="00792D53">
        <w:rPr>
          <w:rFonts w:ascii="Times New Roman" w:hAnsi="Times New Roman" w:cs="Times New Roman"/>
          <w:sz w:val="24"/>
          <w:szCs w:val="24"/>
          <w:lang w:val="en-GB"/>
        </w:rPr>
        <w:t>event</w:t>
      </w:r>
      <w:r w:rsidRPr="00792D53">
        <w:rPr>
          <w:rFonts w:ascii="Times New Roman" w:hAnsi="Times New Roman" w:cs="Times New Roman"/>
          <w:sz w:val="24"/>
          <w:szCs w:val="24"/>
          <w:lang w:val="en-GB"/>
        </w:rPr>
        <w:t xml:space="preserve">, we observe a strong response in terms of competitors’ merger activities. The data </w:t>
      </w:r>
      <w:r w:rsidR="00234617" w:rsidRPr="00792D53">
        <w:rPr>
          <w:rFonts w:ascii="Times New Roman" w:hAnsi="Times New Roman" w:cs="Times New Roman"/>
          <w:sz w:val="24"/>
          <w:szCs w:val="24"/>
          <w:lang w:val="en-GB"/>
        </w:rPr>
        <w:t xml:space="preserve">suggest that the acquisition was a </w:t>
      </w:r>
      <w:r w:rsidRPr="00792D53">
        <w:rPr>
          <w:rFonts w:ascii="Times New Roman" w:hAnsi="Times New Roman" w:cs="Times New Roman"/>
          <w:sz w:val="24"/>
          <w:szCs w:val="24"/>
          <w:lang w:val="en-GB"/>
        </w:rPr>
        <w:t>component</w:t>
      </w:r>
      <w:r w:rsidR="00234617" w:rsidRPr="00792D53">
        <w:rPr>
          <w:rFonts w:ascii="Times New Roman" w:hAnsi="Times New Roman" w:cs="Times New Roman"/>
          <w:sz w:val="24"/>
          <w:szCs w:val="24"/>
          <w:lang w:val="en-GB"/>
        </w:rPr>
        <w:t xml:space="preserve"> </w:t>
      </w:r>
      <w:r w:rsidRPr="00792D53">
        <w:rPr>
          <w:rFonts w:ascii="Times New Roman" w:hAnsi="Times New Roman" w:cs="Times New Roman"/>
          <w:sz w:val="24"/>
          <w:szCs w:val="24"/>
          <w:lang w:val="en-GB"/>
        </w:rPr>
        <w:t>of</w:t>
      </w:r>
      <w:r w:rsidR="00234617" w:rsidRPr="00792D53">
        <w:rPr>
          <w:rFonts w:ascii="Times New Roman" w:hAnsi="Times New Roman" w:cs="Times New Roman"/>
          <w:sz w:val="24"/>
          <w:szCs w:val="24"/>
          <w:lang w:val="en-GB"/>
        </w:rPr>
        <w:t xml:space="preserve"> an ongoing merger wave in the industry. </w:t>
      </w:r>
      <w:r w:rsidRPr="00792D53">
        <w:rPr>
          <w:rFonts w:ascii="Times New Roman" w:hAnsi="Times New Roman" w:cs="Times New Roman"/>
          <w:sz w:val="24"/>
          <w:szCs w:val="24"/>
          <w:lang w:val="en-GB"/>
        </w:rPr>
        <w:t>We</w:t>
      </w:r>
      <w:r w:rsidR="00234617" w:rsidRPr="00792D53">
        <w:rPr>
          <w:rFonts w:ascii="Times New Roman" w:hAnsi="Times New Roman" w:cs="Times New Roman"/>
          <w:sz w:val="24"/>
          <w:szCs w:val="24"/>
          <w:lang w:val="en-GB"/>
        </w:rPr>
        <w:t xml:space="preserve"> note </w:t>
      </w:r>
      <w:r w:rsidR="00234617" w:rsidRPr="00792D53">
        <w:rPr>
          <w:rFonts w:ascii="Times New Roman" w:hAnsi="Times New Roman" w:cs="Times New Roman"/>
          <w:sz w:val="24"/>
          <w:szCs w:val="24"/>
          <w:lang w:val="en-GB"/>
        </w:rPr>
        <w:lastRenderedPageBreak/>
        <w:t>that half the competitors identified in the EC decision were themselves shortly acquired. For example, Epicor was taken private by KKR Investments, one of the largest private equity firms. Panasonic acquired JDA, and Salesforce purchased Demandware. We further observe that the Epicor and Demandware acquisitions were completed in the same year as the present transaction</w:t>
      </w:r>
      <w:r w:rsidRPr="00792D53">
        <w:rPr>
          <w:rFonts w:ascii="Times New Roman" w:hAnsi="Times New Roman" w:cs="Times New Roman"/>
          <w:sz w:val="24"/>
          <w:szCs w:val="24"/>
          <w:lang w:val="en-GB"/>
        </w:rPr>
        <w:t xml:space="preserve"> (2014)</w:t>
      </w:r>
      <w:r w:rsidR="00234617" w:rsidRPr="00792D53">
        <w:rPr>
          <w:rFonts w:ascii="Times New Roman" w:hAnsi="Times New Roman" w:cs="Times New Roman"/>
          <w:sz w:val="24"/>
          <w:szCs w:val="24"/>
          <w:lang w:val="en-GB"/>
        </w:rPr>
        <w:t xml:space="preserve">. </w:t>
      </w:r>
      <w:r w:rsidRPr="00792D53">
        <w:rPr>
          <w:rFonts w:ascii="Times New Roman" w:hAnsi="Times New Roman" w:cs="Times New Roman"/>
          <w:sz w:val="24"/>
          <w:szCs w:val="24"/>
          <w:lang w:val="en-GB"/>
        </w:rPr>
        <w:t>These deals</w:t>
      </w:r>
      <w:r w:rsidR="00234617" w:rsidRPr="00792D53">
        <w:rPr>
          <w:rFonts w:ascii="Times New Roman" w:hAnsi="Times New Roman" w:cs="Times New Roman"/>
          <w:sz w:val="24"/>
          <w:szCs w:val="24"/>
          <w:lang w:val="en-GB"/>
        </w:rPr>
        <w:t xml:space="preserve"> may have been triggered by </w:t>
      </w:r>
      <w:r w:rsidRPr="00792D53">
        <w:rPr>
          <w:rFonts w:ascii="Times New Roman" w:hAnsi="Times New Roman" w:cs="Times New Roman"/>
          <w:sz w:val="24"/>
          <w:szCs w:val="24"/>
          <w:lang w:val="en-GB"/>
        </w:rPr>
        <w:t xml:space="preserve">the earlier </w:t>
      </w:r>
      <w:r w:rsidR="00234617" w:rsidRPr="00832B6C">
        <w:rPr>
          <w:rFonts w:ascii="Times New Roman" w:hAnsi="Times New Roman" w:cs="Times New Roman"/>
          <w:i/>
          <w:iCs/>
          <w:sz w:val="24"/>
          <w:szCs w:val="24"/>
          <w:lang w:val="en-GB"/>
        </w:rPr>
        <w:t>SAP/Sybase</w:t>
      </w:r>
      <w:r w:rsidRPr="00792D53">
        <w:rPr>
          <w:rFonts w:ascii="Times New Roman" w:hAnsi="Times New Roman" w:cs="Times New Roman"/>
          <w:sz w:val="24"/>
          <w:szCs w:val="24"/>
          <w:lang w:val="en-GB"/>
        </w:rPr>
        <w:t xml:space="preserve"> acquisition</w:t>
      </w:r>
      <w:r w:rsidR="00234617" w:rsidRPr="00792D53">
        <w:rPr>
          <w:rFonts w:ascii="Times New Roman" w:hAnsi="Times New Roman" w:cs="Times New Roman"/>
          <w:sz w:val="24"/>
          <w:szCs w:val="24"/>
          <w:lang w:val="en-GB"/>
        </w:rPr>
        <w:t xml:space="preserve">. Oracle’s acquisition of Micros </w:t>
      </w:r>
      <w:r w:rsidRPr="00792D53">
        <w:rPr>
          <w:rFonts w:ascii="Times New Roman" w:hAnsi="Times New Roman" w:cs="Times New Roman"/>
          <w:sz w:val="24"/>
          <w:szCs w:val="24"/>
          <w:lang w:val="en-GB"/>
        </w:rPr>
        <w:t>may thus have been</w:t>
      </w:r>
      <w:r w:rsidR="00234617" w:rsidRPr="00792D53">
        <w:rPr>
          <w:rFonts w:ascii="Times New Roman" w:hAnsi="Times New Roman" w:cs="Times New Roman"/>
          <w:sz w:val="24"/>
          <w:szCs w:val="24"/>
          <w:lang w:val="en-GB"/>
        </w:rPr>
        <w:t xml:space="preserve"> attempt to keep up with its rivals in the market for corporate control.</w:t>
      </w:r>
    </w:p>
    <w:p w14:paraId="3C118261" w14:textId="37481FF9" w:rsidR="001D5453" w:rsidRPr="00792D53" w:rsidRDefault="001D545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For </w:t>
      </w:r>
      <w:r w:rsidRPr="00832B6C">
        <w:rPr>
          <w:rFonts w:ascii="Times New Roman" w:hAnsi="Times New Roman" w:cs="Times New Roman"/>
          <w:i/>
          <w:iCs/>
          <w:sz w:val="24"/>
          <w:szCs w:val="24"/>
          <w:lang w:val="en-GB"/>
        </w:rPr>
        <w:t>Activision/King</w:t>
      </w:r>
      <w:r w:rsidRPr="00792D53">
        <w:rPr>
          <w:rFonts w:ascii="Times New Roman" w:hAnsi="Times New Roman" w:cs="Times New Roman"/>
          <w:sz w:val="24"/>
          <w:szCs w:val="24"/>
          <w:lang w:val="en-GB"/>
        </w:rPr>
        <w:t xml:space="preserve">, which concerned the “game publishing” market, </w:t>
      </w:r>
      <w:r w:rsidR="004065B5" w:rsidRPr="00792D53">
        <w:rPr>
          <w:rFonts w:ascii="Times New Roman" w:hAnsi="Times New Roman" w:cs="Times New Roman"/>
          <w:sz w:val="24"/>
          <w:szCs w:val="24"/>
          <w:lang w:val="en-GB"/>
        </w:rPr>
        <w:t xml:space="preserve">we retrieve two relevant transactions. The first case, </w:t>
      </w:r>
      <w:r w:rsidR="004065B5" w:rsidRPr="00832B6C">
        <w:rPr>
          <w:rFonts w:ascii="Times New Roman" w:hAnsi="Times New Roman" w:cs="Times New Roman"/>
          <w:i/>
          <w:iCs/>
          <w:sz w:val="24"/>
          <w:szCs w:val="24"/>
          <w:lang w:val="en-GB"/>
        </w:rPr>
        <w:t>Tencent/Supercell OY</w:t>
      </w:r>
      <w:r w:rsidR="004065B5" w:rsidRPr="00792D53">
        <w:rPr>
          <w:rFonts w:ascii="Times New Roman" w:hAnsi="Times New Roman" w:cs="Times New Roman"/>
          <w:sz w:val="24"/>
          <w:szCs w:val="24"/>
          <w:lang w:val="en-GB"/>
        </w:rPr>
        <w:t>, was cleared in accordance with the simplified procedure, thus producing limited information.</w:t>
      </w:r>
      <w:r w:rsidR="004065B5" w:rsidRPr="00031310">
        <w:rPr>
          <w:rFonts w:ascii="Times New Roman" w:hAnsi="Times New Roman" w:cs="Times New Roman"/>
          <w:sz w:val="24"/>
          <w:szCs w:val="24"/>
          <w:vertAlign w:val="superscript"/>
          <w:lang w:val="en-GB"/>
        </w:rPr>
        <w:footnoteReference w:id="99"/>
      </w:r>
      <w:r w:rsidR="004065B5" w:rsidRPr="00792D53">
        <w:rPr>
          <w:rFonts w:ascii="Times New Roman" w:hAnsi="Times New Roman" w:cs="Times New Roman"/>
          <w:sz w:val="24"/>
          <w:szCs w:val="24"/>
          <w:lang w:val="en-GB"/>
        </w:rPr>
        <w:t xml:space="preserve"> The second case is </w:t>
      </w:r>
      <w:r w:rsidR="004065B5" w:rsidRPr="00832B6C">
        <w:rPr>
          <w:rFonts w:ascii="Times New Roman" w:hAnsi="Times New Roman" w:cs="Times New Roman"/>
          <w:i/>
          <w:iCs/>
          <w:sz w:val="24"/>
          <w:szCs w:val="24"/>
          <w:lang w:val="en-GB"/>
        </w:rPr>
        <w:t>Microsoft/</w:t>
      </w:r>
      <w:r w:rsidR="00031310" w:rsidRPr="00832B6C">
        <w:rPr>
          <w:rFonts w:ascii="Times New Roman" w:hAnsi="Times New Roman" w:cs="Times New Roman"/>
          <w:i/>
          <w:iCs/>
          <w:sz w:val="24"/>
          <w:szCs w:val="24"/>
          <w:lang w:val="en-GB"/>
        </w:rPr>
        <w:t>ZeniMax</w:t>
      </w:r>
      <w:r w:rsidR="004065B5" w:rsidRPr="00792D53">
        <w:rPr>
          <w:rFonts w:ascii="Times New Roman" w:hAnsi="Times New Roman" w:cs="Times New Roman"/>
          <w:sz w:val="24"/>
          <w:szCs w:val="24"/>
          <w:lang w:val="en-GB"/>
        </w:rPr>
        <w:t xml:space="preserve">. In that case, the EC conducted a market investigation to find out whether it is appropriate to segment the game publishing market according to genres, type (AAA, casual, </w:t>
      </w:r>
      <w:r w:rsidR="001736CC">
        <w:rPr>
          <w:rFonts w:ascii="Times New Roman" w:hAnsi="Times New Roman" w:cs="Times New Roman"/>
          <w:sz w:val="24"/>
          <w:szCs w:val="24"/>
          <w:lang w:val="en-GB"/>
        </w:rPr>
        <w:t>or freemium</w:t>
      </w:r>
      <w:r w:rsidR="004065B5" w:rsidRPr="00792D53">
        <w:rPr>
          <w:rFonts w:ascii="Times New Roman" w:hAnsi="Times New Roman" w:cs="Times New Roman"/>
          <w:sz w:val="24"/>
          <w:szCs w:val="24"/>
          <w:lang w:val="en-GB"/>
        </w:rPr>
        <w:t xml:space="preserve">), and platform (Xbox, Playstation, PC). The EC was unconvinced and thus decided to keep the broader market as relevant. The EC also did not identify new competitors. Furthermore, none of the rivals considered in </w:t>
      </w:r>
      <w:r w:rsidR="004065B5" w:rsidRPr="00832B6C">
        <w:rPr>
          <w:rFonts w:ascii="Times New Roman" w:hAnsi="Times New Roman" w:cs="Times New Roman"/>
          <w:i/>
          <w:iCs/>
          <w:sz w:val="24"/>
          <w:szCs w:val="24"/>
          <w:lang w:val="en-GB"/>
        </w:rPr>
        <w:t>Activision/King</w:t>
      </w:r>
      <w:r w:rsidR="004065B5" w:rsidRPr="00792D53">
        <w:rPr>
          <w:rFonts w:ascii="Times New Roman" w:hAnsi="Times New Roman" w:cs="Times New Roman"/>
          <w:sz w:val="24"/>
          <w:szCs w:val="24"/>
          <w:lang w:val="en-GB"/>
        </w:rPr>
        <w:t xml:space="preserve"> made any acquisitions between 2016-2022. </w:t>
      </w:r>
      <w:r w:rsidR="00EF0E2D" w:rsidRPr="00792D53">
        <w:rPr>
          <w:rFonts w:ascii="Times New Roman" w:hAnsi="Times New Roman" w:cs="Times New Roman"/>
          <w:sz w:val="24"/>
          <w:szCs w:val="24"/>
          <w:lang w:val="en-GB"/>
        </w:rPr>
        <w:t xml:space="preserve">These findings imply that all three of our </w:t>
      </w:r>
      <w:r w:rsidR="002624F5" w:rsidRPr="00792D53">
        <w:rPr>
          <w:rFonts w:ascii="Times New Roman" w:hAnsi="Times New Roman" w:cs="Times New Roman"/>
          <w:sz w:val="24"/>
          <w:szCs w:val="24"/>
          <w:lang w:val="en-GB"/>
        </w:rPr>
        <w:t>events did not happened</w:t>
      </w:r>
      <w:r w:rsidR="00EF0E2D" w:rsidRPr="00792D53">
        <w:rPr>
          <w:rFonts w:ascii="Times New Roman" w:hAnsi="Times New Roman" w:cs="Times New Roman"/>
          <w:sz w:val="24"/>
          <w:szCs w:val="24"/>
          <w:lang w:val="en-GB"/>
        </w:rPr>
        <w:t>.</w:t>
      </w:r>
      <w:r w:rsidR="00EF0E2D" w:rsidRPr="00031310">
        <w:rPr>
          <w:rFonts w:ascii="Times New Roman" w:hAnsi="Times New Roman" w:cs="Times New Roman"/>
          <w:sz w:val="24"/>
          <w:szCs w:val="24"/>
          <w:vertAlign w:val="superscript"/>
          <w:lang w:val="en-GB"/>
        </w:rPr>
        <w:footnoteReference w:id="100"/>
      </w:r>
    </w:p>
    <w:p w14:paraId="524B0724" w14:textId="4612B7CA" w:rsidR="00CF5FA2" w:rsidRPr="00792D53" w:rsidRDefault="00EF0E2D" w:rsidP="00792D53">
      <w:pPr>
        <w:spacing w:before="120" w:after="120" w:line="480" w:lineRule="auto"/>
        <w:jc w:val="both"/>
        <w:rPr>
          <w:rFonts w:ascii="Times New Roman" w:hAnsi="Times New Roman" w:cs="Times New Roman"/>
          <w:sz w:val="24"/>
          <w:szCs w:val="24"/>
          <w:lang w:val="en-GB"/>
        </w:rPr>
      </w:pPr>
      <w:r w:rsidRPr="00832B6C">
        <w:rPr>
          <w:rFonts w:ascii="Times New Roman" w:hAnsi="Times New Roman" w:cs="Times New Roman"/>
          <w:i/>
          <w:iCs/>
          <w:sz w:val="24"/>
          <w:szCs w:val="24"/>
          <w:lang w:val="en-GB"/>
        </w:rPr>
        <w:t>Microsoft/LinkedIn</w:t>
      </w:r>
      <w:r w:rsidRPr="00792D53">
        <w:rPr>
          <w:rFonts w:ascii="Times New Roman" w:hAnsi="Times New Roman" w:cs="Times New Roman"/>
          <w:sz w:val="24"/>
          <w:szCs w:val="24"/>
          <w:lang w:val="en-GB"/>
        </w:rPr>
        <w:t xml:space="preserve"> concerned the “CRM software solutions” market, which is a segment of enterprise application software market considered in </w:t>
      </w:r>
      <w:r w:rsidRPr="00832B6C">
        <w:rPr>
          <w:rFonts w:ascii="Times New Roman" w:hAnsi="Times New Roman" w:cs="Times New Roman"/>
          <w:i/>
          <w:iCs/>
          <w:sz w:val="24"/>
          <w:szCs w:val="24"/>
          <w:lang w:val="en-GB"/>
        </w:rPr>
        <w:t>SAP/Sybase</w:t>
      </w:r>
      <w:r w:rsidRPr="00792D53">
        <w:rPr>
          <w:rFonts w:ascii="Times New Roman" w:hAnsi="Times New Roman" w:cs="Times New Roman"/>
          <w:sz w:val="24"/>
          <w:szCs w:val="24"/>
          <w:lang w:val="en-GB"/>
        </w:rPr>
        <w:t xml:space="preserve"> and </w:t>
      </w:r>
      <w:r w:rsidRPr="00832B6C">
        <w:rPr>
          <w:rFonts w:ascii="Times New Roman" w:hAnsi="Times New Roman" w:cs="Times New Roman"/>
          <w:i/>
          <w:iCs/>
          <w:sz w:val="24"/>
          <w:szCs w:val="24"/>
          <w:lang w:val="en-GB"/>
        </w:rPr>
        <w:t>Oracle/Micros</w:t>
      </w:r>
      <w:r w:rsidRPr="00792D53">
        <w:rPr>
          <w:rFonts w:ascii="Times New Roman" w:hAnsi="Times New Roman" w:cs="Times New Roman"/>
          <w:sz w:val="24"/>
          <w:szCs w:val="24"/>
          <w:lang w:val="en-GB"/>
        </w:rPr>
        <w:t xml:space="preserve">. Three </w:t>
      </w:r>
      <w:r w:rsidRPr="00792D53">
        <w:rPr>
          <w:rFonts w:ascii="Times New Roman" w:hAnsi="Times New Roman" w:cs="Times New Roman"/>
          <w:sz w:val="24"/>
          <w:szCs w:val="24"/>
          <w:lang w:val="en-GB"/>
        </w:rPr>
        <w:lastRenderedPageBreak/>
        <w:t>decisions following the present merger focused on the CRM software solutions market. In some of these cases, the market was left unchanged.</w:t>
      </w:r>
      <w:r w:rsidRPr="0092475F">
        <w:rPr>
          <w:rFonts w:ascii="Times New Roman" w:hAnsi="Times New Roman" w:cs="Times New Roman"/>
          <w:sz w:val="24"/>
          <w:szCs w:val="24"/>
          <w:vertAlign w:val="superscript"/>
          <w:lang w:val="en-GB"/>
        </w:rPr>
        <w:footnoteReference w:id="101"/>
      </w:r>
      <w:r w:rsidRPr="0092475F">
        <w:rPr>
          <w:rFonts w:ascii="Times New Roman" w:hAnsi="Times New Roman" w:cs="Times New Roman"/>
          <w:sz w:val="24"/>
          <w:szCs w:val="24"/>
          <w:vertAlign w:val="superscript"/>
          <w:lang w:val="en-GB"/>
        </w:rPr>
        <w:t xml:space="preserve"> </w:t>
      </w:r>
      <w:r w:rsidRPr="00792D53">
        <w:rPr>
          <w:rFonts w:ascii="Times New Roman" w:hAnsi="Times New Roman" w:cs="Times New Roman"/>
          <w:sz w:val="24"/>
          <w:szCs w:val="24"/>
          <w:lang w:val="en-GB"/>
        </w:rPr>
        <w:t xml:space="preserve">By contrast, </w:t>
      </w:r>
      <w:r w:rsidR="004C5DA1" w:rsidRPr="00792D53">
        <w:rPr>
          <w:rFonts w:ascii="Times New Roman" w:hAnsi="Times New Roman" w:cs="Times New Roman"/>
          <w:sz w:val="24"/>
          <w:szCs w:val="24"/>
          <w:lang w:val="en-GB"/>
        </w:rPr>
        <w:t>in recent cases we observe a further segmentation of the market.</w:t>
      </w:r>
      <w:r w:rsidR="004C5DA1" w:rsidRPr="00F51B0E">
        <w:rPr>
          <w:rFonts w:ascii="Times New Roman" w:hAnsi="Times New Roman" w:cs="Times New Roman"/>
          <w:sz w:val="24"/>
          <w:szCs w:val="24"/>
          <w:vertAlign w:val="superscript"/>
          <w:lang w:val="en-GB"/>
        </w:rPr>
        <w:footnoteReference w:id="102"/>
      </w:r>
      <w:r w:rsidR="00CF5FA2" w:rsidRPr="00792D53">
        <w:rPr>
          <w:rFonts w:ascii="Times New Roman" w:hAnsi="Times New Roman" w:cs="Times New Roman"/>
          <w:sz w:val="24"/>
          <w:szCs w:val="24"/>
          <w:lang w:val="en-GB"/>
        </w:rPr>
        <w:t xml:space="preserve"> In any case, there was no widening of the relevant market, which fails the first </w:t>
      </w:r>
      <w:r w:rsidR="002624F5" w:rsidRPr="00792D53">
        <w:rPr>
          <w:rFonts w:ascii="Times New Roman" w:hAnsi="Times New Roman" w:cs="Times New Roman"/>
          <w:sz w:val="24"/>
          <w:szCs w:val="24"/>
          <w:lang w:val="en-GB"/>
        </w:rPr>
        <w:t>event</w:t>
      </w:r>
      <w:r w:rsidR="00CF5FA2" w:rsidRPr="00792D53">
        <w:rPr>
          <w:rFonts w:ascii="Times New Roman" w:hAnsi="Times New Roman" w:cs="Times New Roman"/>
          <w:sz w:val="24"/>
          <w:szCs w:val="24"/>
          <w:lang w:val="en-GB"/>
        </w:rPr>
        <w:t xml:space="preserve">. </w:t>
      </w:r>
      <w:r w:rsidR="002E29D1" w:rsidRPr="00792D53">
        <w:rPr>
          <w:rFonts w:ascii="Times New Roman" w:hAnsi="Times New Roman" w:cs="Times New Roman"/>
          <w:sz w:val="24"/>
          <w:szCs w:val="24"/>
          <w:lang w:val="en-GB"/>
        </w:rPr>
        <w:t>We also do not observe any new competitors identified by the EC.</w:t>
      </w:r>
      <w:r w:rsidR="002E29D1" w:rsidRPr="0092475F">
        <w:rPr>
          <w:rFonts w:ascii="Times New Roman" w:hAnsi="Times New Roman" w:cs="Times New Roman"/>
          <w:sz w:val="24"/>
          <w:szCs w:val="24"/>
          <w:vertAlign w:val="superscript"/>
          <w:lang w:val="en-GB"/>
        </w:rPr>
        <w:footnoteReference w:id="103"/>
      </w:r>
      <w:r w:rsidR="002E29D1" w:rsidRPr="0092475F">
        <w:rPr>
          <w:rFonts w:ascii="Times New Roman" w:hAnsi="Times New Roman" w:cs="Times New Roman"/>
          <w:sz w:val="24"/>
          <w:szCs w:val="24"/>
          <w:vertAlign w:val="superscript"/>
          <w:lang w:val="en-GB"/>
        </w:rPr>
        <w:t xml:space="preserve"> </w:t>
      </w:r>
      <w:r w:rsidR="002E29D1" w:rsidRPr="00792D53">
        <w:rPr>
          <w:rFonts w:ascii="Times New Roman" w:hAnsi="Times New Roman" w:cs="Times New Roman"/>
          <w:sz w:val="24"/>
          <w:szCs w:val="24"/>
          <w:lang w:val="en-GB"/>
        </w:rPr>
        <w:t xml:space="preserve">This fails the second </w:t>
      </w:r>
      <w:r w:rsidR="002624F5" w:rsidRPr="00792D53">
        <w:rPr>
          <w:rFonts w:ascii="Times New Roman" w:hAnsi="Times New Roman" w:cs="Times New Roman"/>
          <w:sz w:val="24"/>
          <w:szCs w:val="24"/>
          <w:lang w:val="en-GB"/>
        </w:rPr>
        <w:t>event</w:t>
      </w:r>
      <w:r w:rsidR="002E29D1" w:rsidRPr="00792D53">
        <w:rPr>
          <w:rFonts w:ascii="Times New Roman" w:hAnsi="Times New Roman" w:cs="Times New Roman"/>
          <w:sz w:val="24"/>
          <w:szCs w:val="24"/>
          <w:lang w:val="en-GB"/>
        </w:rPr>
        <w:t xml:space="preserve">. In terms of the third </w:t>
      </w:r>
      <w:r w:rsidR="002624F5" w:rsidRPr="00792D53">
        <w:rPr>
          <w:rFonts w:ascii="Times New Roman" w:hAnsi="Times New Roman" w:cs="Times New Roman"/>
          <w:sz w:val="24"/>
          <w:szCs w:val="24"/>
          <w:lang w:val="en-GB"/>
        </w:rPr>
        <w:t>event</w:t>
      </w:r>
      <w:r w:rsidR="002E29D1" w:rsidRPr="00792D53">
        <w:rPr>
          <w:rFonts w:ascii="Times New Roman" w:hAnsi="Times New Roman" w:cs="Times New Roman"/>
          <w:sz w:val="24"/>
          <w:szCs w:val="24"/>
          <w:lang w:val="en-GB"/>
        </w:rPr>
        <w:t>, we note that after the acquisition, none of the competitors made any acquisitions, whereas Microsoft itself acquired Nuance.</w:t>
      </w:r>
    </w:p>
    <w:p w14:paraId="7619D68F" w14:textId="12C8C633" w:rsidR="002E29D1" w:rsidRPr="00792D53" w:rsidRDefault="002E29D1" w:rsidP="00792D53">
      <w:pPr>
        <w:spacing w:before="120" w:after="120" w:line="480" w:lineRule="auto"/>
        <w:jc w:val="both"/>
        <w:rPr>
          <w:rFonts w:ascii="Times New Roman" w:hAnsi="Times New Roman" w:cs="Times New Roman"/>
          <w:sz w:val="24"/>
          <w:szCs w:val="24"/>
          <w:lang w:val="en-GB"/>
        </w:rPr>
      </w:pPr>
      <w:r w:rsidRPr="00F51B0E">
        <w:rPr>
          <w:rFonts w:ascii="Times New Roman" w:hAnsi="Times New Roman" w:cs="Times New Roman"/>
          <w:i/>
          <w:iCs/>
          <w:sz w:val="24"/>
          <w:szCs w:val="24"/>
          <w:lang w:val="en-GB"/>
        </w:rPr>
        <w:t>Verizon/Yahoo</w:t>
      </w:r>
      <w:r w:rsidRPr="00792D53">
        <w:rPr>
          <w:rFonts w:ascii="Times New Roman" w:hAnsi="Times New Roman" w:cs="Times New Roman"/>
          <w:sz w:val="24"/>
          <w:szCs w:val="24"/>
          <w:lang w:val="en-GB"/>
        </w:rPr>
        <w:t xml:space="preserve"> concerned the “digital mobile finance content” market. We could not retrieve another case that concerned the same product market. </w:t>
      </w:r>
      <w:r w:rsidR="009F2DBB" w:rsidRPr="00792D53">
        <w:rPr>
          <w:rFonts w:ascii="Times New Roman" w:hAnsi="Times New Roman" w:cs="Times New Roman"/>
          <w:sz w:val="24"/>
          <w:szCs w:val="24"/>
          <w:lang w:val="en-GB"/>
        </w:rPr>
        <w:t>We also could not observe a wider market, such as “digital finance” or “mobile finance”. Thus, we have negative results for all three tests. However, we note that the acquisition of Yahoo (and AOL) by Verizon has not proven fruitful. Indeed, Verizon recently exited the digital mobile finance market by selling Yahoo to Apollo Global Management, a private equity firm.</w:t>
      </w:r>
      <w:r w:rsidR="009F2DBB" w:rsidRPr="0092475F">
        <w:rPr>
          <w:rFonts w:ascii="Times New Roman" w:hAnsi="Times New Roman" w:cs="Times New Roman"/>
          <w:sz w:val="24"/>
          <w:szCs w:val="24"/>
          <w:vertAlign w:val="superscript"/>
          <w:lang w:val="en-GB"/>
        </w:rPr>
        <w:footnoteReference w:id="104"/>
      </w:r>
    </w:p>
    <w:p w14:paraId="3B685969" w14:textId="2C1E99E1" w:rsidR="009F2DBB" w:rsidRPr="00792D53" w:rsidRDefault="009F2DBB" w:rsidP="00792D53">
      <w:pPr>
        <w:spacing w:before="120" w:after="120" w:line="480" w:lineRule="auto"/>
        <w:jc w:val="both"/>
        <w:rPr>
          <w:rFonts w:ascii="Times New Roman" w:hAnsi="Times New Roman" w:cs="Times New Roman"/>
          <w:sz w:val="24"/>
          <w:szCs w:val="24"/>
          <w:lang w:val="en-GB"/>
        </w:rPr>
      </w:pPr>
      <w:r w:rsidRPr="00F51B0E">
        <w:rPr>
          <w:rFonts w:ascii="Times New Roman" w:hAnsi="Times New Roman" w:cs="Times New Roman"/>
          <w:i/>
          <w:iCs/>
          <w:sz w:val="24"/>
          <w:szCs w:val="24"/>
          <w:lang w:val="en-GB"/>
        </w:rPr>
        <w:t>Google/FitBit</w:t>
      </w:r>
      <w:r w:rsidRPr="00792D53">
        <w:rPr>
          <w:rFonts w:ascii="Times New Roman" w:hAnsi="Times New Roman" w:cs="Times New Roman"/>
          <w:sz w:val="24"/>
          <w:szCs w:val="24"/>
          <w:lang w:val="en-GB"/>
        </w:rPr>
        <w:t xml:space="preserve"> considered the “wrist-worn wearable devices” as the relevant product market. We </w:t>
      </w:r>
      <w:r w:rsidR="00196755" w:rsidRPr="00792D53">
        <w:rPr>
          <w:rFonts w:ascii="Times New Roman" w:hAnsi="Times New Roman" w:cs="Times New Roman"/>
          <w:sz w:val="24"/>
          <w:szCs w:val="24"/>
          <w:lang w:val="en-GB"/>
        </w:rPr>
        <w:t xml:space="preserve">were </w:t>
      </w:r>
      <w:r w:rsidRPr="00792D53">
        <w:rPr>
          <w:rFonts w:ascii="Times New Roman" w:hAnsi="Times New Roman" w:cs="Times New Roman"/>
          <w:sz w:val="24"/>
          <w:szCs w:val="24"/>
          <w:lang w:val="en-GB"/>
        </w:rPr>
        <w:t>unable to retrieve another decision considering competition in a similar relevant market.</w:t>
      </w:r>
      <w:r w:rsidRPr="0092475F">
        <w:rPr>
          <w:rFonts w:ascii="Times New Roman" w:hAnsi="Times New Roman" w:cs="Times New Roman"/>
          <w:sz w:val="24"/>
          <w:szCs w:val="24"/>
          <w:vertAlign w:val="superscript"/>
          <w:lang w:val="en-GB"/>
        </w:rPr>
        <w:footnoteReference w:id="105"/>
      </w:r>
      <w:r w:rsidRPr="0092475F">
        <w:rPr>
          <w:rFonts w:ascii="Times New Roman" w:hAnsi="Times New Roman" w:cs="Times New Roman"/>
          <w:sz w:val="24"/>
          <w:szCs w:val="24"/>
          <w:vertAlign w:val="superscript"/>
          <w:lang w:val="en-GB"/>
        </w:rPr>
        <w:t xml:space="preserve"> </w:t>
      </w:r>
      <w:r w:rsidR="00920225" w:rsidRPr="00792D53">
        <w:rPr>
          <w:rFonts w:ascii="Times New Roman" w:hAnsi="Times New Roman" w:cs="Times New Roman"/>
          <w:sz w:val="24"/>
          <w:szCs w:val="24"/>
          <w:lang w:val="en-GB"/>
        </w:rPr>
        <w:t xml:space="preserve">Thus, our three tests remain unsatisfied. Nevertheless, we note that entry indeed occurred. Specifically, Imagine Marketing, with its boAt products, has emerged as a lower-end alternative. </w:t>
      </w:r>
      <w:r w:rsidR="00920225" w:rsidRPr="00792D53">
        <w:rPr>
          <w:rFonts w:ascii="Times New Roman" w:hAnsi="Times New Roman" w:cs="Times New Roman"/>
          <w:sz w:val="24"/>
          <w:szCs w:val="24"/>
          <w:lang w:val="en-GB"/>
        </w:rPr>
        <w:lastRenderedPageBreak/>
        <w:t>The company is prominently active in Asia and has recently completed its own acquisition of a Singaporean wearables producer.</w:t>
      </w:r>
      <w:r w:rsidR="00920225" w:rsidRPr="0092475F">
        <w:rPr>
          <w:rFonts w:ascii="Times New Roman" w:hAnsi="Times New Roman" w:cs="Times New Roman"/>
          <w:sz w:val="24"/>
          <w:szCs w:val="24"/>
          <w:vertAlign w:val="superscript"/>
          <w:lang w:val="en-GB"/>
        </w:rPr>
        <w:footnoteReference w:id="106"/>
      </w:r>
    </w:p>
    <w:p w14:paraId="5B47054E" w14:textId="5616DEB2" w:rsidR="00920225" w:rsidRPr="00792D53" w:rsidRDefault="00920225"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Lastly, </w:t>
      </w:r>
      <w:r w:rsidRPr="00F51B0E">
        <w:rPr>
          <w:rFonts w:ascii="Times New Roman" w:hAnsi="Times New Roman" w:cs="Times New Roman"/>
          <w:i/>
          <w:iCs/>
          <w:sz w:val="24"/>
          <w:szCs w:val="24"/>
          <w:lang w:val="en-GB"/>
        </w:rPr>
        <w:t>Microsoft/</w:t>
      </w:r>
      <w:r w:rsidR="0092475F" w:rsidRPr="00F51B0E">
        <w:rPr>
          <w:rFonts w:ascii="Times New Roman" w:hAnsi="Times New Roman" w:cs="Times New Roman"/>
          <w:i/>
          <w:iCs/>
          <w:sz w:val="24"/>
          <w:szCs w:val="24"/>
          <w:lang w:val="en-GB"/>
        </w:rPr>
        <w:t>ZeniMax</w:t>
      </w:r>
      <w:r w:rsidRPr="00792D53">
        <w:rPr>
          <w:rFonts w:ascii="Times New Roman" w:hAnsi="Times New Roman" w:cs="Times New Roman"/>
          <w:sz w:val="24"/>
          <w:szCs w:val="24"/>
          <w:lang w:val="en-GB"/>
        </w:rPr>
        <w:t xml:space="preserve"> was completed in 2021. This means that the case is not very suitable for the purposes of this exercise. Nevertheless, </w:t>
      </w:r>
      <w:r w:rsidR="00395C65" w:rsidRPr="00792D53">
        <w:rPr>
          <w:rFonts w:ascii="Times New Roman" w:hAnsi="Times New Roman" w:cs="Times New Roman"/>
          <w:sz w:val="24"/>
          <w:szCs w:val="24"/>
          <w:lang w:val="en-GB"/>
        </w:rPr>
        <w:t xml:space="preserve">the fast-growing </w:t>
      </w:r>
      <w:r w:rsidRPr="00792D53">
        <w:rPr>
          <w:rFonts w:ascii="Times New Roman" w:hAnsi="Times New Roman" w:cs="Times New Roman"/>
          <w:sz w:val="24"/>
          <w:szCs w:val="24"/>
          <w:lang w:val="en-GB"/>
        </w:rPr>
        <w:t>gaming sector has been at the forefront of competition debates for some time.</w:t>
      </w:r>
      <w:r w:rsidR="00395C65" w:rsidRPr="0092475F">
        <w:rPr>
          <w:rFonts w:ascii="Times New Roman" w:hAnsi="Times New Roman" w:cs="Times New Roman"/>
          <w:sz w:val="24"/>
          <w:szCs w:val="24"/>
          <w:vertAlign w:val="superscript"/>
          <w:lang w:val="en-GB"/>
        </w:rPr>
        <w:footnoteReference w:id="107"/>
      </w:r>
      <w:r w:rsidRPr="00792D53">
        <w:rPr>
          <w:rFonts w:ascii="Times New Roman" w:hAnsi="Times New Roman" w:cs="Times New Roman"/>
          <w:sz w:val="24"/>
          <w:szCs w:val="24"/>
          <w:lang w:val="en-GB"/>
        </w:rPr>
        <w:t xml:space="preserve"> Recently, Microsoft’s proposal to acquire Activision Blizzard King has attracted significant regulatory attention. In response, Sony has been developing in-house publishing studios to bolster its exclusive offers for the PlayStation platform.</w:t>
      </w:r>
      <w:r w:rsidR="000B79EC" w:rsidRPr="0092475F">
        <w:rPr>
          <w:rFonts w:ascii="Times New Roman" w:hAnsi="Times New Roman" w:cs="Times New Roman"/>
          <w:sz w:val="24"/>
          <w:szCs w:val="24"/>
          <w:vertAlign w:val="superscript"/>
          <w:lang w:val="en-GB"/>
        </w:rPr>
        <w:footnoteReference w:id="108"/>
      </w:r>
      <w:r w:rsidRPr="00792D53">
        <w:rPr>
          <w:rFonts w:ascii="Times New Roman" w:hAnsi="Times New Roman" w:cs="Times New Roman"/>
          <w:sz w:val="24"/>
          <w:szCs w:val="24"/>
          <w:lang w:val="en-GB"/>
        </w:rPr>
        <w:t xml:space="preserve"> More broadly, alternative techniques of competition </w:t>
      </w:r>
      <w:r w:rsidR="00782F42" w:rsidRPr="00792D53">
        <w:rPr>
          <w:rFonts w:ascii="Times New Roman" w:hAnsi="Times New Roman" w:cs="Times New Roman"/>
          <w:sz w:val="24"/>
          <w:szCs w:val="24"/>
          <w:lang w:val="en-GB"/>
        </w:rPr>
        <w:t xml:space="preserve">have </w:t>
      </w:r>
      <w:r w:rsidRPr="00792D53">
        <w:rPr>
          <w:rFonts w:ascii="Times New Roman" w:hAnsi="Times New Roman" w:cs="Times New Roman"/>
          <w:sz w:val="24"/>
          <w:szCs w:val="24"/>
          <w:lang w:val="en-GB"/>
        </w:rPr>
        <w:t>emerged, including cloud gaming and subscription-based models (</w:t>
      </w:r>
      <w:r w:rsidR="0016284F">
        <w:rPr>
          <w:rFonts w:ascii="Times New Roman" w:hAnsi="Times New Roman" w:cs="Times New Roman"/>
          <w:sz w:val="24"/>
          <w:szCs w:val="24"/>
          <w:lang w:val="en-GB"/>
        </w:rPr>
        <w:t>for example</w:t>
      </w:r>
      <w:r w:rsidRPr="00792D53">
        <w:rPr>
          <w:rFonts w:ascii="Times New Roman" w:hAnsi="Times New Roman" w:cs="Times New Roman"/>
          <w:sz w:val="24"/>
          <w:szCs w:val="24"/>
          <w:lang w:val="en-GB"/>
        </w:rPr>
        <w:t>, Microsoft’s Xbox game pass).</w:t>
      </w:r>
      <w:r w:rsidR="001477F4" w:rsidRPr="0092475F">
        <w:rPr>
          <w:rFonts w:ascii="Times New Roman" w:hAnsi="Times New Roman" w:cs="Times New Roman"/>
          <w:sz w:val="24"/>
          <w:szCs w:val="24"/>
          <w:vertAlign w:val="superscript"/>
          <w:lang w:val="en-GB"/>
        </w:rPr>
        <w:footnoteReference w:id="109"/>
      </w:r>
      <w:r w:rsidRPr="00792D53">
        <w:rPr>
          <w:rFonts w:ascii="Times New Roman" w:hAnsi="Times New Roman" w:cs="Times New Roman"/>
          <w:sz w:val="24"/>
          <w:szCs w:val="24"/>
          <w:lang w:val="en-GB"/>
        </w:rPr>
        <w:t xml:space="preserve"> </w:t>
      </w:r>
      <w:r w:rsidR="00765C1B" w:rsidRPr="00792D53">
        <w:rPr>
          <w:rFonts w:ascii="Times New Roman" w:hAnsi="Times New Roman" w:cs="Times New Roman"/>
          <w:sz w:val="24"/>
          <w:szCs w:val="24"/>
          <w:lang w:val="en-GB"/>
        </w:rPr>
        <w:t xml:space="preserve">These trends </w:t>
      </w:r>
      <w:r w:rsidR="00727AB6" w:rsidRPr="00792D53">
        <w:rPr>
          <w:rFonts w:ascii="Times New Roman" w:hAnsi="Times New Roman" w:cs="Times New Roman"/>
          <w:sz w:val="24"/>
          <w:szCs w:val="24"/>
          <w:lang w:val="en-GB"/>
        </w:rPr>
        <w:t>align</w:t>
      </w:r>
      <w:r w:rsidR="00765C1B" w:rsidRPr="00792D53">
        <w:rPr>
          <w:rFonts w:ascii="Times New Roman" w:hAnsi="Times New Roman" w:cs="Times New Roman"/>
          <w:sz w:val="24"/>
          <w:szCs w:val="24"/>
          <w:lang w:val="en-GB"/>
        </w:rPr>
        <w:t xml:space="preserve"> with business model </w:t>
      </w:r>
      <w:r w:rsidR="00727AB6" w:rsidRPr="00792D53">
        <w:rPr>
          <w:rFonts w:ascii="Times New Roman" w:hAnsi="Times New Roman" w:cs="Times New Roman"/>
          <w:sz w:val="24"/>
          <w:szCs w:val="24"/>
          <w:lang w:val="en-GB"/>
        </w:rPr>
        <w:t>innovation</w:t>
      </w:r>
      <w:r w:rsidR="00765C1B" w:rsidRPr="00792D53">
        <w:rPr>
          <w:rFonts w:ascii="Times New Roman" w:hAnsi="Times New Roman" w:cs="Times New Roman"/>
          <w:sz w:val="24"/>
          <w:szCs w:val="24"/>
          <w:lang w:val="en-GB"/>
        </w:rPr>
        <w:t xml:space="preserve"> frequently observed in gaming</w:t>
      </w:r>
      <w:r w:rsidR="00727AB6" w:rsidRPr="00792D53">
        <w:rPr>
          <w:rFonts w:ascii="Times New Roman" w:hAnsi="Times New Roman" w:cs="Times New Roman"/>
          <w:sz w:val="24"/>
          <w:szCs w:val="24"/>
          <w:lang w:val="en-GB"/>
        </w:rPr>
        <w:t xml:space="preserve"> markets.</w:t>
      </w:r>
      <w:r w:rsidR="00727AB6" w:rsidRPr="0092475F">
        <w:rPr>
          <w:rFonts w:ascii="Times New Roman" w:hAnsi="Times New Roman" w:cs="Times New Roman"/>
          <w:sz w:val="24"/>
          <w:szCs w:val="24"/>
          <w:vertAlign w:val="superscript"/>
          <w:lang w:val="en-GB"/>
        </w:rPr>
        <w:footnoteReference w:id="110"/>
      </w:r>
      <w:r w:rsidR="00765C1B" w:rsidRPr="0092475F">
        <w:rPr>
          <w:rFonts w:ascii="Times New Roman" w:hAnsi="Times New Roman" w:cs="Times New Roman"/>
          <w:sz w:val="24"/>
          <w:szCs w:val="24"/>
          <w:vertAlign w:val="superscript"/>
          <w:lang w:val="en-GB"/>
        </w:rPr>
        <w:t xml:space="preserve"> </w:t>
      </w:r>
      <w:r w:rsidRPr="00792D53">
        <w:rPr>
          <w:rFonts w:ascii="Times New Roman" w:hAnsi="Times New Roman" w:cs="Times New Roman"/>
          <w:sz w:val="24"/>
          <w:szCs w:val="24"/>
          <w:lang w:val="en-GB"/>
        </w:rPr>
        <w:t>Lastly, we observe new players gaining prominence, such as CD Projekt Red from Poland (with its Witcher series) and CAPCOM from Japan (with its Resident Evil series).</w:t>
      </w:r>
    </w:p>
    <w:p w14:paraId="692BEAFB" w14:textId="1718FEF8" w:rsidR="007D3701" w:rsidRPr="00C235E5" w:rsidRDefault="00F42292" w:rsidP="00F42292">
      <w:pPr>
        <w:pStyle w:val="Heading1"/>
        <w:numPr>
          <w:ilvl w:val="0"/>
          <w:numId w:val="19"/>
        </w:numPr>
        <w:rPr>
          <w:rFonts w:ascii="Times New Roman" w:hAnsi="Times New Roman" w:cs="Times New Roman"/>
          <w:sz w:val="24"/>
          <w:szCs w:val="24"/>
        </w:rPr>
      </w:pPr>
      <w:r w:rsidRPr="00C235E5">
        <w:rPr>
          <w:rFonts w:ascii="Times New Roman" w:hAnsi="Times New Roman" w:cs="Times New Roman"/>
          <w:sz w:val="24"/>
          <w:szCs w:val="24"/>
        </w:rPr>
        <w:lastRenderedPageBreak/>
        <w:t>Conclusions</w:t>
      </w:r>
    </w:p>
    <w:p w14:paraId="27319595" w14:textId="792DCDED" w:rsidR="00FB761D" w:rsidRPr="00792D53" w:rsidRDefault="001100B2"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Our </w:t>
      </w:r>
      <w:r w:rsidR="00F50713" w:rsidRPr="00792D53">
        <w:rPr>
          <w:rFonts w:ascii="Times New Roman" w:hAnsi="Times New Roman" w:cs="Times New Roman"/>
          <w:sz w:val="24"/>
          <w:szCs w:val="24"/>
          <w:lang w:val="en-GB"/>
        </w:rPr>
        <w:t>research</w:t>
      </w:r>
      <w:r w:rsidR="00FB761D" w:rsidRPr="00792D53">
        <w:rPr>
          <w:rFonts w:ascii="Times New Roman" w:hAnsi="Times New Roman" w:cs="Times New Roman"/>
          <w:sz w:val="24"/>
          <w:szCs w:val="24"/>
          <w:lang w:val="en-GB"/>
        </w:rPr>
        <w:t xml:space="preserve"> suggests that </w:t>
      </w:r>
      <w:r w:rsidRPr="00792D53">
        <w:rPr>
          <w:rFonts w:ascii="Times New Roman" w:hAnsi="Times New Roman" w:cs="Times New Roman"/>
          <w:sz w:val="24"/>
          <w:szCs w:val="24"/>
          <w:lang w:val="en-GB"/>
        </w:rPr>
        <w:t xml:space="preserve">the killer acquisition </w:t>
      </w:r>
      <w:r w:rsidR="007A0D92" w:rsidRPr="00792D53">
        <w:rPr>
          <w:rFonts w:ascii="Times New Roman" w:hAnsi="Times New Roman" w:cs="Times New Roman"/>
          <w:sz w:val="24"/>
          <w:szCs w:val="24"/>
          <w:lang w:val="en-GB"/>
        </w:rPr>
        <w:t>theory</w:t>
      </w:r>
      <w:r w:rsidR="00FB761D" w:rsidRPr="00792D53">
        <w:rPr>
          <w:rFonts w:ascii="Times New Roman" w:hAnsi="Times New Roman" w:cs="Times New Roman"/>
          <w:sz w:val="24"/>
          <w:szCs w:val="24"/>
          <w:lang w:val="en-GB"/>
        </w:rPr>
        <w:t xml:space="preserve"> is implausible</w:t>
      </w:r>
      <w:r w:rsidRPr="00792D53">
        <w:rPr>
          <w:rFonts w:ascii="Times New Roman" w:hAnsi="Times New Roman" w:cs="Times New Roman"/>
          <w:sz w:val="24"/>
          <w:szCs w:val="24"/>
          <w:lang w:val="en-GB"/>
        </w:rPr>
        <w:t xml:space="preserve">. </w:t>
      </w:r>
      <w:r w:rsidR="00FB761D" w:rsidRPr="00792D53">
        <w:rPr>
          <w:rFonts w:ascii="Times New Roman" w:hAnsi="Times New Roman" w:cs="Times New Roman"/>
          <w:sz w:val="24"/>
          <w:szCs w:val="24"/>
          <w:lang w:val="en-GB"/>
        </w:rPr>
        <w:t>But we cannot say that the killer acquisition theory is invalid. T</w:t>
      </w:r>
      <w:r w:rsidRPr="00792D53">
        <w:rPr>
          <w:rFonts w:ascii="Times New Roman" w:hAnsi="Times New Roman" w:cs="Times New Roman"/>
          <w:sz w:val="24"/>
          <w:szCs w:val="24"/>
          <w:lang w:val="en-GB"/>
        </w:rPr>
        <w:t>he main limitation</w:t>
      </w:r>
      <w:r w:rsidR="00F50713" w:rsidRPr="00792D53">
        <w:rPr>
          <w:rFonts w:ascii="Times New Roman" w:hAnsi="Times New Roman" w:cs="Times New Roman"/>
          <w:sz w:val="24"/>
          <w:szCs w:val="24"/>
          <w:lang w:val="en-GB"/>
        </w:rPr>
        <w:t xml:space="preserve"> here</w:t>
      </w:r>
      <w:r w:rsidRPr="00792D53">
        <w:rPr>
          <w:rFonts w:ascii="Times New Roman" w:hAnsi="Times New Roman" w:cs="Times New Roman"/>
          <w:sz w:val="24"/>
          <w:szCs w:val="24"/>
          <w:lang w:val="en-GB"/>
        </w:rPr>
        <w:t xml:space="preserve"> is that </w:t>
      </w:r>
      <w:r w:rsidR="004C3B7D" w:rsidRPr="00792D53">
        <w:rPr>
          <w:rFonts w:ascii="Times New Roman" w:hAnsi="Times New Roman" w:cs="Times New Roman"/>
          <w:sz w:val="24"/>
          <w:szCs w:val="24"/>
          <w:lang w:val="en-GB"/>
        </w:rPr>
        <w:t xml:space="preserve">we </w:t>
      </w:r>
      <w:r w:rsidR="00FB761D" w:rsidRPr="00792D53">
        <w:rPr>
          <w:rFonts w:ascii="Times New Roman" w:hAnsi="Times New Roman" w:cs="Times New Roman"/>
          <w:sz w:val="24"/>
          <w:szCs w:val="24"/>
          <w:lang w:val="en-GB"/>
        </w:rPr>
        <w:t xml:space="preserve">only </w:t>
      </w:r>
      <w:r w:rsidR="004C3B7D" w:rsidRPr="00792D53">
        <w:rPr>
          <w:rFonts w:ascii="Times New Roman" w:hAnsi="Times New Roman" w:cs="Times New Roman"/>
          <w:sz w:val="24"/>
          <w:szCs w:val="24"/>
          <w:lang w:val="en-GB"/>
        </w:rPr>
        <w:t xml:space="preserve">study </w:t>
      </w:r>
      <w:r w:rsidRPr="00792D53">
        <w:rPr>
          <w:rFonts w:ascii="Times New Roman" w:hAnsi="Times New Roman" w:cs="Times New Roman"/>
          <w:sz w:val="24"/>
          <w:szCs w:val="24"/>
          <w:lang w:val="en-GB"/>
        </w:rPr>
        <w:t xml:space="preserve">a small number of transactions. </w:t>
      </w:r>
      <w:r w:rsidR="00FB761D" w:rsidRPr="00792D53">
        <w:rPr>
          <w:rFonts w:ascii="Times New Roman" w:hAnsi="Times New Roman" w:cs="Times New Roman"/>
          <w:sz w:val="24"/>
          <w:szCs w:val="24"/>
          <w:lang w:val="en-GB"/>
        </w:rPr>
        <w:t>W</w:t>
      </w:r>
      <w:r w:rsidR="00076EEC" w:rsidRPr="00792D53">
        <w:rPr>
          <w:rFonts w:ascii="Times New Roman" w:hAnsi="Times New Roman" w:cs="Times New Roman"/>
          <w:sz w:val="24"/>
          <w:szCs w:val="24"/>
          <w:lang w:val="en-GB"/>
        </w:rPr>
        <w:t xml:space="preserve">e do not </w:t>
      </w:r>
      <w:r w:rsidR="00FB761D" w:rsidRPr="00792D53">
        <w:rPr>
          <w:rFonts w:ascii="Times New Roman" w:hAnsi="Times New Roman" w:cs="Times New Roman"/>
          <w:sz w:val="24"/>
          <w:szCs w:val="24"/>
          <w:lang w:val="en-GB"/>
        </w:rPr>
        <w:t xml:space="preserve">consider </w:t>
      </w:r>
      <w:r w:rsidRPr="00792D53">
        <w:rPr>
          <w:rFonts w:ascii="Times New Roman" w:hAnsi="Times New Roman" w:cs="Times New Roman"/>
          <w:sz w:val="24"/>
          <w:szCs w:val="24"/>
          <w:lang w:val="en-GB"/>
        </w:rPr>
        <w:t xml:space="preserve">transactions below the jurisdictional thresholds necessary for them to be controllable under merger </w:t>
      </w:r>
      <w:r w:rsidR="00FB761D" w:rsidRPr="00792D53">
        <w:rPr>
          <w:rFonts w:ascii="Times New Roman" w:hAnsi="Times New Roman" w:cs="Times New Roman"/>
          <w:sz w:val="24"/>
          <w:szCs w:val="24"/>
          <w:lang w:val="en-GB"/>
        </w:rPr>
        <w:t>rules</w:t>
      </w:r>
      <w:r w:rsidRPr="00792D53">
        <w:rPr>
          <w:rFonts w:ascii="Times New Roman" w:hAnsi="Times New Roman" w:cs="Times New Roman"/>
          <w:sz w:val="24"/>
          <w:szCs w:val="24"/>
          <w:lang w:val="en-GB"/>
        </w:rPr>
        <w:t xml:space="preserve">, which is where some consider the bulk of killer acquisitions happen. </w:t>
      </w:r>
    </w:p>
    <w:p w14:paraId="5AD34869" w14:textId="72667B78" w:rsidR="00C235E5" w:rsidRPr="00792D53" w:rsidRDefault="00F5071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O</w:t>
      </w:r>
      <w:r w:rsidR="001100B2" w:rsidRPr="00792D53">
        <w:rPr>
          <w:rFonts w:ascii="Times New Roman" w:hAnsi="Times New Roman" w:cs="Times New Roman"/>
          <w:sz w:val="24"/>
          <w:szCs w:val="24"/>
          <w:lang w:val="en-GB"/>
        </w:rPr>
        <w:t xml:space="preserve">ur work </w:t>
      </w:r>
      <w:r w:rsidRPr="00792D53">
        <w:rPr>
          <w:rFonts w:ascii="Times New Roman" w:hAnsi="Times New Roman" w:cs="Times New Roman"/>
          <w:sz w:val="24"/>
          <w:szCs w:val="24"/>
          <w:lang w:val="en-GB"/>
        </w:rPr>
        <w:t xml:space="preserve">nonetheless is not bereft of </w:t>
      </w:r>
      <w:r w:rsidR="00186EEA" w:rsidRPr="00792D53">
        <w:rPr>
          <w:rFonts w:ascii="Times New Roman" w:hAnsi="Times New Roman" w:cs="Times New Roman"/>
          <w:sz w:val="24"/>
          <w:szCs w:val="24"/>
          <w:lang w:val="en-GB"/>
        </w:rPr>
        <w:t xml:space="preserve">policy </w:t>
      </w:r>
      <w:r w:rsidR="00C235E5" w:rsidRPr="00792D53">
        <w:rPr>
          <w:rFonts w:ascii="Times New Roman" w:hAnsi="Times New Roman" w:cs="Times New Roman"/>
          <w:sz w:val="24"/>
          <w:szCs w:val="24"/>
          <w:lang w:val="en-GB"/>
        </w:rPr>
        <w:t>implications</w:t>
      </w:r>
      <w:r w:rsidR="001100B2" w:rsidRPr="00792D53">
        <w:rPr>
          <w:rFonts w:ascii="Times New Roman" w:hAnsi="Times New Roman" w:cs="Times New Roman"/>
          <w:sz w:val="24"/>
          <w:szCs w:val="24"/>
          <w:lang w:val="en-GB"/>
        </w:rPr>
        <w:t xml:space="preserve">. First, given that the killer acquisitions </w:t>
      </w:r>
      <w:r w:rsidR="007A0D92" w:rsidRPr="00792D53">
        <w:rPr>
          <w:rFonts w:ascii="Times New Roman" w:hAnsi="Times New Roman" w:cs="Times New Roman"/>
          <w:sz w:val="24"/>
          <w:szCs w:val="24"/>
          <w:lang w:val="en-GB"/>
        </w:rPr>
        <w:t xml:space="preserve">theory </w:t>
      </w:r>
      <w:r w:rsidR="001100B2" w:rsidRPr="00792D53">
        <w:rPr>
          <w:rFonts w:ascii="Times New Roman" w:hAnsi="Times New Roman" w:cs="Times New Roman"/>
          <w:sz w:val="24"/>
          <w:szCs w:val="24"/>
          <w:lang w:val="en-GB"/>
        </w:rPr>
        <w:t xml:space="preserve">claims application in controllable transactions, we now </w:t>
      </w:r>
      <w:r w:rsidRPr="00792D53">
        <w:rPr>
          <w:rFonts w:ascii="Times New Roman" w:hAnsi="Times New Roman" w:cs="Times New Roman"/>
          <w:sz w:val="24"/>
          <w:szCs w:val="24"/>
          <w:lang w:val="en-GB"/>
        </w:rPr>
        <w:t xml:space="preserve">can say </w:t>
      </w:r>
      <w:r w:rsidR="001100B2" w:rsidRPr="00792D53">
        <w:rPr>
          <w:rFonts w:ascii="Times New Roman" w:hAnsi="Times New Roman" w:cs="Times New Roman"/>
          <w:sz w:val="24"/>
          <w:szCs w:val="24"/>
          <w:lang w:val="en-GB"/>
        </w:rPr>
        <w:t xml:space="preserve">that there is no </w:t>
      </w:r>
      <w:r w:rsidRPr="00792D53">
        <w:rPr>
          <w:rFonts w:ascii="Times New Roman" w:hAnsi="Times New Roman" w:cs="Times New Roman"/>
          <w:sz w:val="24"/>
          <w:szCs w:val="24"/>
          <w:lang w:val="en-GB"/>
        </w:rPr>
        <w:t xml:space="preserve">strong </w:t>
      </w:r>
      <w:r w:rsidR="001100B2" w:rsidRPr="00792D53">
        <w:rPr>
          <w:rFonts w:ascii="Times New Roman" w:hAnsi="Times New Roman" w:cs="Times New Roman"/>
          <w:sz w:val="24"/>
          <w:szCs w:val="24"/>
          <w:lang w:val="en-GB"/>
        </w:rPr>
        <w:t xml:space="preserve">evidential basis to </w:t>
      </w:r>
      <w:r w:rsidR="00FB761D" w:rsidRPr="00792D53">
        <w:rPr>
          <w:rFonts w:ascii="Times New Roman" w:hAnsi="Times New Roman" w:cs="Times New Roman"/>
          <w:sz w:val="24"/>
          <w:szCs w:val="24"/>
          <w:lang w:val="en-GB"/>
        </w:rPr>
        <w:t xml:space="preserve">make merger policy </w:t>
      </w:r>
      <w:r w:rsidR="001100B2" w:rsidRPr="00792D53">
        <w:rPr>
          <w:rFonts w:ascii="Times New Roman" w:hAnsi="Times New Roman" w:cs="Times New Roman"/>
          <w:sz w:val="24"/>
          <w:szCs w:val="24"/>
          <w:lang w:val="en-GB"/>
        </w:rPr>
        <w:t>stricter</w:t>
      </w:r>
      <w:r w:rsidRPr="00792D53">
        <w:rPr>
          <w:rFonts w:ascii="Times New Roman" w:hAnsi="Times New Roman" w:cs="Times New Roman"/>
          <w:sz w:val="24"/>
          <w:szCs w:val="24"/>
          <w:lang w:val="en-GB"/>
        </w:rPr>
        <w:t xml:space="preserve"> for cases above the jurisdictional thresholds</w:t>
      </w:r>
      <w:r w:rsidR="001100B2" w:rsidRPr="00792D53">
        <w:rPr>
          <w:rFonts w:ascii="Times New Roman" w:hAnsi="Times New Roman" w:cs="Times New Roman"/>
          <w:sz w:val="24"/>
          <w:szCs w:val="24"/>
          <w:lang w:val="en-GB"/>
        </w:rPr>
        <w:t xml:space="preserve">. In most controllable cases, the EC correctly anticipated the post-merger evolution in the relevant market. </w:t>
      </w:r>
      <w:r w:rsidR="00C235E5" w:rsidRPr="00792D53">
        <w:rPr>
          <w:rFonts w:ascii="Times New Roman" w:hAnsi="Times New Roman" w:cs="Times New Roman"/>
          <w:sz w:val="24"/>
          <w:szCs w:val="24"/>
          <w:lang w:val="en-GB"/>
        </w:rPr>
        <w:t xml:space="preserve">There has been no under enforcement. </w:t>
      </w:r>
    </w:p>
    <w:p w14:paraId="5A9607C4" w14:textId="12942D05" w:rsidR="001100B2" w:rsidRPr="00792D53" w:rsidRDefault="001100B2"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Second, if the </w:t>
      </w:r>
      <w:r w:rsidR="007A0D92" w:rsidRPr="00792D53">
        <w:rPr>
          <w:rFonts w:ascii="Times New Roman" w:hAnsi="Times New Roman" w:cs="Times New Roman"/>
          <w:sz w:val="24"/>
          <w:szCs w:val="24"/>
          <w:lang w:val="en-GB"/>
        </w:rPr>
        <w:t xml:space="preserve">theory concerns </w:t>
      </w:r>
      <w:r w:rsidRPr="00792D53">
        <w:rPr>
          <w:rFonts w:ascii="Times New Roman" w:hAnsi="Times New Roman" w:cs="Times New Roman"/>
          <w:sz w:val="24"/>
          <w:szCs w:val="24"/>
          <w:lang w:val="en-GB"/>
        </w:rPr>
        <w:t xml:space="preserve">uncontrollable transactions, there is no </w:t>
      </w:r>
      <w:r w:rsidR="00C235E5" w:rsidRPr="00792D53">
        <w:rPr>
          <w:rFonts w:ascii="Times New Roman" w:hAnsi="Times New Roman" w:cs="Times New Roman"/>
          <w:sz w:val="24"/>
          <w:szCs w:val="24"/>
          <w:lang w:val="en-GB"/>
        </w:rPr>
        <w:t xml:space="preserve">evidential </w:t>
      </w:r>
      <w:r w:rsidRPr="00792D53">
        <w:rPr>
          <w:rFonts w:ascii="Times New Roman" w:hAnsi="Times New Roman" w:cs="Times New Roman"/>
          <w:sz w:val="24"/>
          <w:szCs w:val="24"/>
          <w:lang w:val="en-GB"/>
        </w:rPr>
        <w:t xml:space="preserve">basis to support a change in </w:t>
      </w:r>
      <w:r w:rsidR="007A0D92" w:rsidRPr="00792D53">
        <w:rPr>
          <w:rFonts w:ascii="Times New Roman" w:hAnsi="Times New Roman" w:cs="Times New Roman"/>
          <w:sz w:val="24"/>
          <w:szCs w:val="24"/>
          <w:lang w:val="en-GB"/>
        </w:rPr>
        <w:t xml:space="preserve">merger policy </w:t>
      </w:r>
      <w:r w:rsidRPr="00792D53">
        <w:rPr>
          <w:rFonts w:ascii="Times New Roman" w:hAnsi="Times New Roman" w:cs="Times New Roman"/>
          <w:sz w:val="24"/>
          <w:szCs w:val="24"/>
          <w:lang w:val="en-GB"/>
        </w:rPr>
        <w:t xml:space="preserve">unless </w:t>
      </w:r>
      <w:r w:rsidR="00C235E5" w:rsidRPr="00792D53">
        <w:rPr>
          <w:rFonts w:ascii="Times New Roman" w:hAnsi="Times New Roman" w:cs="Times New Roman"/>
          <w:sz w:val="24"/>
          <w:szCs w:val="24"/>
          <w:lang w:val="en-GB"/>
        </w:rPr>
        <w:t xml:space="preserve">one </w:t>
      </w:r>
      <w:r w:rsidRPr="00792D53">
        <w:rPr>
          <w:rFonts w:ascii="Times New Roman" w:hAnsi="Times New Roman" w:cs="Times New Roman"/>
          <w:sz w:val="24"/>
          <w:szCs w:val="24"/>
          <w:lang w:val="en-GB"/>
        </w:rPr>
        <w:t xml:space="preserve">can </w:t>
      </w:r>
      <w:r w:rsidR="00C235E5" w:rsidRPr="00792D53">
        <w:rPr>
          <w:rFonts w:ascii="Times New Roman" w:hAnsi="Times New Roman" w:cs="Times New Roman"/>
          <w:sz w:val="24"/>
          <w:szCs w:val="24"/>
          <w:lang w:val="en-GB"/>
        </w:rPr>
        <w:t xml:space="preserve">establish </w:t>
      </w:r>
      <w:r w:rsidRPr="00792D53">
        <w:rPr>
          <w:rFonts w:ascii="Times New Roman" w:hAnsi="Times New Roman" w:cs="Times New Roman"/>
          <w:sz w:val="24"/>
          <w:szCs w:val="24"/>
          <w:lang w:val="en-GB"/>
        </w:rPr>
        <w:t xml:space="preserve">that the competitive effects observed for controllable transactions do not hold under the jurisdictional thresholds of merger </w:t>
      </w:r>
      <w:r w:rsidR="007A0D92" w:rsidRPr="00792D53">
        <w:rPr>
          <w:rFonts w:ascii="Times New Roman" w:hAnsi="Times New Roman" w:cs="Times New Roman"/>
          <w:sz w:val="24"/>
          <w:szCs w:val="24"/>
          <w:lang w:val="en-GB"/>
        </w:rPr>
        <w:t>control</w:t>
      </w:r>
      <w:r w:rsidRPr="00792D53">
        <w:rPr>
          <w:rFonts w:ascii="Times New Roman" w:hAnsi="Times New Roman" w:cs="Times New Roman"/>
          <w:sz w:val="24"/>
          <w:szCs w:val="24"/>
          <w:lang w:val="en-GB"/>
        </w:rPr>
        <w:t xml:space="preserve">. In other words, a reform of merger </w:t>
      </w:r>
      <w:r w:rsidR="007A0D92" w:rsidRPr="00792D53">
        <w:rPr>
          <w:rFonts w:ascii="Times New Roman" w:hAnsi="Times New Roman" w:cs="Times New Roman"/>
          <w:sz w:val="24"/>
          <w:szCs w:val="24"/>
          <w:lang w:val="en-GB"/>
        </w:rPr>
        <w:t xml:space="preserve">policy </w:t>
      </w:r>
      <w:r w:rsidRPr="00792D53">
        <w:rPr>
          <w:rFonts w:ascii="Times New Roman" w:hAnsi="Times New Roman" w:cs="Times New Roman"/>
          <w:sz w:val="24"/>
          <w:szCs w:val="24"/>
          <w:lang w:val="en-GB"/>
        </w:rPr>
        <w:t xml:space="preserve">would require proving that transactions involving firms with limited revenue are more susceptible to </w:t>
      </w:r>
      <w:r w:rsidR="00C235E5" w:rsidRPr="00792D53">
        <w:rPr>
          <w:rFonts w:ascii="Times New Roman" w:hAnsi="Times New Roman" w:cs="Times New Roman"/>
          <w:sz w:val="24"/>
          <w:szCs w:val="24"/>
          <w:lang w:val="en-GB"/>
        </w:rPr>
        <w:t xml:space="preserve">a "kill” </w:t>
      </w:r>
      <w:r w:rsidRPr="00792D53">
        <w:rPr>
          <w:rFonts w:ascii="Times New Roman" w:hAnsi="Times New Roman" w:cs="Times New Roman"/>
          <w:sz w:val="24"/>
          <w:szCs w:val="24"/>
          <w:lang w:val="en-GB"/>
        </w:rPr>
        <w:t>than larger ones.</w:t>
      </w:r>
      <w:r w:rsidR="00011A8B" w:rsidRPr="00792D53">
        <w:rPr>
          <w:rFonts w:ascii="Times New Roman" w:hAnsi="Times New Roman" w:cs="Times New Roman"/>
          <w:sz w:val="24"/>
          <w:szCs w:val="24"/>
          <w:lang w:val="en-GB"/>
        </w:rPr>
        <w:t xml:space="preserve"> </w:t>
      </w:r>
      <w:r w:rsidR="0085571A" w:rsidRPr="00792D53">
        <w:rPr>
          <w:rFonts w:ascii="Times New Roman" w:hAnsi="Times New Roman" w:cs="Times New Roman"/>
          <w:sz w:val="24"/>
          <w:szCs w:val="24"/>
          <w:lang w:val="en-GB"/>
        </w:rPr>
        <w:t>Currently</w:t>
      </w:r>
      <w:r w:rsidR="00011A8B" w:rsidRPr="00792D53">
        <w:rPr>
          <w:rFonts w:ascii="Times New Roman" w:hAnsi="Times New Roman" w:cs="Times New Roman"/>
          <w:sz w:val="24"/>
          <w:szCs w:val="24"/>
          <w:lang w:val="en-GB"/>
        </w:rPr>
        <w:t xml:space="preserve">, the only evidence that exists in support of this conjecture is intuitive. </w:t>
      </w:r>
      <w:r w:rsidR="00F50713" w:rsidRPr="00792D53">
        <w:rPr>
          <w:rFonts w:ascii="Times New Roman" w:hAnsi="Times New Roman" w:cs="Times New Roman"/>
          <w:sz w:val="24"/>
          <w:szCs w:val="24"/>
          <w:lang w:val="en-GB"/>
        </w:rPr>
        <w:t xml:space="preserve">One </w:t>
      </w:r>
      <w:r w:rsidR="00011A8B" w:rsidRPr="00792D53">
        <w:rPr>
          <w:rFonts w:ascii="Times New Roman" w:hAnsi="Times New Roman" w:cs="Times New Roman"/>
          <w:sz w:val="24"/>
          <w:szCs w:val="24"/>
          <w:lang w:val="en-GB"/>
        </w:rPr>
        <w:t>may expect to find more anticompetitive mergers below the jurisdictional thresholds, because the sunk costs of shutting down a project will be smaller when the transaction involves a young firm.</w:t>
      </w:r>
    </w:p>
    <w:p w14:paraId="09E473D7" w14:textId="64AB880A" w:rsidR="000D6F59" w:rsidRPr="00792D53" w:rsidRDefault="00F5071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Our work is also relevant to future research. We have </w:t>
      </w:r>
      <w:r w:rsidR="00240CD0" w:rsidRPr="00792D53">
        <w:rPr>
          <w:rFonts w:ascii="Times New Roman" w:hAnsi="Times New Roman" w:cs="Times New Roman"/>
          <w:sz w:val="24"/>
          <w:szCs w:val="24"/>
          <w:lang w:val="en-GB"/>
        </w:rPr>
        <w:t xml:space="preserve">advanced </w:t>
      </w:r>
      <w:r w:rsidR="005601A9" w:rsidRPr="00792D53">
        <w:rPr>
          <w:rFonts w:ascii="Times New Roman" w:hAnsi="Times New Roman" w:cs="Times New Roman"/>
          <w:sz w:val="24"/>
          <w:szCs w:val="24"/>
          <w:lang w:val="en-GB"/>
        </w:rPr>
        <w:t xml:space="preserve">a </w:t>
      </w:r>
      <w:r w:rsidR="00C23477" w:rsidRPr="00792D53">
        <w:rPr>
          <w:rFonts w:ascii="Times New Roman" w:hAnsi="Times New Roman" w:cs="Times New Roman"/>
          <w:sz w:val="24"/>
          <w:szCs w:val="24"/>
          <w:lang w:val="en-GB"/>
        </w:rPr>
        <w:t>reasonable and rigorous</w:t>
      </w:r>
      <w:r w:rsidR="005601A9" w:rsidRPr="00792D53">
        <w:rPr>
          <w:rFonts w:ascii="Times New Roman" w:hAnsi="Times New Roman" w:cs="Times New Roman"/>
          <w:sz w:val="24"/>
          <w:szCs w:val="24"/>
          <w:lang w:val="en-GB"/>
        </w:rPr>
        <w:t xml:space="preserve"> methodology to study the </w:t>
      </w:r>
      <w:r w:rsidR="00C23477" w:rsidRPr="00792D53">
        <w:rPr>
          <w:rFonts w:ascii="Times New Roman" w:hAnsi="Times New Roman" w:cs="Times New Roman"/>
          <w:sz w:val="24"/>
          <w:szCs w:val="24"/>
          <w:lang w:val="en-GB"/>
        </w:rPr>
        <w:t xml:space="preserve">plausibility of the </w:t>
      </w:r>
      <w:r w:rsidR="005601A9" w:rsidRPr="00792D53">
        <w:rPr>
          <w:rFonts w:ascii="Times New Roman" w:hAnsi="Times New Roman" w:cs="Times New Roman"/>
          <w:sz w:val="24"/>
          <w:szCs w:val="24"/>
          <w:lang w:val="en-GB"/>
        </w:rPr>
        <w:t>killer acquisitions</w:t>
      </w:r>
      <w:r w:rsidR="00C23477" w:rsidRPr="00792D53">
        <w:rPr>
          <w:rFonts w:ascii="Times New Roman" w:hAnsi="Times New Roman" w:cs="Times New Roman"/>
          <w:sz w:val="24"/>
          <w:szCs w:val="24"/>
          <w:lang w:val="en-GB"/>
        </w:rPr>
        <w:t xml:space="preserve"> theory</w:t>
      </w:r>
      <w:r w:rsidR="00240CD0" w:rsidRPr="00792D53">
        <w:rPr>
          <w:rFonts w:ascii="Times New Roman" w:hAnsi="Times New Roman" w:cs="Times New Roman"/>
          <w:sz w:val="24"/>
          <w:szCs w:val="24"/>
          <w:lang w:val="en-GB"/>
        </w:rPr>
        <w:t xml:space="preserve">. </w:t>
      </w:r>
      <w:r w:rsidR="00B24EFE" w:rsidRPr="00792D53">
        <w:rPr>
          <w:rFonts w:ascii="Times New Roman" w:hAnsi="Times New Roman" w:cs="Times New Roman"/>
          <w:sz w:val="24"/>
          <w:szCs w:val="24"/>
          <w:lang w:val="en-GB"/>
        </w:rPr>
        <w:t>By developing</w:t>
      </w:r>
      <w:r w:rsidR="00BC60B0" w:rsidRPr="00792D53">
        <w:rPr>
          <w:rFonts w:ascii="Times New Roman" w:hAnsi="Times New Roman" w:cs="Times New Roman"/>
          <w:sz w:val="24"/>
          <w:szCs w:val="24"/>
          <w:lang w:val="en-GB"/>
        </w:rPr>
        <w:t xml:space="preserve"> and testing</w:t>
      </w:r>
      <w:r w:rsidR="00240CD0" w:rsidRPr="00792D53">
        <w:rPr>
          <w:rFonts w:ascii="Times New Roman" w:hAnsi="Times New Roman" w:cs="Times New Roman"/>
          <w:sz w:val="24"/>
          <w:szCs w:val="24"/>
          <w:lang w:val="en-GB"/>
        </w:rPr>
        <w:t xml:space="preserve"> a series of null hypotheses, that is</w:t>
      </w:r>
      <w:r w:rsidR="002624F5" w:rsidRPr="00792D53">
        <w:rPr>
          <w:rFonts w:ascii="Times New Roman" w:hAnsi="Times New Roman" w:cs="Times New Roman"/>
          <w:sz w:val="24"/>
          <w:szCs w:val="24"/>
          <w:lang w:val="en-GB"/>
        </w:rPr>
        <w:t>,</w:t>
      </w:r>
      <w:r w:rsidR="00240CD0" w:rsidRPr="00792D53">
        <w:rPr>
          <w:rFonts w:ascii="Times New Roman" w:hAnsi="Times New Roman" w:cs="Times New Roman"/>
          <w:sz w:val="24"/>
          <w:szCs w:val="24"/>
          <w:lang w:val="en-GB"/>
        </w:rPr>
        <w:t xml:space="preserve"> hypotheses that would need to be proven wrong for the theory to </w:t>
      </w:r>
      <w:r w:rsidR="007A0D92" w:rsidRPr="00792D53">
        <w:rPr>
          <w:rFonts w:ascii="Times New Roman" w:hAnsi="Times New Roman" w:cs="Times New Roman"/>
          <w:sz w:val="24"/>
          <w:szCs w:val="24"/>
          <w:lang w:val="en-GB"/>
        </w:rPr>
        <w:t>be plausible</w:t>
      </w:r>
      <w:r w:rsidR="00BC60B0" w:rsidRPr="00792D53">
        <w:rPr>
          <w:rFonts w:ascii="Times New Roman" w:hAnsi="Times New Roman" w:cs="Times New Roman"/>
          <w:sz w:val="24"/>
          <w:szCs w:val="24"/>
          <w:lang w:val="en-GB"/>
        </w:rPr>
        <w:t xml:space="preserve">, our inquiry </w:t>
      </w:r>
      <w:r w:rsidR="00240CD0" w:rsidRPr="00792D53">
        <w:rPr>
          <w:rFonts w:ascii="Times New Roman" w:hAnsi="Times New Roman" w:cs="Times New Roman"/>
          <w:sz w:val="24"/>
          <w:szCs w:val="24"/>
          <w:lang w:val="en-GB"/>
        </w:rPr>
        <w:t xml:space="preserve">found that the null hypotheses were rejected most of the time. </w:t>
      </w:r>
      <w:r w:rsidRPr="00792D53">
        <w:rPr>
          <w:rFonts w:ascii="Times New Roman" w:hAnsi="Times New Roman" w:cs="Times New Roman"/>
          <w:sz w:val="24"/>
          <w:szCs w:val="24"/>
          <w:lang w:val="en-GB"/>
        </w:rPr>
        <w:t xml:space="preserve">In the </w:t>
      </w:r>
      <w:r w:rsidRPr="00792D53">
        <w:rPr>
          <w:rFonts w:ascii="Times New Roman" w:hAnsi="Times New Roman" w:cs="Times New Roman"/>
          <w:sz w:val="24"/>
          <w:szCs w:val="24"/>
          <w:lang w:val="en-GB"/>
        </w:rPr>
        <w:lastRenderedPageBreak/>
        <w:t>future</w:t>
      </w:r>
      <w:r w:rsidR="00563E8B" w:rsidRPr="00792D53">
        <w:rPr>
          <w:rFonts w:ascii="Times New Roman" w:hAnsi="Times New Roman" w:cs="Times New Roman"/>
          <w:sz w:val="24"/>
          <w:szCs w:val="24"/>
          <w:lang w:val="en-GB"/>
        </w:rPr>
        <w:t>,</w:t>
      </w:r>
      <w:r w:rsidRPr="00792D53">
        <w:rPr>
          <w:rFonts w:ascii="Times New Roman" w:hAnsi="Times New Roman" w:cs="Times New Roman"/>
          <w:sz w:val="24"/>
          <w:szCs w:val="24"/>
          <w:lang w:val="en-GB"/>
        </w:rPr>
        <w:t xml:space="preserve"> w</w:t>
      </w:r>
      <w:r w:rsidR="007A0D92" w:rsidRPr="00792D53">
        <w:rPr>
          <w:rFonts w:ascii="Times New Roman" w:hAnsi="Times New Roman" w:cs="Times New Roman"/>
          <w:sz w:val="24"/>
          <w:szCs w:val="24"/>
          <w:lang w:val="en-GB"/>
        </w:rPr>
        <w:t xml:space="preserve">idening the sample to </w:t>
      </w:r>
      <w:r w:rsidR="000D6F59" w:rsidRPr="00792D53">
        <w:rPr>
          <w:rFonts w:ascii="Times New Roman" w:hAnsi="Times New Roman" w:cs="Times New Roman"/>
          <w:sz w:val="24"/>
          <w:szCs w:val="24"/>
          <w:lang w:val="en-GB"/>
        </w:rPr>
        <w:t xml:space="preserve">cases in different jurisdictions can provide fruitful </w:t>
      </w:r>
      <w:r w:rsidR="007A0D92" w:rsidRPr="00792D53">
        <w:rPr>
          <w:rFonts w:ascii="Times New Roman" w:hAnsi="Times New Roman" w:cs="Times New Roman"/>
          <w:sz w:val="24"/>
          <w:szCs w:val="24"/>
          <w:lang w:val="en-GB"/>
        </w:rPr>
        <w:t xml:space="preserve">ways to </w:t>
      </w:r>
      <w:r w:rsidR="00C23477" w:rsidRPr="00792D53">
        <w:rPr>
          <w:rFonts w:ascii="Times New Roman" w:hAnsi="Times New Roman" w:cs="Times New Roman"/>
          <w:sz w:val="24"/>
          <w:szCs w:val="24"/>
          <w:lang w:val="en-GB"/>
        </w:rPr>
        <w:t xml:space="preserve">find out </w:t>
      </w:r>
      <w:r w:rsidR="00FB761D" w:rsidRPr="00792D53">
        <w:rPr>
          <w:rFonts w:ascii="Times New Roman" w:hAnsi="Times New Roman" w:cs="Times New Roman"/>
          <w:sz w:val="24"/>
          <w:szCs w:val="24"/>
          <w:lang w:val="en-GB"/>
        </w:rPr>
        <w:t xml:space="preserve">if the theory of </w:t>
      </w:r>
      <w:r w:rsidR="00C23477" w:rsidRPr="00792D53">
        <w:rPr>
          <w:rFonts w:ascii="Times New Roman" w:hAnsi="Times New Roman" w:cs="Times New Roman"/>
          <w:sz w:val="24"/>
          <w:szCs w:val="24"/>
          <w:lang w:val="en-GB"/>
        </w:rPr>
        <w:t>killer acquisitions</w:t>
      </w:r>
      <w:r w:rsidR="00FB761D" w:rsidRPr="00792D53">
        <w:rPr>
          <w:rFonts w:ascii="Times New Roman" w:hAnsi="Times New Roman" w:cs="Times New Roman"/>
          <w:sz w:val="24"/>
          <w:szCs w:val="24"/>
          <w:lang w:val="en-GB"/>
        </w:rPr>
        <w:t xml:space="preserve"> is wrong</w:t>
      </w:r>
      <w:r w:rsidR="000D6F59" w:rsidRPr="00792D53">
        <w:rPr>
          <w:rFonts w:ascii="Times New Roman" w:hAnsi="Times New Roman" w:cs="Times New Roman"/>
          <w:sz w:val="24"/>
          <w:szCs w:val="24"/>
          <w:lang w:val="en-GB"/>
        </w:rPr>
        <w:t xml:space="preserve">. A cursory analysis of UK cases indicate that a few transactions may have entailed a killing (or weakening) of the target’s product. For example, </w:t>
      </w:r>
      <w:r w:rsidR="00C23477" w:rsidRPr="00792D53">
        <w:rPr>
          <w:rFonts w:ascii="Times New Roman" w:hAnsi="Times New Roman" w:cs="Times New Roman"/>
          <w:sz w:val="24"/>
          <w:szCs w:val="24"/>
          <w:lang w:val="en-GB"/>
        </w:rPr>
        <w:t>there is evidence that the Office of Fair Trading</w:t>
      </w:r>
      <w:r w:rsidR="00870182" w:rsidRPr="00792D53">
        <w:rPr>
          <w:rFonts w:ascii="Times New Roman" w:hAnsi="Times New Roman" w:cs="Times New Roman"/>
          <w:sz w:val="24"/>
          <w:szCs w:val="24"/>
          <w:lang w:val="en-GB"/>
        </w:rPr>
        <w:t>’s</w:t>
      </w:r>
      <w:r w:rsidR="00C23477" w:rsidRPr="00792D53">
        <w:rPr>
          <w:rFonts w:ascii="Times New Roman" w:hAnsi="Times New Roman" w:cs="Times New Roman"/>
          <w:sz w:val="24"/>
          <w:szCs w:val="24"/>
          <w:lang w:val="en-GB"/>
        </w:rPr>
        <w:t xml:space="preserve"> review of </w:t>
      </w:r>
      <w:r w:rsidR="000D6F59" w:rsidRPr="00792D53">
        <w:rPr>
          <w:rFonts w:ascii="Times New Roman" w:hAnsi="Times New Roman" w:cs="Times New Roman"/>
          <w:sz w:val="24"/>
          <w:szCs w:val="24"/>
          <w:lang w:val="en-GB"/>
        </w:rPr>
        <w:t xml:space="preserve">Google’s acquisition of BeatThatQuote </w:t>
      </w:r>
      <w:r w:rsidR="00C23477" w:rsidRPr="00792D53">
        <w:rPr>
          <w:rFonts w:ascii="Times New Roman" w:hAnsi="Times New Roman" w:cs="Times New Roman"/>
          <w:sz w:val="24"/>
          <w:szCs w:val="24"/>
          <w:lang w:val="en-GB"/>
        </w:rPr>
        <w:t xml:space="preserve"> was followed</w:t>
      </w:r>
      <w:r w:rsidR="000D6F59" w:rsidRPr="00792D53">
        <w:rPr>
          <w:rFonts w:ascii="Times New Roman" w:hAnsi="Times New Roman" w:cs="Times New Roman"/>
          <w:sz w:val="24"/>
          <w:szCs w:val="24"/>
          <w:lang w:val="en-GB"/>
        </w:rPr>
        <w:t xml:space="preserve"> </w:t>
      </w:r>
      <w:r w:rsidR="00C23477" w:rsidRPr="00792D53">
        <w:rPr>
          <w:rFonts w:ascii="Times New Roman" w:hAnsi="Times New Roman" w:cs="Times New Roman"/>
          <w:sz w:val="24"/>
          <w:szCs w:val="24"/>
          <w:lang w:val="en-GB"/>
        </w:rPr>
        <w:t xml:space="preserve">by an episode of post-merger </w:t>
      </w:r>
      <w:r w:rsidR="000D6F59" w:rsidRPr="00792D53">
        <w:rPr>
          <w:rFonts w:ascii="Times New Roman" w:hAnsi="Times New Roman" w:cs="Times New Roman"/>
          <w:sz w:val="24"/>
          <w:szCs w:val="24"/>
          <w:lang w:val="en-GB"/>
        </w:rPr>
        <w:t>quality degradation.</w:t>
      </w:r>
      <w:r w:rsidR="000D6F59" w:rsidRPr="001F0513">
        <w:rPr>
          <w:rFonts w:ascii="Times New Roman" w:hAnsi="Times New Roman" w:cs="Times New Roman"/>
          <w:sz w:val="24"/>
          <w:szCs w:val="24"/>
          <w:vertAlign w:val="superscript"/>
          <w:lang w:val="en-GB"/>
        </w:rPr>
        <w:footnoteReference w:id="111"/>
      </w:r>
      <w:r w:rsidR="000D6F59" w:rsidRPr="001F0513">
        <w:rPr>
          <w:rFonts w:ascii="Times New Roman" w:hAnsi="Times New Roman" w:cs="Times New Roman"/>
          <w:sz w:val="24"/>
          <w:szCs w:val="24"/>
          <w:vertAlign w:val="superscript"/>
          <w:lang w:val="en-GB"/>
        </w:rPr>
        <w:t xml:space="preserve"> </w:t>
      </w:r>
      <w:r w:rsidR="000D6F59" w:rsidRPr="00792D53">
        <w:rPr>
          <w:rFonts w:ascii="Times New Roman" w:hAnsi="Times New Roman" w:cs="Times New Roman"/>
          <w:sz w:val="24"/>
          <w:szCs w:val="24"/>
          <w:lang w:val="en-GB"/>
        </w:rPr>
        <w:t xml:space="preserve">Similarly, Google’s acquisition of Waze may merit </w:t>
      </w:r>
      <w:r w:rsidR="00C23477" w:rsidRPr="00792D53">
        <w:rPr>
          <w:rFonts w:ascii="Times New Roman" w:hAnsi="Times New Roman" w:cs="Times New Roman"/>
          <w:sz w:val="24"/>
          <w:szCs w:val="24"/>
          <w:lang w:val="en-GB"/>
        </w:rPr>
        <w:t>retrospective</w:t>
      </w:r>
      <w:r w:rsidR="000D6F59" w:rsidRPr="00792D53">
        <w:rPr>
          <w:rFonts w:ascii="Times New Roman" w:hAnsi="Times New Roman" w:cs="Times New Roman"/>
          <w:sz w:val="24"/>
          <w:szCs w:val="24"/>
          <w:lang w:val="en-GB"/>
        </w:rPr>
        <w:t xml:space="preserve"> attention due to the likelihood </w:t>
      </w:r>
      <w:r w:rsidR="00C23477" w:rsidRPr="00792D53">
        <w:rPr>
          <w:rFonts w:ascii="Times New Roman" w:hAnsi="Times New Roman" w:cs="Times New Roman"/>
          <w:sz w:val="24"/>
          <w:szCs w:val="24"/>
          <w:lang w:val="en-GB"/>
        </w:rPr>
        <w:t xml:space="preserve">that </w:t>
      </w:r>
      <w:r w:rsidR="000D6F59" w:rsidRPr="00792D53">
        <w:rPr>
          <w:rFonts w:ascii="Times New Roman" w:hAnsi="Times New Roman" w:cs="Times New Roman"/>
          <w:sz w:val="24"/>
          <w:szCs w:val="24"/>
          <w:lang w:val="en-GB"/>
        </w:rPr>
        <w:t>Waze</w:t>
      </w:r>
      <w:r w:rsidR="00C23477" w:rsidRPr="00792D53">
        <w:rPr>
          <w:rFonts w:ascii="Times New Roman" w:hAnsi="Times New Roman" w:cs="Times New Roman"/>
          <w:sz w:val="24"/>
          <w:szCs w:val="24"/>
          <w:lang w:val="en-GB"/>
        </w:rPr>
        <w:t xml:space="preserve"> </w:t>
      </w:r>
      <w:r w:rsidR="00147AF2" w:rsidRPr="00792D53">
        <w:rPr>
          <w:rFonts w:ascii="Times New Roman" w:hAnsi="Times New Roman" w:cs="Times New Roman"/>
          <w:sz w:val="24"/>
          <w:szCs w:val="24"/>
          <w:lang w:val="en-GB"/>
        </w:rPr>
        <w:t xml:space="preserve">could have </w:t>
      </w:r>
      <w:r w:rsidR="000D6F59" w:rsidRPr="00792D53">
        <w:rPr>
          <w:rFonts w:ascii="Times New Roman" w:hAnsi="Times New Roman" w:cs="Times New Roman"/>
          <w:sz w:val="24"/>
          <w:szCs w:val="24"/>
          <w:lang w:val="en-GB"/>
        </w:rPr>
        <w:t>tipp</w:t>
      </w:r>
      <w:r w:rsidR="00C23477" w:rsidRPr="00792D53">
        <w:rPr>
          <w:rFonts w:ascii="Times New Roman" w:hAnsi="Times New Roman" w:cs="Times New Roman"/>
          <w:sz w:val="24"/>
          <w:szCs w:val="24"/>
          <w:lang w:val="en-GB"/>
        </w:rPr>
        <w:t>ed</w:t>
      </w:r>
      <w:r w:rsidR="000D6F59" w:rsidRPr="00792D53">
        <w:rPr>
          <w:rFonts w:ascii="Times New Roman" w:hAnsi="Times New Roman" w:cs="Times New Roman"/>
          <w:sz w:val="24"/>
          <w:szCs w:val="24"/>
          <w:lang w:val="en-GB"/>
        </w:rPr>
        <w:t xml:space="preserve"> the market.</w:t>
      </w:r>
      <w:r w:rsidR="00777459" w:rsidRPr="001F0513">
        <w:rPr>
          <w:rFonts w:ascii="Times New Roman" w:hAnsi="Times New Roman" w:cs="Times New Roman"/>
          <w:sz w:val="24"/>
          <w:szCs w:val="24"/>
          <w:vertAlign w:val="superscript"/>
          <w:lang w:val="en-GB"/>
        </w:rPr>
        <w:footnoteReference w:id="112"/>
      </w:r>
      <w:r w:rsidR="000D6F59" w:rsidRPr="001F0513">
        <w:rPr>
          <w:rFonts w:ascii="Times New Roman" w:hAnsi="Times New Roman" w:cs="Times New Roman"/>
          <w:sz w:val="24"/>
          <w:szCs w:val="24"/>
          <w:vertAlign w:val="superscript"/>
          <w:lang w:val="en-GB"/>
        </w:rPr>
        <w:t xml:space="preserve"> </w:t>
      </w:r>
      <w:r w:rsidR="000D6F59" w:rsidRPr="00792D53">
        <w:rPr>
          <w:rFonts w:ascii="Times New Roman" w:hAnsi="Times New Roman" w:cs="Times New Roman"/>
          <w:sz w:val="24"/>
          <w:szCs w:val="24"/>
          <w:lang w:val="en-GB"/>
        </w:rPr>
        <w:t xml:space="preserve">Although </w:t>
      </w:r>
      <w:r w:rsidR="00147AF2" w:rsidRPr="00792D53">
        <w:rPr>
          <w:rFonts w:ascii="Times New Roman" w:hAnsi="Times New Roman" w:cs="Times New Roman"/>
          <w:sz w:val="24"/>
          <w:szCs w:val="24"/>
          <w:lang w:val="en-GB"/>
        </w:rPr>
        <w:t>suspicious transactions</w:t>
      </w:r>
      <w:r w:rsidR="000D6F59" w:rsidRPr="00792D53">
        <w:rPr>
          <w:rFonts w:ascii="Times New Roman" w:hAnsi="Times New Roman" w:cs="Times New Roman"/>
          <w:sz w:val="24"/>
          <w:szCs w:val="24"/>
          <w:lang w:val="en-GB"/>
        </w:rPr>
        <w:t xml:space="preserve"> </w:t>
      </w:r>
      <w:r w:rsidR="007A0D92" w:rsidRPr="00792D53">
        <w:rPr>
          <w:rFonts w:ascii="Times New Roman" w:hAnsi="Times New Roman" w:cs="Times New Roman"/>
          <w:sz w:val="24"/>
          <w:szCs w:val="24"/>
          <w:lang w:val="en-GB"/>
        </w:rPr>
        <w:t xml:space="preserve">are </w:t>
      </w:r>
      <w:r w:rsidR="000D6F59" w:rsidRPr="00792D53">
        <w:rPr>
          <w:rFonts w:ascii="Times New Roman" w:hAnsi="Times New Roman" w:cs="Times New Roman"/>
          <w:sz w:val="24"/>
          <w:szCs w:val="24"/>
          <w:lang w:val="en-GB"/>
        </w:rPr>
        <w:t>still very low</w:t>
      </w:r>
      <w:r w:rsidR="007A0D92" w:rsidRPr="00792D53">
        <w:rPr>
          <w:rFonts w:ascii="Times New Roman" w:hAnsi="Times New Roman" w:cs="Times New Roman"/>
          <w:sz w:val="24"/>
          <w:szCs w:val="24"/>
          <w:lang w:val="en-GB"/>
        </w:rPr>
        <w:t xml:space="preserve"> in number</w:t>
      </w:r>
      <w:r w:rsidR="000D6F59" w:rsidRPr="00792D53">
        <w:rPr>
          <w:rFonts w:ascii="Times New Roman" w:hAnsi="Times New Roman" w:cs="Times New Roman"/>
          <w:sz w:val="24"/>
          <w:szCs w:val="24"/>
          <w:lang w:val="en-GB"/>
        </w:rPr>
        <w:t xml:space="preserve">, </w:t>
      </w:r>
      <w:r w:rsidR="00C23477" w:rsidRPr="00792D53">
        <w:rPr>
          <w:rFonts w:ascii="Times New Roman" w:hAnsi="Times New Roman" w:cs="Times New Roman"/>
          <w:sz w:val="24"/>
          <w:szCs w:val="24"/>
          <w:lang w:val="en-GB"/>
        </w:rPr>
        <w:t>such</w:t>
      </w:r>
      <w:r w:rsidR="000D6F59" w:rsidRPr="00792D53">
        <w:rPr>
          <w:rFonts w:ascii="Times New Roman" w:hAnsi="Times New Roman" w:cs="Times New Roman"/>
          <w:sz w:val="24"/>
          <w:szCs w:val="24"/>
          <w:lang w:val="en-GB"/>
        </w:rPr>
        <w:t xml:space="preserve"> cases </w:t>
      </w:r>
      <w:r w:rsidR="007A0D92" w:rsidRPr="00792D53">
        <w:rPr>
          <w:rFonts w:ascii="Times New Roman" w:hAnsi="Times New Roman" w:cs="Times New Roman"/>
          <w:sz w:val="24"/>
          <w:szCs w:val="24"/>
          <w:lang w:val="en-GB"/>
        </w:rPr>
        <w:t xml:space="preserve">constitute </w:t>
      </w:r>
      <w:r w:rsidR="000D6F59" w:rsidRPr="00792D53">
        <w:rPr>
          <w:rFonts w:ascii="Times New Roman" w:hAnsi="Times New Roman" w:cs="Times New Roman"/>
          <w:sz w:val="24"/>
          <w:szCs w:val="24"/>
          <w:lang w:val="en-GB"/>
        </w:rPr>
        <w:t xml:space="preserve">promising </w:t>
      </w:r>
      <w:r w:rsidR="007A0D92" w:rsidRPr="00792D53">
        <w:rPr>
          <w:rFonts w:ascii="Times New Roman" w:hAnsi="Times New Roman" w:cs="Times New Roman"/>
          <w:sz w:val="24"/>
          <w:szCs w:val="24"/>
          <w:lang w:val="en-GB"/>
        </w:rPr>
        <w:t xml:space="preserve">candidates </w:t>
      </w:r>
      <w:r w:rsidR="000D6F59" w:rsidRPr="00792D53">
        <w:rPr>
          <w:rFonts w:ascii="Times New Roman" w:hAnsi="Times New Roman" w:cs="Times New Roman"/>
          <w:sz w:val="24"/>
          <w:szCs w:val="24"/>
          <w:lang w:val="en-GB"/>
        </w:rPr>
        <w:t xml:space="preserve">for </w:t>
      </w:r>
      <w:r w:rsidR="00C23477" w:rsidRPr="00792D53">
        <w:rPr>
          <w:rFonts w:ascii="Times New Roman" w:hAnsi="Times New Roman" w:cs="Times New Roman"/>
          <w:sz w:val="24"/>
          <w:szCs w:val="24"/>
          <w:lang w:val="en-GB"/>
        </w:rPr>
        <w:t xml:space="preserve">an application of </w:t>
      </w:r>
      <w:r w:rsidR="000D6F59" w:rsidRPr="00792D53">
        <w:rPr>
          <w:rFonts w:ascii="Times New Roman" w:hAnsi="Times New Roman" w:cs="Times New Roman"/>
          <w:sz w:val="24"/>
          <w:szCs w:val="24"/>
          <w:lang w:val="en-GB"/>
        </w:rPr>
        <w:t xml:space="preserve">our three-step methodology. </w:t>
      </w:r>
      <w:r w:rsidR="009A1EC7" w:rsidRPr="00792D53">
        <w:rPr>
          <w:rFonts w:ascii="Times New Roman" w:hAnsi="Times New Roman" w:cs="Times New Roman"/>
          <w:sz w:val="24"/>
          <w:szCs w:val="24"/>
          <w:lang w:val="en-GB"/>
        </w:rPr>
        <w:t xml:space="preserve">For </w:t>
      </w:r>
      <w:r w:rsidR="00C23477" w:rsidRPr="00792D53">
        <w:rPr>
          <w:rFonts w:ascii="Times New Roman" w:hAnsi="Times New Roman" w:cs="Times New Roman"/>
          <w:sz w:val="24"/>
          <w:szCs w:val="24"/>
          <w:lang w:val="en-GB"/>
        </w:rPr>
        <w:t>the very large majority of cases</w:t>
      </w:r>
      <w:r w:rsidR="009A1EC7" w:rsidRPr="00792D53">
        <w:rPr>
          <w:rFonts w:ascii="Times New Roman" w:hAnsi="Times New Roman" w:cs="Times New Roman"/>
          <w:sz w:val="24"/>
          <w:szCs w:val="24"/>
          <w:lang w:val="en-GB"/>
        </w:rPr>
        <w:t xml:space="preserve">, however, </w:t>
      </w:r>
      <w:r w:rsidR="000D6F59" w:rsidRPr="00792D53">
        <w:rPr>
          <w:rFonts w:ascii="Times New Roman" w:hAnsi="Times New Roman" w:cs="Times New Roman"/>
          <w:sz w:val="24"/>
          <w:szCs w:val="24"/>
          <w:lang w:val="en-GB"/>
        </w:rPr>
        <w:t xml:space="preserve">our </w:t>
      </w:r>
      <w:r w:rsidR="007A0D92" w:rsidRPr="00792D53">
        <w:rPr>
          <w:rFonts w:ascii="Times New Roman" w:hAnsi="Times New Roman" w:cs="Times New Roman"/>
          <w:sz w:val="24"/>
          <w:szCs w:val="24"/>
          <w:lang w:val="en-GB"/>
        </w:rPr>
        <w:t xml:space="preserve">analysis </w:t>
      </w:r>
      <w:r w:rsidR="00777459" w:rsidRPr="00792D53">
        <w:rPr>
          <w:rFonts w:ascii="Times New Roman" w:hAnsi="Times New Roman" w:cs="Times New Roman"/>
          <w:sz w:val="24"/>
          <w:szCs w:val="24"/>
          <w:lang w:val="en-GB"/>
        </w:rPr>
        <w:t>suggests</w:t>
      </w:r>
      <w:r w:rsidR="000D6F59" w:rsidRPr="00792D53">
        <w:rPr>
          <w:rFonts w:ascii="Times New Roman" w:hAnsi="Times New Roman" w:cs="Times New Roman"/>
          <w:sz w:val="24"/>
          <w:szCs w:val="24"/>
          <w:lang w:val="en-GB"/>
        </w:rPr>
        <w:t xml:space="preserve"> that </w:t>
      </w:r>
      <w:r w:rsidR="00C23477" w:rsidRPr="00792D53">
        <w:rPr>
          <w:rFonts w:ascii="Times New Roman" w:hAnsi="Times New Roman" w:cs="Times New Roman"/>
          <w:sz w:val="24"/>
          <w:szCs w:val="24"/>
          <w:lang w:val="en-GB"/>
        </w:rPr>
        <w:t xml:space="preserve">support for </w:t>
      </w:r>
      <w:r w:rsidR="007A0D92" w:rsidRPr="00792D53">
        <w:rPr>
          <w:rFonts w:ascii="Times New Roman" w:hAnsi="Times New Roman" w:cs="Times New Roman"/>
          <w:sz w:val="24"/>
          <w:szCs w:val="24"/>
          <w:lang w:val="en-GB"/>
        </w:rPr>
        <w:t xml:space="preserve">restrictive </w:t>
      </w:r>
      <w:r w:rsidR="000D6F59" w:rsidRPr="00792D53">
        <w:rPr>
          <w:rFonts w:ascii="Times New Roman" w:hAnsi="Times New Roman" w:cs="Times New Roman"/>
          <w:sz w:val="24"/>
          <w:szCs w:val="24"/>
          <w:lang w:val="en-GB"/>
        </w:rPr>
        <w:t xml:space="preserve">merger policy in digital markets </w:t>
      </w:r>
      <w:r w:rsidR="00FB761D" w:rsidRPr="00792D53">
        <w:rPr>
          <w:rFonts w:ascii="Times New Roman" w:hAnsi="Times New Roman" w:cs="Times New Roman"/>
          <w:sz w:val="24"/>
          <w:szCs w:val="24"/>
          <w:lang w:val="en-GB"/>
        </w:rPr>
        <w:t>appears</w:t>
      </w:r>
      <w:r w:rsidR="00C23477" w:rsidRPr="00792D53">
        <w:rPr>
          <w:rFonts w:ascii="Times New Roman" w:hAnsi="Times New Roman" w:cs="Times New Roman"/>
          <w:sz w:val="24"/>
          <w:szCs w:val="24"/>
          <w:lang w:val="en-GB"/>
        </w:rPr>
        <w:t xml:space="preserve"> </w:t>
      </w:r>
      <w:r w:rsidR="00777459" w:rsidRPr="00792D53">
        <w:rPr>
          <w:rFonts w:ascii="Times New Roman" w:hAnsi="Times New Roman" w:cs="Times New Roman"/>
          <w:sz w:val="24"/>
          <w:szCs w:val="24"/>
          <w:lang w:val="en-GB"/>
        </w:rPr>
        <w:t xml:space="preserve">based </w:t>
      </w:r>
      <w:r w:rsidR="00D57ACA" w:rsidRPr="00792D53">
        <w:rPr>
          <w:rFonts w:ascii="Times New Roman" w:hAnsi="Times New Roman" w:cs="Times New Roman"/>
          <w:sz w:val="24"/>
          <w:szCs w:val="24"/>
          <w:lang w:val="en-GB"/>
        </w:rPr>
        <w:t>more on belief</w:t>
      </w:r>
      <w:r w:rsidR="00C23477" w:rsidRPr="00792D53">
        <w:rPr>
          <w:rFonts w:ascii="Times New Roman" w:hAnsi="Times New Roman" w:cs="Times New Roman"/>
          <w:sz w:val="24"/>
          <w:szCs w:val="24"/>
          <w:lang w:val="en-GB"/>
        </w:rPr>
        <w:t xml:space="preserve"> </w:t>
      </w:r>
      <w:r w:rsidR="000D6F59" w:rsidRPr="00792D53">
        <w:rPr>
          <w:rFonts w:ascii="Times New Roman" w:hAnsi="Times New Roman" w:cs="Times New Roman"/>
          <w:sz w:val="24"/>
          <w:szCs w:val="24"/>
          <w:lang w:val="en-GB"/>
        </w:rPr>
        <w:t xml:space="preserve">than evidence. </w:t>
      </w:r>
    </w:p>
    <w:p w14:paraId="62590C76" w14:textId="7AC50516" w:rsidR="00F333DC" w:rsidRPr="00792D53" w:rsidRDefault="00F333DC" w:rsidP="00792D53">
      <w:pPr>
        <w:spacing w:before="120" w:after="120" w:line="480" w:lineRule="auto"/>
        <w:jc w:val="both"/>
        <w:rPr>
          <w:rFonts w:ascii="Times New Roman" w:hAnsi="Times New Roman" w:cs="Times New Roman"/>
          <w:sz w:val="24"/>
          <w:szCs w:val="24"/>
          <w:lang w:val="en-GB"/>
        </w:rPr>
      </w:pPr>
    </w:p>
    <w:p w14:paraId="6D0920CB" w14:textId="16389AB3" w:rsidR="00F333DC" w:rsidRPr="00C235E5" w:rsidRDefault="00F333DC" w:rsidP="00F333DC">
      <w:pPr>
        <w:rPr>
          <w:rFonts w:ascii="Times New Roman" w:hAnsi="Times New Roman" w:cs="Times New Roman"/>
          <w:b/>
          <w:bCs/>
          <w:sz w:val="24"/>
          <w:szCs w:val="24"/>
        </w:rPr>
      </w:pPr>
      <w:r w:rsidRPr="00C235E5">
        <w:rPr>
          <w:rFonts w:ascii="Times New Roman" w:hAnsi="Times New Roman" w:cs="Times New Roman"/>
          <w:b/>
          <w:bCs/>
          <w:sz w:val="24"/>
          <w:szCs w:val="24"/>
        </w:rPr>
        <w:br w:type="page"/>
      </w:r>
    </w:p>
    <w:p w14:paraId="7CD72419" w14:textId="48E88CF0" w:rsidR="00AA45E2" w:rsidRPr="00C235E5" w:rsidRDefault="008E78BC" w:rsidP="00F42292">
      <w:pPr>
        <w:pStyle w:val="Heading1"/>
        <w:rPr>
          <w:rFonts w:ascii="Times New Roman" w:hAnsi="Times New Roman" w:cs="Times New Roman"/>
          <w:sz w:val="24"/>
          <w:szCs w:val="24"/>
        </w:rPr>
      </w:pPr>
      <w:r w:rsidRPr="00C235E5">
        <w:rPr>
          <w:rFonts w:ascii="Times New Roman" w:hAnsi="Times New Roman" w:cs="Times New Roman"/>
          <w:sz w:val="24"/>
          <w:szCs w:val="24"/>
        </w:rPr>
        <w:lastRenderedPageBreak/>
        <w:t>APPENDIX</w:t>
      </w:r>
    </w:p>
    <w:p w14:paraId="2B696B13" w14:textId="54BE5214" w:rsidR="003A4CBF" w:rsidRPr="00792D53" w:rsidRDefault="00C56E02"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This appendix contains the analysis of sales made by the competitors of </w:t>
      </w:r>
      <w:r w:rsidR="00800CD3" w:rsidRPr="00792D53">
        <w:rPr>
          <w:rFonts w:ascii="Times New Roman" w:hAnsi="Times New Roman" w:cs="Times New Roman"/>
          <w:sz w:val="24"/>
          <w:szCs w:val="24"/>
          <w:lang w:val="en-GB"/>
        </w:rPr>
        <w:t>transaction parties before and after the acquisition took place.</w:t>
      </w:r>
      <w:r w:rsidR="009308BC" w:rsidRPr="00792D53">
        <w:rPr>
          <w:rFonts w:ascii="Times New Roman" w:hAnsi="Times New Roman" w:cs="Times New Roman"/>
          <w:sz w:val="24"/>
          <w:szCs w:val="24"/>
          <w:lang w:val="en-GB"/>
        </w:rPr>
        <w:t xml:space="preserve"> For each transaction, the sign </w:t>
      </w:r>
      <w:r w:rsidR="0038134B" w:rsidRPr="00792D53">
        <w:rPr>
          <w:rFonts w:ascii="Times New Roman" w:hAnsi="Times New Roman" w:cs="Times New Roman"/>
          <w:sz w:val="24"/>
          <w:szCs w:val="24"/>
          <w:lang w:val="en-GB"/>
        </w:rPr>
        <w:t>“</w:t>
      </w:r>
      <w:r w:rsidR="009308BC" w:rsidRPr="00792D53">
        <w:rPr>
          <w:rFonts w:ascii="Times New Roman" w:hAnsi="Times New Roman" w:cs="Times New Roman"/>
          <w:sz w:val="24"/>
          <w:szCs w:val="24"/>
          <w:lang w:val="en-GB"/>
        </w:rPr>
        <w:t>*</w:t>
      </w:r>
      <w:r w:rsidR="0038134B" w:rsidRPr="00792D53">
        <w:rPr>
          <w:rFonts w:ascii="Times New Roman" w:hAnsi="Times New Roman" w:cs="Times New Roman"/>
          <w:sz w:val="24"/>
          <w:szCs w:val="24"/>
          <w:lang w:val="en-GB"/>
        </w:rPr>
        <w:t>”</w:t>
      </w:r>
      <w:r w:rsidR="009308BC" w:rsidRPr="00792D53">
        <w:rPr>
          <w:rFonts w:ascii="Times New Roman" w:hAnsi="Times New Roman" w:cs="Times New Roman"/>
          <w:sz w:val="24"/>
          <w:szCs w:val="24"/>
          <w:lang w:val="en-GB"/>
        </w:rPr>
        <w:t xml:space="preserve"> denotes the year of EC approval. All sales figures are in millions USD. For non-US firms, we convert the revenue based on that year’s average exchange rate for the relevant currency.</w:t>
      </w:r>
    </w:p>
    <w:p w14:paraId="2A88DD95" w14:textId="00E5FAE1" w:rsidR="003A4CBF" w:rsidRPr="00C235E5" w:rsidRDefault="003A4CBF" w:rsidP="00F42292">
      <w:pPr>
        <w:pStyle w:val="Heading2"/>
        <w:numPr>
          <w:ilvl w:val="0"/>
          <w:numId w:val="24"/>
        </w:numPr>
        <w:rPr>
          <w:rFonts w:cs="Times New Roman"/>
          <w:i w:val="0"/>
          <w:iCs/>
          <w:sz w:val="24"/>
          <w:szCs w:val="24"/>
        </w:rPr>
      </w:pPr>
      <w:r w:rsidRPr="00C235E5">
        <w:rPr>
          <w:rFonts w:cs="Times New Roman"/>
          <w:iCs/>
          <w:sz w:val="24"/>
          <w:szCs w:val="24"/>
        </w:rPr>
        <w:t>SAP/Sybase</w:t>
      </w:r>
    </w:p>
    <w:p w14:paraId="5FA96595" w14:textId="1C9F43BB" w:rsidR="003A4CBF" w:rsidRPr="00792D53" w:rsidRDefault="003A4CBF"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SAP acquired Sybase in 2010. The EC decision identified the relevant product market as “enterprise application software”.</w:t>
      </w:r>
      <w:r w:rsidRPr="001F0513">
        <w:rPr>
          <w:rFonts w:ascii="Times New Roman" w:hAnsi="Times New Roman" w:cs="Times New Roman"/>
          <w:sz w:val="24"/>
          <w:szCs w:val="24"/>
          <w:vertAlign w:val="superscript"/>
          <w:lang w:val="en-GB"/>
        </w:rPr>
        <w:footnoteReference w:id="113"/>
      </w:r>
      <w:r w:rsidRPr="00792D53">
        <w:rPr>
          <w:rFonts w:ascii="Times New Roman" w:hAnsi="Times New Roman" w:cs="Times New Roman"/>
          <w:sz w:val="24"/>
          <w:szCs w:val="24"/>
          <w:lang w:val="en-GB"/>
        </w:rPr>
        <w:t xml:space="preserve"> In that market, the EC designated Microsoft, Oracle, and IBM as rivals of the merged entity. We compile sales data for each of these rivals. We show data from  FY2009 to give a better sense of the evolution of market shares before-and-after the transaction. The results are provided in </w:t>
      </w:r>
      <w:r w:rsidR="008B7502" w:rsidRPr="00792D53">
        <w:rPr>
          <w:rFonts w:ascii="Times New Roman" w:hAnsi="Times New Roman" w:cs="Times New Roman"/>
          <w:sz w:val="24"/>
          <w:szCs w:val="24"/>
          <w:lang w:val="en-GB"/>
        </w:rPr>
        <w:t xml:space="preserve">Table – III </w:t>
      </w:r>
      <w:r w:rsidRPr="00792D53">
        <w:rPr>
          <w:rFonts w:ascii="Times New Roman" w:hAnsi="Times New Roman" w:cs="Times New Roman"/>
          <w:sz w:val="24"/>
          <w:szCs w:val="24"/>
          <w:lang w:val="en-GB"/>
        </w:rPr>
        <w:t xml:space="preserve">and </w:t>
      </w:r>
      <w:r w:rsidR="008B7502" w:rsidRPr="00792D53">
        <w:rPr>
          <w:rFonts w:ascii="Times New Roman" w:hAnsi="Times New Roman" w:cs="Times New Roman"/>
          <w:sz w:val="24"/>
          <w:szCs w:val="24"/>
          <w:lang w:val="en-GB"/>
        </w:rPr>
        <w:t xml:space="preserve">Charts A1 and A2 </w:t>
      </w:r>
      <w:r w:rsidRPr="00792D53">
        <w:rPr>
          <w:rFonts w:ascii="Times New Roman" w:hAnsi="Times New Roman" w:cs="Times New Roman"/>
          <w:sz w:val="24"/>
          <w:szCs w:val="24"/>
          <w:lang w:val="en-GB"/>
        </w:rPr>
        <w:t>below.</w:t>
      </w:r>
    </w:p>
    <w:p w14:paraId="24F62BAF" w14:textId="69410A97" w:rsidR="00FD0D31" w:rsidRPr="00792D53" w:rsidRDefault="00FD0D31"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In the table, SIC 1, 2, and 3 represent Microsoft, Oracle, and IBM, respectively. For Microsoft, figures are taken from the “Server Tools” segment. For IBM, figures are taken from the “Global Business Services” segment, which includes enterprise application software. Figures for Oracle are based on its software business as differentiated from hardware. We compute Oracle’s software sales by aggregating two of its relevant business segments: “New Software Licenses” and “Software License Updates and Product Support” (the remaining segments relate to hardware). </w:t>
      </w:r>
    </w:p>
    <w:p w14:paraId="00AAF7C6" w14:textId="25FF2798" w:rsidR="003A4CBF" w:rsidRPr="00C235E5" w:rsidRDefault="003A4CBF" w:rsidP="003A4CBF">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t xml:space="preserve">Table – </w:t>
      </w:r>
      <w:r w:rsidR="008B7502" w:rsidRPr="00C235E5">
        <w:rPr>
          <w:rFonts w:ascii="Times New Roman" w:hAnsi="Times New Roman" w:cs="Times New Roman"/>
          <w:b/>
          <w:bCs/>
          <w:sz w:val="24"/>
          <w:szCs w:val="24"/>
        </w:rPr>
        <w:t>III</w:t>
      </w:r>
      <w:r w:rsidRPr="00C235E5">
        <w:rPr>
          <w:rFonts w:ascii="Times New Roman" w:hAnsi="Times New Roman" w:cs="Times New Roman"/>
          <w:b/>
          <w:bCs/>
          <w:sz w:val="24"/>
          <w:szCs w:val="24"/>
        </w:rPr>
        <w:t xml:space="preserve">: </w:t>
      </w:r>
      <w:r w:rsidRPr="00C235E5">
        <w:rPr>
          <w:rFonts w:ascii="Times New Roman" w:hAnsi="Times New Roman" w:cs="Times New Roman"/>
          <w:b/>
          <w:bCs/>
          <w:i/>
          <w:iCs/>
          <w:sz w:val="24"/>
          <w:szCs w:val="24"/>
        </w:rPr>
        <w:t>SAP/Sybase</w:t>
      </w:r>
      <w:r w:rsidRPr="00C235E5">
        <w:rPr>
          <w:rFonts w:ascii="Times New Roman" w:hAnsi="Times New Roman" w:cs="Times New Roman"/>
          <w:b/>
          <w:bCs/>
          <w:sz w:val="24"/>
          <w:szCs w:val="24"/>
        </w:rPr>
        <w:t xml:space="preserve"> Figures for the SIC Test</w:t>
      </w:r>
    </w:p>
    <w:tbl>
      <w:tblPr>
        <w:tblW w:w="6800" w:type="dxa"/>
        <w:jc w:val="center"/>
        <w:tblCellMar>
          <w:left w:w="70" w:type="dxa"/>
          <w:right w:w="70" w:type="dxa"/>
        </w:tblCellMar>
        <w:tblLook w:val="04A0" w:firstRow="1" w:lastRow="0" w:firstColumn="1" w:lastColumn="0" w:noHBand="0" w:noVBand="1"/>
      </w:tblPr>
      <w:tblGrid>
        <w:gridCol w:w="1060"/>
        <w:gridCol w:w="850"/>
        <w:gridCol w:w="850"/>
        <w:gridCol w:w="850"/>
        <w:gridCol w:w="850"/>
        <w:gridCol w:w="850"/>
        <w:gridCol w:w="850"/>
        <w:gridCol w:w="850"/>
      </w:tblGrid>
      <w:tr w:rsidR="003A4CBF" w:rsidRPr="00C235E5" w14:paraId="5FDCC22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9F016F6" w14:textId="77777777" w:rsidR="003A4CBF" w:rsidRPr="00C235E5" w:rsidRDefault="003A4CBF"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noWrap/>
            <w:vAlign w:val="bottom"/>
            <w:hideMark/>
          </w:tcPr>
          <w:p w14:paraId="4AAD9F67"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1</w:t>
            </w:r>
          </w:p>
        </w:tc>
        <w:tc>
          <w:tcPr>
            <w:tcW w:w="850" w:type="dxa"/>
            <w:tcBorders>
              <w:top w:val="single" w:sz="4" w:space="0" w:color="000000"/>
              <w:left w:val="nil"/>
              <w:bottom w:val="nil"/>
              <w:right w:val="nil"/>
            </w:tcBorders>
            <w:shd w:val="clear" w:color="000000" w:fill="000000"/>
            <w:noWrap/>
            <w:vAlign w:val="bottom"/>
            <w:hideMark/>
          </w:tcPr>
          <w:p w14:paraId="01C91507"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1A386285"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3</w:t>
            </w:r>
          </w:p>
        </w:tc>
        <w:tc>
          <w:tcPr>
            <w:tcW w:w="850" w:type="dxa"/>
            <w:tcBorders>
              <w:top w:val="single" w:sz="4" w:space="0" w:color="000000"/>
              <w:left w:val="nil"/>
              <w:bottom w:val="nil"/>
              <w:right w:val="nil"/>
            </w:tcBorders>
            <w:shd w:val="clear" w:color="000000" w:fill="000000"/>
            <w:noWrap/>
            <w:vAlign w:val="bottom"/>
            <w:hideMark/>
          </w:tcPr>
          <w:p w14:paraId="00284BE9"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24F4C79E"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5D9AC50D"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single" w:sz="4" w:space="0" w:color="000000"/>
            </w:tcBorders>
            <w:shd w:val="clear" w:color="000000" w:fill="000000"/>
            <w:noWrap/>
            <w:vAlign w:val="bottom"/>
            <w:hideMark/>
          </w:tcPr>
          <w:p w14:paraId="158664FC" w14:textId="77777777" w:rsidR="003A4CBF" w:rsidRPr="00C235E5" w:rsidRDefault="003A4CBF"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r>
      <w:tr w:rsidR="003A4CBF" w:rsidRPr="00C235E5" w14:paraId="61F0863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312461D"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t>FY2009</w:t>
            </w:r>
          </w:p>
        </w:tc>
        <w:tc>
          <w:tcPr>
            <w:tcW w:w="850" w:type="dxa"/>
            <w:tcBorders>
              <w:top w:val="single" w:sz="4" w:space="0" w:color="000000"/>
              <w:left w:val="single" w:sz="4" w:space="0" w:color="000000"/>
              <w:bottom w:val="nil"/>
              <w:right w:val="nil"/>
            </w:tcBorders>
            <w:shd w:val="clear" w:color="auto" w:fill="auto"/>
            <w:noWrap/>
            <w:vAlign w:val="bottom"/>
            <w:hideMark/>
          </w:tcPr>
          <w:p w14:paraId="5F18937C"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14191</w:t>
            </w:r>
          </w:p>
        </w:tc>
        <w:tc>
          <w:tcPr>
            <w:tcW w:w="850" w:type="dxa"/>
            <w:tcBorders>
              <w:top w:val="single" w:sz="4" w:space="0" w:color="000000"/>
              <w:left w:val="nil"/>
              <w:bottom w:val="nil"/>
              <w:right w:val="nil"/>
            </w:tcBorders>
            <w:shd w:val="clear" w:color="auto" w:fill="auto"/>
            <w:noWrap/>
            <w:vAlign w:val="bottom"/>
            <w:hideMark/>
          </w:tcPr>
          <w:p w14:paraId="4CDEEACA"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18877</w:t>
            </w:r>
          </w:p>
        </w:tc>
        <w:tc>
          <w:tcPr>
            <w:tcW w:w="850" w:type="dxa"/>
            <w:tcBorders>
              <w:top w:val="single" w:sz="4" w:space="0" w:color="000000"/>
              <w:left w:val="nil"/>
              <w:bottom w:val="nil"/>
              <w:right w:val="nil"/>
            </w:tcBorders>
            <w:shd w:val="clear" w:color="auto" w:fill="auto"/>
            <w:noWrap/>
            <w:vAlign w:val="bottom"/>
            <w:hideMark/>
          </w:tcPr>
          <w:p w14:paraId="1EE2330F"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17653</w:t>
            </w:r>
          </w:p>
        </w:tc>
        <w:tc>
          <w:tcPr>
            <w:tcW w:w="850" w:type="dxa"/>
            <w:tcBorders>
              <w:top w:val="single" w:sz="4" w:space="0" w:color="000000"/>
              <w:left w:val="nil"/>
              <w:bottom w:val="nil"/>
              <w:right w:val="nil"/>
            </w:tcBorders>
            <w:shd w:val="clear" w:color="auto" w:fill="auto"/>
            <w:noWrap/>
            <w:vAlign w:val="bottom"/>
            <w:hideMark/>
          </w:tcPr>
          <w:p w14:paraId="66CD7A99"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50721</w:t>
            </w:r>
          </w:p>
        </w:tc>
        <w:tc>
          <w:tcPr>
            <w:tcW w:w="850" w:type="dxa"/>
            <w:tcBorders>
              <w:top w:val="single" w:sz="4" w:space="0" w:color="000000"/>
              <w:left w:val="nil"/>
              <w:bottom w:val="nil"/>
              <w:right w:val="nil"/>
            </w:tcBorders>
            <w:shd w:val="clear" w:color="auto" w:fill="auto"/>
            <w:noWrap/>
            <w:vAlign w:val="bottom"/>
            <w:hideMark/>
          </w:tcPr>
          <w:p w14:paraId="73E5299A"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3979F9F9"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w:t>
            </w:r>
          </w:p>
        </w:tc>
        <w:tc>
          <w:tcPr>
            <w:tcW w:w="850" w:type="dxa"/>
            <w:tcBorders>
              <w:top w:val="single" w:sz="4" w:space="0" w:color="000000"/>
              <w:left w:val="nil"/>
              <w:bottom w:val="nil"/>
              <w:right w:val="single" w:sz="4" w:space="0" w:color="000000"/>
            </w:tcBorders>
            <w:shd w:val="clear" w:color="auto" w:fill="auto"/>
            <w:noWrap/>
            <w:vAlign w:val="bottom"/>
            <w:hideMark/>
          </w:tcPr>
          <w:p w14:paraId="17779735"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w:t>
            </w:r>
          </w:p>
        </w:tc>
      </w:tr>
      <w:tr w:rsidR="003A4CBF" w:rsidRPr="00C235E5" w14:paraId="6BAB889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35B0F5A" w14:textId="77777777" w:rsidR="003A4CBF" w:rsidRPr="00C235E5" w:rsidRDefault="003A4CBF"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FY2010*</w:t>
            </w:r>
          </w:p>
        </w:tc>
        <w:tc>
          <w:tcPr>
            <w:tcW w:w="850" w:type="dxa"/>
            <w:tcBorders>
              <w:top w:val="single" w:sz="4" w:space="0" w:color="000000"/>
              <w:left w:val="single" w:sz="4" w:space="0" w:color="000000"/>
              <w:bottom w:val="nil"/>
              <w:right w:val="nil"/>
            </w:tcBorders>
            <w:shd w:val="clear" w:color="auto" w:fill="auto"/>
            <w:noWrap/>
            <w:vAlign w:val="bottom"/>
            <w:hideMark/>
          </w:tcPr>
          <w:p w14:paraId="3768E230"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14866</w:t>
            </w:r>
          </w:p>
        </w:tc>
        <w:tc>
          <w:tcPr>
            <w:tcW w:w="850" w:type="dxa"/>
            <w:tcBorders>
              <w:top w:val="single" w:sz="4" w:space="0" w:color="000000"/>
              <w:left w:val="nil"/>
              <w:bottom w:val="nil"/>
              <w:right w:val="nil"/>
            </w:tcBorders>
            <w:shd w:val="clear" w:color="auto" w:fill="auto"/>
            <w:noWrap/>
            <w:vAlign w:val="bottom"/>
            <w:hideMark/>
          </w:tcPr>
          <w:p w14:paraId="4DBA13E5"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20625</w:t>
            </w:r>
          </w:p>
        </w:tc>
        <w:tc>
          <w:tcPr>
            <w:tcW w:w="850" w:type="dxa"/>
            <w:tcBorders>
              <w:top w:val="single" w:sz="4" w:space="0" w:color="000000"/>
              <w:left w:val="nil"/>
              <w:bottom w:val="nil"/>
              <w:right w:val="nil"/>
            </w:tcBorders>
            <w:shd w:val="clear" w:color="auto" w:fill="auto"/>
            <w:noWrap/>
            <w:vAlign w:val="bottom"/>
            <w:hideMark/>
          </w:tcPr>
          <w:p w14:paraId="769A0477"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18223</w:t>
            </w:r>
          </w:p>
        </w:tc>
        <w:tc>
          <w:tcPr>
            <w:tcW w:w="850" w:type="dxa"/>
            <w:tcBorders>
              <w:top w:val="single" w:sz="4" w:space="0" w:color="000000"/>
              <w:left w:val="nil"/>
              <w:bottom w:val="nil"/>
              <w:right w:val="nil"/>
            </w:tcBorders>
            <w:shd w:val="clear" w:color="auto" w:fill="auto"/>
            <w:noWrap/>
            <w:vAlign w:val="bottom"/>
            <w:hideMark/>
          </w:tcPr>
          <w:p w14:paraId="0DAA45FD"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53714</w:t>
            </w:r>
          </w:p>
        </w:tc>
        <w:tc>
          <w:tcPr>
            <w:tcW w:w="850" w:type="dxa"/>
            <w:tcBorders>
              <w:top w:val="single" w:sz="4" w:space="0" w:color="000000"/>
              <w:left w:val="nil"/>
              <w:bottom w:val="nil"/>
              <w:right w:val="nil"/>
            </w:tcBorders>
            <w:shd w:val="clear" w:color="auto" w:fill="auto"/>
            <w:noWrap/>
            <w:vAlign w:val="bottom"/>
            <w:hideMark/>
          </w:tcPr>
          <w:p w14:paraId="584BBF05"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6CEC00ED"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38%</w:t>
            </w:r>
          </w:p>
        </w:tc>
        <w:tc>
          <w:tcPr>
            <w:tcW w:w="850" w:type="dxa"/>
            <w:tcBorders>
              <w:top w:val="single" w:sz="4" w:space="0" w:color="000000"/>
              <w:left w:val="nil"/>
              <w:bottom w:val="nil"/>
              <w:right w:val="single" w:sz="4" w:space="0" w:color="000000"/>
            </w:tcBorders>
            <w:shd w:val="clear" w:color="auto" w:fill="auto"/>
            <w:noWrap/>
            <w:vAlign w:val="bottom"/>
            <w:hideMark/>
          </w:tcPr>
          <w:p w14:paraId="34EC6355"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34%</w:t>
            </w:r>
          </w:p>
        </w:tc>
      </w:tr>
      <w:tr w:rsidR="003A4CBF" w:rsidRPr="00C235E5" w14:paraId="05ACD10B"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EA52650"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t>FY2011</w:t>
            </w:r>
          </w:p>
        </w:tc>
        <w:tc>
          <w:tcPr>
            <w:tcW w:w="850" w:type="dxa"/>
            <w:tcBorders>
              <w:top w:val="single" w:sz="4" w:space="0" w:color="000000"/>
              <w:left w:val="single" w:sz="4" w:space="0" w:color="000000"/>
              <w:bottom w:val="nil"/>
              <w:right w:val="nil"/>
            </w:tcBorders>
            <w:shd w:val="clear" w:color="auto" w:fill="auto"/>
            <w:noWrap/>
            <w:vAlign w:val="bottom"/>
            <w:hideMark/>
          </w:tcPr>
          <w:p w14:paraId="10BB89EE"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16559</w:t>
            </w:r>
          </w:p>
        </w:tc>
        <w:tc>
          <w:tcPr>
            <w:tcW w:w="850" w:type="dxa"/>
            <w:tcBorders>
              <w:top w:val="single" w:sz="4" w:space="0" w:color="000000"/>
              <w:left w:val="nil"/>
              <w:bottom w:val="nil"/>
              <w:right w:val="nil"/>
            </w:tcBorders>
            <w:shd w:val="clear" w:color="auto" w:fill="auto"/>
            <w:noWrap/>
            <w:vAlign w:val="bottom"/>
            <w:hideMark/>
          </w:tcPr>
          <w:p w14:paraId="05A73227"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24031</w:t>
            </w:r>
          </w:p>
        </w:tc>
        <w:tc>
          <w:tcPr>
            <w:tcW w:w="850" w:type="dxa"/>
            <w:tcBorders>
              <w:top w:val="single" w:sz="4" w:space="0" w:color="000000"/>
              <w:left w:val="nil"/>
              <w:bottom w:val="nil"/>
              <w:right w:val="nil"/>
            </w:tcBorders>
            <w:shd w:val="clear" w:color="auto" w:fill="auto"/>
            <w:noWrap/>
            <w:vAlign w:val="bottom"/>
            <w:hideMark/>
          </w:tcPr>
          <w:p w14:paraId="7A3BA89A"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19284</w:t>
            </w:r>
          </w:p>
        </w:tc>
        <w:tc>
          <w:tcPr>
            <w:tcW w:w="850" w:type="dxa"/>
            <w:tcBorders>
              <w:top w:val="single" w:sz="4" w:space="0" w:color="000000"/>
              <w:left w:val="nil"/>
              <w:bottom w:val="nil"/>
              <w:right w:val="nil"/>
            </w:tcBorders>
            <w:shd w:val="clear" w:color="auto" w:fill="auto"/>
            <w:noWrap/>
            <w:vAlign w:val="bottom"/>
            <w:hideMark/>
          </w:tcPr>
          <w:p w14:paraId="5DC0231D"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59874</w:t>
            </w:r>
          </w:p>
        </w:tc>
        <w:tc>
          <w:tcPr>
            <w:tcW w:w="850" w:type="dxa"/>
            <w:tcBorders>
              <w:top w:val="single" w:sz="4" w:space="0" w:color="000000"/>
              <w:left w:val="nil"/>
              <w:bottom w:val="nil"/>
              <w:right w:val="nil"/>
            </w:tcBorders>
            <w:shd w:val="clear" w:color="auto" w:fill="auto"/>
            <w:noWrap/>
            <w:vAlign w:val="bottom"/>
            <w:hideMark/>
          </w:tcPr>
          <w:p w14:paraId="2F100373"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14612C8B"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40%</w:t>
            </w:r>
          </w:p>
        </w:tc>
        <w:tc>
          <w:tcPr>
            <w:tcW w:w="850" w:type="dxa"/>
            <w:tcBorders>
              <w:top w:val="single" w:sz="4" w:space="0" w:color="000000"/>
              <w:left w:val="nil"/>
              <w:bottom w:val="nil"/>
              <w:right w:val="single" w:sz="4" w:space="0" w:color="000000"/>
            </w:tcBorders>
            <w:shd w:val="clear" w:color="auto" w:fill="auto"/>
            <w:noWrap/>
            <w:vAlign w:val="bottom"/>
            <w:hideMark/>
          </w:tcPr>
          <w:p w14:paraId="6EF69B32"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32%</w:t>
            </w:r>
          </w:p>
        </w:tc>
      </w:tr>
      <w:tr w:rsidR="003A4CBF" w:rsidRPr="00C235E5" w14:paraId="320A8ED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1DC3A7C"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t>FY2012</w:t>
            </w:r>
          </w:p>
        </w:tc>
        <w:tc>
          <w:tcPr>
            <w:tcW w:w="850" w:type="dxa"/>
            <w:tcBorders>
              <w:top w:val="single" w:sz="4" w:space="0" w:color="000000"/>
              <w:left w:val="single" w:sz="4" w:space="0" w:color="000000"/>
              <w:bottom w:val="nil"/>
              <w:right w:val="nil"/>
            </w:tcBorders>
            <w:shd w:val="clear" w:color="auto" w:fill="auto"/>
            <w:noWrap/>
            <w:vAlign w:val="bottom"/>
            <w:hideMark/>
          </w:tcPr>
          <w:p w14:paraId="08BC7653"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18534</w:t>
            </w:r>
          </w:p>
        </w:tc>
        <w:tc>
          <w:tcPr>
            <w:tcW w:w="850" w:type="dxa"/>
            <w:tcBorders>
              <w:top w:val="single" w:sz="4" w:space="0" w:color="000000"/>
              <w:left w:val="nil"/>
              <w:bottom w:val="nil"/>
              <w:right w:val="nil"/>
            </w:tcBorders>
            <w:shd w:val="clear" w:color="auto" w:fill="auto"/>
            <w:noWrap/>
            <w:vAlign w:val="bottom"/>
            <w:hideMark/>
          </w:tcPr>
          <w:p w14:paraId="4114085F"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26116</w:t>
            </w:r>
          </w:p>
        </w:tc>
        <w:tc>
          <w:tcPr>
            <w:tcW w:w="850" w:type="dxa"/>
            <w:tcBorders>
              <w:top w:val="single" w:sz="4" w:space="0" w:color="000000"/>
              <w:left w:val="nil"/>
              <w:bottom w:val="nil"/>
              <w:right w:val="nil"/>
            </w:tcBorders>
            <w:shd w:val="clear" w:color="auto" w:fill="auto"/>
            <w:noWrap/>
            <w:vAlign w:val="bottom"/>
            <w:hideMark/>
          </w:tcPr>
          <w:p w14:paraId="38920386"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18566</w:t>
            </w:r>
          </w:p>
        </w:tc>
        <w:tc>
          <w:tcPr>
            <w:tcW w:w="850" w:type="dxa"/>
            <w:tcBorders>
              <w:top w:val="single" w:sz="4" w:space="0" w:color="000000"/>
              <w:left w:val="nil"/>
              <w:bottom w:val="nil"/>
              <w:right w:val="nil"/>
            </w:tcBorders>
            <w:shd w:val="clear" w:color="auto" w:fill="auto"/>
            <w:noWrap/>
            <w:vAlign w:val="bottom"/>
            <w:hideMark/>
          </w:tcPr>
          <w:p w14:paraId="549DEB71"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63216</w:t>
            </w:r>
          </w:p>
        </w:tc>
        <w:tc>
          <w:tcPr>
            <w:tcW w:w="850" w:type="dxa"/>
            <w:tcBorders>
              <w:top w:val="single" w:sz="4" w:space="0" w:color="000000"/>
              <w:left w:val="nil"/>
              <w:bottom w:val="nil"/>
              <w:right w:val="nil"/>
            </w:tcBorders>
            <w:shd w:val="clear" w:color="auto" w:fill="auto"/>
            <w:noWrap/>
            <w:vAlign w:val="bottom"/>
            <w:hideMark/>
          </w:tcPr>
          <w:p w14:paraId="495E3DFE"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29%</w:t>
            </w:r>
          </w:p>
        </w:tc>
        <w:tc>
          <w:tcPr>
            <w:tcW w:w="850" w:type="dxa"/>
            <w:tcBorders>
              <w:top w:val="single" w:sz="4" w:space="0" w:color="000000"/>
              <w:left w:val="nil"/>
              <w:bottom w:val="nil"/>
              <w:right w:val="nil"/>
            </w:tcBorders>
            <w:shd w:val="clear" w:color="auto" w:fill="auto"/>
            <w:noWrap/>
            <w:vAlign w:val="bottom"/>
            <w:hideMark/>
          </w:tcPr>
          <w:p w14:paraId="3F7D2159"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41%</w:t>
            </w:r>
          </w:p>
        </w:tc>
        <w:tc>
          <w:tcPr>
            <w:tcW w:w="850" w:type="dxa"/>
            <w:tcBorders>
              <w:top w:val="single" w:sz="4" w:space="0" w:color="000000"/>
              <w:left w:val="nil"/>
              <w:bottom w:val="nil"/>
              <w:right w:val="single" w:sz="4" w:space="0" w:color="000000"/>
            </w:tcBorders>
            <w:shd w:val="clear" w:color="auto" w:fill="auto"/>
            <w:noWrap/>
            <w:vAlign w:val="bottom"/>
            <w:hideMark/>
          </w:tcPr>
          <w:p w14:paraId="3E7538A3"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29%</w:t>
            </w:r>
          </w:p>
        </w:tc>
      </w:tr>
      <w:tr w:rsidR="003A4CBF" w:rsidRPr="00C235E5" w14:paraId="6863C7D2"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A17C9B1"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t>FY2013</w:t>
            </w:r>
          </w:p>
        </w:tc>
        <w:tc>
          <w:tcPr>
            <w:tcW w:w="850" w:type="dxa"/>
            <w:tcBorders>
              <w:top w:val="single" w:sz="4" w:space="0" w:color="000000"/>
              <w:left w:val="single" w:sz="4" w:space="0" w:color="000000"/>
              <w:bottom w:val="nil"/>
              <w:right w:val="nil"/>
            </w:tcBorders>
            <w:shd w:val="clear" w:color="auto" w:fill="auto"/>
            <w:noWrap/>
            <w:vAlign w:val="bottom"/>
            <w:hideMark/>
          </w:tcPr>
          <w:p w14:paraId="5DA16C7B"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20281</w:t>
            </w:r>
          </w:p>
        </w:tc>
        <w:tc>
          <w:tcPr>
            <w:tcW w:w="850" w:type="dxa"/>
            <w:tcBorders>
              <w:top w:val="single" w:sz="4" w:space="0" w:color="000000"/>
              <w:left w:val="nil"/>
              <w:bottom w:val="nil"/>
              <w:right w:val="nil"/>
            </w:tcBorders>
            <w:shd w:val="clear" w:color="auto" w:fill="auto"/>
            <w:noWrap/>
            <w:vAlign w:val="bottom"/>
            <w:hideMark/>
          </w:tcPr>
          <w:p w14:paraId="14CB9B14"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27373</w:t>
            </w:r>
          </w:p>
        </w:tc>
        <w:tc>
          <w:tcPr>
            <w:tcW w:w="850" w:type="dxa"/>
            <w:tcBorders>
              <w:top w:val="single" w:sz="4" w:space="0" w:color="000000"/>
              <w:left w:val="nil"/>
              <w:bottom w:val="nil"/>
              <w:right w:val="nil"/>
            </w:tcBorders>
            <w:shd w:val="clear" w:color="auto" w:fill="auto"/>
            <w:noWrap/>
            <w:vAlign w:val="bottom"/>
            <w:hideMark/>
          </w:tcPr>
          <w:p w14:paraId="6209136C"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18396</w:t>
            </w:r>
          </w:p>
        </w:tc>
        <w:tc>
          <w:tcPr>
            <w:tcW w:w="850" w:type="dxa"/>
            <w:tcBorders>
              <w:top w:val="single" w:sz="4" w:space="0" w:color="000000"/>
              <w:left w:val="nil"/>
              <w:bottom w:val="nil"/>
              <w:right w:val="nil"/>
            </w:tcBorders>
            <w:shd w:val="clear" w:color="auto" w:fill="auto"/>
            <w:noWrap/>
            <w:vAlign w:val="bottom"/>
            <w:hideMark/>
          </w:tcPr>
          <w:p w14:paraId="113B092D"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66050</w:t>
            </w:r>
          </w:p>
        </w:tc>
        <w:tc>
          <w:tcPr>
            <w:tcW w:w="850" w:type="dxa"/>
            <w:tcBorders>
              <w:top w:val="single" w:sz="4" w:space="0" w:color="000000"/>
              <w:left w:val="nil"/>
              <w:bottom w:val="nil"/>
              <w:right w:val="nil"/>
            </w:tcBorders>
            <w:shd w:val="clear" w:color="auto" w:fill="auto"/>
            <w:noWrap/>
            <w:vAlign w:val="bottom"/>
            <w:hideMark/>
          </w:tcPr>
          <w:p w14:paraId="20DBCF41"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31%</w:t>
            </w:r>
          </w:p>
        </w:tc>
        <w:tc>
          <w:tcPr>
            <w:tcW w:w="850" w:type="dxa"/>
            <w:tcBorders>
              <w:top w:val="single" w:sz="4" w:space="0" w:color="000000"/>
              <w:left w:val="nil"/>
              <w:bottom w:val="nil"/>
              <w:right w:val="nil"/>
            </w:tcBorders>
            <w:shd w:val="clear" w:color="auto" w:fill="auto"/>
            <w:noWrap/>
            <w:vAlign w:val="bottom"/>
            <w:hideMark/>
          </w:tcPr>
          <w:p w14:paraId="2BAAA42A"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41%</w:t>
            </w:r>
          </w:p>
        </w:tc>
        <w:tc>
          <w:tcPr>
            <w:tcW w:w="850" w:type="dxa"/>
            <w:tcBorders>
              <w:top w:val="single" w:sz="4" w:space="0" w:color="000000"/>
              <w:left w:val="nil"/>
              <w:bottom w:val="nil"/>
              <w:right w:val="single" w:sz="4" w:space="0" w:color="000000"/>
            </w:tcBorders>
            <w:shd w:val="clear" w:color="auto" w:fill="auto"/>
            <w:noWrap/>
            <w:vAlign w:val="bottom"/>
            <w:hideMark/>
          </w:tcPr>
          <w:p w14:paraId="4C68B7E6"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r>
      <w:tr w:rsidR="003A4CBF" w:rsidRPr="00C235E5" w14:paraId="6DEC60FD"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6F5B840"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lastRenderedPageBreak/>
              <w:t>FY2014</w:t>
            </w:r>
          </w:p>
        </w:tc>
        <w:tc>
          <w:tcPr>
            <w:tcW w:w="850" w:type="dxa"/>
            <w:tcBorders>
              <w:top w:val="single" w:sz="4" w:space="0" w:color="000000"/>
              <w:left w:val="single" w:sz="4" w:space="0" w:color="000000"/>
              <w:bottom w:val="nil"/>
              <w:right w:val="nil"/>
            </w:tcBorders>
            <w:shd w:val="clear" w:color="auto" w:fill="auto"/>
            <w:noWrap/>
            <w:vAlign w:val="bottom"/>
            <w:hideMark/>
          </w:tcPr>
          <w:p w14:paraId="2BAA5DD9"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21735</w:t>
            </w:r>
          </w:p>
        </w:tc>
        <w:tc>
          <w:tcPr>
            <w:tcW w:w="850" w:type="dxa"/>
            <w:tcBorders>
              <w:top w:val="single" w:sz="4" w:space="0" w:color="000000"/>
              <w:left w:val="nil"/>
              <w:bottom w:val="nil"/>
              <w:right w:val="nil"/>
            </w:tcBorders>
            <w:shd w:val="clear" w:color="auto" w:fill="auto"/>
            <w:noWrap/>
            <w:vAlign w:val="bottom"/>
            <w:hideMark/>
          </w:tcPr>
          <w:p w14:paraId="41DF0534"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28743</w:t>
            </w:r>
          </w:p>
        </w:tc>
        <w:tc>
          <w:tcPr>
            <w:tcW w:w="850" w:type="dxa"/>
            <w:tcBorders>
              <w:top w:val="single" w:sz="4" w:space="0" w:color="000000"/>
              <w:left w:val="nil"/>
              <w:bottom w:val="nil"/>
              <w:right w:val="nil"/>
            </w:tcBorders>
            <w:shd w:val="clear" w:color="auto" w:fill="auto"/>
            <w:noWrap/>
            <w:vAlign w:val="bottom"/>
            <w:hideMark/>
          </w:tcPr>
          <w:p w14:paraId="23D77EA6"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19512</w:t>
            </w:r>
          </w:p>
        </w:tc>
        <w:tc>
          <w:tcPr>
            <w:tcW w:w="850" w:type="dxa"/>
            <w:tcBorders>
              <w:top w:val="single" w:sz="4" w:space="0" w:color="000000"/>
              <w:left w:val="nil"/>
              <w:bottom w:val="nil"/>
              <w:right w:val="nil"/>
            </w:tcBorders>
            <w:shd w:val="clear" w:color="auto" w:fill="auto"/>
            <w:noWrap/>
            <w:vAlign w:val="bottom"/>
            <w:hideMark/>
          </w:tcPr>
          <w:p w14:paraId="1D226938"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69990</w:t>
            </w:r>
          </w:p>
        </w:tc>
        <w:tc>
          <w:tcPr>
            <w:tcW w:w="850" w:type="dxa"/>
            <w:tcBorders>
              <w:top w:val="single" w:sz="4" w:space="0" w:color="000000"/>
              <w:left w:val="nil"/>
              <w:bottom w:val="nil"/>
              <w:right w:val="nil"/>
            </w:tcBorders>
            <w:shd w:val="clear" w:color="auto" w:fill="auto"/>
            <w:noWrap/>
            <w:vAlign w:val="bottom"/>
            <w:hideMark/>
          </w:tcPr>
          <w:p w14:paraId="4C2B44B0"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31%</w:t>
            </w:r>
          </w:p>
        </w:tc>
        <w:tc>
          <w:tcPr>
            <w:tcW w:w="850" w:type="dxa"/>
            <w:tcBorders>
              <w:top w:val="single" w:sz="4" w:space="0" w:color="000000"/>
              <w:left w:val="nil"/>
              <w:bottom w:val="nil"/>
              <w:right w:val="nil"/>
            </w:tcBorders>
            <w:shd w:val="clear" w:color="auto" w:fill="auto"/>
            <w:noWrap/>
            <w:vAlign w:val="bottom"/>
            <w:hideMark/>
          </w:tcPr>
          <w:p w14:paraId="32F6E862"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41%</w:t>
            </w:r>
          </w:p>
        </w:tc>
        <w:tc>
          <w:tcPr>
            <w:tcW w:w="850" w:type="dxa"/>
            <w:tcBorders>
              <w:top w:val="single" w:sz="4" w:space="0" w:color="000000"/>
              <w:left w:val="nil"/>
              <w:bottom w:val="nil"/>
              <w:right w:val="single" w:sz="4" w:space="0" w:color="000000"/>
            </w:tcBorders>
            <w:shd w:val="clear" w:color="auto" w:fill="auto"/>
            <w:noWrap/>
            <w:vAlign w:val="bottom"/>
            <w:hideMark/>
          </w:tcPr>
          <w:p w14:paraId="453DC647"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r>
      <w:tr w:rsidR="003A4CBF" w:rsidRPr="00C235E5" w14:paraId="52CE2D28"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051C9E4"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7CBAEC97"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23715</w:t>
            </w:r>
          </w:p>
        </w:tc>
        <w:tc>
          <w:tcPr>
            <w:tcW w:w="850" w:type="dxa"/>
            <w:tcBorders>
              <w:top w:val="single" w:sz="4" w:space="0" w:color="000000"/>
              <w:left w:val="nil"/>
              <w:bottom w:val="nil"/>
              <w:right w:val="nil"/>
            </w:tcBorders>
            <w:shd w:val="clear" w:color="auto" w:fill="auto"/>
            <w:noWrap/>
            <w:vAlign w:val="bottom"/>
            <w:hideMark/>
          </w:tcPr>
          <w:p w14:paraId="2A1368F9"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27382</w:t>
            </w:r>
          </w:p>
        </w:tc>
        <w:tc>
          <w:tcPr>
            <w:tcW w:w="850" w:type="dxa"/>
            <w:tcBorders>
              <w:top w:val="single" w:sz="4" w:space="0" w:color="000000"/>
              <w:left w:val="nil"/>
              <w:bottom w:val="nil"/>
              <w:right w:val="nil"/>
            </w:tcBorders>
            <w:shd w:val="clear" w:color="auto" w:fill="auto"/>
            <w:noWrap/>
            <w:vAlign w:val="bottom"/>
            <w:hideMark/>
          </w:tcPr>
          <w:p w14:paraId="45AEE5B5"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17166</w:t>
            </w:r>
          </w:p>
        </w:tc>
        <w:tc>
          <w:tcPr>
            <w:tcW w:w="850" w:type="dxa"/>
            <w:tcBorders>
              <w:top w:val="single" w:sz="4" w:space="0" w:color="000000"/>
              <w:left w:val="nil"/>
              <w:bottom w:val="nil"/>
              <w:right w:val="nil"/>
            </w:tcBorders>
            <w:shd w:val="clear" w:color="auto" w:fill="auto"/>
            <w:noWrap/>
            <w:vAlign w:val="bottom"/>
            <w:hideMark/>
          </w:tcPr>
          <w:p w14:paraId="61AF3502"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68263</w:t>
            </w:r>
          </w:p>
        </w:tc>
        <w:tc>
          <w:tcPr>
            <w:tcW w:w="850" w:type="dxa"/>
            <w:tcBorders>
              <w:top w:val="single" w:sz="4" w:space="0" w:color="000000"/>
              <w:left w:val="nil"/>
              <w:bottom w:val="nil"/>
              <w:right w:val="nil"/>
            </w:tcBorders>
            <w:shd w:val="clear" w:color="auto" w:fill="auto"/>
            <w:noWrap/>
            <w:vAlign w:val="bottom"/>
            <w:hideMark/>
          </w:tcPr>
          <w:p w14:paraId="199168EB"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w:t>
            </w:r>
          </w:p>
        </w:tc>
        <w:tc>
          <w:tcPr>
            <w:tcW w:w="850" w:type="dxa"/>
            <w:tcBorders>
              <w:top w:val="single" w:sz="4" w:space="0" w:color="000000"/>
              <w:left w:val="nil"/>
              <w:bottom w:val="nil"/>
              <w:right w:val="nil"/>
            </w:tcBorders>
            <w:shd w:val="clear" w:color="auto" w:fill="auto"/>
            <w:noWrap/>
            <w:vAlign w:val="bottom"/>
            <w:hideMark/>
          </w:tcPr>
          <w:p w14:paraId="7A72B504"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40%</w:t>
            </w:r>
          </w:p>
        </w:tc>
        <w:tc>
          <w:tcPr>
            <w:tcW w:w="850" w:type="dxa"/>
            <w:tcBorders>
              <w:top w:val="single" w:sz="4" w:space="0" w:color="000000"/>
              <w:left w:val="nil"/>
              <w:bottom w:val="nil"/>
              <w:right w:val="single" w:sz="4" w:space="0" w:color="000000"/>
            </w:tcBorders>
            <w:shd w:val="clear" w:color="auto" w:fill="auto"/>
            <w:noWrap/>
            <w:vAlign w:val="bottom"/>
            <w:hideMark/>
          </w:tcPr>
          <w:p w14:paraId="1D975CC1"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r>
      <w:tr w:rsidR="003A4CBF" w:rsidRPr="00C235E5" w14:paraId="03FE7A65"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4AA73797" w14:textId="77777777" w:rsidR="003A4CBF" w:rsidRPr="00C235E5" w:rsidRDefault="003A4CBF" w:rsidP="002F043E">
            <w:pPr>
              <w:spacing w:after="0" w:line="240" w:lineRule="auto"/>
              <w:rPr>
                <w:rFonts w:ascii="Times New Roman" w:eastAsia="Times New Roman" w:hAnsi="Times New Roman" w:cs="Times New Roman"/>
                <w:b/>
                <w:bCs/>
                <w:sz w:val="24"/>
                <w:szCs w:val="24"/>
                <w:lang w:val="tr-TR" w:eastAsia="tr-TR"/>
              </w:rPr>
            </w:pPr>
            <w:r w:rsidRPr="00C235E5">
              <w:rPr>
                <w:rFonts w:ascii="Times New Roman" w:eastAsia="Times New Roman" w:hAnsi="Times New Roman" w:cs="Times New Roman"/>
                <w:b/>
                <w:bCs/>
                <w:sz w:val="24"/>
                <w:szCs w:val="24"/>
                <w:lang w:val="tr-TR" w:eastAsia="tr-TR"/>
              </w:rPr>
              <w:t>FY2016</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0C0C7074"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25042</w:t>
            </w:r>
          </w:p>
        </w:tc>
        <w:tc>
          <w:tcPr>
            <w:tcW w:w="850" w:type="dxa"/>
            <w:tcBorders>
              <w:top w:val="single" w:sz="4" w:space="0" w:color="000000"/>
              <w:left w:val="nil"/>
              <w:bottom w:val="single" w:sz="4" w:space="0" w:color="000000"/>
              <w:right w:val="nil"/>
            </w:tcBorders>
            <w:shd w:val="clear" w:color="auto" w:fill="auto"/>
            <w:noWrap/>
            <w:vAlign w:val="bottom"/>
            <w:hideMark/>
          </w:tcPr>
          <w:p w14:paraId="5442C863"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26137</w:t>
            </w:r>
          </w:p>
        </w:tc>
        <w:tc>
          <w:tcPr>
            <w:tcW w:w="850" w:type="dxa"/>
            <w:tcBorders>
              <w:top w:val="single" w:sz="4" w:space="0" w:color="000000"/>
              <w:left w:val="nil"/>
              <w:bottom w:val="single" w:sz="4" w:space="0" w:color="000000"/>
              <w:right w:val="nil"/>
            </w:tcBorders>
            <w:shd w:val="clear" w:color="auto" w:fill="auto"/>
            <w:noWrap/>
            <w:vAlign w:val="bottom"/>
            <w:hideMark/>
          </w:tcPr>
          <w:p w14:paraId="210E6B4A"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16700</w:t>
            </w:r>
          </w:p>
        </w:tc>
        <w:tc>
          <w:tcPr>
            <w:tcW w:w="850" w:type="dxa"/>
            <w:tcBorders>
              <w:top w:val="single" w:sz="4" w:space="0" w:color="000000"/>
              <w:left w:val="nil"/>
              <w:bottom w:val="single" w:sz="4" w:space="0" w:color="000000"/>
              <w:right w:val="nil"/>
            </w:tcBorders>
            <w:shd w:val="clear" w:color="auto" w:fill="auto"/>
            <w:noWrap/>
            <w:vAlign w:val="bottom"/>
            <w:hideMark/>
          </w:tcPr>
          <w:p w14:paraId="4136A9E2"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67879</w:t>
            </w:r>
          </w:p>
        </w:tc>
        <w:tc>
          <w:tcPr>
            <w:tcW w:w="850" w:type="dxa"/>
            <w:tcBorders>
              <w:top w:val="single" w:sz="4" w:space="0" w:color="000000"/>
              <w:left w:val="nil"/>
              <w:bottom w:val="single" w:sz="4" w:space="0" w:color="000000"/>
              <w:right w:val="nil"/>
            </w:tcBorders>
            <w:shd w:val="clear" w:color="auto" w:fill="auto"/>
            <w:noWrap/>
            <w:vAlign w:val="bottom"/>
            <w:hideMark/>
          </w:tcPr>
          <w:p w14:paraId="69201F30"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w:t>
            </w:r>
          </w:p>
        </w:tc>
        <w:tc>
          <w:tcPr>
            <w:tcW w:w="850" w:type="dxa"/>
            <w:tcBorders>
              <w:top w:val="single" w:sz="4" w:space="0" w:color="000000"/>
              <w:left w:val="nil"/>
              <w:bottom w:val="single" w:sz="4" w:space="0" w:color="000000"/>
              <w:right w:val="nil"/>
            </w:tcBorders>
            <w:shd w:val="clear" w:color="auto" w:fill="auto"/>
            <w:noWrap/>
            <w:vAlign w:val="bottom"/>
            <w:hideMark/>
          </w:tcPr>
          <w:p w14:paraId="10595759"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4E789BD1" w14:textId="77777777" w:rsidR="003A4CBF" w:rsidRPr="00C235E5" w:rsidRDefault="003A4CBF"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r>
    </w:tbl>
    <w:p w14:paraId="091D306B" w14:textId="7F6597F3" w:rsidR="003A4CBF" w:rsidRPr="00C235E5" w:rsidRDefault="003A4CBF" w:rsidP="00792C0D">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t xml:space="preserve">Chart – </w:t>
      </w:r>
      <w:r w:rsidR="008B7502" w:rsidRPr="00C235E5">
        <w:rPr>
          <w:rFonts w:ascii="Times New Roman" w:hAnsi="Times New Roman" w:cs="Times New Roman"/>
          <w:b/>
          <w:bCs/>
          <w:sz w:val="24"/>
          <w:szCs w:val="24"/>
        </w:rPr>
        <w:t>A</w:t>
      </w:r>
      <w:r w:rsidRPr="00C235E5">
        <w:rPr>
          <w:rFonts w:ascii="Times New Roman" w:hAnsi="Times New Roman" w:cs="Times New Roman"/>
          <w:b/>
          <w:bCs/>
          <w:sz w:val="24"/>
          <w:szCs w:val="24"/>
        </w:rPr>
        <w:t xml:space="preserve">1: </w:t>
      </w:r>
      <w:r w:rsidRPr="00C235E5">
        <w:rPr>
          <w:rFonts w:ascii="Times New Roman" w:hAnsi="Times New Roman" w:cs="Times New Roman"/>
          <w:b/>
          <w:bCs/>
          <w:i/>
          <w:iCs/>
          <w:sz w:val="24"/>
          <w:szCs w:val="24"/>
        </w:rPr>
        <w:t>SAP/Sybase</w:t>
      </w:r>
      <w:r w:rsidRPr="00C235E5">
        <w:rPr>
          <w:rFonts w:ascii="Times New Roman" w:hAnsi="Times New Roman" w:cs="Times New Roman"/>
          <w:b/>
          <w:bCs/>
          <w:sz w:val="24"/>
          <w:szCs w:val="24"/>
        </w:rPr>
        <w:t xml:space="preserve"> Evolution of Total Sales</w:t>
      </w:r>
    </w:p>
    <w:p w14:paraId="2FEE902E" w14:textId="139CE462" w:rsidR="00120123" w:rsidRPr="00C235E5" w:rsidRDefault="003A4CBF" w:rsidP="0038134B">
      <w:pPr>
        <w:pStyle w:val="xxxxmsonormal"/>
        <w:spacing w:before="120" w:after="120" w:line="276" w:lineRule="auto"/>
        <w:jc w:val="center"/>
        <w:rPr>
          <w:rFonts w:ascii="Times New Roman" w:hAnsi="Times New Roman" w:cs="Times New Roman"/>
          <w:sz w:val="24"/>
          <w:szCs w:val="24"/>
        </w:rPr>
      </w:pPr>
      <w:r w:rsidRPr="00C235E5">
        <w:rPr>
          <w:rFonts w:ascii="Times New Roman" w:hAnsi="Times New Roman" w:cs="Times New Roman"/>
          <w:noProof/>
          <w:sz w:val="24"/>
          <w:szCs w:val="24"/>
        </w:rPr>
        <w:drawing>
          <wp:inline distT="0" distB="0" distL="0" distR="0" wp14:anchorId="04645ADF" wp14:editId="18FEDCB4">
            <wp:extent cx="4565138" cy="2699087"/>
            <wp:effectExtent l="0" t="0" r="6985" b="6350"/>
            <wp:docPr id="1" name="Chart 1">
              <a:extLst xmlns:a="http://schemas.openxmlformats.org/drawingml/2006/main">
                <a:ext uri="{FF2B5EF4-FFF2-40B4-BE49-F238E27FC236}">
                  <a16:creationId xmlns:a16="http://schemas.microsoft.com/office/drawing/2014/main" id="{8323AC24-B257-468F-B5F1-515451645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543DED" w14:textId="5A5CA9E5" w:rsidR="003A4CBF" w:rsidRPr="00C235E5" w:rsidRDefault="003A4CBF" w:rsidP="003A4CBF">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t xml:space="preserve">Chart – </w:t>
      </w:r>
      <w:r w:rsidR="008B7502" w:rsidRPr="00C235E5">
        <w:rPr>
          <w:rFonts w:ascii="Times New Roman" w:hAnsi="Times New Roman" w:cs="Times New Roman"/>
          <w:b/>
          <w:bCs/>
          <w:sz w:val="24"/>
          <w:szCs w:val="24"/>
        </w:rPr>
        <w:t>A</w:t>
      </w:r>
      <w:r w:rsidRPr="00C235E5">
        <w:rPr>
          <w:rFonts w:ascii="Times New Roman" w:hAnsi="Times New Roman" w:cs="Times New Roman"/>
          <w:b/>
          <w:bCs/>
          <w:sz w:val="24"/>
          <w:szCs w:val="24"/>
        </w:rPr>
        <w:t xml:space="preserve">2: </w:t>
      </w:r>
      <w:r w:rsidRPr="00C235E5">
        <w:rPr>
          <w:rFonts w:ascii="Times New Roman" w:hAnsi="Times New Roman" w:cs="Times New Roman"/>
          <w:b/>
          <w:bCs/>
          <w:i/>
          <w:iCs/>
          <w:sz w:val="24"/>
          <w:szCs w:val="24"/>
        </w:rPr>
        <w:t>SAP/Sybase</w:t>
      </w:r>
      <w:r w:rsidRPr="00C235E5">
        <w:rPr>
          <w:rFonts w:ascii="Times New Roman" w:hAnsi="Times New Roman" w:cs="Times New Roman"/>
          <w:b/>
          <w:bCs/>
          <w:sz w:val="24"/>
          <w:szCs w:val="24"/>
        </w:rPr>
        <w:t xml:space="preserve"> Evolution of Competitor Market Shares</w:t>
      </w:r>
    </w:p>
    <w:p w14:paraId="63D8849D" w14:textId="77777777" w:rsidR="003A4CBF" w:rsidRPr="00C235E5" w:rsidRDefault="003A4CBF" w:rsidP="003A4CBF">
      <w:pPr>
        <w:pStyle w:val="xxxxmsonormal"/>
        <w:spacing w:before="120" w:after="120" w:line="276" w:lineRule="auto"/>
        <w:jc w:val="center"/>
        <w:rPr>
          <w:rFonts w:ascii="Times New Roman" w:hAnsi="Times New Roman" w:cs="Times New Roman"/>
          <w:sz w:val="24"/>
          <w:szCs w:val="24"/>
        </w:rPr>
      </w:pPr>
      <w:r w:rsidRPr="00C235E5">
        <w:rPr>
          <w:rFonts w:ascii="Times New Roman" w:hAnsi="Times New Roman" w:cs="Times New Roman"/>
          <w:noProof/>
          <w:sz w:val="24"/>
          <w:szCs w:val="24"/>
        </w:rPr>
        <w:drawing>
          <wp:inline distT="0" distB="0" distL="0" distR="0" wp14:anchorId="0465A801" wp14:editId="4AEAF432">
            <wp:extent cx="4563179" cy="2699087"/>
            <wp:effectExtent l="0" t="0" r="8890" b="6350"/>
            <wp:docPr id="3" name="Chart 3">
              <a:extLst xmlns:a="http://schemas.openxmlformats.org/drawingml/2006/main">
                <a:ext uri="{FF2B5EF4-FFF2-40B4-BE49-F238E27FC236}">
                  <a16:creationId xmlns:a16="http://schemas.microsoft.com/office/drawing/2014/main" id="{79821DD4-6A0A-4B4C-8791-EA3A51ADB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3859A1" w14:textId="56A2C6A6" w:rsidR="00800CD3" w:rsidRPr="00C235E5" w:rsidRDefault="00800CD3" w:rsidP="00F42292">
      <w:pPr>
        <w:pStyle w:val="Heading2"/>
        <w:numPr>
          <w:ilvl w:val="0"/>
          <w:numId w:val="24"/>
        </w:numPr>
        <w:rPr>
          <w:rFonts w:cs="Times New Roman"/>
          <w:i w:val="0"/>
          <w:iCs/>
          <w:sz w:val="24"/>
          <w:szCs w:val="24"/>
        </w:rPr>
      </w:pPr>
      <w:r w:rsidRPr="00C235E5">
        <w:rPr>
          <w:rFonts w:cs="Times New Roman"/>
          <w:iCs/>
          <w:sz w:val="24"/>
          <w:szCs w:val="24"/>
        </w:rPr>
        <w:t>Microsoft/Skype</w:t>
      </w:r>
    </w:p>
    <w:p w14:paraId="64BB662C" w14:textId="7F4036EA" w:rsidR="00800CD3" w:rsidRPr="00792D53" w:rsidRDefault="00800CD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In 2011, Microsoft acquired Skype. The EC decision identified the relevant product market as video call services. In that market, the EC considered the main rivals of the merged entity to be Windows Live Media (owned by Microsoft), ICQ (AOL), Google, and Yahoo. We compile sales </w:t>
      </w:r>
      <w:r w:rsidRPr="00792D53">
        <w:rPr>
          <w:rFonts w:ascii="Times New Roman" w:hAnsi="Times New Roman" w:cs="Times New Roman"/>
          <w:sz w:val="24"/>
          <w:szCs w:val="24"/>
          <w:lang w:val="en-GB"/>
        </w:rPr>
        <w:lastRenderedPageBreak/>
        <w:t xml:space="preserve">data for each party. Our data starts from FY2010 to better reflect market circumstances before-and-after the transaction. The results are provided in </w:t>
      </w:r>
      <w:r w:rsidR="008B7502" w:rsidRPr="00792D53">
        <w:rPr>
          <w:rFonts w:ascii="Times New Roman" w:hAnsi="Times New Roman" w:cs="Times New Roman"/>
          <w:sz w:val="24"/>
          <w:szCs w:val="24"/>
          <w:lang w:val="en-GB"/>
        </w:rPr>
        <w:t xml:space="preserve">Table – IV </w:t>
      </w:r>
      <w:r w:rsidRPr="00792D53">
        <w:rPr>
          <w:rFonts w:ascii="Times New Roman" w:hAnsi="Times New Roman" w:cs="Times New Roman"/>
          <w:sz w:val="24"/>
          <w:szCs w:val="24"/>
          <w:lang w:val="en-GB"/>
        </w:rPr>
        <w:t xml:space="preserve">and </w:t>
      </w:r>
      <w:r w:rsidR="008B7502" w:rsidRPr="00792D53">
        <w:rPr>
          <w:rFonts w:ascii="Times New Roman" w:hAnsi="Times New Roman" w:cs="Times New Roman"/>
          <w:sz w:val="24"/>
          <w:szCs w:val="24"/>
          <w:lang w:val="en-GB"/>
        </w:rPr>
        <w:t>Charts B1 and B2</w:t>
      </w:r>
      <w:r w:rsidRPr="00792D53">
        <w:rPr>
          <w:rFonts w:ascii="Times New Roman" w:hAnsi="Times New Roman" w:cs="Times New Roman"/>
          <w:sz w:val="24"/>
          <w:szCs w:val="24"/>
          <w:lang w:val="en-GB"/>
        </w:rPr>
        <w:t xml:space="preserve"> below.</w:t>
      </w:r>
    </w:p>
    <w:p w14:paraId="5D87BD12" w14:textId="5F06EB4A" w:rsidR="00FD0D31" w:rsidRPr="00792D53" w:rsidRDefault="00F333DC"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In the table, SIC 1, 2 and 3 represent Google, Yahoo and AOL, respectively. None of these competitors provide for a breakdown of segments that fully represents the product in question (video call services). We thus rely on segment-level data. For Google, we rely on its “Google” segment, whereas for Yahoo and AOL, we focus on communications segments.</w:t>
      </w:r>
      <w:r w:rsidRPr="001F0513">
        <w:rPr>
          <w:rFonts w:ascii="Times New Roman" w:hAnsi="Times New Roman" w:cs="Times New Roman"/>
          <w:sz w:val="24"/>
          <w:szCs w:val="24"/>
          <w:vertAlign w:val="superscript"/>
          <w:lang w:val="en-GB"/>
        </w:rPr>
        <w:footnoteReference w:id="114"/>
      </w:r>
      <w:r w:rsidRPr="001F0513">
        <w:rPr>
          <w:rFonts w:ascii="Times New Roman" w:hAnsi="Times New Roman" w:cs="Times New Roman"/>
          <w:sz w:val="24"/>
          <w:szCs w:val="24"/>
          <w:vertAlign w:val="superscript"/>
          <w:lang w:val="en-GB"/>
        </w:rPr>
        <w:t xml:space="preserve"> </w:t>
      </w:r>
    </w:p>
    <w:p w14:paraId="50CAAD59" w14:textId="56F358C6" w:rsidR="00800CD3" w:rsidRPr="00C235E5" w:rsidRDefault="00800CD3" w:rsidP="00800CD3">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t xml:space="preserve">Table – </w:t>
      </w:r>
      <w:r w:rsidR="008B7502" w:rsidRPr="00C235E5">
        <w:rPr>
          <w:rFonts w:ascii="Times New Roman" w:hAnsi="Times New Roman" w:cs="Times New Roman"/>
          <w:b/>
          <w:bCs/>
          <w:sz w:val="24"/>
          <w:szCs w:val="24"/>
        </w:rPr>
        <w:t>IV</w:t>
      </w:r>
      <w:r w:rsidRPr="00C235E5">
        <w:rPr>
          <w:rFonts w:ascii="Times New Roman" w:hAnsi="Times New Roman" w:cs="Times New Roman"/>
          <w:b/>
          <w:bCs/>
          <w:sz w:val="24"/>
          <w:szCs w:val="24"/>
        </w:rPr>
        <w:t xml:space="preserve">: </w:t>
      </w:r>
      <w:r w:rsidRPr="00C235E5">
        <w:rPr>
          <w:rFonts w:ascii="Times New Roman" w:hAnsi="Times New Roman" w:cs="Times New Roman"/>
          <w:b/>
          <w:bCs/>
          <w:i/>
          <w:iCs/>
          <w:sz w:val="24"/>
          <w:szCs w:val="24"/>
        </w:rPr>
        <w:t>Microsoft/Skype</w:t>
      </w:r>
      <w:r w:rsidRPr="00C235E5">
        <w:rPr>
          <w:rFonts w:ascii="Times New Roman" w:hAnsi="Times New Roman" w:cs="Times New Roman"/>
          <w:b/>
          <w:bCs/>
          <w:sz w:val="24"/>
          <w:szCs w:val="24"/>
        </w:rPr>
        <w:t xml:space="preserve"> Figures for the SIC Test</w:t>
      </w:r>
    </w:p>
    <w:tbl>
      <w:tblPr>
        <w:tblW w:w="6800" w:type="dxa"/>
        <w:jc w:val="center"/>
        <w:tblCellMar>
          <w:left w:w="70" w:type="dxa"/>
          <w:right w:w="70" w:type="dxa"/>
        </w:tblCellMar>
        <w:tblLook w:val="04A0" w:firstRow="1" w:lastRow="0" w:firstColumn="1" w:lastColumn="0" w:noHBand="0" w:noVBand="1"/>
      </w:tblPr>
      <w:tblGrid>
        <w:gridCol w:w="1060"/>
        <w:gridCol w:w="850"/>
        <w:gridCol w:w="850"/>
        <w:gridCol w:w="850"/>
        <w:gridCol w:w="850"/>
        <w:gridCol w:w="850"/>
        <w:gridCol w:w="850"/>
        <w:gridCol w:w="850"/>
      </w:tblGrid>
      <w:tr w:rsidR="00800CD3" w:rsidRPr="00C235E5" w14:paraId="495CA9E8"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A691C22"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noWrap/>
            <w:vAlign w:val="bottom"/>
            <w:hideMark/>
          </w:tcPr>
          <w:p w14:paraId="7D68EDEF"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1</w:t>
            </w:r>
          </w:p>
        </w:tc>
        <w:tc>
          <w:tcPr>
            <w:tcW w:w="850" w:type="dxa"/>
            <w:tcBorders>
              <w:top w:val="single" w:sz="4" w:space="0" w:color="000000"/>
              <w:left w:val="nil"/>
              <w:bottom w:val="nil"/>
              <w:right w:val="nil"/>
            </w:tcBorders>
            <w:shd w:val="clear" w:color="000000" w:fill="000000"/>
            <w:noWrap/>
            <w:vAlign w:val="bottom"/>
            <w:hideMark/>
          </w:tcPr>
          <w:p w14:paraId="3D7CE2C2"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7B140CE8"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 xml:space="preserve">SIC 3 </w:t>
            </w:r>
          </w:p>
        </w:tc>
        <w:tc>
          <w:tcPr>
            <w:tcW w:w="850" w:type="dxa"/>
            <w:tcBorders>
              <w:top w:val="single" w:sz="4" w:space="0" w:color="000000"/>
              <w:left w:val="nil"/>
              <w:bottom w:val="nil"/>
              <w:right w:val="nil"/>
            </w:tcBorders>
            <w:shd w:val="clear" w:color="000000" w:fill="000000"/>
            <w:noWrap/>
            <w:vAlign w:val="bottom"/>
            <w:hideMark/>
          </w:tcPr>
          <w:p w14:paraId="4B4017B7"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74DAB5FF"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0584F4C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single" w:sz="4" w:space="0" w:color="000000"/>
            </w:tcBorders>
            <w:shd w:val="clear" w:color="000000" w:fill="000000"/>
            <w:noWrap/>
            <w:vAlign w:val="bottom"/>
            <w:hideMark/>
          </w:tcPr>
          <w:p w14:paraId="58AEEA3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r>
      <w:tr w:rsidR="00800CD3" w:rsidRPr="00C235E5" w14:paraId="19A4D2B6"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2EF0645"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FY2010</w:t>
            </w:r>
          </w:p>
        </w:tc>
        <w:tc>
          <w:tcPr>
            <w:tcW w:w="850" w:type="dxa"/>
            <w:tcBorders>
              <w:top w:val="single" w:sz="4" w:space="0" w:color="000000"/>
              <w:left w:val="single" w:sz="4" w:space="0" w:color="000000"/>
              <w:bottom w:val="nil"/>
              <w:right w:val="nil"/>
            </w:tcBorders>
            <w:shd w:val="clear" w:color="auto" w:fill="auto"/>
            <w:noWrap/>
            <w:vAlign w:val="bottom"/>
            <w:hideMark/>
          </w:tcPr>
          <w:p w14:paraId="26D0488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29321</w:t>
            </w:r>
          </w:p>
        </w:tc>
        <w:tc>
          <w:tcPr>
            <w:tcW w:w="850" w:type="dxa"/>
            <w:tcBorders>
              <w:top w:val="single" w:sz="4" w:space="0" w:color="000000"/>
              <w:left w:val="nil"/>
              <w:bottom w:val="nil"/>
              <w:right w:val="nil"/>
            </w:tcBorders>
            <w:shd w:val="clear" w:color="auto" w:fill="auto"/>
            <w:noWrap/>
            <w:vAlign w:val="bottom"/>
            <w:hideMark/>
          </w:tcPr>
          <w:p w14:paraId="1F7A42A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6324</w:t>
            </w:r>
          </w:p>
        </w:tc>
        <w:tc>
          <w:tcPr>
            <w:tcW w:w="850" w:type="dxa"/>
            <w:tcBorders>
              <w:top w:val="single" w:sz="4" w:space="0" w:color="000000"/>
              <w:left w:val="nil"/>
              <w:bottom w:val="nil"/>
              <w:right w:val="nil"/>
            </w:tcBorders>
            <w:shd w:val="clear" w:color="auto" w:fill="auto"/>
            <w:noWrap/>
            <w:vAlign w:val="bottom"/>
            <w:hideMark/>
          </w:tcPr>
          <w:p w14:paraId="305AC2B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2416</w:t>
            </w:r>
          </w:p>
        </w:tc>
        <w:tc>
          <w:tcPr>
            <w:tcW w:w="850" w:type="dxa"/>
            <w:tcBorders>
              <w:top w:val="single" w:sz="4" w:space="0" w:color="000000"/>
              <w:left w:val="nil"/>
              <w:bottom w:val="nil"/>
              <w:right w:val="nil"/>
            </w:tcBorders>
            <w:shd w:val="clear" w:color="auto" w:fill="auto"/>
            <w:noWrap/>
            <w:vAlign w:val="bottom"/>
            <w:hideMark/>
          </w:tcPr>
          <w:p w14:paraId="24ED21C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38061</w:t>
            </w:r>
          </w:p>
        </w:tc>
        <w:tc>
          <w:tcPr>
            <w:tcW w:w="850" w:type="dxa"/>
            <w:tcBorders>
              <w:top w:val="single" w:sz="4" w:space="0" w:color="000000"/>
              <w:left w:val="nil"/>
              <w:bottom w:val="nil"/>
              <w:right w:val="nil"/>
            </w:tcBorders>
            <w:shd w:val="clear" w:color="auto" w:fill="auto"/>
            <w:noWrap/>
            <w:vAlign w:val="bottom"/>
            <w:hideMark/>
          </w:tcPr>
          <w:p w14:paraId="3836933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77%</w:t>
            </w:r>
          </w:p>
        </w:tc>
        <w:tc>
          <w:tcPr>
            <w:tcW w:w="850" w:type="dxa"/>
            <w:tcBorders>
              <w:top w:val="single" w:sz="4" w:space="0" w:color="000000"/>
              <w:left w:val="nil"/>
              <w:bottom w:val="nil"/>
              <w:right w:val="nil"/>
            </w:tcBorders>
            <w:shd w:val="clear" w:color="auto" w:fill="auto"/>
            <w:noWrap/>
            <w:vAlign w:val="bottom"/>
            <w:hideMark/>
          </w:tcPr>
          <w:p w14:paraId="20BA3B0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w:t>
            </w:r>
          </w:p>
        </w:tc>
        <w:tc>
          <w:tcPr>
            <w:tcW w:w="850" w:type="dxa"/>
            <w:tcBorders>
              <w:top w:val="single" w:sz="4" w:space="0" w:color="000000"/>
              <w:left w:val="nil"/>
              <w:bottom w:val="nil"/>
              <w:right w:val="single" w:sz="4" w:space="0" w:color="000000"/>
            </w:tcBorders>
            <w:shd w:val="clear" w:color="auto" w:fill="auto"/>
            <w:noWrap/>
            <w:vAlign w:val="bottom"/>
            <w:hideMark/>
          </w:tcPr>
          <w:p w14:paraId="2376A50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w:t>
            </w:r>
          </w:p>
        </w:tc>
      </w:tr>
      <w:tr w:rsidR="00800CD3" w:rsidRPr="00C235E5" w14:paraId="78A8E592"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3343E32"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FY2011*</w:t>
            </w:r>
          </w:p>
        </w:tc>
        <w:tc>
          <w:tcPr>
            <w:tcW w:w="850" w:type="dxa"/>
            <w:tcBorders>
              <w:top w:val="single" w:sz="4" w:space="0" w:color="000000"/>
              <w:left w:val="single" w:sz="4" w:space="0" w:color="000000"/>
              <w:bottom w:val="nil"/>
              <w:right w:val="nil"/>
            </w:tcBorders>
            <w:shd w:val="clear" w:color="auto" w:fill="auto"/>
            <w:noWrap/>
            <w:vAlign w:val="bottom"/>
            <w:hideMark/>
          </w:tcPr>
          <w:p w14:paraId="6642F93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37905</w:t>
            </w:r>
          </w:p>
        </w:tc>
        <w:tc>
          <w:tcPr>
            <w:tcW w:w="850" w:type="dxa"/>
            <w:tcBorders>
              <w:top w:val="single" w:sz="4" w:space="0" w:color="000000"/>
              <w:left w:val="nil"/>
              <w:bottom w:val="nil"/>
              <w:right w:val="nil"/>
            </w:tcBorders>
            <w:shd w:val="clear" w:color="auto" w:fill="auto"/>
            <w:noWrap/>
            <w:vAlign w:val="bottom"/>
            <w:hideMark/>
          </w:tcPr>
          <w:p w14:paraId="325F0F1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4984</w:t>
            </w:r>
          </w:p>
        </w:tc>
        <w:tc>
          <w:tcPr>
            <w:tcW w:w="850" w:type="dxa"/>
            <w:tcBorders>
              <w:top w:val="single" w:sz="4" w:space="0" w:color="000000"/>
              <w:left w:val="nil"/>
              <w:bottom w:val="nil"/>
              <w:right w:val="nil"/>
            </w:tcBorders>
            <w:shd w:val="clear" w:color="auto" w:fill="auto"/>
            <w:noWrap/>
            <w:vAlign w:val="bottom"/>
            <w:hideMark/>
          </w:tcPr>
          <w:p w14:paraId="03D2BEF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2202</w:t>
            </w:r>
          </w:p>
        </w:tc>
        <w:tc>
          <w:tcPr>
            <w:tcW w:w="850" w:type="dxa"/>
            <w:tcBorders>
              <w:top w:val="single" w:sz="4" w:space="0" w:color="000000"/>
              <w:left w:val="nil"/>
              <w:bottom w:val="nil"/>
              <w:right w:val="nil"/>
            </w:tcBorders>
            <w:shd w:val="clear" w:color="auto" w:fill="auto"/>
            <w:noWrap/>
            <w:vAlign w:val="bottom"/>
            <w:hideMark/>
          </w:tcPr>
          <w:p w14:paraId="46F5133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45091</w:t>
            </w:r>
          </w:p>
        </w:tc>
        <w:tc>
          <w:tcPr>
            <w:tcW w:w="850" w:type="dxa"/>
            <w:tcBorders>
              <w:top w:val="single" w:sz="4" w:space="0" w:color="000000"/>
              <w:left w:val="nil"/>
              <w:bottom w:val="nil"/>
              <w:right w:val="nil"/>
            </w:tcBorders>
            <w:shd w:val="clear" w:color="auto" w:fill="auto"/>
            <w:noWrap/>
            <w:vAlign w:val="bottom"/>
            <w:hideMark/>
          </w:tcPr>
          <w:p w14:paraId="42EF577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84%</w:t>
            </w:r>
          </w:p>
        </w:tc>
        <w:tc>
          <w:tcPr>
            <w:tcW w:w="850" w:type="dxa"/>
            <w:tcBorders>
              <w:top w:val="single" w:sz="4" w:space="0" w:color="000000"/>
              <w:left w:val="nil"/>
              <w:bottom w:val="nil"/>
              <w:right w:val="nil"/>
            </w:tcBorders>
            <w:shd w:val="clear" w:color="auto" w:fill="auto"/>
            <w:noWrap/>
            <w:vAlign w:val="bottom"/>
            <w:hideMark/>
          </w:tcPr>
          <w:p w14:paraId="72FB16F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single" w:sz="4" w:space="0" w:color="000000"/>
            </w:tcBorders>
            <w:shd w:val="clear" w:color="auto" w:fill="auto"/>
            <w:noWrap/>
            <w:vAlign w:val="bottom"/>
            <w:hideMark/>
          </w:tcPr>
          <w:p w14:paraId="25ACFE6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w:t>
            </w:r>
          </w:p>
        </w:tc>
      </w:tr>
      <w:tr w:rsidR="00800CD3" w:rsidRPr="00C235E5" w14:paraId="0711749C"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27C13AB"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FY2012</w:t>
            </w:r>
          </w:p>
        </w:tc>
        <w:tc>
          <w:tcPr>
            <w:tcW w:w="850" w:type="dxa"/>
            <w:tcBorders>
              <w:top w:val="single" w:sz="4" w:space="0" w:color="000000"/>
              <w:left w:val="single" w:sz="4" w:space="0" w:color="000000"/>
              <w:bottom w:val="nil"/>
              <w:right w:val="nil"/>
            </w:tcBorders>
            <w:shd w:val="clear" w:color="auto" w:fill="auto"/>
            <w:noWrap/>
            <w:vAlign w:val="bottom"/>
            <w:hideMark/>
          </w:tcPr>
          <w:p w14:paraId="6D0B43E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46039</w:t>
            </w:r>
          </w:p>
        </w:tc>
        <w:tc>
          <w:tcPr>
            <w:tcW w:w="850" w:type="dxa"/>
            <w:tcBorders>
              <w:top w:val="single" w:sz="4" w:space="0" w:color="000000"/>
              <w:left w:val="nil"/>
              <w:bottom w:val="nil"/>
              <w:right w:val="nil"/>
            </w:tcBorders>
            <w:shd w:val="clear" w:color="auto" w:fill="auto"/>
            <w:noWrap/>
            <w:vAlign w:val="bottom"/>
            <w:hideMark/>
          </w:tcPr>
          <w:p w14:paraId="6438413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4986</w:t>
            </w:r>
          </w:p>
        </w:tc>
        <w:tc>
          <w:tcPr>
            <w:tcW w:w="850" w:type="dxa"/>
            <w:tcBorders>
              <w:top w:val="single" w:sz="4" w:space="0" w:color="000000"/>
              <w:left w:val="nil"/>
              <w:bottom w:val="nil"/>
              <w:right w:val="nil"/>
            </w:tcBorders>
            <w:shd w:val="clear" w:color="auto" w:fill="auto"/>
            <w:noWrap/>
            <w:vAlign w:val="bottom"/>
            <w:hideMark/>
          </w:tcPr>
          <w:p w14:paraId="5D2AE58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2191</w:t>
            </w:r>
          </w:p>
        </w:tc>
        <w:tc>
          <w:tcPr>
            <w:tcW w:w="850" w:type="dxa"/>
            <w:tcBorders>
              <w:top w:val="single" w:sz="4" w:space="0" w:color="000000"/>
              <w:left w:val="nil"/>
              <w:bottom w:val="nil"/>
              <w:right w:val="nil"/>
            </w:tcBorders>
            <w:shd w:val="clear" w:color="auto" w:fill="auto"/>
            <w:noWrap/>
            <w:vAlign w:val="bottom"/>
            <w:hideMark/>
          </w:tcPr>
          <w:p w14:paraId="51B419E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53216</w:t>
            </w:r>
          </w:p>
        </w:tc>
        <w:tc>
          <w:tcPr>
            <w:tcW w:w="850" w:type="dxa"/>
            <w:tcBorders>
              <w:top w:val="single" w:sz="4" w:space="0" w:color="000000"/>
              <w:left w:val="nil"/>
              <w:bottom w:val="nil"/>
              <w:right w:val="nil"/>
            </w:tcBorders>
            <w:shd w:val="clear" w:color="auto" w:fill="auto"/>
            <w:noWrap/>
            <w:vAlign w:val="bottom"/>
            <w:hideMark/>
          </w:tcPr>
          <w:p w14:paraId="05526CB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87%</w:t>
            </w:r>
          </w:p>
        </w:tc>
        <w:tc>
          <w:tcPr>
            <w:tcW w:w="850" w:type="dxa"/>
            <w:tcBorders>
              <w:top w:val="single" w:sz="4" w:space="0" w:color="000000"/>
              <w:left w:val="nil"/>
              <w:bottom w:val="nil"/>
              <w:right w:val="nil"/>
            </w:tcBorders>
            <w:shd w:val="clear" w:color="auto" w:fill="auto"/>
            <w:noWrap/>
            <w:vAlign w:val="bottom"/>
            <w:hideMark/>
          </w:tcPr>
          <w:p w14:paraId="4620778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c>
          <w:tcPr>
            <w:tcW w:w="850" w:type="dxa"/>
            <w:tcBorders>
              <w:top w:val="single" w:sz="4" w:space="0" w:color="000000"/>
              <w:left w:val="nil"/>
              <w:bottom w:val="nil"/>
              <w:right w:val="single" w:sz="4" w:space="0" w:color="000000"/>
            </w:tcBorders>
            <w:shd w:val="clear" w:color="auto" w:fill="auto"/>
            <w:noWrap/>
            <w:vAlign w:val="bottom"/>
            <w:hideMark/>
          </w:tcPr>
          <w:p w14:paraId="669541F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w:t>
            </w:r>
          </w:p>
        </w:tc>
      </w:tr>
      <w:tr w:rsidR="00800CD3" w:rsidRPr="00C235E5" w14:paraId="09D33C6A"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43B33527"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FY2013</w:t>
            </w:r>
          </w:p>
        </w:tc>
        <w:tc>
          <w:tcPr>
            <w:tcW w:w="850" w:type="dxa"/>
            <w:tcBorders>
              <w:top w:val="single" w:sz="4" w:space="0" w:color="000000"/>
              <w:left w:val="single" w:sz="4" w:space="0" w:color="000000"/>
              <w:bottom w:val="nil"/>
              <w:right w:val="nil"/>
            </w:tcBorders>
            <w:shd w:val="clear" w:color="auto" w:fill="auto"/>
            <w:noWrap/>
            <w:vAlign w:val="bottom"/>
            <w:hideMark/>
          </w:tcPr>
          <w:p w14:paraId="4D0AE0A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55507</w:t>
            </w:r>
          </w:p>
        </w:tc>
        <w:tc>
          <w:tcPr>
            <w:tcW w:w="850" w:type="dxa"/>
            <w:tcBorders>
              <w:top w:val="single" w:sz="4" w:space="0" w:color="000000"/>
              <w:left w:val="nil"/>
              <w:bottom w:val="nil"/>
              <w:right w:val="nil"/>
            </w:tcBorders>
            <w:shd w:val="clear" w:color="auto" w:fill="auto"/>
            <w:noWrap/>
            <w:vAlign w:val="bottom"/>
            <w:hideMark/>
          </w:tcPr>
          <w:p w14:paraId="3559251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4680</w:t>
            </w:r>
          </w:p>
        </w:tc>
        <w:tc>
          <w:tcPr>
            <w:tcW w:w="850" w:type="dxa"/>
            <w:tcBorders>
              <w:top w:val="single" w:sz="4" w:space="0" w:color="000000"/>
              <w:left w:val="nil"/>
              <w:bottom w:val="nil"/>
              <w:right w:val="nil"/>
            </w:tcBorders>
            <w:shd w:val="clear" w:color="auto" w:fill="auto"/>
            <w:noWrap/>
            <w:vAlign w:val="bottom"/>
            <w:hideMark/>
          </w:tcPr>
          <w:p w14:paraId="37F07C3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2319</w:t>
            </w:r>
          </w:p>
        </w:tc>
        <w:tc>
          <w:tcPr>
            <w:tcW w:w="850" w:type="dxa"/>
            <w:tcBorders>
              <w:top w:val="single" w:sz="4" w:space="0" w:color="000000"/>
              <w:left w:val="nil"/>
              <w:bottom w:val="nil"/>
              <w:right w:val="nil"/>
            </w:tcBorders>
            <w:shd w:val="clear" w:color="auto" w:fill="auto"/>
            <w:noWrap/>
            <w:vAlign w:val="bottom"/>
            <w:hideMark/>
          </w:tcPr>
          <w:p w14:paraId="1FDAC8F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62506</w:t>
            </w:r>
          </w:p>
        </w:tc>
        <w:tc>
          <w:tcPr>
            <w:tcW w:w="850" w:type="dxa"/>
            <w:tcBorders>
              <w:top w:val="single" w:sz="4" w:space="0" w:color="000000"/>
              <w:left w:val="nil"/>
              <w:bottom w:val="nil"/>
              <w:right w:val="nil"/>
            </w:tcBorders>
            <w:shd w:val="clear" w:color="auto" w:fill="auto"/>
            <w:noWrap/>
            <w:vAlign w:val="bottom"/>
            <w:hideMark/>
          </w:tcPr>
          <w:p w14:paraId="275C63E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89%</w:t>
            </w:r>
          </w:p>
        </w:tc>
        <w:tc>
          <w:tcPr>
            <w:tcW w:w="850" w:type="dxa"/>
            <w:tcBorders>
              <w:top w:val="single" w:sz="4" w:space="0" w:color="000000"/>
              <w:left w:val="nil"/>
              <w:bottom w:val="nil"/>
              <w:right w:val="nil"/>
            </w:tcBorders>
            <w:shd w:val="clear" w:color="auto" w:fill="auto"/>
            <w:noWrap/>
            <w:vAlign w:val="bottom"/>
            <w:hideMark/>
          </w:tcPr>
          <w:p w14:paraId="1E725DC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w:t>
            </w:r>
          </w:p>
        </w:tc>
        <w:tc>
          <w:tcPr>
            <w:tcW w:w="850" w:type="dxa"/>
            <w:tcBorders>
              <w:top w:val="single" w:sz="4" w:space="0" w:color="000000"/>
              <w:left w:val="nil"/>
              <w:bottom w:val="nil"/>
              <w:right w:val="single" w:sz="4" w:space="0" w:color="000000"/>
            </w:tcBorders>
            <w:shd w:val="clear" w:color="auto" w:fill="auto"/>
            <w:noWrap/>
            <w:vAlign w:val="bottom"/>
            <w:hideMark/>
          </w:tcPr>
          <w:p w14:paraId="24847D9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w:t>
            </w:r>
          </w:p>
        </w:tc>
      </w:tr>
      <w:tr w:rsidR="00800CD3" w:rsidRPr="00C235E5" w14:paraId="3A00E57A"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7C15C38"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FY2014</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1FFB7C2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65674</w:t>
            </w:r>
          </w:p>
        </w:tc>
        <w:tc>
          <w:tcPr>
            <w:tcW w:w="850" w:type="dxa"/>
            <w:tcBorders>
              <w:top w:val="single" w:sz="4" w:space="0" w:color="000000"/>
              <w:left w:val="nil"/>
              <w:bottom w:val="single" w:sz="4" w:space="0" w:color="000000"/>
              <w:right w:val="nil"/>
            </w:tcBorders>
            <w:shd w:val="clear" w:color="auto" w:fill="auto"/>
            <w:noWrap/>
            <w:vAlign w:val="bottom"/>
            <w:hideMark/>
          </w:tcPr>
          <w:p w14:paraId="0DD7AE2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4618</w:t>
            </w:r>
          </w:p>
        </w:tc>
        <w:tc>
          <w:tcPr>
            <w:tcW w:w="850" w:type="dxa"/>
            <w:tcBorders>
              <w:top w:val="single" w:sz="4" w:space="0" w:color="000000"/>
              <w:left w:val="nil"/>
              <w:bottom w:val="single" w:sz="4" w:space="0" w:color="000000"/>
              <w:right w:val="nil"/>
            </w:tcBorders>
            <w:shd w:val="clear" w:color="auto" w:fill="auto"/>
            <w:noWrap/>
            <w:vAlign w:val="bottom"/>
            <w:hideMark/>
          </w:tcPr>
          <w:p w14:paraId="2640E5E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2527</w:t>
            </w:r>
          </w:p>
        </w:tc>
        <w:tc>
          <w:tcPr>
            <w:tcW w:w="850" w:type="dxa"/>
            <w:tcBorders>
              <w:top w:val="single" w:sz="4" w:space="0" w:color="000000"/>
              <w:left w:val="nil"/>
              <w:bottom w:val="single" w:sz="4" w:space="0" w:color="000000"/>
              <w:right w:val="nil"/>
            </w:tcBorders>
            <w:shd w:val="clear" w:color="auto" w:fill="auto"/>
            <w:noWrap/>
            <w:vAlign w:val="bottom"/>
            <w:hideMark/>
          </w:tcPr>
          <w:p w14:paraId="22C0EA0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72819</w:t>
            </w:r>
          </w:p>
        </w:tc>
        <w:tc>
          <w:tcPr>
            <w:tcW w:w="850" w:type="dxa"/>
            <w:tcBorders>
              <w:top w:val="single" w:sz="4" w:space="0" w:color="000000"/>
              <w:left w:val="nil"/>
              <w:bottom w:val="single" w:sz="4" w:space="0" w:color="000000"/>
              <w:right w:val="nil"/>
            </w:tcBorders>
            <w:shd w:val="clear" w:color="auto" w:fill="auto"/>
            <w:noWrap/>
            <w:vAlign w:val="bottom"/>
            <w:hideMark/>
          </w:tcPr>
          <w:p w14:paraId="5DDE9B8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90%</w:t>
            </w:r>
          </w:p>
        </w:tc>
        <w:tc>
          <w:tcPr>
            <w:tcW w:w="850" w:type="dxa"/>
            <w:tcBorders>
              <w:top w:val="single" w:sz="4" w:space="0" w:color="000000"/>
              <w:left w:val="nil"/>
              <w:bottom w:val="single" w:sz="4" w:space="0" w:color="000000"/>
              <w:right w:val="nil"/>
            </w:tcBorders>
            <w:shd w:val="clear" w:color="auto" w:fill="auto"/>
            <w:noWrap/>
            <w:vAlign w:val="bottom"/>
            <w:hideMark/>
          </w:tcPr>
          <w:p w14:paraId="40008DF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7052F7F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w:t>
            </w:r>
          </w:p>
        </w:tc>
      </w:tr>
    </w:tbl>
    <w:p w14:paraId="4F704C44" w14:textId="4FB4A747" w:rsidR="00800CD3" w:rsidRPr="00C235E5" w:rsidRDefault="00800CD3" w:rsidP="00F333DC">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t xml:space="preserve">Chart – </w:t>
      </w:r>
      <w:r w:rsidR="00684F71" w:rsidRPr="00C235E5">
        <w:rPr>
          <w:rFonts w:ascii="Times New Roman" w:hAnsi="Times New Roman" w:cs="Times New Roman"/>
          <w:b/>
          <w:bCs/>
          <w:sz w:val="24"/>
          <w:szCs w:val="24"/>
        </w:rPr>
        <w:t>B1</w:t>
      </w:r>
      <w:r w:rsidRPr="00C235E5">
        <w:rPr>
          <w:rFonts w:ascii="Times New Roman" w:hAnsi="Times New Roman" w:cs="Times New Roman"/>
          <w:b/>
          <w:bCs/>
          <w:sz w:val="24"/>
          <w:szCs w:val="24"/>
        </w:rPr>
        <w:t xml:space="preserve">: </w:t>
      </w:r>
      <w:r w:rsidRPr="00C235E5">
        <w:rPr>
          <w:rFonts w:ascii="Times New Roman" w:hAnsi="Times New Roman" w:cs="Times New Roman"/>
          <w:b/>
          <w:bCs/>
          <w:i/>
          <w:iCs/>
          <w:sz w:val="24"/>
          <w:szCs w:val="24"/>
        </w:rPr>
        <w:t>Microsoft/Skype</w:t>
      </w:r>
      <w:r w:rsidRPr="00C235E5">
        <w:rPr>
          <w:rFonts w:ascii="Times New Roman" w:hAnsi="Times New Roman" w:cs="Times New Roman"/>
          <w:b/>
          <w:bCs/>
          <w:sz w:val="24"/>
          <w:szCs w:val="24"/>
        </w:rPr>
        <w:t xml:space="preserve"> Evolution of Total Sales</w:t>
      </w:r>
    </w:p>
    <w:p w14:paraId="61D6BDBB" w14:textId="12C12F14" w:rsidR="00F333DC" w:rsidRPr="00C235E5" w:rsidRDefault="00800CD3" w:rsidP="005E0EAC">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noProof/>
          <w:sz w:val="24"/>
          <w:szCs w:val="24"/>
        </w:rPr>
        <w:drawing>
          <wp:inline distT="0" distB="0" distL="0" distR="0" wp14:anchorId="1C504C3A" wp14:editId="4F8902A5">
            <wp:extent cx="4548038" cy="2725227"/>
            <wp:effectExtent l="0" t="0" r="5080" b="18415"/>
            <wp:docPr id="5" name="Chart 5">
              <a:extLst xmlns:a="http://schemas.openxmlformats.org/drawingml/2006/main">
                <a:ext uri="{FF2B5EF4-FFF2-40B4-BE49-F238E27FC236}">
                  <a16:creationId xmlns:a16="http://schemas.microsoft.com/office/drawing/2014/main" id="{D46FC96D-8BA3-41FE-A5C6-66B507A55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333DC" w:rsidRPr="00C235E5">
        <w:rPr>
          <w:rFonts w:ascii="Times New Roman" w:hAnsi="Times New Roman" w:cs="Times New Roman"/>
          <w:b/>
          <w:bCs/>
          <w:sz w:val="24"/>
          <w:szCs w:val="24"/>
        </w:rPr>
        <w:br w:type="page"/>
      </w:r>
    </w:p>
    <w:p w14:paraId="59B40F1F" w14:textId="5DA01872" w:rsidR="00800CD3" w:rsidRPr="00C235E5" w:rsidRDefault="00800CD3" w:rsidP="00800CD3">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lastRenderedPageBreak/>
        <w:t xml:space="preserve">Chart – </w:t>
      </w:r>
      <w:r w:rsidR="00684F71" w:rsidRPr="00C235E5">
        <w:rPr>
          <w:rFonts w:ascii="Times New Roman" w:hAnsi="Times New Roman" w:cs="Times New Roman"/>
          <w:b/>
          <w:bCs/>
          <w:sz w:val="24"/>
          <w:szCs w:val="24"/>
        </w:rPr>
        <w:t>B</w:t>
      </w:r>
      <w:r w:rsidRPr="00C235E5">
        <w:rPr>
          <w:rFonts w:ascii="Times New Roman" w:hAnsi="Times New Roman" w:cs="Times New Roman"/>
          <w:b/>
          <w:bCs/>
          <w:sz w:val="24"/>
          <w:szCs w:val="24"/>
        </w:rPr>
        <w:t xml:space="preserve">2: </w:t>
      </w:r>
      <w:r w:rsidRPr="00C235E5">
        <w:rPr>
          <w:rFonts w:ascii="Times New Roman" w:hAnsi="Times New Roman" w:cs="Times New Roman"/>
          <w:b/>
          <w:bCs/>
          <w:i/>
          <w:iCs/>
          <w:sz w:val="24"/>
          <w:szCs w:val="24"/>
        </w:rPr>
        <w:t>Microsoft/Skype</w:t>
      </w:r>
      <w:r w:rsidRPr="00C235E5">
        <w:rPr>
          <w:rFonts w:ascii="Times New Roman" w:hAnsi="Times New Roman" w:cs="Times New Roman"/>
          <w:b/>
          <w:bCs/>
          <w:sz w:val="24"/>
          <w:szCs w:val="24"/>
        </w:rPr>
        <w:t xml:space="preserve"> Evolution of Competitor Market Shares</w:t>
      </w:r>
    </w:p>
    <w:p w14:paraId="2FD8D74B" w14:textId="42FA6477" w:rsidR="00800CD3" w:rsidRPr="00C235E5" w:rsidRDefault="00800CD3" w:rsidP="00F333DC">
      <w:pPr>
        <w:pStyle w:val="xxxxmsonormal"/>
        <w:spacing w:before="120" w:after="120" w:line="276" w:lineRule="auto"/>
        <w:jc w:val="center"/>
        <w:rPr>
          <w:rFonts w:ascii="Times New Roman" w:hAnsi="Times New Roman" w:cs="Times New Roman"/>
          <w:sz w:val="24"/>
          <w:szCs w:val="24"/>
        </w:rPr>
      </w:pPr>
      <w:r w:rsidRPr="00C235E5">
        <w:rPr>
          <w:rFonts w:ascii="Times New Roman" w:hAnsi="Times New Roman" w:cs="Times New Roman"/>
          <w:noProof/>
          <w:sz w:val="24"/>
          <w:szCs w:val="24"/>
        </w:rPr>
        <w:drawing>
          <wp:inline distT="0" distB="0" distL="0" distR="0" wp14:anchorId="563748E9" wp14:editId="21F4EBBD">
            <wp:extent cx="4577990" cy="2725227"/>
            <wp:effectExtent l="0" t="0" r="13335" b="18415"/>
            <wp:docPr id="7" name="Chart 7">
              <a:extLst xmlns:a="http://schemas.openxmlformats.org/drawingml/2006/main">
                <a:ext uri="{FF2B5EF4-FFF2-40B4-BE49-F238E27FC236}">
                  <a16:creationId xmlns:a16="http://schemas.microsoft.com/office/drawing/2014/main" id="{A63C8710-9A69-41D7-9007-E4A7A724A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552EF7" w14:textId="79A529F2" w:rsidR="00800CD3" w:rsidRPr="00C235E5" w:rsidRDefault="00800CD3" w:rsidP="00F42292">
      <w:pPr>
        <w:pStyle w:val="Heading2"/>
        <w:numPr>
          <w:ilvl w:val="0"/>
          <w:numId w:val="24"/>
        </w:numPr>
        <w:rPr>
          <w:rFonts w:cs="Times New Roman"/>
          <w:i w:val="0"/>
          <w:iCs/>
          <w:sz w:val="24"/>
          <w:szCs w:val="24"/>
        </w:rPr>
      </w:pPr>
      <w:r w:rsidRPr="00C235E5">
        <w:rPr>
          <w:rFonts w:cs="Times New Roman"/>
          <w:iCs/>
          <w:sz w:val="24"/>
          <w:szCs w:val="24"/>
        </w:rPr>
        <w:t>Apple/Beats</w:t>
      </w:r>
    </w:p>
    <w:p w14:paraId="41926B80" w14:textId="6857E106" w:rsidR="00800CD3" w:rsidRPr="00792D53" w:rsidRDefault="00800CD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In 2014, Apple acquired Beats, a producer of headphones and audio speakers. The EC decision identified the relevant product market as headphones. In that market, the EC considered that Beats and Apple’s rivals were Sennheiser, Sony, Bose, and JVC. Only Sony and JVC are publicly traded firms. Our analysis in </w:t>
      </w:r>
      <w:r w:rsidR="00684F71" w:rsidRPr="00792D53">
        <w:rPr>
          <w:rFonts w:ascii="Times New Roman" w:hAnsi="Times New Roman" w:cs="Times New Roman"/>
          <w:sz w:val="24"/>
          <w:szCs w:val="24"/>
          <w:lang w:val="en-GB"/>
        </w:rPr>
        <w:t xml:space="preserve">Table – V </w:t>
      </w:r>
      <w:r w:rsidRPr="00792D53">
        <w:rPr>
          <w:rFonts w:ascii="Times New Roman" w:hAnsi="Times New Roman" w:cs="Times New Roman"/>
          <w:sz w:val="24"/>
          <w:szCs w:val="24"/>
          <w:lang w:val="en-GB"/>
        </w:rPr>
        <w:t xml:space="preserve">and </w:t>
      </w:r>
      <w:r w:rsidR="00684F71" w:rsidRPr="00792D53">
        <w:rPr>
          <w:rFonts w:ascii="Times New Roman" w:hAnsi="Times New Roman" w:cs="Times New Roman"/>
          <w:sz w:val="24"/>
          <w:szCs w:val="24"/>
          <w:lang w:val="en-GB"/>
        </w:rPr>
        <w:t xml:space="preserve">Charts </w:t>
      </w:r>
      <w:r w:rsidR="00914CBA" w:rsidRPr="00792D53">
        <w:rPr>
          <w:rFonts w:ascii="Times New Roman" w:hAnsi="Times New Roman" w:cs="Times New Roman"/>
          <w:sz w:val="24"/>
          <w:szCs w:val="24"/>
          <w:lang w:val="en-GB"/>
        </w:rPr>
        <w:t>C1 and C2</w:t>
      </w:r>
      <w:r w:rsidRPr="00792D53">
        <w:rPr>
          <w:rFonts w:ascii="Times New Roman" w:hAnsi="Times New Roman" w:cs="Times New Roman"/>
          <w:sz w:val="24"/>
          <w:szCs w:val="24"/>
          <w:lang w:val="en-GB"/>
        </w:rPr>
        <w:t xml:space="preserve"> below concerns only these competitors.</w:t>
      </w:r>
    </w:p>
    <w:p w14:paraId="0E60912E" w14:textId="5C436017" w:rsidR="00792C0D" w:rsidRDefault="00257E4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In the table, SIC 1 and 2 represent Sony and JVC, respectively. For JVC, we consider total revenues. We apply this treatment to JVC, because it is primarily a manufacturer of media devices like headphones and players. For Sony, we rely on sales value recorded under “Components” until 2017, and “Audio and Video” onwards, which include headphones.</w:t>
      </w:r>
    </w:p>
    <w:p w14:paraId="3D4D5F07" w14:textId="035B370A" w:rsidR="00257E43" w:rsidRPr="00792D53" w:rsidRDefault="00792C0D" w:rsidP="00792C0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932F49A" w14:textId="29E945A7" w:rsidR="00800CD3" w:rsidRPr="00C235E5" w:rsidRDefault="00800CD3" w:rsidP="00800CD3">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lastRenderedPageBreak/>
        <w:t xml:space="preserve">Table – </w:t>
      </w:r>
      <w:r w:rsidR="00914CBA" w:rsidRPr="00C235E5">
        <w:rPr>
          <w:rFonts w:ascii="Times New Roman" w:hAnsi="Times New Roman" w:cs="Times New Roman"/>
          <w:b/>
          <w:bCs/>
          <w:sz w:val="24"/>
          <w:szCs w:val="24"/>
        </w:rPr>
        <w:t>V</w:t>
      </w:r>
      <w:r w:rsidRPr="00C235E5">
        <w:rPr>
          <w:rFonts w:ascii="Times New Roman" w:hAnsi="Times New Roman" w:cs="Times New Roman"/>
          <w:b/>
          <w:bCs/>
          <w:sz w:val="24"/>
          <w:szCs w:val="24"/>
        </w:rPr>
        <w:t xml:space="preserve">: </w:t>
      </w:r>
      <w:r w:rsidRPr="00C235E5">
        <w:rPr>
          <w:rFonts w:ascii="Times New Roman" w:hAnsi="Times New Roman" w:cs="Times New Roman"/>
          <w:b/>
          <w:bCs/>
          <w:i/>
          <w:iCs/>
          <w:sz w:val="24"/>
          <w:szCs w:val="24"/>
        </w:rPr>
        <w:t>Apple/Beats</w:t>
      </w:r>
      <w:r w:rsidRPr="00C235E5">
        <w:rPr>
          <w:rFonts w:ascii="Times New Roman" w:hAnsi="Times New Roman" w:cs="Times New Roman"/>
          <w:b/>
          <w:bCs/>
          <w:sz w:val="24"/>
          <w:szCs w:val="24"/>
        </w:rPr>
        <w:t xml:space="preserve"> Figures for the SIC Test</w:t>
      </w:r>
    </w:p>
    <w:tbl>
      <w:tblPr>
        <w:tblW w:w="5100" w:type="dxa"/>
        <w:jc w:val="center"/>
        <w:tblCellMar>
          <w:left w:w="70" w:type="dxa"/>
          <w:right w:w="70" w:type="dxa"/>
        </w:tblCellMar>
        <w:tblLook w:val="04A0" w:firstRow="1" w:lastRow="0" w:firstColumn="1" w:lastColumn="0" w:noHBand="0" w:noVBand="1"/>
      </w:tblPr>
      <w:tblGrid>
        <w:gridCol w:w="1060"/>
        <w:gridCol w:w="1260"/>
        <w:gridCol w:w="850"/>
        <w:gridCol w:w="850"/>
        <w:gridCol w:w="850"/>
        <w:gridCol w:w="850"/>
      </w:tblGrid>
      <w:tr w:rsidR="00800CD3" w:rsidRPr="00C235E5" w14:paraId="70D78FE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2DE8F64"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vAlign w:val="bottom"/>
            <w:hideMark/>
          </w:tcPr>
          <w:p w14:paraId="4F2FA1D4"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Sales of identified competitor (SIC) 1</w:t>
            </w:r>
          </w:p>
        </w:tc>
        <w:tc>
          <w:tcPr>
            <w:tcW w:w="850" w:type="dxa"/>
            <w:tcBorders>
              <w:top w:val="single" w:sz="4" w:space="0" w:color="000000"/>
              <w:left w:val="nil"/>
              <w:bottom w:val="nil"/>
              <w:right w:val="nil"/>
            </w:tcBorders>
            <w:shd w:val="clear" w:color="000000" w:fill="000000"/>
            <w:noWrap/>
            <w:vAlign w:val="bottom"/>
            <w:hideMark/>
          </w:tcPr>
          <w:p w14:paraId="71602C30"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118C160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463646FD"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single" w:sz="4" w:space="0" w:color="000000"/>
            </w:tcBorders>
            <w:shd w:val="clear" w:color="000000" w:fill="000000"/>
            <w:noWrap/>
            <w:vAlign w:val="bottom"/>
            <w:hideMark/>
          </w:tcPr>
          <w:p w14:paraId="2B4E2B1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r>
      <w:tr w:rsidR="00800CD3" w:rsidRPr="00C235E5" w14:paraId="37A62A3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8B98C5C"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FY2013</w:t>
            </w:r>
          </w:p>
        </w:tc>
        <w:tc>
          <w:tcPr>
            <w:tcW w:w="850" w:type="dxa"/>
            <w:tcBorders>
              <w:top w:val="single" w:sz="4" w:space="0" w:color="000000"/>
              <w:left w:val="single" w:sz="4" w:space="0" w:color="000000"/>
              <w:bottom w:val="nil"/>
              <w:right w:val="nil"/>
            </w:tcBorders>
            <w:shd w:val="clear" w:color="auto" w:fill="auto"/>
            <w:noWrap/>
            <w:vAlign w:val="bottom"/>
            <w:hideMark/>
          </w:tcPr>
          <w:p w14:paraId="214A52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2780</w:t>
            </w:r>
          </w:p>
        </w:tc>
        <w:tc>
          <w:tcPr>
            <w:tcW w:w="850" w:type="dxa"/>
            <w:tcBorders>
              <w:top w:val="single" w:sz="4" w:space="0" w:color="000000"/>
              <w:left w:val="nil"/>
              <w:bottom w:val="nil"/>
              <w:right w:val="nil"/>
            </w:tcBorders>
            <w:shd w:val="clear" w:color="auto" w:fill="auto"/>
            <w:noWrap/>
            <w:vAlign w:val="bottom"/>
            <w:hideMark/>
          </w:tcPr>
          <w:p w14:paraId="3B444C9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2986</w:t>
            </w:r>
          </w:p>
        </w:tc>
        <w:tc>
          <w:tcPr>
            <w:tcW w:w="850" w:type="dxa"/>
            <w:tcBorders>
              <w:top w:val="single" w:sz="4" w:space="0" w:color="000000"/>
              <w:left w:val="nil"/>
              <w:bottom w:val="nil"/>
              <w:right w:val="nil"/>
            </w:tcBorders>
            <w:shd w:val="clear" w:color="auto" w:fill="auto"/>
            <w:noWrap/>
            <w:vAlign w:val="bottom"/>
            <w:hideMark/>
          </w:tcPr>
          <w:p w14:paraId="463BC11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5766</w:t>
            </w:r>
          </w:p>
        </w:tc>
        <w:tc>
          <w:tcPr>
            <w:tcW w:w="850" w:type="dxa"/>
            <w:tcBorders>
              <w:top w:val="single" w:sz="4" w:space="0" w:color="000000"/>
              <w:left w:val="nil"/>
              <w:bottom w:val="nil"/>
              <w:right w:val="nil"/>
            </w:tcBorders>
            <w:shd w:val="clear" w:color="auto" w:fill="auto"/>
            <w:noWrap/>
            <w:vAlign w:val="bottom"/>
            <w:hideMark/>
          </w:tcPr>
          <w:p w14:paraId="7D6B163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48%</w:t>
            </w:r>
          </w:p>
        </w:tc>
        <w:tc>
          <w:tcPr>
            <w:tcW w:w="850" w:type="dxa"/>
            <w:tcBorders>
              <w:top w:val="single" w:sz="4" w:space="0" w:color="000000"/>
              <w:left w:val="nil"/>
              <w:bottom w:val="nil"/>
              <w:right w:val="single" w:sz="4" w:space="0" w:color="000000"/>
            </w:tcBorders>
            <w:shd w:val="clear" w:color="auto" w:fill="auto"/>
            <w:noWrap/>
            <w:vAlign w:val="bottom"/>
            <w:hideMark/>
          </w:tcPr>
          <w:p w14:paraId="1041640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52%</w:t>
            </w:r>
          </w:p>
        </w:tc>
      </w:tr>
      <w:tr w:rsidR="00800CD3" w:rsidRPr="00C235E5" w14:paraId="727D4E10"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CAF68FB"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FY2014*</w:t>
            </w:r>
          </w:p>
        </w:tc>
        <w:tc>
          <w:tcPr>
            <w:tcW w:w="850" w:type="dxa"/>
            <w:tcBorders>
              <w:top w:val="single" w:sz="4" w:space="0" w:color="000000"/>
              <w:left w:val="single" w:sz="4" w:space="0" w:color="000000"/>
              <w:bottom w:val="nil"/>
              <w:right w:val="nil"/>
            </w:tcBorders>
            <w:shd w:val="clear" w:color="auto" w:fill="auto"/>
            <w:noWrap/>
            <w:vAlign w:val="bottom"/>
            <w:hideMark/>
          </w:tcPr>
          <w:p w14:paraId="705B6AE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2358</w:t>
            </w:r>
          </w:p>
        </w:tc>
        <w:tc>
          <w:tcPr>
            <w:tcW w:w="850" w:type="dxa"/>
            <w:tcBorders>
              <w:top w:val="single" w:sz="4" w:space="0" w:color="000000"/>
              <w:left w:val="nil"/>
              <w:bottom w:val="nil"/>
              <w:right w:val="nil"/>
            </w:tcBorders>
            <w:shd w:val="clear" w:color="auto" w:fill="auto"/>
            <w:noWrap/>
            <w:vAlign w:val="bottom"/>
            <w:hideMark/>
          </w:tcPr>
          <w:p w14:paraId="7E220F2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2355</w:t>
            </w:r>
          </w:p>
        </w:tc>
        <w:tc>
          <w:tcPr>
            <w:tcW w:w="850" w:type="dxa"/>
            <w:tcBorders>
              <w:top w:val="single" w:sz="4" w:space="0" w:color="000000"/>
              <w:left w:val="nil"/>
              <w:bottom w:val="nil"/>
              <w:right w:val="nil"/>
            </w:tcBorders>
            <w:shd w:val="clear" w:color="auto" w:fill="auto"/>
            <w:noWrap/>
            <w:vAlign w:val="bottom"/>
            <w:hideMark/>
          </w:tcPr>
          <w:p w14:paraId="7BABBA7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4713</w:t>
            </w:r>
          </w:p>
        </w:tc>
        <w:tc>
          <w:tcPr>
            <w:tcW w:w="850" w:type="dxa"/>
            <w:tcBorders>
              <w:top w:val="single" w:sz="4" w:space="0" w:color="000000"/>
              <w:left w:val="nil"/>
              <w:bottom w:val="nil"/>
              <w:right w:val="nil"/>
            </w:tcBorders>
            <w:shd w:val="clear" w:color="auto" w:fill="auto"/>
            <w:noWrap/>
            <w:vAlign w:val="bottom"/>
            <w:hideMark/>
          </w:tcPr>
          <w:p w14:paraId="061D076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50%</w:t>
            </w:r>
          </w:p>
        </w:tc>
        <w:tc>
          <w:tcPr>
            <w:tcW w:w="850" w:type="dxa"/>
            <w:tcBorders>
              <w:top w:val="single" w:sz="4" w:space="0" w:color="000000"/>
              <w:left w:val="nil"/>
              <w:bottom w:val="nil"/>
              <w:right w:val="single" w:sz="4" w:space="0" w:color="000000"/>
            </w:tcBorders>
            <w:shd w:val="clear" w:color="auto" w:fill="auto"/>
            <w:noWrap/>
            <w:vAlign w:val="bottom"/>
            <w:hideMark/>
          </w:tcPr>
          <w:p w14:paraId="22B0C4D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50%</w:t>
            </w:r>
          </w:p>
        </w:tc>
      </w:tr>
      <w:tr w:rsidR="00800CD3" w:rsidRPr="00C235E5" w14:paraId="29F5ED1B"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4C28BEB6"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5229328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2071</w:t>
            </w:r>
          </w:p>
        </w:tc>
        <w:tc>
          <w:tcPr>
            <w:tcW w:w="850" w:type="dxa"/>
            <w:tcBorders>
              <w:top w:val="single" w:sz="4" w:space="0" w:color="000000"/>
              <w:left w:val="nil"/>
              <w:bottom w:val="nil"/>
              <w:right w:val="nil"/>
            </w:tcBorders>
            <w:shd w:val="clear" w:color="auto" w:fill="auto"/>
            <w:noWrap/>
            <w:vAlign w:val="bottom"/>
            <w:hideMark/>
          </w:tcPr>
          <w:p w14:paraId="1184E3F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2412</w:t>
            </w:r>
          </w:p>
        </w:tc>
        <w:tc>
          <w:tcPr>
            <w:tcW w:w="850" w:type="dxa"/>
            <w:tcBorders>
              <w:top w:val="single" w:sz="4" w:space="0" w:color="000000"/>
              <w:left w:val="nil"/>
              <w:bottom w:val="nil"/>
              <w:right w:val="nil"/>
            </w:tcBorders>
            <w:shd w:val="clear" w:color="auto" w:fill="auto"/>
            <w:noWrap/>
            <w:vAlign w:val="bottom"/>
            <w:hideMark/>
          </w:tcPr>
          <w:p w14:paraId="3229B8D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4483</w:t>
            </w:r>
          </w:p>
        </w:tc>
        <w:tc>
          <w:tcPr>
            <w:tcW w:w="850" w:type="dxa"/>
            <w:tcBorders>
              <w:top w:val="single" w:sz="4" w:space="0" w:color="000000"/>
              <w:left w:val="nil"/>
              <w:bottom w:val="nil"/>
              <w:right w:val="nil"/>
            </w:tcBorders>
            <w:shd w:val="clear" w:color="auto" w:fill="auto"/>
            <w:noWrap/>
            <w:vAlign w:val="bottom"/>
            <w:hideMark/>
          </w:tcPr>
          <w:p w14:paraId="05A6037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46%</w:t>
            </w:r>
          </w:p>
        </w:tc>
        <w:tc>
          <w:tcPr>
            <w:tcW w:w="850" w:type="dxa"/>
            <w:tcBorders>
              <w:top w:val="single" w:sz="4" w:space="0" w:color="000000"/>
              <w:left w:val="nil"/>
              <w:bottom w:val="nil"/>
              <w:right w:val="single" w:sz="4" w:space="0" w:color="000000"/>
            </w:tcBorders>
            <w:shd w:val="clear" w:color="auto" w:fill="auto"/>
            <w:noWrap/>
            <w:vAlign w:val="bottom"/>
            <w:hideMark/>
          </w:tcPr>
          <w:p w14:paraId="4CDF34B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54%</w:t>
            </w:r>
          </w:p>
        </w:tc>
      </w:tr>
      <w:tr w:rsidR="00800CD3" w:rsidRPr="00C235E5" w14:paraId="002A15F6"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A95E71E"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FY2016</w:t>
            </w:r>
          </w:p>
        </w:tc>
        <w:tc>
          <w:tcPr>
            <w:tcW w:w="850" w:type="dxa"/>
            <w:tcBorders>
              <w:top w:val="single" w:sz="4" w:space="0" w:color="000000"/>
              <w:left w:val="single" w:sz="4" w:space="0" w:color="000000"/>
              <w:bottom w:val="nil"/>
              <w:right w:val="nil"/>
            </w:tcBorders>
            <w:shd w:val="clear" w:color="auto" w:fill="auto"/>
            <w:noWrap/>
            <w:vAlign w:val="bottom"/>
            <w:hideMark/>
          </w:tcPr>
          <w:p w14:paraId="43D0609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3263</w:t>
            </w:r>
          </w:p>
        </w:tc>
        <w:tc>
          <w:tcPr>
            <w:tcW w:w="850" w:type="dxa"/>
            <w:tcBorders>
              <w:top w:val="single" w:sz="4" w:space="0" w:color="000000"/>
              <w:left w:val="nil"/>
              <w:bottom w:val="nil"/>
              <w:right w:val="nil"/>
            </w:tcBorders>
            <w:shd w:val="clear" w:color="auto" w:fill="auto"/>
            <w:noWrap/>
            <w:vAlign w:val="bottom"/>
            <w:hideMark/>
          </w:tcPr>
          <w:p w14:paraId="2C16298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2668</w:t>
            </w:r>
          </w:p>
        </w:tc>
        <w:tc>
          <w:tcPr>
            <w:tcW w:w="850" w:type="dxa"/>
            <w:tcBorders>
              <w:top w:val="single" w:sz="4" w:space="0" w:color="000000"/>
              <w:left w:val="nil"/>
              <w:bottom w:val="nil"/>
              <w:right w:val="nil"/>
            </w:tcBorders>
            <w:shd w:val="clear" w:color="auto" w:fill="auto"/>
            <w:noWrap/>
            <w:vAlign w:val="bottom"/>
            <w:hideMark/>
          </w:tcPr>
          <w:p w14:paraId="6944852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5931</w:t>
            </w:r>
          </w:p>
        </w:tc>
        <w:tc>
          <w:tcPr>
            <w:tcW w:w="850" w:type="dxa"/>
            <w:tcBorders>
              <w:top w:val="single" w:sz="4" w:space="0" w:color="000000"/>
              <w:left w:val="nil"/>
              <w:bottom w:val="nil"/>
              <w:right w:val="nil"/>
            </w:tcBorders>
            <w:shd w:val="clear" w:color="auto" w:fill="auto"/>
            <w:noWrap/>
            <w:vAlign w:val="bottom"/>
            <w:hideMark/>
          </w:tcPr>
          <w:p w14:paraId="04B5D45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w:t>
            </w:r>
          </w:p>
        </w:tc>
        <w:tc>
          <w:tcPr>
            <w:tcW w:w="850" w:type="dxa"/>
            <w:tcBorders>
              <w:top w:val="single" w:sz="4" w:space="0" w:color="000000"/>
              <w:left w:val="nil"/>
              <w:bottom w:val="nil"/>
              <w:right w:val="single" w:sz="4" w:space="0" w:color="000000"/>
            </w:tcBorders>
            <w:shd w:val="clear" w:color="auto" w:fill="auto"/>
            <w:noWrap/>
            <w:vAlign w:val="bottom"/>
            <w:hideMark/>
          </w:tcPr>
          <w:p w14:paraId="4EA08C1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w:t>
            </w:r>
          </w:p>
        </w:tc>
      </w:tr>
      <w:tr w:rsidR="00800CD3" w:rsidRPr="00C235E5" w14:paraId="1E672BCC"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999312B"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35001E4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2780</w:t>
            </w:r>
          </w:p>
        </w:tc>
        <w:tc>
          <w:tcPr>
            <w:tcW w:w="850" w:type="dxa"/>
            <w:tcBorders>
              <w:top w:val="single" w:sz="4" w:space="0" w:color="000000"/>
              <w:left w:val="nil"/>
              <w:bottom w:val="nil"/>
              <w:right w:val="nil"/>
            </w:tcBorders>
            <w:shd w:val="clear" w:color="auto" w:fill="auto"/>
            <w:noWrap/>
            <w:vAlign w:val="bottom"/>
            <w:hideMark/>
          </w:tcPr>
          <w:p w14:paraId="60977CD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2723</w:t>
            </w:r>
          </w:p>
        </w:tc>
        <w:tc>
          <w:tcPr>
            <w:tcW w:w="850" w:type="dxa"/>
            <w:tcBorders>
              <w:top w:val="single" w:sz="4" w:space="0" w:color="000000"/>
              <w:left w:val="nil"/>
              <w:bottom w:val="nil"/>
              <w:right w:val="nil"/>
            </w:tcBorders>
            <w:shd w:val="clear" w:color="auto" w:fill="auto"/>
            <w:noWrap/>
            <w:vAlign w:val="bottom"/>
            <w:hideMark/>
          </w:tcPr>
          <w:p w14:paraId="2E9D0A2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5503</w:t>
            </w:r>
          </w:p>
        </w:tc>
        <w:tc>
          <w:tcPr>
            <w:tcW w:w="850" w:type="dxa"/>
            <w:tcBorders>
              <w:top w:val="single" w:sz="4" w:space="0" w:color="000000"/>
              <w:left w:val="nil"/>
              <w:bottom w:val="nil"/>
              <w:right w:val="nil"/>
            </w:tcBorders>
            <w:shd w:val="clear" w:color="auto" w:fill="auto"/>
            <w:noWrap/>
            <w:vAlign w:val="bottom"/>
            <w:hideMark/>
          </w:tcPr>
          <w:p w14:paraId="599BC0B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51%</w:t>
            </w:r>
          </w:p>
        </w:tc>
        <w:tc>
          <w:tcPr>
            <w:tcW w:w="850" w:type="dxa"/>
            <w:tcBorders>
              <w:top w:val="single" w:sz="4" w:space="0" w:color="000000"/>
              <w:left w:val="nil"/>
              <w:bottom w:val="nil"/>
              <w:right w:val="single" w:sz="4" w:space="0" w:color="000000"/>
            </w:tcBorders>
            <w:shd w:val="clear" w:color="auto" w:fill="auto"/>
            <w:noWrap/>
            <w:vAlign w:val="bottom"/>
            <w:hideMark/>
          </w:tcPr>
          <w:p w14:paraId="473D86B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49%</w:t>
            </w:r>
          </w:p>
        </w:tc>
      </w:tr>
      <w:tr w:rsidR="00800CD3" w:rsidRPr="00C235E5" w14:paraId="04820E16"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70805DA"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09D566B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3234</w:t>
            </w:r>
          </w:p>
        </w:tc>
        <w:tc>
          <w:tcPr>
            <w:tcW w:w="850" w:type="dxa"/>
            <w:tcBorders>
              <w:top w:val="single" w:sz="4" w:space="0" w:color="000000"/>
              <w:left w:val="nil"/>
              <w:bottom w:val="nil"/>
              <w:right w:val="nil"/>
            </w:tcBorders>
            <w:shd w:val="clear" w:color="auto" w:fill="auto"/>
            <w:noWrap/>
            <w:vAlign w:val="bottom"/>
            <w:hideMark/>
          </w:tcPr>
          <w:p w14:paraId="5AD36C4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2822</w:t>
            </w:r>
          </w:p>
        </w:tc>
        <w:tc>
          <w:tcPr>
            <w:tcW w:w="850" w:type="dxa"/>
            <w:tcBorders>
              <w:top w:val="single" w:sz="4" w:space="0" w:color="000000"/>
              <w:left w:val="nil"/>
              <w:bottom w:val="nil"/>
              <w:right w:val="nil"/>
            </w:tcBorders>
            <w:shd w:val="clear" w:color="auto" w:fill="auto"/>
            <w:noWrap/>
            <w:vAlign w:val="bottom"/>
            <w:hideMark/>
          </w:tcPr>
          <w:p w14:paraId="7BECBC4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6056</w:t>
            </w:r>
          </w:p>
        </w:tc>
        <w:tc>
          <w:tcPr>
            <w:tcW w:w="850" w:type="dxa"/>
            <w:tcBorders>
              <w:top w:val="single" w:sz="4" w:space="0" w:color="000000"/>
              <w:left w:val="nil"/>
              <w:bottom w:val="nil"/>
              <w:right w:val="nil"/>
            </w:tcBorders>
            <w:shd w:val="clear" w:color="auto" w:fill="auto"/>
            <w:noWrap/>
            <w:vAlign w:val="bottom"/>
            <w:hideMark/>
          </w:tcPr>
          <w:p w14:paraId="4400A2C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w:t>
            </w:r>
          </w:p>
        </w:tc>
        <w:tc>
          <w:tcPr>
            <w:tcW w:w="850" w:type="dxa"/>
            <w:tcBorders>
              <w:top w:val="single" w:sz="4" w:space="0" w:color="000000"/>
              <w:left w:val="nil"/>
              <w:bottom w:val="nil"/>
              <w:right w:val="single" w:sz="4" w:space="0" w:color="000000"/>
            </w:tcBorders>
            <w:shd w:val="clear" w:color="auto" w:fill="auto"/>
            <w:noWrap/>
            <w:vAlign w:val="bottom"/>
            <w:hideMark/>
          </w:tcPr>
          <w:p w14:paraId="677166C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47%</w:t>
            </w:r>
          </w:p>
        </w:tc>
      </w:tr>
      <w:tr w:rsidR="00800CD3" w:rsidRPr="00C235E5" w14:paraId="3DBF9851"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C631147"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nil"/>
              <w:right w:val="nil"/>
            </w:tcBorders>
            <w:shd w:val="clear" w:color="auto" w:fill="auto"/>
            <w:noWrap/>
            <w:vAlign w:val="bottom"/>
            <w:hideMark/>
          </w:tcPr>
          <w:p w14:paraId="4F9A758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3326</w:t>
            </w:r>
          </w:p>
        </w:tc>
        <w:tc>
          <w:tcPr>
            <w:tcW w:w="850" w:type="dxa"/>
            <w:tcBorders>
              <w:top w:val="single" w:sz="4" w:space="0" w:color="000000"/>
              <w:left w:val="nil"/>
              <w:bottom w:val="nil"/>
              <w:right w:val="nil"/>
            </w:tcBorders>
            <w:shd w:val="clear" w:color="auto" w:fill="auto"/>
            <w:noWrap/>
            <w:vAlign w:val="bottom"/>
            <w:hideMark/>
          </w:tcPr>
          <w:p w14:paraId="739AD63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2729</w:t>
            </w:r>
          </w:p>
        </w:tc>
        <w:tc>
          <w:tcPr>
            <w:tcW w:w="850" w:type="dxa"/>
            <w:tcBorders>
              <w:top w:val="single" w:sz="4" w:space="0" w:color="000000"/>
              <w:left w:val="nil"/>
              <w:bottom w:val="nil"/>
              <w:right w:val="nil"/>
            </w:tcBorders>
            <w:shd w:val="clear" w:color="auto" w:fill="auto"/>
            <w:noWrap/>
            <w:vAlign w:val="bottom"/>
            <w:hideMark/>
          </w:tcPr>
          <w:p w14:paraId="1618DB9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6055</w:t>
            </w:r>
          </w:p>
        </w:tc>
        <w:tc>
          <w:tcPr>
            <w:tcW w:w="850" w:type="dxa"/>
            <w:tcBorders>
              <w:top w:val="single" w:sz="4" w:space="0" w:color="000000"/>
              <w:left w:val="nil"/>
              <w:bottom w:val="nil"/>
              <w:right w:val="nil"/>
            </w:tcBorders>
            <w:shd w:val="clear" w:color="auto" w:fill="auto"/>
            <w:noWrap/>
            <w:vAlign w:val="bottom"/>
            <w:hideMark/>
          </w:tcPr>
          <w:p w14:paraId="52AD010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w:t>
            </w:r>
          </w:p>
        </w:tc>
        <w:tc>
          <w:tcPr>
            <w:tcW w:w="850" w:type="dxa"/>
            <w:tcBorders>
              <w:top w:val="single" w:sz="4" w:space="0" w:color="000000"/>
              <w:left w:val="nil"/>
              <w:bottom w:val="nil"/>
              <w:right w:val="single" w:sz="4" w:space="0" w:color="000000"/>
            </w:tcBorders>
            <w:shd w:val="clear" w:color="auto" w:fill="auto"/>
            <w:noWrap/>
            <w:vAlign w:val="bottom"/>
            <w:hideMark/>
          </w:tcPr>
          <w:p w14:paraId="520C525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w:t>
            </w:r>
          </w:p>
        </w:tc>
      </w:tr>
      <w:tr w:rsidR="00800CD3" w:rsidRPr="00C235E5" w14:paraId="55218AC6"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A43248D"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FY2020</w:t>
            </w:r>
          </w:p>
        </w:tc>
        <w:tc>
          <w:tcPr>
            <w:tcW w:w="850" w:type="dxa"/>
            <w:tcBorders>
              <w:top w:val="single" w:sz="4" w:space="0" w:color="000000"/>
              <w:left w:val="single" w:sz="4" w:space="0" w:color="000000"/>
              <w:bottom w:val="nil"/>
              <w:right w:val="nil"/>
            </w:tcBorders>
            <w:shd w:val="clear" w:color="auto" w:fill="auto"/>
            <w:noWrap/>
            <w:vAlign w:val="bottom"/>
            <w:hideMark/>
          </w:tcPr>
          <w:p w14:paraId="7CDE403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3241</w:t>
            </w:r>
          </w:p>
        </w:tc>
        <w:tc>
          <w:tcPr>
            <w:tcW w:w="850" w:type="dxa"/>
            <w:tcBorders>
              <w:top w:val="single" w:sz="4" w:space="0" w:color="000000"/>
              <w:left w:val="nil"/>
              <w:bottom w:val="nil"/>
              <w:right w:val="nil"/>
            </w:tcBorders>
            <w:shd w:val="clear" w:color="auto" w:fill="auto"/>
            <w:noWrap/>
            <w:vAlign w:val="bottom"/>
            <w:hideMark/>
          </w:tcPr>
          <w:p w14:paraId="755255B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2491</w:t>
            </w:r>
          </w:p>
        </w:tc>
        <w:tc>
          <w:tcPr>
            <w:tcW w:w="850" w:type="dxa"/>
            <w:tcBorders>
              <w:top w:val="single" w:sz="4" w:space="0" w:color="000000"/>
              <w:left w:val="nil"/>
              <w:bottom w:val="nil"/>
              <w:right w:val="nil"/>
            </w:tcBorders>
            <w:shd w:val="clear" w:color="auto" w:fill="auto"/>
            <w:noWrap/>
            <w:vAlign w:val="bottom"/>
            <w:hideMark/>
          </w:tcPr>
          <w:p w14:paraId="72AF68A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5732</w:t>
            </w:r>
          </w:p>
        </w:tc>
        <w:tc>
          <w:tcPr>
            <w:tcW w:w="850" w:type="dxa"/>
            <w:tcBorders>
              <w:top w:val="single" w:sz="4" w:space="0" w:color="000000"/>
              <w:left w:val="nil"/>
              <w:bottom w:val="nil"/>
              <w:right w:val="nil"/>
            </w:tcBorders>
            <w:shd w:val="clear" w:color="auto" w:fill="auto"/>
            <w:noWrap/>
            <w:vAlign w:val="bottom"/>
            <w:hideMark/>
          </w:tcPr>
          <w:p w14:paraId="4E4ED5C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57%</w:t>
            </w:r>
          </w:p>
        </w:tc>
        <w:tc>
          <w:tcPr>
            <w:tcW w:w="850" w:type="dxa"/>
            <w:tcBorders>
              <w:top w:val="single" w:sz="4" w:space="0" w:color="000000"/>
              <w:left w:val="nil"/>
              <w:bottom w:val="nil"/>
              <w:right w:val="single" w:sz="4" w:space="0" w:color="000000"/>
            </w:tcBorders>
            <w:shd w:val="clear" w:color="auto" w:fill="auto"/>
            <w:noWrap/>
            <w:vAlign w:val="bottom"/>
            <w:hideMark/>
          </w:tcPr>
          <w:p w14:paraId="416B86D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w:t>
            </w:r>
          </w:p>
        </w:tc>
      </w:tr>
      <w:tr w:rsidR="00800CD3" w:rsidRPr="00C235E5" w14:paraId="5A936BA2"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2D5BA81"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FY2021</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5C60A1E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2858</w:t>
            </w:r>
          </w:p>
        </w:tc>
        <w:tc>
          <w:tcPr>
            <w:tcW w:w="850" w:type="dxa"/>
            <w:tcBorders>
              <w:top w:val="single" w:sz="4" w:space="0" w:color="000000"/>
              <w:left w:val="nil"/>
              <w:bottom w:val="single" w:sz="4" w:space="0" w:color="000000"/>
              <w:right w:val="nil"/>
            </w:tcBorders>
            <w:shd w:val="clear" w:color="auto" w:fill="auto"/>
            <w:noWrap/>
            <w:vAlign w:val="bottom"/>
            <w:hideMark/>
          </w:tcPr>
          <w:p w14:paraId="0230203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2191</w:t>
            </w:r>
          </w:p>
        </w:tc>
        <w:tc>
          <w:tcPr>
            <w:tcW w:w="850" w:type="dxa"/>
            <w:tcBorders>
              <w:top w:val="single" w:sz="4" w:space="0" w:color="000000"/>
              <w:left w:val="nil"/>
              <w:bottom w:val="single" w:sz="4" w:space="0" w:color="000000"/>
              <w:right w:val="nil"/>
            </w:tcBorders>
            <w:shd w:val="clear" w:color="auto" w:fill="auto"/>
            <w:noWrap/>
            <w:vAlign w:val="bottom"/>
            <w:hideMark/>
          </w:tcPr>
          <w:p w14:paraId="0B50D42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5049</w:t>
            </w:r>
          </w:p>
        </w:tc>
        <w:tc>
          <w:tcPr>
            <w:tcW w:w="850" w:type="dxa"/>
            <w:tcBorders>
              <w:top w:val="single" w:sz="4" w:space="0" w:color="000000"/>
              <w:left w:val="nil"/>
              <w:bottom w:val="single" w:sz="4" w:space="0" w:color="000000"/>
              <w:right w:val="nil"/>
            </w:tcBorders>
            <w:shd w:val="clear" w:color="auto" w:fill="auto"/>
            <w:noWrap/>
            <w:vAlign w:val="bottom"/>
            <w:hideMark/>
          </w:tcPr>
          <w:p w14:paraId="36E7541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57%</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3915C6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w:t>
            </w:r>
          </w:p>
        </w:tc>
      </w:tr>
    </w:tbl>
    <w:p w14:paraId="6494FBDE" w14:textId="1E0799AC" w:rsidR="00800CD3" w:rsidRPr="00C235E5" w:rsidRDefault="00800CD3" w:rsidP="00792C0D">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t xml:space="preserve">Chart – </w:t>
      </w:r>
      <w:r w:rsidR="00914CBA" w:rsidRPr="00C235E5">
        <w:rPr>
          <w:rFonts w:ascii="Times New Roman" w:hAnsi="Times New Roman" w:cs="Times New Roman"/>
          <w:b/>
          <w:bCs/>
          <w:sz w:val="24"/>
          <w:szCs w:val="24"/>
        </w:rPr>
        <w:t>C</w:t>
      </w:r>
      <w:r w:rsidRPr="00C235E5">
        <w:rPr>
          <w:rFonts w:ascii="Times New Roman" w:hAnsi="Times New Roman" w:cs="Times New Roman"/>
          <w:b/>
          <w:bCs/>
          <w:sz w:val="24"/>
          <w:szCs w:val="24"/>
        </w:rPr>
        <w:t xml:space="preserve">1: </w:t>
      </w:r>
      <w:r w:rsidRPr="00C235E5">
        <w:rPr>
          <w:rFonts w:ascii="Times New Roman" w:hAnsi="Times New Roman" w:cs="Times New Roman"/>
          <w:b/>
          <w:bCs/>
          <w:i/>
          <w:iCs/>
          <w:sz w:val="24"/>
          <w:szCs w:val="24"/>
        </w:rPr>
        <w:t>Apple/Beats</w:t>
      </w:r>
      <w:r w:rsidRPr="00C235E5">
        <w:rPr>
          <w:rFonts w:ascii="Times New Roman" w:hAnsi="Times New Roman" w:cs="Times New Roman"/>
          <w:b/>
          <w:bCs/>
          <w:sz w:val="24"/>
          <w:szCs w:val="24"/>
        </w:rPr>
        <w:t xml:space="preserve"> Evolution of Total Sales</w:t>
      </w:r>
    </w:p>
    <w:p w14:paraId="6A381A26" w14:textId="6FD61656" w:rsidR="00800CD3" w:rsidRPr="00C235E5" w:rsidRDefault="00800CD3" w:rsidP="00F333DC">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noProof/>
          <w:sz w:val="24"/>
          <w:szCs w:val="24"/>
        </w:rPr>
        <w:drawing>
          <wp:inline distT="0" distB="0" distL="0" distR="0" wp14:anchorId="397B30BC" wp14:editId="46097A68">
            <wp:extent cx="4572000" cy="2743200"/>
            <wp:effectExtent l="0" t="0" r="0" b="0"/>
            <wp:docPr id="9" name="Chart 9">
              <a:extLst xmlns:a="http://schemas.openxmlformats.org/drawingml/2006/main">
                <a:ext uri="{FF2B5EF4-FFF2-40B4-BE49-F238E27FC236}">
                  <a16:creationId xmlns:a16="http://schemas.microsoft.com/office/drawing/2014/main" id="{D2272E53-AD8D-4B47-A980-4712BF438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733F9F" w14:textId="77777777" w:rsidR="00792C0D" w:rsidRDefault="00792C0D">
      <w:pPr>
        <w:rPr>
          <w:rFonts w:ascii="Times New Roman" w:hAnsi="Times New Roman" w:cs="Times New Roman"/>
          <w:b/>
          <w:bCs/>
          <w:sz w:val="24"/>
          <w:szCs w:val="24"/>
        </w:rPr>
      </w:pPr>
      <w:r>
        <w:rPr>
          <w:rFonts w:ascii="Times New Roman" w:hAnsi="Times New Roman" w:cs="Times New Roman"/>
          <w:b/>
          <w:bCs/>
          <w:sz w:val="24"/>
          <w:szCs w:val="24"/>
        </w:rPr>
        <w:br w:type="page"/>
      </w:r>
    </w:p>
    <w:p w14:paraId="119EE36D" w14:textId="52C1DE1F" w:rsidR="00800CD3" w:rsidRPr="00C235E5" w:rsidRDefault="00800CD3" w:rsidP="00800CD3">
      <w:pPr>
        <w:pStyle w:val="xxxxmsonormal"/>
        <w:spacing w:before="120" w:after="120" w:line="276" w:lineRule="auto"/>
        <w:jc w:val="center"/>
        <w:rPr>
          <w:rFonts w:ascii="Times New Roman" w:hAnsi="Times New Roman" w:cs="Times New Roman"/>
          <w:b/>
          <w:bCs/>
          <w:sz w:val="24"/>
          <w:szCs w:val="24"/>
        </w:rPr>
      </w:pPr>
      <w:r w:rsidRPr="00C235E5">
        <w:rPr>
          <w:rFonts w:ascii="Times New Roman" w:hAnsi="Times New Roman" w:cs="Times New Roman"/>
          <w:b/>
          <w:bCs/>
          <w:sz w:val="24"/>
          <w:szCs w:val="24"/>
        </w:rPr>
        <w:lastRenderedPageBreak/>
        <w:t xml:space="preserve">Chart – </w:t>
      </w:r>
      <w:r w:rsidR="00914CBA" w:rsidRPr="00C235E5">
        <w:rPr>
          <w:rFonts w:ascii="Times New Roman" w:hAnsi="Times New Roman" w:cs="Times New Roman"/>
          <w:b/>
          <w:bCs/>
          <w:sz w:val="24"/>
          <w:szCs w:val="24"/>
        </w:rPr>
        <w:t>C</w:t>
      </w:r>
      <w:r w:rsidRPr="00C235E5">
        <w:rPr>
          <w:rFonts w:ascii="Times New Roman" w:hAnsi="Times New Roman" w:cs="Times New Roman"/>
          <w:b/>
          <w:bCs/>
          <w:sz w:val="24"/>
          <w:szCs w:val="24"/>
        </w:rPr>
        <w:t xml:space="preserve">2: </w:t>
      </w:r>
      <w:r w:rsidRPr="00C235E5">
        <w:rPr>
          <w:rFonts w:ascii="Times New Roman" w:hAnsi="Times New Roman" w:cs="Times New Roman"/>
          <w:b/>
          <w:bCs/>
          <w:i/>
          <w:iCs/>
          <w:sz w:val="24"/>
          <w:szCs w:val="24"/>
        </w:rPr>
        <w:t>Apple/Beats</w:t>
      </w:r>
      <w:r w:rsidRPr="00C235E5">
        <w:rPr>
          <w:rFonts w:ascii="Times New Roman" w:hAnsi="Times New Roman" w:cs="Times New Roman"/>
          <w:b/>
          <w:bCs/>
          <w:sz w:val="24"/>
          <w:szCs w:val="24"/>
        </w:rPr>
        <w:t xml:space="preserve"> Evolution of Competitor Market Shares</w:t>
      </w:r>
    </w:p>
    <w:p w14:paraId="178787B8" w14:textId="77777777" w:rsidR="00800CD3" w:rsidRPr="00C235E5" w:rsidRDefault="00800CD3" w:rsidP="00800CD3">
      <w:pPr>
        <w:pStyle w:val="xxxxmsonormal"/>
        <w:spacing w:before="120" w:after="120" w:line="276" w:lineRule="auto"/>
        <w:jc w:val="center"/>
        <w:rPr>
          <w:rFonts w:ascii="Times New Roman" w:hAnsi="Times New Roman" w:cs="Times New Roman"/>
          <w:sz w:val="24"/>
          <w:szCs w:val="24"/>
        </w:rPr>
      </w:pPr>
      <w:r w:rsidRPr="00C235E5">
        <w:rPr>
          <w:rFonts w:ascii="Times New Roman" w:hAnsi="Times New Roman" w:cs="Times New Roman"/>
          <w:noProof/>
          <w:sz w:val="24"/>
          <w:szCs w:val="24"/>
        </w:rPr>
        <w:drawing>
          <wp:inline distT="0" distB="0" distL="0" distR="0" wp14:anchorId="74A9C703" wp14:editId="3044B920">
            <wp:extent cx="4572000" cy="2743200"/>
            <wp:effectExtent l="0" t="0" r="0" b="0"/>
            <wp:docPr id="11" name="Chart 11">
              <a:extLst xmlns:a="http://schemas.openxmlformats.org/drawingml/2006/main">
                <a:ext uri="{FF2B5EF4-FFF2-40B4-BE49-F238E27FC236}">
                  <a16:creationId xmlns:a16="http://schemas.microsoft.com/office/drawing/2014/main" id="{00FA0C19-5068-421A-8827-6B25E980F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B87057" w14:textId="348418F1" w:rsidR="00800CD3" w:rsidRPr="00792D53" w:rsidRDefault="00800CD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Eight years of observation allow us to notice that industry output of competitors fluctuated. Total sales immediately dropped following the merger. Sales recovered in 2016 until 2019, and dropped again in 2020-2021. The data also shows that Sony and JVC’s sales fluctuated. Sony commands today an extra 9% share of sales in 2021 compared to the pre-merger situation.</w:t>
      </w:r>
    </w:p>
    <w:p w14:paraId="6BF288A7" w14:textId="120BAF5D" w:rsidR="00800CD3" w:rsidRPr="00C235E5" w:rsidRDefault="00800CD3" w:rsidP="00F42292">
      <w:pPr>
        <w:pStyle w:val="Heading2"/>
        <w:numPr>
          <w:ilvl w:val="0"/>
          <w:numId w:val="24"/>
        </w:numPr>
        <w:rPr>
          <w:rFonts w:cs="Times New Roman"/>
          <w:i w:val="0"/>
          <w:iCs/>
          <w:sz w:val="24"/>
          <w:szCs w:val="24"/>
        </w:rPr>
      </w:pPr>
      <w:r w:rsidRPr="00C235E5">
        <w:rPr>
          <w:rFonts w:cs="Times New Roman"/>
          <w:iCs/>
          <w:sz w:val="24"/>
          <w:szCs w:val="24"/>
        </w:rPr>
        <w:t>Oracle/Micros</w:t>
      </w:r>
    </w:p>
    <w:p w14:paraId="2FD2ECB7" w14:textId="5BE283EC" w:rsidR="00F333DC" w:rsidRPr="00792D53" w:rsidRDefault="00800CD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In 2014, Oracle acquired Micros, a US-based hardware and software developer that worked extensively with retail and hospitality industries.</w:t>
      </w:r>
      <w:r w:rsidRPr="001F0513">
        <w:rPr>
          <w:rFonts w:ascii="Times New Roman" w:hAnsi="Times New Roman" w:cs="Times New Roman"/>
          <w:sz w:val="24"/>
          <w:szCs w:val="24"/>
          <w:vertAlign w:val="superscript"/>
          <w:lang w:val="en-GB"/>
        </w:rPr>
        <w:footnoteReference w:id="115"/>
      </w:r>
      <w:r w:rsidRPr="001F0513">
        <w:rPr>
          <w:rFonts w:ascii="Times New Roman" w:hAnsi="Times New Roman" w:cs="Times New Roman"/>
          <w:sz w:val="24"/>
          <w:szCs w:val="24"/>
          <w:vertAlign w:val="superscript"/>
          <w:lang w:val="en-GB"/>
        </w:rPr>
        <w:t xml:space="preserve"> </w:t>
      </w:r>
      <w:r w:rsidRPr="00792D53">
        <w:rPr>
          <w:rFonts w:ascii="Times New Roman" w:hAnsi="Times New Roman" w:cs="Times New Roman"/>
          <w:sz w:val="24"/>
          <w:szCs w:val="24"/>
          <w:lang w:val="en-GB"/>
        </w:rPr>
        <w:t xml:space="preserve">The EC considered the relevant market as “enterprise application software” and designated IBM, NCR, Epicor, Demandware, JDA, and Diebold Nixdorf as close rivals of the merged entity. We found sales data for IBM, NCR, and Diebold Nixdorf. Epicor, Demandware, and JDA were acquired by other firms. The analysis in </w:t>
      </w:r>
      <w:r w:rsidR="00914CBA" w:rsidRPr="00792D53">
        <w:rPr>
          <w:rFonts w:ascii="Times New Roman" w:hAnsi="Times New Roman" w:cs="Times New Roman"/>
          <w:sz w:val="24"/>
          <w:szCs w:val="24"/>
          <w:lang w:val="en-GB"/>
        </w:rPr>
        <w:t xml:space="preserve">Table – VI </w:t>
      </w:r>
      <w:r w:rsidRPr="00792D53">
        <w:rPr>
          <w:rFonts w:ascii="Times New Roman" w:hAnsi="Times New Roman" w:cs="Times New Roman"/>
          <w:sz w:val="24"/>
          <w:szCs w:val="24"/>
          <w:lang w:val="en-GB"/>
        </w:rPr>
        <w:t xml:space="preserve">and </w:t>
      </w:r>
      <w:r w:rsidR="00914CBA" w:rsidRPr="00792D53">
        <w:rPr>
          <w:rFonts w:ascii="Times New Roman" w:hAnsi="Times New Roman" w:cs="Times New Roman"/>
          <w:sz w:val="24"/>
          <w:szCs w:val="24"/>
          <w:lang w:val="en-GB"/>
        </w:rPr>
        <w:t>Charts D1 and D2</w:t>
      </w:r>
      <w:r w:rsidRPr="00792D53">
        <w:rPr>
          <w:rFonts w:ascii="Times New Roman" w:hAnsi="Times New Roman" w:cs="Times New Roman"/>
          <w:sz w:val="24"/>
          <w:szCs w:val="24"/>
          <w:lang w:val="en-GB"/>
        </w:rPr>
        <w:t xml:space="preserve"> gives a picture of industry sales and market structure restricted to for IBM, NCR, and Diebold Nixdorf.</w:t>
      </w:r>
    </w:p>
    <w:p w14:paraId="1BEBC955" w14:textId="5FDA35E1" w:rsidR="00257E43" w:rsidRPr="00792D53" w:rsidRDefault="00257E4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lastRenderedPageBreak/>
        <w:t xml:space="preserve">In the table, SIC 1, 2 and 3 represent IBM, NCR, and Diebold Nixdorf, respectively. For IBM, the figures are taken from the “Global Business Services” segment, which includes IBM’s enterprise application software business. Figures for Oracle are taken from its software business segment. For NCR and Diebold Nixdorf, we rely on total revenues. This is because these firms are primarily active in the provision of enterprise application software solutions. </w:t>
      </w:r>
    </w:p>
    <w:p w14:paraId="484469BA" w14:textId="1166CCFE" w:rsidR="00800CD3" w:rsidRPr="00C235E5" w:rsidRDefault="00800CD3" w:rsidP="00F333DC">
      <w:pPr>
        <w:pStyle w:val="xxxxmsonormal"/>
        <w:spacing w:before="120" w:after="120" w:line="276" w:lineRule="auto"/>
        <w:jc w:val="center"/>
        <w:rPr>
          <w:rFonts w:ascii="Times New Roman" w:hAnsi="Times New Roman" w:cs="Times New Roman"/>
          <w:sz w:val="24"/>
          <w:szCs w:val="24"/>
        </w:rPr>
      </w:pPr>
      <w:r w:rsidRPr="00C235E5">
        <w:rPr>
          <w:rFonts w:ascii="Times New Roman" w:hAnsi="Times New Roman" w:cs="Times New Roman"/>
          <w:b/>
          <w:bCs/>
          <w:sz w:val="24"/>
          <w:szCs w:val="24"/>
          <w:lang w:val="en-GB"/>
        </w:rPr>
        <w:t xml:space="preserve">Table – </w:t>
      </w:r>
      <w:r w:rsidR="00914CBA" w:rsidRPr="00C235E5">
        <w:rPr>
          <w:rFonts w:ascii="Times New Roman" w:hAnsi="Times New Roman" w:cs="Times New Roman"/>
          <w:b/>
          <w:bCs/>
          <w:sz w:val="24"/>
          <w:szCs w:val="24"/>
          <w:lang w:val="en-GB"/>
        </w:rPr>
        <w:t>VI</w:t>
      </w:r>
      <w:r w:rsidRPr="00C235E5">
        <w:rPr>
          <w:rFonts w:ascii="Times New Roman" w:hAnsi="Times New Roman" w:cs="Times New Roman"/>
          <w:b/>
          <w:bCs/>
          <w:sz w:val="24"/>
          <w:szCs w:val="24"/>
          <w:lang w:val="en-GB"/>
        </w:rPr>
        <w:t xml:space="preserve">: </w:t>
      </w:r>
      <w:r w:rsidRPr="00C235E5">
        <w:rPr>
          <w:rFonts w:ascii="Times New Roman" w:hAnsi="Times New Roman" w:cs="Times New Roman"/>
          <w:b/>
          <w:bCs/>
          <w:i/>
          <w:iCs/>
          <w:sz w:val="24"/>
          <w:szCs w:val="24"/>
          <w:lang w:val="en-GB"/>
        </w:rPr>
        <w:t>Oracle/Micros</w:t>
      </w:r>
      <w:r w:rsidRPr="00C235E5">
        <w:rPr>
          <w:rFonts w:ascii="Times New Roman" w:hAnsi="Times New Roman" w:cs="Times New Roman"/>
          <w:b/>
          <w:bCs/>
          <w:sz w:val="24"/>
          <w:szCs w:val="24"/>
          <w:lang w:val="en-GB"/>
        </w:rPr>
        <w:t xml:space="preserve"> Figures for the SIC Test</w:t>
      </w:r>
    </w:p>
    <w:tbl>
      <w:tblPr>
        <w:tblW w:w="6800" w:type="dxa"/>
        <w:jc w:val="center"/>
        <w:tblCellMar>
          <w:left w:w="70" w:type="dxa"/>
          <w:right w:w="70" w:type="dxa"/>
        </w:tblCellMar>
        <w:tblLook w:val="04A0" w:firstRow="1" w:lastRow="0" w:firstColumn="1" w:lastColumn="0" w:noHBand="0" w:noVBand="1"/>
      </w:tblPr>
      <w:tblGrid>
        <w:gridCol w:w="1060"/>
        <w:gridCol w:w="850"/>
        <w:gridCol w:w="850"/>
        <w:gridCol w:w="850"/>
        <w:gridCol w:w="850"/>
        <w:gridCol w:w="850"/>
        <w:gridCol w:w="850"/>
        <w:gridCol w:w="850"/>
      </w:tblGrid>
      <w:tr w:rsidR="00800CD3" w:rsidRPr="00C235E5" w14:paraId="2ABB82E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398DC04"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noWrap/>
            <w:vAlign w:val="bottom"/>
            <w:hideMark/>
          </w:tcPr>
          <w:p w14:paraId="1A3D37F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1</w:t>
            </w:r>
          </w:p>
        </w:tc>
        <w:tc>
          <w:tcPr>
            <w:tcW w:w="850" w:type="dxa"/>
            <w:tcBorders>
              <w:top w:val="single" w:sz="4" w:space="0" w:color="000000"/>
              <w:left w:val="nil"/>
              <w:bottom w:val="nil"/>
              <w:right w:val="nil"/>
            </w:tcBorders>
            <w:shd w:val="clear" w:color="000000" w:fill="000000"/>
            <w:noWrap/>
            <w:vAlign w:val="bottom"/>
            <w:hideMark/>
          </w:tcPr>
          <w:p w14:paraId="399875D1"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28EC952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3</w:t>
            </w:r>
          </w:p>
        </w:tc>
        <w:tc>
          <w:tcPr>
            <w:tcW w:w="850" w:type="dxa"/>
            <w:tcBorders>
              <w:top w:val="single" w:sz="4" w:space="0" w:color="000000"/>
              <w:left w:val="nil"/>
              <w:bottom w:val="nil"/>
              <w:right w:val="nil"/>
            </w:tcBorders>
            <w:shd w:val="clear" w:color="000000" w:fill="000000"/>
            <w:noWrap/>
            <w:vAlign w:val="bottom"/>
            <w:hideMark/>
          </w:tcPr>
          <w:p w14:paraId="1723359E"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3CCC9B3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106B0B8F"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single" w:sz="4" w:space="0" w:color="000000"/>
            </w:tcBorders>
            <w:shd w:val="clear" w:color="000000" w:fill="000000"/>
            <w:noWrap/>
            <w:vAlign w:val="bottom"/>
            <w:hideMark/>
          </w:tcPr>
          <w:p w14:paraId="75A7357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r>
      <w:tr w:rsidR="00800CD3" w:rsidRPr="00C235E5" w14:paraId="03950740"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69AB6CE"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FY2013</w:t>
            </w:r>
          </w:p>
        </w:tc>
        <w:tc>
          <w:tcPr>
            <w:tcW w:w="850" w:type="dxa"/>
            <w:tcBorders>
              <w:top w:val="single" w:sz="4" w:space="0" w:color="000000"/>
              <w:left w:val="single" w:sz="4" w:space="0" w:color="000000"/>
              <w:bottom w:val="nil"/>
              <w:right w:val="nil"/>
            </w:tcBorders>
            <w:shd w:val="clear" w:color="auto" w:fill="auto"/>
            <w:noWrap/>
            <w:vAlign w:val="bottom"/>
            <w:hideMark/>
          </w:tcPr>
          <w:p w14:paraId="2863EE9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18396</w:t>
            </w:r>
          </w:p>
        </w:tc>
        <w:tc>
          <w:tcPr>
            <w:tcW w:w="850" w:type="dxa"/>
            <w:tcBorders>
              <w:top w:val="single" w:sz="4" w:space="0" w:color="000000"/>
              <w:left w:val="nil"/>
              <w:bottom w:val="nil"/>
              <w:right w:val="nil"/>
            </w:tcBorders>
            <w:shd w:val="clear" w:color="auto" w:fill="auto"/>
            <w:noWrap/>
            <w:vAlign w:val="bottom"/>
            <w:hideMark/>
          </w:tcPr>
          <w:p w14:paraId="1CC4736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2660</w:t>
            </w:r>
          </w:p>
        </w:tc>
        <w:tc>
          <w:tcPr>
            <w:tcW w:w="850" w:type="dxa"/>
            <w:tcBorders>
              <w:top w:val="single" w:sz="4" w:space="0" w:color="000000"/>
              <w:left w:val="nil"/>
              <w:bottom w:val="nil"/>
              <w:right w:val="nil"/>
            </w:tcBorders>
            <w:shd w:val="clear" w:color="auto" w:fill="auto"/>
            <w:noWrap/>
            <w:vAlign w:val="bottom"/>
            <w:hideMark/>
          </w:tcPr>
          <w:p w14:paraId="378C869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2582</w:t>
            </w:r>
          </w:p>
        </w:tc>
        <w:tc>
          <w:tcPr>
            <w:tcW w:w="850" w:type="dxa"/>
            <w:tcBorders>
              <w:top w:val="single" w:sz="4" w:space="0" w:color="000000"/>
              <w:left w:val="nil"/>
              <w:bottom w:val="nil"/>
              <w:right w:val="nil"/>
            </w:tcBorders>
            <w:shd w:val="clear" w:color="auto" w:fill="auto"/>
            <w:noWrap/>
            <w:vAlign w:val="bottom"/>
            <w:hideMark/>
          </w:tcPr>
          <w:p w14:paraId="2513597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23638</w:t>
            </w:r>
          </w:p>
        </w:tc>
        <w:tc>
          <w:tcPr>
            <w:tcW w:w="850" w:type="dxa"/>
            <w:tcBorders>
              <w:top w:val="single" w:sz="4" w:space="0" w:color="000000"/>
              <w:left w:val="nil"/>
              <w:bottom w:val="nil"/>
              <w:right w:val="nil"/>
            </w:tcBorders>
            <w:shd w:val="clear" w:color="auto" w:fill="auto"/>
            <w:noWrap/>
            <w:vAlign w:val="bottom"/>
            <w:hideMark/>
          </w:tcPr>
          <w:p w14:paraId="725B2C0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78%</w:t>
            </w:r>
          </w:p>
        </w:tc>
        <w:tc>
          <w:tcPr>
            <w:tcW w:w="850" w:type="dxa"/>
            <w:tcBorders>
              <w:top w:val="single" w:sz="4" w:space="0" w:color="000000"/>
              <w:left w:val="nil"/>
              <w:bottom w:val="nil"/>
              <w:right w:val="nil"/>
            </w:tcBorders>
            <w:shd w:val="clear" w:color="auto" w:fill="auto"/>
            <w:noWrap/>
            <w:vAlign w:val="bottom"/>
            <w:hideMark/>
          </w:tcPr>
          <w:p w14:paraId="2EB5CD0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single" w:sz="4" w:space="0" w:color="000000"/>
            </w:tcBorders>
            <w:shd w:val="clear" w:color="auto" w:fill="auto"/>
            <w:noWrap/>
            <w:vAlign w:val="bottom"/>
            <w:hideMark/>
          </w:tcPr>
          <w:p w14:paraId="0F8886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r>
      <w:tr w:rsidR="00800CD3" w:rsidRPr="00C235E5" w14:paraId="6C0E9360"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743DC79"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FY2014*</w:t>
            </w:r>
          </w:p>
        </w:tc>
        <w:tc>
          <w:tcPr>
            <w:tcW w:w="850" w:type="dxa"/>
            <w:tcBorders>
              <w:top w:val="single" w:sz="4" w:space="0" w:color="000000"/>
              <w:left w:val="single" w:sz="4" w:space="0" w:color="000000"/>
              <w:bottom w:val="nil"/>
              <w:right w:val="nil"/>
            </w:tcBorders>
            <w:shd w:val="clear" w:color="auto" w:fill="auto"/>
            <w:noWrap/>
            <w:vAlign w:val="bottom"/>
            <w:hideMark/>
          </w:tcPr>
          <w:p w14:paraId="516DC69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19512</w:t>
            </w:r>
          </w:p>
        </w:tc>
        <w:tc>
          <w:tcPr>
            <w:tcW w:w="850" w:type="dxa"/>
            <w:tcBorders>
              <w:top w:val="single" w:sz="4" w:space="0" w:color="000000"/>
              <w:left w:val="nil"/>
              <w:bottom w:val="nil"/>
              <w:right w:val="nil"/>
            </w:tcBorders>
            <w:shd w:val="clear" w:color="auto" w:fill="auto"/>
            <w:noWrap/>
            <w:vAlign w:val="bottom"/>
            <w:hideMark/>
          </w:tcPr>
          <w:p w14:paraId="7B68E81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2667</w:t>
            </w:r>
          </w:p>
        </w:tc>
        <w:tc>
          <w:tcPr>
            <w:tcW w:w="850" w:type="dxa"/>
            <w:tcBorders>
              <w:top w:val="single" w:sz="4" w:space="0" w:color="000000"/>
              <w:left w:val="nil"/>
              <w:bottom w:val="nil"/>
              <w:right w:val="nil"/>
            </w:tcBorders>
            <w:shd w:val="clear" w:color="auto" w:fill="auto"/>
            <w:noWrap/>
            <w:vAlign w:val="bottom"/>
            <w:hideMark/>
          </w:tcPr>
          <w:p w14:paraId="029BEA7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2734</w:t>
            </w:r>
          </w:p>
        </w:tc>
        <w:tc>
          <w:tcPr>
            <w:tcW w:w="850" w:type="dxa"/>
            <w:tcBorders>
              <w:top w:val="single" w:sz="4" w:space="0" w:color="000000"/>
              <w:left w:val="nil"/>
              <w:bottom w:val="nil"/>
              <w:right w:val="nil"/>
            </w:tcBorders>
            <w:shd w:val="clear" w:color="auto" w:fill="auto"/>
            <w:noWrap/>
            <w:vAlign w:val="bottom"/>
            <w:hideMark/>
          </w:tcPr>
          <w:p w14:paraId="327F58E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24913</w:t>
            </w:r>
          </w:p>
        </w:tc>
        <w:tc>
          <w:tcPr>
            <w:tcW w:w="850" w:type="dxa"/>
            <w:tcBorders>
              <w:top w:val="single" w:sz="4" w:space="0" w:color="000000"/>
              <w:left w:val="nil"/>
              <w:bottom w:val="nil"/>
              <w:right w:val="nil"/>
            </w:tcBorders>
            <w:shd w:val="clear" w:color="auto" w:fill="auto"/>
            <w:noWrap/>
            <w:vAlign w:val="bottom"/>
            <w:hideMark/>
          </w:tcPr>
          <w:p w14:paraId="5A82AF8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78%</w:t>
            </w:r>
          </w:p>
        </w:tc>
        <w:tc>
          <w:tcPr>
            <w:tcW w:w="850" w:type="dxa"/>
            <w:tcBorders>
              <w:top w:val="single" w:sz="4" w:space="0" w:color="000000"/>
              <w:left w:val="nil"/>
              <w:bottom w:val="nil"/>
              <w:right w:val="nil"/>
            </w:tcBorders>
            <w:shd w:val="clear" w:color="auto" w:fill="auto"/>
            <w:noWrap/>
            <w:vAlign w:val="bottom"/>
            <w:hideMark/>
          </w:tcPr>
          <w:p w14:paraId="6294801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single" w:sz="4" w:space="0" w:color="000000"/>
            </w:tcBorders>
            <w:shd w:val="clear" w:color="auto" w:fill="auto"/>
            <w:noWrap/>
            <w:vAlign w:val="bottom"/>
            <w:hideMark/>
          </w:tcPr>
          <w:p w14:paraId="7602FF7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r>
      <w:tr w:rsidR="00800CD3" w:rsidRPr="00C235E5" w14:paraId="26E8A16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638B780"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48E4531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17166</w:t>
            </w:r>
          </w:p>
        </w:tc>
        <w:tc>
          <w:tcPr>
            <w:tcW w:w="850" w:type="dxa"/>
            <w:tcBorders>
              <w:top w:val="single" w:sz="4" w:space="0" w:color="000000"/>
              <w:left w:val="nil"/>
              <w:bottom w:val="nil"/>
              <w:right w:val="nil"/>
            </w:tcBorders>
            <w:shd w:val="clear" w:color="auto" w:fill="auto"/>
            <w:noWrap/>
            <w:vAlign w:val="bottom"/>
            <w:hideMark/>
          </w:tcPr>
          <w:p w14:paraId="7A54458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6373</w:t>
            </w:r>
          </w:p>
        </w:tc>
        <w:tc>
          <w:tcPr>
            <w:tcW w:w="850" w:type="dxa"/>
            <w:tcBorders>
              <w:top w:val="single" w:sz="4" w:space="0" w:color="000000"/>
              <w:left w:val="nil"/>
              <w:bottom w:val="nil"/>
              <w:right w:val="nil"/>
            </w:tcBorders>
            <w:shd w:val="clear" w:color="auto" w:fill="auto"/>
            <w:noWrap/>
            <w:vAlign w:val="bottom"/>
            <w:hideMark/>
          </w:tcPr>
          <w:p w14:paraId="0DFD859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2419</w:t>
            </w:r>
          </w:p>
        </w:tc>
        <w:tc>
          <w:tcPr>
            <w:tcW w:w="850" w:type="dxa"/>
            <w:tcBorders>
              <w:top w:val="single" w:sz="4" w:space="0" w:color="000000"/>
              <w:left w:val="nil"/>
              <w:bottom w:val="nil"/>
              <w:right w:val="nil"/>
            </w:tcBorders>
            <w:shd w:val="clear" w:color="auto" w:fill="auto"/>
            <w:noWrap/>
            <w:vAlign w:val="bottom"/>
            <w:hideMark/>
          </w:tcPr>
          <w:p w14:paraId="51FB01C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25958</w:t>
            </w:r>
          </w:p>
        </w:tc>
        <w:tc>
          <w:tcPr>
            <w:tcW w:w="850" w:type="dxa"/>
            <w:tcBorders>
              <w:top w:val="single" w:sz="4" w:space="0" w:color="000000"/>
              <w:left w:val="nil"/>
              <w:bottom w:val="nil"/>
              <w:right w:val="nil"/>
            </w:tcBorders>
            <w:shd w:val="clear" w:color="auto" w:fill="auto"/>
            <w:noWrap/>
            <w:vAlign w:val="bottom"/>
            <w:hideMark/>
          </w:tcPr>
          <w:p w14:paraId="25809FF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66%</w:t>
            </w:r>
          </w:p>
        </w:tc>
        <w:tc>
          <w:tcPr>
            <w:tcW w:w="850" w:type="dxa"/>
            <w:tcBorders>
              <w:top w:val="single" w:sz="4" w:space="0" w:color="000000"/>
              <w:left w:val="nil"/>
              <w:bottom w:val="nil"/>
              <w:right w:val="nil"/>
            </w:tcBorders>
            <w:shd w:val="clear" w:color="auto" w:fill="auto"/>
            <w:noWrap/>
            <w:vAlign w:val="bottom"/>
            <w:hideMark/>
          </w:tcPr>
          <w:p w14:paraId="52858AB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nil"/>
              <w:right w:val="single" w:sz="4" w:space="0" w:color="000000"/>
            </w:tcBorders>
            <w:shd w:val="clear" w:color="auto" w:fill="auto"/>
            <w:noWrap/>
            <w:vAlign w:val="bottom"/>
            <w:hideMark/>
          </w:tcPr>
          <w:p w14:paraId="6826787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r>
      <w:tr w:rsidR="00800CD3" w:rsidRPr="00C235E5" w14:paraId="6276FDC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4585F33E"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FY2016</w:t>
            </w:r>
          </w:p>
        </w:tc>
        <w:tc>
          <w:tcPr>
            <w:tcW w:w="850" w:type="dxa"/>
            <w:tcBorders>
              <w:top w:val="single" w:sz="4" w:space="0" w:color="000000"/>
              <w:left w:val="single" w:sz="4" w:space="0" w:color="000000"/>
              <w:bottom w:val="nil"/>
              <w:right w:val="nil"/>
            </w:tcBorders>
            <w:shd w:val="clear" w:color="auto" w:fill="auto"/>
            <w:noWrap/>
            <w:vAlign w:val="bottom"/>
            <w:hideMark/>
          </w:tcPr>
          <w:p w14:paraId="3ED17C2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16700</w:t>
            </w:r>
          </w:p>
        </w:tc>
        <w:tc>
          <w:tcPr>
            <w:tcW w:w="850" w:type="dxa"/>
            <w:tcBorders>
              <w:top w:val="single" w:sz="4" w:space="0" w:color="000000"/>
              <w:left w:val="nil"/>
              <w:bottom w:val="nil"/>
              <w:right w:val="nil"/>
            </w:tcBorders>
            <w:shd w:val="clear" w:color="auto" w:fill="auto"/>
            <w:noWrap/>
            <w:vAlign w:val="bottom"/>
            <w:hideMark/>
          </w:tcPr>
          <w:p w14:paraId="0594837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6543</w:t>
            </w:r>
          </w:p>
        </w:tc>
        <w:tc>
          <w:tcPr>
            <w:tcW w:w="850" w:type="dxa"/>
            <w:tcBorders>
              <w:top w:val="single" w:sz="4" w:space="0" w:color="000000"/>
              <w:left w:val="nil"/>
              <w:bottom w:val="nil"/>
              <w:right w:val="nil"/>
            </w:tcBorders>
            <w:shd w:val="clear" w:color="auto" w:fill="auto"/>
            <w:noWrap/>
            <w:vAlign w:val="bottom"/>
            <w:hideMark/>
          </w:tcPr>
          <w:p w14:paraId="2D85296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3316</w:t>
            </w:r>
          </w:p>
        </w:tc>
        <w:tc>
          <w:tcPr>
            <w:tcW w:w="850" w:type="dxa"/>
            <w:tcBorders>
              <w:top w:val="single" w:sz="4" w:space="0" w:color="000000"/>
              <w:left w:val="nil"/>
              <w:bottom w:val="nil"/>
              <w:right w:val="nil"/>
            </w:tcBorders>
            <w:shd w:val="clear" w:color="auto" w:fill="auto"/>
            <w:noWrap/>
            <w:vAlign w:val="bottom"/>
            <w:hideMark/>
          </w:tcPr>
          <w:p w14:paraId="689229D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26559</w:t>
            </w:r>
          </w:p>
        </w:tc>
        <w:tc>
          <w:tcPr>
            <w:tcW w:w="850" w:type="dxa"/>
            <w:tcBorders>
              <w:top w:val="single" w:sz="4" w:space="0" w:color="000000"/>
              <w:left w:val="nil"/>
              <w:bottom w:val="nil"/>
              <w:right w:val="nil"/>
            </w:tcBorders>
            <w:shd w:val="clear" w:color="auto" w:fill="auto"/>
            <w:noWrap/>
            <w:vAlign w:val="bottom"/>
            <w:hideMark/>
          </w:tcPr>
          <w:p w14:paraId="4A5BD34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63%</w:t>
            </w:r>
          </w:p>
        </w:tc>
        <w:tc>
          <w:tcPr>
            <w:tcW w:w="850" w:type="dxa"/>
            <w:tcBorders>
              <w:top w:val="single" w:sz="4" w:space="0" w:color="000000"/>
              <w:left w:val="nil"/>
              <w:bottom w:val="nil"/>
              <w:right w:val="nil"/>
            </w:tcBorders>
            <w:shd w:val="clear" w:color="auto" w:fill="auto"/>
            <w:noWrap/>
            <w:vAlign w:val="bottom"/>
            <w:hideMark/>
          </w:tcPr>
          <w:p w14:paraId="3FC5312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nil"/>
              <w:right w:val="single" w:sz="4" w:space="0" w:color="000000"/>
            </w:tcBorders>
            <w:shd w:val="clear" w:color="auto" w:fill="auto"/>
            <w:noWrap/>
            <w:vAlign w:val="bottom"/>
            <w:hideMark/>
          </w:tcPr>
          <w:p w14:paraId="0AFB36E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w:t>
            </w:r>
          </w:p>
        </w:tc>
      </w:tr>
      <w:tr w:rsidR="00800CD3" w:rsidRPr="00C235E5" w14:paraId="22E120F4"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9F3D4A1"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6A30E39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16348</w:t>
            </w:r>
          </w:p>
        </w:tc>
        <w:tc>
          <w:tcPr>
            <w:tcW w:w="850" w:type="dxa"/>
            <w:tcBorders>
              <w:top w:val="single" w:sz="4" w:space="0" w:color="000000"/>
              <w:left w:val="nil"/>
              <w:bottom w:val="nil"/>
              <w:right w:val="nil"/>
            </w:tcBorders>
            <w:shd w:val="clear" w:color="auto" w:fill="auto"/>
            <w:noWrap/>
            <w:vAlign w:val="bottom"/>
            <w:hideMark/>
          </w:tcPr>
          <w:p w14:paraId="70977C5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6516</w:t>
            </w:r>
          </w:p>
        </w:tc>
        <w:tc>
          <w:tcPr>
            <w:tcW w:w="850" w:type="dxa"/>
            <w:tcBorders>
              <w:top w:val="single" w:sz="4" w:space="0" w:color="000000"/>
              <w:left w:val="nil"/>
              <w:bottom w:val="nil"/>
              <w:right w:val="nil"/>
            </w:tcBorders>
            <w:shd w:val="clear" w:color="auto" w:fill="auto"/>
            <w:noWrap/>
            <w:vAlign w:val="bottom"/>
            <w:hideMark/>
          </w:tcPr>
          <w:p w14:paraId="7E8A95D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4609</w:t>
            </w:r>
          </w:p>
        </w:tc>
        <w:tc>
          <w:tcPr>
            <w:tcW w:w="850" w:type="dxa"/>
            <w:tcBorders>
              <w:top w:val="single" w:sz="4" w:space="0" w:color="000000"/>
              <w:left w:val="nil"/>
              <w:bottom w:val="nil"/>
              <w:right w:val="nil"/>
            </w:tcBorders>
            <w:shd w:val="clear" w:color="auto" w:fill="auto"/>
            <w:noWrap/>
            <w:vAlign w:val="bottom"/>
            <w:hideMark/>
          </w:tcPr>
          <w:p w14:paraId="25A3FAD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27473</w:t>
            </w:r>
          </w:p>
        </w:tc>
        <w:tc>
          <w:tcPr>
            <w:tcW w:w="850" w:type="dxa"/>
            <w:tcBorders>
              <w:top w:val="single" w:sz="4" w:space="0" w:color="000000"/>
              <w:left w:val="nil"/>
              <w:bottom w:val="nil"/>
              <w:right w:val="nil"/>
            </w:tcBorders>
            <w:shd w:val="clear" w:color="auto" w:fill="auto"/>
            <w:noWrap/>
            <w:vAlign w:val="bottom"/>
            <w:hideMark/>
          </w:tcPr>
          <w:p w14:paraId="1EDB669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60%</w:t>
            </w:r>
          </w:p>
        </w:tc>
        <w:tc>
          <w:tcPr>
            <w:tcW w:w="850" w:type="dxa"/>
            <w:tcBorders>
              <w:top w:val="single" w:sz="4" w:space="0" w:color="000000"/>
              <w:left w:val="nil"/>
              <w:bottom w:val="nil"/>
              <w:right w:val="nil"/>
            </w:tcBorders>
            <w:shd w:val="clear" w:color="auto" w:fill="auto"/>
            <w:noWrap/>
            <w:vAlign w:val="bottom"/>
            <w:hideMark/>
          </w:tcPr>
          <w:p w14:paraId="61FCAB0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c>
          <w:tcPr>
            <w:tcW w:w="850" w:type="dxa"/>
            <w:tcBorders>
              <w:top w:val="single" w:sz="4" w:space="0" w:color="000000"/>
              <w:left w:val="nil"/>
              <w:bottom w:val="nil"/>
              <w:right w:val="single" w:sz="4" w:space="0" w:color="000000"/>
            </w:tcBorders>
            <w:shd w:val="clear" w:color="auto" w:fill="auto"/>
            <w:noWrap/>
            <w:vAlign w:val="bottom"/>
            <w:hideMark/>
          </w:tcPr>
          <w:p w14:paraId="353A913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w:t>
            </w:r>
          </w:p>
        </w:tc>
      </w:tr>
      <w:tr w:rsidR="00800CD3" w:rsidRPr="00C235E5" w14:paraId="41024B7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1B9F8CC"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468A80E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16595</w:t>
            </w:r>
          </w:p>
        </w:tc>
        <w:tc>
          <w:tcPr>
            <w:tcW w:w="850" w:type="dxa"/>
            <w:tcBorders>
              <w:top w:val="single" w:sz="4" w:space="0" w:color="000000"/>
              <w:left w:val="nil"/>
              <w:bottom w:val="nil"/>
              <w:right w:val="nil"/>
            </w:tcBorders>
            <w:shd w:val="clear" w:color="auto" w:fill="auto"/>
            <w:noWrap/>
            <w:vAlign w:val="bottom"/>
            <w:hideMark/>
          </w:tcPr>
          <w:p w14:paraId="4A7EF84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6405</w:t>
            </w:r>
          </w:p>
        </w:tc>
        <w:tc>
          <w:tcPr>
            <w:tcW w:w="850" w:type="dxa"/>
            <w:tcBorders>
              <w:top w:val="single" w:sz="4" w:space="0" w:color="000000"/>
              <w:left w:val="nil"/>
              <w:bottom w:val="nil"/>
              <w:right w:val="nil"/>
            </w:tcBorders>
            <w:shd w:val="clear" w:color="auto" w:fill="auto"/>
            <w:noWrap/>
            <w:vAlign w:val="bottom"/>
            <w:hideMark/>
          </w:tcPr>
          <w:p w14:paraId="0406982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4578</w:t>
            </w:r>
          </w:p>
        </w:tc>
        <w:tc>
          <w:tcPr>
            <w:tcW w:w="850" w:type="dxa"/>
            <w:tcBorders>
              <w:top w:val="single" w:sz="4" w:space="0" w:color="000000"/>
              <w:left w:val="nil"/>
              <w:bottom w:val="nil"/>
              <w:right w:val="nil"/>
            </w:tcBorders>
            <w:shd w:val="clear" w:color="auto" w:fill="auto"/>
            <w:noWrap/>
            <w:vAlign w:val="bottom"/>
            <w:hideMark/>
          </w:tcPr>
          <w:p w14:paraId="0C07CF0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27578</w:t>
            </w:r>
          </w:p>
        </w:tc>
        <w:tc>
          <w:tcPr>
            <w:tcW w:w="850" w:type="dxa"/>
            <w:tcBorders>
              <w:top w:val="single" w:sz="4" w:space="0" w:color="000000"/>
              <w:left w:val="nil"/>
              <w:bottom w:val="nil"/>
              <w:right w:val="nil"/>
            </w:tcBorders>
            <w:shd w:val="clear" w:color="auto" w:fill="auto"/>
            <w:noWrap/>
            <w:vAlign w:val="bottom"/>
            <w:hideMark/>
          </w:tcPr>
          <w:p w14:paraId="229E4EF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60%</w:t>
            </w:r>
          </w:p>
        </w:tc>
        <w:tc>
          <w:tcPr>
            <w:tcW w:w="850" w:type="dxa"/>
            <w:tcBorders>
              <w:top w:val="single" w:sz="4" w:space="0" w:color="000000"/>
              <w:left w:val="nil"/>
              <w:bottom w:val="nil"/>
              <w:right w:val="nil"/>
            </w:tcBorders>
            <w:shd w:val="clear" w:color="auto" w:fill="auto"/>
            <w:noWrap/>
            <w:vAlign w:val="bottom"/>
            <w:hideMark/>
          </w:tcPr>
          <w:p w14:paraId="2E47D9C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w:t>
            </w:r>
          </w:p>
        </w:tc>
        <w:tc>
          <w:tcPr>
            <w:tcW w:w="850" w:type="dxa"/>
            <w:tcBorders>
              <w:top w:val="single" w:sz="4" w:space="0" w:color="000000"/>
              <w:left w:val="nil"/>
              <w:bottom w:val="nil"/>
              <w:right w:val="single" w:sz="4" w:space="0" w:color="000000"/>
            </w:tcBorders>
            <w:shd w:val="clear" w:color="auto" w:fill="auto"/>
            <w:noWrap/>
            <w:vAlign w:val="bottom"/>
            <w:hideMark/>
          </w:tcPr>
          <w:p w14:paraId="157B94A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w:t>
            </w:r>
          </w:p>
        </w:tc>
      </w:tr>
      <w:tr w:rsidR="00800CD3" w:rsidRPr="00C235E5" w14:paraId="399BEFCD"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016FA8A"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5C964AD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16634</w:t>
            </w:r>
          </w:p>
        </w:tc>
        <w:tc>
          <w:tcPr>
            <w:tcW w:w="850" w:type="dxa"/>
            <w:tcBorders>
              <w:top w:val="single" w:sz="4" w:space="0" w:color="000000"/>
              <w:left w:val="nil"/>
              <w:bottom w:val="single" w:sz="4" w:space="0" w:color="000000"/>
              <w:right w:val="nil"/>
            </w:tcBorders>
            <w:shd w:val="clear" w:color="auto" w:fill="auto"/>
            <w:noWrap/>
            <w:vAlign w:val="bottom"/>
            <w:hideMark/>
          </w:tcPr>
          <w:p w14:paraId="0CC1D14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6915</w:t>
            </w:r>
          </w:p>
        </w:tc>
        <w:tc>
          <w:tcPr>
            <w:tcW w:w="850" w:type="dxa"/>
            <w:tcBorders>
              <w:top w:val="single" w:sz="4" w:space="0" w:color="000000"/>
              <w:left w:val="nil"/>
              <w:bottom w:val="single" w:sz="4" w:space="0" w:color="000000"/>
              <w:right w:val="nil"/>
            </w:tcBorders>
            <w:shd w:val="clear" w:color="auto" w:fill="auto"/>
            <w:noWrap/>
            <w:vAlign w:val="bottom"/>
            <w:hideMark/>
          </w:tcPr>
          <w:p w14:paraId="0285787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4408</w:t>
            </w:r>
          </w:p>
        </w:tc>
        <w:tc>
          <w:tcPr>
            <w:tcW w:w="850" w:type="dxa"/>
            <w:tcBorders>
              <w:top w:val="single" w:sz="4" w:space="0" w:color="000000"/>
              <w:left w:val="nil"/>
              <w:bottom w:val="single" w:sz="4" w:space="0" w:color="000000"/>
              <w:right w:val="nil"/>
            </w:tcBorders>
            <w:shd w:val="clear" w:color="auto" w:fill="auto"/>
            <w:noWrap/>
            <w:vAlign w:val="bottom"/>
            <w:hideMark/>
          </w:tcPr>
          <w:p w14:paraId="556B3C8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27957</w:t>
            </w:r>
          </w:p>
        </w:tc>
        <w:tc>
          <w:tcPr>
            <w:tcW w:w="850" w:type="dxa"/>
            <w:tcBorders>
              <w:top w:val="single" w:sz="4" w:space="0" w:color="000000"/>
              <w:left w:val="nil"/>
              <w:bottom w:val="single" w:sz="4" w:space="0" w:color="000000"/>
              <w:right w:val="nil"/>
            </w:tcBorders>
            <w:shd w:val="clear" w:color="auto" w:fill="auto"/>
            <w:noWrap/>
            <w:vAlign w:val="bottom"/>
            <w:hideMark/>
          </w:tcPr>
          <w:p w14:paraId="0DFD017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59%</w:t>
            </w:r>
          </w:p>
        </w:tc>
        <w:tc>
          <w:tcPr>
            <w:tcW w:w="850" w:type="dxa"/>
            <w:tcBorders>
              <w:top w:val="single" w:sz="4" w:space="0" w:color="000000"/>
              <w:left w:val="nil"/>
              <w:bottom w:val="single" w:sz="4" w:space="0" w:color="000000"/>
              <w:right w:val="nil"/>
            </w:tcBorders>
            <w:shd w:val="clear" w:color="auto" w:fill="auto"/>
            <w:noWrap/>
            <w:vAlign w:val="bottom"/>
            <w:hideMark/>
          </w:tcPr>
          <w:p w14:paraId="3E2D686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F0BFAA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w:t>
            </w:r>
          </w:p>
        </w:tc>
      </w:tr>
    </w:tbl>
    <w:p w14:paraId="2E4B4D30" w14:textId="254156C5" w:rsidR="00800CD3" w:rsidRPr="00C235E5" w:rsidRDefault="00800CD3" w:rsidP="00792C0D">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Chart – </w:t>
      </w:r>
      <w:r w:rsidR="00914CBA" w:rsidRPr="00C235E5">
        <w:rPr>
          <w:rFonts w:ascii="Times New Roman" w:hAnsi="Times New Roman" w:cs="Times New Roman"/>
          <w:b/>
          <w:bCs/>
          <w:sz w:val="24"/>
          <w:szCs w:val="24"/>
          <w:lang w:val="en-GB"/>
        </w:rPr>
        <w:t>D</w:t>
      </w:r>
      <w:r w:rsidRPr="00C235E5">
        <w:rPr>
          <w:rFonts w:ascii="Times New Roman" w:hAnsi="Times New Roman" w:cs="Times New Roman"/>
          <w:b/>
          <w:bCs/>
          <w:sz w:val="24"/>
          <w:szCs w:val="24"/>
          <w:lang w:val="en-GB"/>
        </w:rPr>
        <w:t xml:space="preserve">1: </w:t>
      </w:r>
      <w:r w:rsidRPr="00C235E5">
        <w:rPr>
          <w:rFonts w:ascii="Times New Roman" w:hAnsi="Times New Roman" w:cs="Times New Roman"/>
          <w:b/>
          <w:bCs/>
          <w:i/>
          <w:iCs/>
          <w:sz w:val="24"/>
          <w:szCs w:val="24"/>
          <w:lang w:val="en-GB"/>
        </w:rPr>
        <w:t>Oracle/Micros</w:t>
      </w:r>
      <w:r w:rsidRPr="00C235E5">
        <w:rPr>
          <w:rFonts w:ascii="Times New Roman" w:hAnsi="Times New Roman" w:cs="Times New Roman"/>
          <w:b/>
          <w:bCs/>
          <w:sz w:val="24"/>
          <w:szCs w:val="24"/>
          <w:lang w:val="en-GB"/>
        </w:rPr>
        <w:t xml:space="preserve"> Evolution of Total Sales</w:t>
      </w:r>
    </w:p>
    <w:p w14:paraId="476C89B5" w14:textId="7A355A44" w:rsidR="00F333DC" w:rsidRPr="00C235E5" w:rsidRDefault="00800CD3" w:rsidP="00F04C38">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577EBDFD" wp14:editId="344B8A0C">
            <wp:extent cx="4572000" cy="2743200"/>
            <wp:effectExtent l="0" t="0" r="0" b="0"/>
            <wp:docPr id="13" name="Chart 13">
              <a:extLst xmlns:a="http://schemas.openxmlformats.org/drawingml/2006/main">
                <a:ext uri="{FF2B5EF4-FFF2-40B4-BE49-F238E27FC236}">
                  <a16:creationId xmlns:a16="http://schemas.microsoft.com/office/drawing/2014/main" id="{CD05BC90-95F4-44B0-A96F-38904E7D1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7D034A" w14:textId="77777777" w:rsidR="00792C0D" w:rsidRDefault="00792C0D">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AF1F7E4" w14:textId="76790335"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 xml:space="preserve">Chart – </w:t>
      </w:r>
      <w:r w:rsidR="00914CBA" w:rsidRPr="00C235E5">
        <w:rPr>
          <w:rFonts w:ascii="Times New Roman" w:hAnsi="Times New Roman" w:cs="Times New Roman"/>
          <w:b/>
          <w:bCs/>
          <w:sz w:val="24"/>
          <w:szCs w:val="24"/>
          <w:lang w:val="en-GB"/>
        </w:rPr>
        <w:t>D</w:t>
      </w:r>
      <w:r w:rsidRPr="00C235E5">
        <w:rPr>
          <w:rFonts w:ascii="Times New Roman" w:hAnsi="Times New Roman" w:cs="Times New Roman"/>
          <w:b/>
          <w:bCs/>
          <w:sz w:val="24"/>
          <w:szCs w:val="24"/>
          <w:lang w:val="en-GB"/>
        </w:rPr>
        <w:t xml:space="preserve">2: </w:t>
      </w:r>
      <w:r w:rsidRPr="00C235E5">
        <w:rPr>
          <w:rFonts w:ascii="Times New Roman" w:hAnsi="Times New Roman" w:cs="Times New Roman"/>
          <w:b/>
          <w:bCs/>
          <w:i/>
          <w:iCs/>
          <w:sz w:val="24"/>
          <w:szCs w:val="24"/>
          <w:lang w:val="en-GB"/>
        </w:rPr>
        <w:t>Oracle/Micros</w:t>
      </w:r>
      <w:r w:rsidRPr="00C235E5">
        <w:rPr>
          <w:rFonts w:ascii="Times New Roman" w:hAnsi="Times New Roman" w:cs="Times New Roman"/>
          <w:b/>
          <w:bCs/>
          <w:sz w:val="24"/>
          <w:szCs w:val="24"/>
          <w:lang w:val="en-GB"/>
        </w:rPr>
        <w:t xml:space="preserve"> Evolution of Competitor Market Shares</w:t>
      </w:r>
    </w:p>
    <w:p w14:paraId="3FBFD4DF" w14:textId="77777777"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50FBC0DB" wp14:editId="65226ADF">
            <wp:extent cx="4572000" cy="2743200"/>
            <wp:effectExtent l="0" t="0" r="0" b="0"/>
            <wp:docPr id="14" name="Chart 14">
              <a:extLst xmlns:a="http://schemas.openxmlformats.org/drawingml/2006/main">
                <a:ext uri="{FF2B5EF4-FFF2-40B4-BE49-F238E27FC236}">
                  <a16:creationId xmlns:a16="http://schemas.microsoft.com/office/drawing/2014/main" id="{935D88D8-FAAF-419B-AD5A-665F35A4F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4F5832" w14:textId="77777777" w:rsidR="00800CD3" w:rsidRPr="00792D53" w:rsidRDefault="00800CD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 xml:space="preserve">The data shows that the transaction coincides with an industry wide increase in output. We observe the largest jump in industry-level growth following the acquisition. While the subsequent years also saw an increase in sales, the growth rate has slowed down. </w:t>
      </w:r>
    </w:p>
    <w:p w14:paraId="05F73B54" w14:textId="77777777" w:rsidR="00800CD3" w:rsidRPr="00792D53" w:rsidRDefault="00800CD3" w:rsidP="00792D53">
      <w:pPr>
        <w:spacing w:before="120" w:after="120" w:line="480" w:lineRule="auto"/>
        <w:jc w:val="both"/>
        <w:rPr>
          <w:rFonts w:ascii="Times New Roman" w:hAnsi="Times New Roman" w:cs="Times New Roman"/>
          <w:sz w:val="24"/>
          <w:szCs w:val="24"/>
          <w:lang w:val="en-GB"/>
        </w:rPr>
      </w:pPr>
      <w:r w:rsidRPr="00792D53">
        <w:rPr>
          <w:rFonts w:ascii="Times New Roman" w:hAnsi="Times New Roman" w:cs="Times New Roman"/>
          <w:sz w:val="24"/>
          <w:szCs w:val="24"/>
          <w:lang w:val="en-GB"/>
        </w:rPr>
        <w:t>We also observe that Oracle’s closest rival, IBM, lost market share. At the same time, we witness an increase in the share of sales achieved by NCR and Diebold Nixdorf, suggesting that the field is subject to some rivalry. NCR in particular more than doubled its share of sales in the market, establishing a position whereby it commands a quarter of the market. Diebold Nixdorf also managed to increase its share by half between 2013-2019, jumping from 11% to around 17%.</w:t>
      </w:r>
    </w:p>
    <w:p w14:paraId="78ABABBA" w14:textId="67DBBE72" w:rsidR="00800CD3" w:rsidRPr="00C235E5" w:rsidRDefault="00800CD3" w:rsidP="00F42292">
      <w:pPr>
        <w:pStyle w:val="Heading2"/>
        <w:numPr>
          <w:ilvl w:val="0"/>
          <w:numId w:val="24"/>
        </w:numPr>
        <w:rPr>
          <w:rFonts w:cs="Times New Roman"/>
          <w:i w:val="0"/>
          <w:iCs/>
          <w:sz w:val="24"/>
          <w:szCs w:val="24"/>
        </w:rPr>
      </w:pPr>
      <w:r w:rsidRPr="00C235E5">
        <w:rPr>
          <w:rFonts w:cs="Times New Roman"/>
          <w:iCs/>
          <w:sz w:val="24"/>
          <w:szCs w:val="24"/>
        </w:rPr>
        <w:t>Activision/King</w:t>
      </w:r>
    </w:p>
    <w:p w14:paraId="6CE7F0D5" w14:textId="21BDA0F4" w:rsidR="00800CD3" w:rsidRPr="00C235E5" w:rsidRDefault="00800CD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Activision Blizzard, a NASDAQ-traded company active in the development and publishing of digital entertainment content, acquired King, a mobile game developer, in 2016. In its decision, the EC considered “game publishing” as the relevant market. It designated Electronic Arts (“</w:t>
      </w:r>
      <w:r w:rsidRPr="00792D53">
        <w:rPr>
          <w:rFonts w:ascii="Times New Roman" w:hAnsi="Times New Roman" w:cs="Times New Roman"/>
          <w:sz w:val="24"/>
          <w:szCs w:val="24"/>
          <w:lang w:val="en-GB"/>
        </w:rPr>
        <w:t>EA</w:t>
      </w:r>
      <w:r w:rsidRPr="00C235E5">
        <w:rPr>
          <w:rFonts w:ascii="Times New Roman" w:hAnsi="Times New Roman" w:cs="Times New Roman"/>
          <w:sz w:val="24"/>
          <w:szCs w:val="24"/>
          <w:lang w:val="en-GB"/>
        </w:rPr>
        <w:t xml:space="preserve">”), Nintendo, Take-Two Interactive, and Ubisoft as competitors that would maintain rivalry with the merged entity. All of these firms have been publicly traded for some time. The results in Table – </w:t>
      </w:r>
      <w:r w:rsidR="00914CBA" w:rsidRPr="00C235E5">
        <w:rPr>
          <w:rFonts w:ascii="Times New Roman" w:hAnsi="Times New Roman" w:cs="Times New Roman"/>
          <w:sz w:val="24"/>
          <w:szCs w:val="24"/>
          <w:lang w:val="en-GB"/>
        </w:rPr>
        <w:lastRenderedPageBreak/>
        <w:t>VII</w:t>
      </w:r>
      <w:r w:rsidRPr="00C235E5">
        <w:rPr>
          <w:rFonts w:ascii="Times New Roman" w:hAnsi="Times New Roman" w:cs="Times New Roman"/>
          <w:sz w:val="24"/>
          <w:szCs w:val="24"/>
          <w:lang w:val="en-GB"/>
        </w:rPr>
        <w:t xml:space="preserve">  and Charts </w:t>
      </w:r>
      <w:r w:rsidR="00914CBA" w:rsidRPr="00C235E5">
        <w:rPr>
          <w:rFonts w:ascii="Times New Roman" w:hAnsi="Times New Roman" w:cs="Times New Roman"/>
          <w:sz w:val="24"/>
          <w:szCs w:val="24"/>
          <w:lang w:val="en-GB"/>
        </w:rPr>
        <w:t>E</w:t>
      </w:r>
      <w:r w:rsidRPr="00C235E5">
        <w:rPr>
          <w:rFonts w:ascii="Times New Roman" w:hAnsi="Times New Roman" w:cs="Times New Roman"/>
          <w:sz w:val="24"/>
          <w:szCs w:val="24"/>
          <w:lang w:val="en-GB"/>
        </w:rPr>
        <w:t>1 and</w:t>
      </w:r>
      <w:r w:rsidR="00914CBA" w:rsidRPr="00C235E5">
        <w:rPr>
          <w:rFonts w:ascii="Times New Roman" w:hAnsi="Times New Roman" w:cs="Times New Roman"/>
          <w:sz w:val="24"/>
          <w:szCs w:val="24"/>
          <w:lang w:val="en-GB"/>
        </w:rPr>
        <w:t xml:space="preserve"> E</w:t>
      </w:r>
      <w:r w:rsidRPr="00C235E5">
        <w:rPr>
          <w:rFonts w:ascii="Times New Roman" w:hAnsi="Times New Roman" w:cs="Times New Roman"/>
          <w:sz w:val="24"/>
          <w:szCs w:val="24"/>
          <w:lang w:val="en-GB"/>
        </w:rPr>
        <w:t>2 below describe the evolution of industry sales and market structure before and after the transaction.</w:t>
      </w:r>
    </w:p>
    <w:p w14:paraId="5DB91691" w14:textId="659BCC89" w:rsidR="00F333DC" w:rsidRPr="00C235E5" w:rsidRDefault="00257E4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In the table, SIC 1, 2, 3 and 4 represent EA, Ubisoft, Nintendo, and Take-Two Interactive, respectively. These firms do not display conglomerate characteristics. Instead, they are primarily concerned with the development and publishing of video games. Thus, it is appropriate to consider that segment level sales coincide with the game publishing relevant market identified by the EC.</w:t>
      </w:r>
    </w:p>
    <w:p w14:paraId="190F1BBC" w14:textId="29EBCD6E"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Table – </w:t>
      </w:r>
      <w:r w:rsidR="00914CBA" w:rsidRPr="00C235E5">
        <w:rPr>
          <w:rFonts w:ascii="Times New Roman" w:hAnsi="Times New Roman" w:cs="Times New Roman"/>
          <w:b/>
          <w:bCs/>
          <w:sz w:val="24"/>
          <w:szCs w:val="24"/>
          <w:lang w:val="en-GB"/>
        </w:rPr>
        <w:t>VII</w:t>
      </w:r>
      <w:r w:rsidRPr="00C235E5">
        <w:rPr>
          <w:rFonts w:ascii="Times New Roman" w:hAnsi="Times New Roman" w:cs="Times New Roman"/>
          <w:b/>
          <w:bCs/>
          <w:sz w:val="24"/>
          <w:szCs w:val="24"/>
          <w:lang w:val="en-GB"/>
        </w:rPr>
        <w:t xml:space="preserve">: </w:t>
      </w:r>
      <w:r w:rsidRPr="00C235E5">
        <w:rPr>
          <w:rFonts w:ascii="Times New Roman" w:hAnsi="Times New Roman" w:cs="Times New Roman"/>
          <w:b/>
          <w:bCs/>
          <w:i/>
          <w:iCs/>
          <w:sz w:val="24"/>
          <w:szCs w:val="24"/>
          <w:lang w:val="en-GB"/>
        </w:rPr>
        <w:t>Activision/King</w:t>
      </w:r>
      <w:r w:rsidRPr="00C235E5">
        <w:rPr>
          <w:rFonts w:ascii="Times New Roman" w:hAnsi="Times New Roman" w:cs="Times New Roman"/>
          <w:b/>
          <w:bCs/>
          <w:sz w:val="24"/>
          <w:szCs w:val="24"/>
          <w:lang w:val="en-GB"/>
        </w:rPr>
        <w:t xml:space="preserve"> Figures for the SIC Test</w:t>
      </w:r>
    </w:p>
    <w:tbl>
      <w:tblPr>
        <w:tblW w:w="8500" w:type="dxa"/>
        <w:jc w:val="center"/>
        <w:tblCellMar>
          <w:left w:w="70" w:type="dxa"/>
          <w:right w:w="70" w:type="dxa"/>
        </w:tblCellMar>
        <w:tblLook w:val="04A0" w:firstRow="1" w:lastRow="0" w:firstColumn="1" w:lastColumn="0" w:noHBand="0" w:noVBand="1"/>
      </w:tblPr>
      <w:tblGrid>
        <w:gridCol w:w="1060"/>
        <w:gridCol w:w="850"/>
        <w:gridCol w:w="850"/>
        <w:gridCol w:w="850"/>
        <w:gridCol w:w="850"/>
        <w:gridCol w:w="850"/>
        <w:gridCol w:w="850"/>
        <w:gridCol w:w="850"/>
        <w:gridCol w:w="850"/>
        <w:gridCol w:w="850"/>
      </w:tblGrid>
      <w:tr w:rsidR="00800CD3" w:rsidRPr="00C235E5" w14:paraId="00F10D2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3A7B49D"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noWrap/>
            <w:vAlign w:val="bottom"/>
            <w:hideMark/>
          </w:tcPr>
          <w:p w14:paraId="03C8E98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1</w:t>
            </w:r>
          </w:p>
        </w:tc>
        <w:tc>
          <w:tcPr>
            <w:tcW w:w="850" w:type="dxa"/>
            <w:tcBorders>
              <w:top w:val="single" w:sz="4" w:space="0" w:color="000000"/>
              <w:left w:val="nil"/>
              <w:bottom w:val="nil"/>
              <w:right w:val="nil"/>
            </w:tcBorders>
            <w:shd w:val="clear" w:color="000000" w:fill="000000"/>
            <w:noWrap/>
            <w:vAlign w:val="bottom"/>
            <w:hideMark/>
          </w:tcPr>
          <w:p w14:paraId="4DB337CE"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6F70C548"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3</w:t>
            </w:r>
          </w:p>
        </w:tc>
        <w:tc>
          <w:tcPr>
            <w:tcW w:w="850" w:type="dxa"/>
            <w:tcBorders>
              <w:top w:val="single" w:sz="4" w:space="0" w:color="000000"/>
              <w:left w:val="nil"/>
              <w:bottom w:val="nil"/>
              <w:right w:val="nil"/>
            </w:tcBorders>
            <w:shd w:val="clear" w:color="000000" w:fill="000000"/>
            <w:noWrap/>
            <w:vAlign w:val="bottom"/>
            <w:hideMark/>
          </w:tcPr>
          <w:p w14:paraId="544D4721"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4</w:t>
            </w:r>
          </w:p>
        </w:tc>
        <w:tc>
          <w:tcPr>
            <w:tcW w:w="850" w:type="dxa"/>
            <w:tcBorders>
              <w:top w:val="single" w:sz="4" w:space="0" w:color="000000"/>
              <w:left w:val="nil"/>
              <w:bottom w:val="nil"/>
              <w:right w:val="nil"/>
            </w:tcBorders>
            <w:shd w:val="clear" w:color="000000" w:fill="000000"/>
            <w:noWrap/>
            <w:vAlign w:val="bottom"/>
            <w:hideMark/>
          </w:tcPr>
          <w:p w14:paraId="33AE8D16"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4A676580"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7BADB78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nil"/>
            </w:tcBorders>
            <w:shd w:val="clear" w:color="000000" w:fill="000000"/>
            <w:noWrap/>
            <w:vAlign w:val="bottom"/>
            <w:hideMark/>
          </w:tcPr>
          <w:p w14:paraId="52671361"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c>
          <w:tcPr>
            <w:tcW w:w="850" w:type="dxa"/>
            <w:tcBorders>
              <w:top w:val="single" w:sz="4" w:space="0" w:color="000000"/>
              <w:left w:val="nil"/>
              <w:bottom w:val="nil"/>
              <w:right w:val="single" w:sz="4" w:space="0" w:color="000000"/>
            </w:tcBorders>
            <w:shd w:val="clear" w:color="000000" w:fill="000000"/>
            <w:noWrap/>
            <w:vAlign w:val="bottom"/>
            <w:hideMark/>
          </w:tcPr>
          <w:p w14:paraId="575F5FF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4</w:t>
            </w:r>
          </w:p>
        </w:tc>
      </w:tr>
      <w:tr w:rsidR="00800CD3" w:rsidRPr="00C235E5" w14:paraId="183C0B67"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A9342A7"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FY2014</w:t>
            </w:r>
          </w:p>
        </w:tc>
        <w:tc>
          <w:tcPr>
            <w:tcW w:w="850" w:type="dxa"/>
            <w:tcBorders>
              <w:top w:val="single" w:sz="4" w:space="0" w:color="000000"/>
              <w:left w:val="single" w:sz="4" w:space="0" w:color="000000"/>
              <w:bottom w:val="nil"/>
              <w:right w:val="nil"/>
            </w:tcBorders>
            <w:shd w:val="clear" w:color="auto" w:fill="auto"/>
            <w:noWrap/>
            <w:vAlign w:val="bottom"/>
            <w:hideMark/>
          </w:tcPr>
          <w:p w14:paraId="3E70C93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3575</w:t>
            </w:r>
          </w:p>
        </w:tc>
        <w:tc>
          <w:tcPr>
            <w:tcW w:w="850" w:type="dxa"/>
            <w:tcBorders>
              <w:top w:val="single" w:sz="4" w:space="0" w:color="000000"/>
              <w:left w:val="nil"/>
              <w:bottom w:val="nil"/>
              <w:right w:val="nil"/>
            </w:tcBorders>
            <w:shd w:val="clear" w:color="auto" w:fill="auto"/>
            <w:noWrap/>
            <w:vAlign w:val="bottom"/>
            <w:hideMark/>
          </w:tcPr>
          <w:p w14:paraId="07E3883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1337</w:t>
            </w:r>
          </w:p>
        </w:tc>
        <w:tc>
          <w:tcPr>
            <w:tcW w:w="850" w:type="dxa"/>
            <w:tcBorders>
              <w:top w:val="single" w:sz="4" w:space="0" w:color="000000"/>
              <w:left w:val="nil"/>
              <w:bottom w:val="nil"/>
              <w:right w:val="nil"/>
            </w:tcBorders>
            <w:shd w:val="clear" w:color="auto" w:fill="auto"/>
            <w:noWrap/>
            <w:vAlign w:val="bottom"/>
            <w:hideMark/>
          </w:tcPr>
          <w:p w14:paraId="3EEE566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5397</w:t>
            </w:r>
          </w:p>
        </w:tc>
        <w:tc>
          <w:tcPr>
            <w:tcW w:w="850" w:type="dxa"/>
            <w:tcBorders>
              <w:top w:val="single" w:sz="4" w:space="0" w:color="000000"/>
              <w:left w:val="nil"/>
              <w:bottom w:val="nil"/>
              <w:right w:val="nil"/>
            </w:tcBorders>
            <w:shd w:val="clear" w:color="auto" w:fill="auto"/>
            <w:noWrap/>
            <w:vAlign w:val="bottom"/>
            <w:hideMark/>
          </w:tcPr>
          <w:p w14:paraId="5875FA9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2350</w:t>
            </w:r>
          </w:p>
        </w:tc>
        <w:tc>
          <w:tcPr>
            <w:tcW w:w="850" w:type="dxa"/>
            <w:tcBorders>
              <w:top w:val="single" w:sz="4" w:space="0" w:color="000000"/>
              <w:left w:val="nil"/>
              <w:bottom w:val="nil"/>
              <w:right w:val="nil"/>
            </w:tcBorders>
            <w:shd w:val="clear" w:color="auto" w:fill="auto"/>
            <w:noWrap/>
            <w:vAlign w:val="bottom"/>
            <w:hideMark/>
          </w:tcPr>
          <w:p w14:paraId="411A999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12659</w:t>
            </w:r>
          </w:p>
        </w:tc>
        <w:tc>
          <w:tcPr>
            <w:tcW w:w="850" w:type="dxa"/>
            <w:tcBorders>
              <w:top w:val="single" w:sz="4" w:space="0" w:color="000000"/>
              <w:left w:val="nil"/>
              <w:bottom w:val="nil"/>
              <w:right w:val="nil"/>
            </w:tcBorders>
            <w:shd w:val="clear" w:color="auto" w:fill="auto"/>
            <w:noWrap/>
            <w:vAlign w:val="bottom"/>
            <w:hideMark/>
          </w:tcPr>
          <w:p w14:paraId="34840F6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495097F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nil"/>
            </w:tcBorders>
            <w:shd w:val="clear" w:color="auto" w:fill="auto"/>
            <w:noWrap/>
            <w:vAlign w:val="bottom"/>
            <w:hideMark/>
          </w:tcPr>
          <w:p w14:paraId="33E2067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w:t>
            </w:r>
          </w:p>
        </w:tc>
        <w:tc>
          <w:tcPr>
            <w:tcW w:w="850" w:type="dxa"/>
            <w:tcBorders>
              <w:top w:val="single" w:sz="4" w:space="0" w:color="000000"/>
              <w:left w:val="nil"/>
              <w:bottom w:val="nil"/>
              <w:right w:val="single" w:sz="4" w:space="0" w:color="000000"/>
            </w:tcBorders>
            <w:shd w:val="clear" w:color="auto" w:fill="auto"/>
            <w:noWrap/>
            <w:vAlign w:val="bottom"/>
            <w:hideMark/>
          </w:tcPr>
          <w:p w14:paraId="011EDE1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w:t>
            </w:r>
          </w:p>
        </w:tc>
      </w:tr>
      <w:tr w:rsidR="00800CD3" w:rsidRPr="00C235E5" w14:paraId="23016211"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28E347A"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34800B4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4515</w:t>
            </w:r>
          </w:p>
        </w:tc>
        <w:tc>
          <w:tcPr>
            <w:tcW w:w="850" w:type="dxa"/>
            <w:tcBorders>
              <w:top w:val="single" w:sz="4" w:space="0" w:color="000000"/>
              <w:left w:val="nil"/>
              <w:bottom w:val="nil"/>
              <w:right w:val="nil"/>
            </w:tcBorders>
            <w:shd w:val="clear" w:color="auto" w:fill="auto"/>
            <w:noWrap/>
            <w:vAlign w:val="bottom"/>
            <w:hideMark/>
          </w:tcPr>
          <w:p w14:paraId="2F3E0BA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1624</w:t>
            </w:r>
          </w:p>
        </w:tc>
        <w:tc>
          <w:tcPr>
            <w:tcW w:w="850" w:type="dxa"/>
            <w:tcBorders>
              <w:top w:val="single" w:sz="4" w:space="0" w:color="000000"/>
              <w:left w:val="nil"/>
              <w:bottom w:val="nil"/>
              <w:right w:val="nil"/>
            </w:tcBorders>
            <w:shd w:val="clear" w:color="auto" w:fill="auto"/>
            <w:noWrap/>
            <w:vAlign w:val="bottom"/>
            <w:hideMark/>
          </w:tcPr>
          <w:p w14:paraId="7A528DA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4541</w:t>
            </w:r>
          </w:p>
        </w:tc>
        <w:tc>
          <w:tcPr>
            <w:tcW w:w="850" w:type="dxa"/>
            <w:tcBorders>
              <w:top w:val="single" w:sz="4" w:space="0" w:color="000000"/>
              <w:left w:val="nil"/>
              <w:bottom w:val="nil"/>
              <w:right w:val="nil"/>
            </w:tcBorders>
            <w:shd w:val="clear" w:color="auto" w:fill="auto"/>
            <w:noWrap/>
            <w:vAlign w:val="bottom"/>
            <w:hideMark/>
          </w:tcPr>
          <w:p w14:paraId="4C10A35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1082</w:t>
            </w:r>
          </w:p>
        </w:tc>
        <w:tc>
          <w:tcPr>
            <w:tcW w:w="850" w:type="dxa"/>
            <w:tcBorders>
              <w:top w:val="single" w:sz="4" w:space="0" w:color="000000"/>
              <w:left w:val="nil"/>
              <w:bottom w:val="nil"/>
              <w:right w:val="nil"/>
            </w:tcBorders>
            <w:shd w:val="clear" w:color="auto" w:fill="auto"/>
            <w:noWrap/>
            <w:vAlign w:val="bottom"/>
            <w:hideMark/>
          </w:tcPr>
          <w:p w14:paraId="35574DF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11762</w:t>
            </w:r>
          </w:p>
        </w:tc>
        <w:tc>
          <w:tcPr>
            <w:tcW w:w="850" w:type="dxa"/>
            <w:tcBorders>
              <w:top w:val="single" w:sz="4" w:space="0" w:color="000000"/>
              <w:left w:val="nil"/>
              <w:bottom w:val="nil"/>
              <w:right w:val="nil"/>
            </w:tcBorders>
            <w:shd w:val="clear" w:color="auto" w:fill="auto"/>
            <w:noWrap/>
            <w:vAlign w:val="bottom"/>
            <w:hideMark/>
          </w:tcPr>
          <w:p w14:paraId="7158001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38%</w:t>
            </w:r>
          </w:p>
        </w:tc>
        <w:tc>
          <w:tcPr>
            <w:tcW w:w="850" w:type="dxa"/>
            <w:tcBorders>
              <w:top w:val="single" w:sz="4" w:space="0" w:color="000000"/>
              <w:left w:val="nil"/>
              <w:bottom w:val="nil"/>
              <w:right w:val="nil"/>
            </w:tcBorders>
            <w:shd w:val="clear" w:color="auto" w:fill="auto"/>
            <w:noWrap/>
            <w:vAlign w:val="bottom"/>
            <w:hideMark/>
          </w:tcPr>
          <w:p w14:paraId="58090F2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w:t>
            </w:r>
          </w:p>
        </w:tc>
        <w:tc>
          <w:tcPr>
            <w:tcW w:w="850" w:type="dxa"/>
            <w:tcBorders>
              <w:top w:val="single" w:sz="4" w:space="0" w:color="000000"/>
              <w:left w:val="nil"/>
              <w:bottom w:val="nil"/>
              <w:right w:val="nil"/>
            </w:tcBorders>
            <w:shd w:val="clear" w:color="auto" w:fill="auto"/>
            <w:noWrap/>
            <w:vAlign w:val="bottom"/>
            <w:hideMark/>
          </w:tcPr>
          <w:p w14:paraId="6E975B6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39%</w:t>
            </w:r>
          </w:p>
        </w:tc>
        <w:tc>
          <w:tcPr>
            <w:tcW w:w="850" w:type="dxa"/>
            <w:tcBorders>
              <w:top w:val="single" w:sz="4" w:space="0" w:color="000000"/>
              <w:left w:val="nil"/>
              <w:bottom w:val="nil"/>
              <w:right w:val="single" w:sz="4" w:space="0" w:color="000000"/>
            </w:tcBorders>
            <w:shd w:val="clear" w:color="auto" w:fill="auto"/>
            <w:noWrap/>
            <w:vAlign w:val="bottom"/>
            <w:hideMark/>
          </w:tcPr>
          <w:p w14:paraId="3F9A718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r>
      <w:tr w:rsidR="00800CD3" w:rsidRPr="00C235E5" w14:paraId="08A632D0"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71BF7DA"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FY2016*</w:t>
            </w:r>
          </w:p>
        </w:tc>
        <w:tc>
          <w:tcPr>
            <w:tcW w:w="850" w:type="dxa"/>
            <w:tcBorders>
              <w:top w:val="single" w:sz="4" w:space="0" w:color="000000"/>
              <w:left w:val="single" w:sz="4" w:space="0" w:color="000000"/>
              <w:bottom w:val="nil"/>
              <w:right w:val="nil"/>
            </w:tcBorders>
            <w:shd w:val="clear" w:color="auto" w:fill="auto"/>
            <w:noWrap/>
            <w:vAlign w:val="bottom"/>
            <w:hideMark/>
          </w:tcPr>
          <w:p w14:paraId="5700193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4396</w:t>
            </w:r>
          </w:p>
        </w:tc>
        <w:tc>
          <w:tcPr>
            <w:tcW w:w="850" w:type="dxa"/>
            <w:tcBorders>
              <w:top w:val="single" w:sz="4" w:space="0" w:color="000000"/>
              <w:left w:val="nil"/>
              <w:bottom w:val="nil"/>
              <w:right w:val="nil"/>
            </w:tcBorders>
            <w:shd w:val="clear" w:color="auto" w:fill="auto"/>
            <w:noWrap/>
            <w:vAlign w:val="bottom"/>
            <w:hideMark/>
          </w:tcPr>
          <w:p w14:paraId="39D46DE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1543</w:t>
            </w:r>
          </w:p>
        </w:tc>
        <w:tc>
          <w:tcPr>
            <w:tcW w:w="850" w:type="dxa"/>
            <w:tcBorders>
              <w:top w:val="single" w:sz="4" w:space="0" w:color="000000"/>
              <w:left w:val="nil"/>
              <w:bottom w:val="nil"/>
              <w:right w:val="nil"/>
            </w:tcBorders>
            <w:shd w:val="clear" w:color="auto" w:fill="auto"/>
            <w:noWrap/>
            <w:vAlign w:val="bottom"/>
            <w:hideMark/>
          </w:tcPr>
          <w:p w14:paraId="258A359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4164</w:t>
            </w:r>
          </w:p>
        </w:tc>
        <w:tc>
          <w:tcPr>
            <w:tcW w:w="850" w:type="dxa"/>
            <w:tcBorders>
              <w:top w:val="single" w:sz="4" w:space="0" w:color="000000"/>
              <w:left w:val="nil"/>
              <w:bottom w:val="nil"/>
              <w:right w:val="nil"/>
            </w:tcBorders>
            <w:shd w:val="clear" w:color="auto" w:fill="auto"/>
            <w:noWrap/>
            <w:vAlign w:val="bottom"/>
            <w:hideMark/>
          </w:tcPr>
          <w:p w14:paraId="42363AB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1414</w:t>
            </w:r>
          </w:p>
        </w:tc>
        <w:tc>
          <w:tcPr>
            <w:tcW w:w="850" w:type="dxa"/>
            <w:tcBorders>
              <w:top w:val="single" w:sz="4" w:space="0" w:color="000000"/>
              <w:left w:val="nil"/>
              <w:bottom w:val="nil"/>
              <w:right w:val="nil"/>
            </w:tcBorders>
            <w:shd w:val="clear" w:color="auto" w:fill="auto"/>
            <w:noWrap/>
            <w:vAlign w:val="bottom"/>
            <w:hideMark/>
          </w:tcPr>
          <w:p w14:paraId="35786BE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11517</w:t>
            </w:r>
          </w:p>
        </w:tc>
        <w:tc>
          <w:tcPr>
            <w:tcW w:w="850" w:type="dxa"/>
            <w:tcBorders>
              <w:top w:val="single" w:sz="4" w:space="0" w:color="000000"/>
              <w:left w:val="nil"/>
              <w:bottom w:val="nil"/>
              <w:right w:val="nil"/>
            </w:tcBorders>
            <w:shd w:val="clear" w:color="auto" w:fill="auto"/>
            <w:noWrap/>
            <w:vAlign w:val="bottom"/>
            <w:hideMark/>
          </w:tcPr>
          <w:p w14:paraId="67D077C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38%</w:t>
            </w:r>
          </w:p>
        </w:tc>
        <w:tc>
          <w:tcPr>
            <w:tcW w:w="850" w:type="dxa"/>
            <w:tcBorders>
              <w:top w:val="single" w:sz="4" w:space="0" w:color="000000"/>
              <w:left w:val="nil"/>
              <w:bottom w:val="nil"/>
              <w:right w:val="nil"/>
            </w:tcBorders>
            <w:shd w:val="clear" w:color="auto" w:fill="auto"/>
            <w:noWrap/>
            <w:vAlign w:val="bottom"/>
            <w:hideMark/>
          </w:tcPr>
          <w:p w14:paraId="4390C91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w:t>
            </w:r>
          </w:p>
        </w:tc>
        <w:tc>
          <w:tcPr>
            <w:tcW w:w="850" w:type="dxa"/>
            <w:tcBorders>
              <w:top w:val="single" w:sz="4" w:space="0" w:color="000000"/>
              <w:left w:val="nil"/>
              <w:bottom w:val="nil"/>
              <w:right w:val="nil"/>
            </w:tcBorders>
            <w:shd w:val="clear" w:color="auto" w:fill="auto"/>
            <w:noWrap/>
            <w:vAlign w:val="bottom"/>
            <w:hideMark/>
          </w:tcPr>
          <w:p w14:paraId="24804EF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36%</w:t>
            </w:r>
          </w:p>
        </w:tc>
        <w:tc>
          <w:tcPr>
            <w:tcW w:w="850" w:type="dxa"/>
            <w:tcBorders>
              <w:top w:val="single" w:sz="4" w:space="0" w:color="000000"/>
              <w:left w:val="nil"/>
              <w:bottom w:val="nil"/>
              <w:right w:val="single" w:sz="4" w:space="0" w:color="000000"/>
            </w:tcBorders>
            <w:shd w:val="clear" w:color="auto" w:fill="auto"/>
            <w:noWrap/>
            <w:vAlign w:val="bottom"/>
            <w:hideMark/>
          </w:tcPr>
          <w:p w14:paraId="6962A6C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w:t>
            </w:r>
          </w:p>
        </w:tc>
      </w:tr>
      <w:tr w:rsidR="00800CD3" w:rsidRPr="00C235E5" w14:paraId="21A54507"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AF80058"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473225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4845</w:t>
            </w:r>
          </w:p>
        </w:tc>
        <w:tc>
          <w:tcPr>
            <w:tcW w:w="850" w:type="dxa"/>
            <w:tcBorders>
              <w:top w:val="single" w:sz="4" w:space="0" w:color="000000"/>
              <w:left w:val="nil"/>
              <w:bottom w:val="nil"/>
              <w:right w:val="nil"/>
            </w:tcBorders>
            <w:shd w:val="clear" w:color="auto" w:fill="auto"/>
            <w:noWrap/>
            <w:vAlign w:val="bottom"/>
            <w:hideMark/>
          </w:tcPr>
          <w:p w14:paraId="69CE0C8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1650</w:t>
            </w:r>
          </w:p>
        </w:tc>
        <w:tc>
          <w:tcPr>
            <w:tcW w:w="850" w:type="dxa"/>
            <w:tcBorders>
              <w:top w:val="single" w:sz="4" w:space="0" w:color="000000"/>
              <w:left w:val="nil"/>
              <w:bottom w:val="nil"/>
              <w:right w:val="nil"/>
            </w:tcBorders>
            <w:shd w:val="clear" w:color="auto" w:fill="auto"/>
            <w:noWrap/>
            <w:vAlign w:val="bottom"/>
            <w:hideMark/>
          </w:tcPr>
          <w:p w14:paraId="20C4A10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4361</w:t>
            </w:r>
          </w:p>
        </w:tc>
        <w:tc>
          <w:tcPr>
            <w:tcW w:w="850" w:type="dxa"/>
            <w:tcBorders>
              <w:top w:val="single" w:sz="4" w:space="0" w:color="000000"/>
              <w:left w:val="nil"/>
              <w:bottom w:val="nil"/>
              <w:right w:val="nil"/>
            </w:tcBorders>
            <w:shd w:val="clear" w:color="auto" w:fill="auto"/>
            <w:noWrap/>
            <w:vAlign w:val="bottom"/>
            <w:hideMark/>
          </w:tcPr>
          <w:p w14:paraId="3261F2D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1780</w:t>
            </w:r>
          </w:p>
        </w:tc>
        <w:tc>
          <w:tcPr>
            <w:tcW w:w="850" w:type="dxa"/>
            <w:tcBorders>
              <w:top w:val="single" w:sz="4" w:space="0" w:color="000000"/>
              <w:left w:val="nil"/>
              <w:bottom w:val="nil"/>
              <w:right w:val="nil"/>
            </w:tcBorders>
            <w:shd w:val="clear" w:color="auto" w:fill="auto"/>
            <w:noWrap/>
            <w:vAlign w:val="bottom"/>
            <w:hideMark/>
          </w:tcPr>
          <w:p w14:paraId="72ADFA8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12636</w:t>
            </w:r>
          </w:p>
        </w:tc>
        <w:tc>
          <w:tcPr>
            <w:tcW w:w="850" w:type="dxa"/>
            <w:tcBorders>
              <w:top w:val="single" w:sz="4" w:space="0" w:color="000000"/>
              <w:left w:val="nil"/>
              <w:bottom w:val="nil"/>
              <w:right w:val="nil"/>
            </w:tcBorders>
            <w:shd w:val="clear" w:color="auto" w:fill="auto"/>
            <w:noWrap/>
            <w:vAlign w:val="bottom"/>
            <w:hideMark/>
          </w:tcPr>
          <w:p w14:paraId="1770A70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38%</w:t>
            </w:r>
          </w:p>
        </w:tc>
        <w:tc>
          <w:tcPr>
            <w:tcW w:w="850" w:type="dxa"/>
            <w:tcBorders>
              <w:top w:val="single" w:sz="4" w:space="0" w:color="000000"/>
              <w:left w:val="nil"/>
              <w:bottom w:val="nil"/>
              <w:right w:val="nil"/>
            </w:tcBorders>
            <w:shd w:val="clear" w:color="auto" w:fill="auto"/>
            <w:noWrap/>
            <w:vAlign w:val="bottom"/>
            <w:hideMark/>
          </w:tcPr>
          <w:p w14:paraId="57C52C0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w:t>
            </w:r>
          </w:p>
        </w:tc>
        <w:tc>
          <w:tcPr>
            <w:tcW w:w="850" w:type="dxa"/>
            <w:tcBorders>
              <w:top w:val="single" w:sz="4" w:space="0" w:color="000000"/>
              <w:left w:val="nil"/>
              <w:bottom w:val="nil"/>
              <w:right w:val="nil"/>
            </w:tcBorders>
            <w:shd w:val="clear" w:color="auto" w:fill="auto"/>
            <w:noWrap/>
            <w:vAlign w:val="bottom"/>
            <w:hideMark/>
          </w:tcPr>
          <w:p w14:paraId="4237235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w:t>
            </w:r>
          </w:p>
        </w:tc>
        <w:tc>
          <w:tcPr>
            <w:tcW w:w="850" w:type="dxa"/>
            <w:tcBorders>
              <w:top w:val="single" w:sz="4" w:space="0" w:color="000000"/>
              <w:left w:val="nil"/>
              <w:bottom w:val="nil"/>
              <w:right w:val="single" w:sz="4" w:space="0" w:color="000000"/>
            </w:tcBorders>
            <w:shd w:val="clear" w:color="auto" w:fill="auto"/>
            <w:noWrap/>
            <w:vAlign w:val="bottom"/>
            <w:hideMark/>
          </w:tcPr>
          <w:p w14:paraId="5853CB2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w:t>
            </w:r>
          </w:p>
        </w:tc>
      </w:tr>
      <w:tr w:rsidR="00800CD3" w:rsidRPr="00C235E5" w14:paraId="3F5B499B"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C55D750"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6431F39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5150</w:t>
            </w:r>
          </w:p>
        </w:tc>
        <w:tc>
          <w:tcPr>
            <w:tcW w:w="850" w:type="dxa"/>
            <w:tcBorders>
              <w:top w:val="single" w:sz="4" w:space="0" w:color="000000"/>
              <w:left w:val="nil"/>
              <w:bottom w:val="nil"/>
              <w:right w:val="nil"/>
            </w:tcBorders>
            <w:shd w:val="clear" w:color="auto" w:fill="auto"/>
            <w:noWrap/>
            <w:vAlign w:val="bottom"/>
            <w:hideMark/>
          </w:tcPr>
          <w:p w14:paraId="6B5C199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2046</w:t>
            </w:r>
          </w:p>
        </w:tc>
        <w:tc>
          <w:tcPr>
            <w:tcW w:w="850" w:type="dxa"/>
            <w:tcBorders>
              <w:top w:val="single" w:sz="4" w:space="0" w:color="000000"/>
              <w:left w:val="nil"/>
              <w:bottom w:val="nil"/>
              <w:right w:val="nil"/>
            </w:tcBorders>
            <w:shd w:val="clear" w:color="auto" w:fill="auto"/>
            <w:noWrap/>
            <w:vAlign w:val="bottom"/>
            <w:hideMark/>
          </w:tcPr>
          <w:p w14:paraId="474F89B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9561</w:t>
            </w:r>
          </w:p>
        </w:tc>
        <w:tc>
          <w:tcPr>
            <w:tcW w:w="850" w:type="dxa"/>
            <w:tcBorders>
              <w:top w:val="single" w:sz="4" w:space="0" w:color="000000"/>
              <w:left w:val="nil"/>
              <w:bottom w:val="nil"/>
              <w:right w:val="nil"/>
            </w:tcBorders>
            <w:shd w:val="clear" w:color="auto" w:fill="auto"/>
            <w:noWrap/>
            <w:vAlign w:val="bottom"/>
            <w:hideMark/>
          </w:tcPr>
          <w:p w14:paraId="5163A1C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1793</w:t>
            </w:r>
          </w:p>
        </w:tc>
        <w:tc>
          <w:tcPr>
            <w:tcW w:w="850" w:type="dxa"/>
            <w:tcBorders>
              <w:top w:val="single" w:sz="4" w:space="0" w:color="000000"/>
              <w:left w:val="nil"/>
              <w:bottom w:val="nil"/>
              <w:right w:val="nil"/>
            </w:tcBorders>
            <w:shd w:val="clear" w:color="auto" w:fill="auto"/>
            <w:noWrap/>
            <w:vAlign w:val="bottom"/>
            <w:hideMark/>
          </w:tcPr>
          <w:p w14:paraId="764216C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18550</w:t>
            </w:r>
          </w:p>
        </w:tc>
        <w:tc>
          <w:tcPr>
            <w:tcW w:w="850" w:type="dxa"/>
            <w:tcBorders>
              <w:top w:val="single" w:sz="4" w:space="0" w:color="000000"/>
              <w:left w:val="nil"/>
              <w:bottom w:val="nil"/>
              <w:right w:val="nil"/>
            </w:tcBorders>
            <w:shd w:val="clear" w:color="auto" w:fill="auto"/>
            <w:noWrap/>
            <w:vAlign w:val="bottom"/>
            <w:hideMark/>
          </w:tcPr>
          <w:p w14:paraId="60708EB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591F9B6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nil"/>
            </w:tcBorders>
            <w:shd w:val="clear" w:color="auto" w:fill="auto"/>
            <w:noWrap/>
            <w:vAlign w:val="bottom"/>
            <w:hideMark/>
          </w:tcPr>
          <w:p w14:paraId="2C9AB77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52%</w:t>
            </w:r>
          </w:p>
        </w:tc>
        <w:tc>
          <w:tcPr>
            <w:tcW w:w="850" w:type="dxa"/>
            <w:tcBorders>
              <w:top w:val="single" w:sz="4" w:space="0" w:color="000000"/>
              <w:left w:val="nil"/>
              <w:bottom w:val="nil"/>
              <w:right w:val="single" w:sz="4" w:space="0" w:color="000000"/>
            </w:tcBorders>
            <w:shd w:val="clear" w:color="auto" w:fill="auto"/>
            <w:noWrap/>
            <w:vAlign w:val="bottom"/>
            <w:hideMark/>
          </w:tcPr>
          <w:p w14:paraId="467CDDF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w:t>
            </w:r>
          </w:p>
        </w:tc>
      </w:tr>
      <w:tr w:rsidR="00800CD3" w:rsidRPr="00C235E5" w14:paraId="471C83F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C239E18"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nil"/>
              <w:right w:val="nil"/>
            </w:tcBorders>
            <w:shd w:val="clear" w:color="auto" w:fill="auto"/>
            <w:noWrap/>
            <w:vAlign w:val="bottom"/>
            <w:hideMark/>
          </w:tcPr>
          <w:p w14:paraId="6D74CFF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4950</w:t>
            </w:r>
          </w:p>
        </w:tc>
        <w:tc>
          <w:tcPr>
            <w:tcW w:w="850" w:type="dxa"/>
            <w:tcBorders>
              <w:top w:val="single" w:sz="4" w:space="0" w:color="000000"/>
              <w:left w:val="nil"/>
              <w:bottom w:val="nil"/>
              <w:right w:val="nil"/>
            </w:tcBorders>
            <w:shd w:val="clear" w:color="auto" w:fill="auto"/>
            <w:noWrap/>
            <w:vAlign w:val="bottom"/>
            <w:hideMark/>
          </w:tcPr>
          <w:p w14:paraId="355A267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2272</w:t>
            </w:r>
          </w:p>
        </w:tc>
        <w:tc>
          <w:tcPr>
            <w:tcW w:w="850" w:type="dxa"/>
            <w:tcBorders>
              <w:top w:val="single" w:sz="4" w:space="0" w:color="000000"/>
              <w:left w:val="nil"/>
              <w:bottom w:val="nil"/>
              <w:right w:val="nil"/>
            </w:tcBorders>
            <w:shd w:val="clear" w:color="auto" w:fill="auto"/>
            <w:noWrap/>
            <w:vAlign w:val="bottom"/>
            <w:hideMark/>
          </w:tcPr>
          <w:p w14:paraId="5E8396C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11014</w:t>
            </w:r>
          </w:p>
        </w:tc>
        <w:tc>
          <w:tcPr>
            <w:tcW w:w="850" w:type="dxa"/>
            <w:tcBorders>
              <w:top w:val="single" w:sz="4" w:space="0" w:color="000000"/>
              <w:left w:val="nil"/>
              <w:bottom w:val="nil"/>
              <w:right w:val="nil"/>
            </w:tcBorders>
            <w:shd w:val="clear" w:color="auto" w:fill="auto"/>
            <w:noWrap/>
            <w:vAlign w:val="bottom"/>
            <w:hideMark/>
          </w:tcPr>
          <w:p w14:paraId="793D06F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2668</w:t>
            </w:r>
          </w:p>
        </w:tc>
        <w:tc>
          <w:tcPr>
            <w:tcW w:w="850" w:type="dxa"/>
            <w:tcBorders>
              <w:top w:val="single" w:sz="4" w:space="0" w:color="000000"/>
              <w:left w:val="nil"/>
              <w:bottom w:val="nil"/>
              <w:right w:val="nil"/>
            </w:tcBorders>
            <w:shd w:val="clear" w:color="auto" w:fill="auto"/>
            <w:noWrap/>
            <w:vAlign w:val="bottom"/>
            <w:hideMark/>
          </w:tcPr>
          <w:p w14:paraId="35404EE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20904</w:t>
            </w:r>
          </w:p>
        </w:tc>
        <w:tc>
          <w:tcPr>
            <w:tcW w:w="850" w:type="dxa"/>
            <w:tcBorders>
              <w:top w:val="single" w:sz="4" w:space="0" w:color="000000"/>
              <w:left w:val="nil"/>
              <w:bottom w:val="nil"/>
              <w:right w:val="nil"/>
            </w:tcBorders>
            <w:shd w:val="clear" w:color="auto" w:fill="auto"/>
            <w:noWrap/>
            <w:vAlign w:val="bottom"/>
            <w:hideMark/>
          </w:tcPr>
          <w:p w14:paraId="7F1FB76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c>
          <w:tcPr>
            <w:tcW w:w="850" w:type="dxa"/>
            <w:tcBorders>
              <w:top w:val="single" w:sz="4" w:space="0" w:color="000000"/>
              <w:left w:val="nil"/>
              <w:bottom w:val="nil"/>
              <w:right w:val="nil"/>
            </w:tcBorders>
            <w:shd w:val="clear" w:color="auto" w:fill="auto"/>
            <w:noWrap/>
            <w:vAlign w:val="bottom"/>
            <w:hideMark/>
          </w:tcPr>
          <w:p w14:paraId="7ECCC3A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nil"/>
            </w:tcBorders>
            <w:shd w:val="clear" w:color="auto" w:fill="auto"/>
            <w:noWrap/>
            <w:vAlign w:val="bottom"/>
            <w:hideMark/>
          </w:tcPr>
          <w:p w14:paraId="107C10C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w:t>
            </w:r>
          </w:p>
        </w:tc>
        <w:tc>
          <w:tcPr>
            <w:tcW w:w="850" w:type="dxa"/>
            <w:tcBorders>
              <w:top w:val="single" w:sz="4" w:space="0" w:color="000000"/>
              <w:left w:val="nil"/>
              <w:bottom w:val="nil"/>
              <w:right w:val="single" w:sz="4" w:space="0" w:color="000000"/>
            </w:tcBorders>
            <w:shd w:val="clear" w:color="auto" w:fill="auto"/>
            <w:noWrap/>
            <w:vAlign w:val="bottom"/>
            <w:hideMark/>
          </w:tcPr>
          <w:p w14:paraId="029C740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w:t>
            </w:r>
          </w:p>
        </w:tc>
      </w:tr>
      <w:tr w:rsidR="00800CD3" w:rsidRPr="00C235E5" w14:paraId="0E5C6349"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C007162"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FY2020</w:t>
            </w:r>
          </w:p>
        </w:tc>
        <w:tc>
          <w:tcPr>
            <w:tcW w:w="850" w:type="dxa"/>
            <w:tcBorders>
              <w:top w:val="single" w:sz="4" w:space="0" w:color="000000"/>
              <w:left w:val="single" w:sz="4" w:space="0" w:color="000000"/>
              <w:bottom w:val="nil"/>
              <w:right w:val="nil"/>
            </w:tcBorders>
            <w:shd w:val="clear" w:color="auto" w:fill="auto"/>
            <w:noWrap/>
            <w:vAlign w:val="bottom"/>
            <w:hideMark/>
          </w:tcPr>
          <w:p w14:paraId="280A795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5537</w:t>
            </w:r>
          </w:p>
        </w:tc>
        <w:tc>
          <w:tcPr>
            <w:tcW w:w="850" w:type="dxa"/>
            <w:tcBorders>
              <w:top w:val="single" w:sz="4" w:space="0" w:color="000000"/>
              <w:left w:val="nil"/>
              <w:bottom w:val="nil"/>
              <w:right w:val="nil"/>
            </w:tcBorders>
            <w:shd w:val="clear" w:color="auto" w:fill="auto"/>
            <w:noWrap/>
            <w:vAlign w:val="bottom"/>
            <w:hideMark/>
          </w:tcPr>
          <w:p w14:paraId="34DEF0E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1812</w:t>
            </w:r>
          </w:p>
        </w:tc>
        <w:tc>
          <w:tcPr>
            <w:tcW w:w="850" w:type="dxa"/>
            <w:tcBorders>
              <w:top w:val="single" w:sz="4" w:space="0" w:color="000000"/>
              <w:left w:val="nil"/>
              <w:bottom w:val="nil"/>
              <w:right w:val="nil"/>
            </w:tcBorders>
            <w:shd w:val="clear" w:color="auto" w:fill="auto"/>
            <w:noWrap/>
            <w:vAlign w:val="bottom"/>
            <w:hideMark/>
          </w:tcPr>
          <w:p w14:paraId="67CC9B0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12072</w:t>
            </w:r>
          </w:p>
        </w:tc>
        <w:tc>
          <w:tcPr>
            <w:tcW w:w="850" w:type="dxa"/>
            <w:tcBorders>
              <w:top w:val="single" w:sz="4" w:space="0" w:color="000000"/>
              <w:left w:val="nil"/>
              <w:bottom w:val="nil"/>
              <w:right w:val="nil"/>
            </w:tcBorders>
            <w:shd w:val="clear" w:color="auto" w:fill="auto"/>
            <w:noWrap/>
            <w:vAlign w:val="bottom"/>
            <w:hideMark/>
          </w:tcPr>
          <w:p w14:paraId="2F63E52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3089</w:t>
            </w:r>
          </w:p>
        </w:tc>
        <w:tc>
          <w:tcPr>
            <w:tcW w:w="850" w:type="dxa"/>
            <w:tcBorders>
              <w:top w:val="single" w:sz="4" w:space="0" w:color="000000"/>
              <w:left w:val="nil"/>
              <w:bottom w:val="nil"/>
              <w:right w:val="nil"/>
            </w:tcBorders>
            <w:shd w:val="clear" w:color="auto" w:fill="auto"/>
            <w:noWrap/>
            <w:vAlign w:val="bottom"/>
            <w:hideMark/>
          </w:tcPr>
          <w:p w14:paraId="265A2CC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22510</w:t>
            </w:r>
          </w:p>
        </w:tc>
        <w:tc>
          <w:tcPr>
            <w:tcW w:w="850" w:type="dxa"/>
            <w:tcBorders>
              <w:top w:val="single" w:sz="4" w:space="0" w:color="000000"/>
              <w:left w:val="nil"/>
              <w:bottom w:val="nil"/>
              <w:right w:val="nil"/>
            </w:tcBorders>
            <w:shd w:val="clear" w:color="auto" w:fill="auto"/>
            <w:noWrap/>
            <w:vAlign w:val="bottom"/>
            <w:hideMark/>
          </w:tcPr>
          <w:p w14:paraId="6C74CFE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nil"/>
              <w:right w:val="nil"/>
            </w:tcBorders>
            <w:shd w:val="clear" w:color="auto" w:fill="auto"/>
            <w:noWrap/>
            <w:vAlign w:val="bottom"/>
            <w:hideMark/>
          </w:tcPr>
          <w:p w14:paraId="58594D5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w:t>
            </w:r>
          </w:p>
        </w:tc>
        <w:tc>
          <w:tcPr>
            <w:tcW w:w="850" w:type="dxa"/>
            <w:tcBorders>
              <w:top w:val="single" w:sz="4" w:space="0" w:color="000000"/>
              <w:left w:val="nil"/>
              <w:bottom w:val="nil"/>
              <w:right w:val="nil"/>
            </w:tcBorders>
            <w:shd w:val="clear" w:color="auto" w:fill="auto"/>
            <w:noWrap/>
            <w:vAlign w:val="bottom"/>
            <w:hideMark/>
          </w:tcPr>
          <w:p w14:paraId="74F94D9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54%</w:t>
            </w:r>
          </w:p>
        </w:tc>
        <w:tc>
          <w:tcPr>
            <w:tcW w:w="850" w:type="dxa"/>
            <w:tcBorders>
              <w:top w:val="single" w:sz="4" w:space="0" w:color="000000"/>
              <w:left w:val="nil"/>
              <w:bottom w:val="nil"/>
              <w:right w:val="single" w:sz="4" w:space="0" w:color="000000"/>
            </w:tcBorders>
            <w:shd w:val="clear" w:color="auto" w:fill="auto"/>
            <w:noWrap/>
            <w:vAlign w:val="bottom"/>
            <w:hideMark/>
          </w:tcPr>
          <w:p w14:paraId="1B224FC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w:t>
            </w:r>
          </w:p>
        </w:tc>
      </w:tr>
      <w:tr w:rsidR="00800CD3" w:rsidRPr="00C235E5" w14:paraId="5A14AE30"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959AC02"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FY2021</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50287CF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5629</w:t>
            </w:r>
          </w:p>
        </w:tc>
        <w:tc>
          <w:tcPr>
            <w:tcW w:w="850" w:type="dxa"/>
            <w:tcBorders>
              <w:top w:val="single" w:sz="4" w:space="0" w:color="000000"/>
              <w:left w:val="nil"/>
              <w:bottom w:val="single" w:sz="4" w:space="0" w:color="000000"/>
              <w:right w:val="nil"/>
            </w:tcBorders>
            <w:shd w:val="clear" w:color="auto" w:fill="auto"/>
            <w:noWrap/>
            <w:vAlign w:val="bottom"/>
            <w:hideMark/>
          </w:tcPr>
          <w:p w14:paraId="3C4E674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2631</w:t>
            </w:r>
          </w:p>
        </w:tc>
        <w:tc>
          <w:tcPr>
            <w:tcW w:w="850" w:type="dxa"/>
            <w:tcBorders>
              <w:top w:val="single" w:sz="4" w:space="0" w:color="000000"/>
              <w:left w:val="nil"/>
              <w:bottom w:val="single" w:sz="4" w:space="0" w:color="000000"/>
              <w:right w:val="nil"/>
            </w:tcBorders>
            <w:shd w:val="clear" w:color="auto" w:fill="auto"/>
            <w:noWrap/>
            <w:vAlign w:val="bottom"/>
            <w:hideMark/>
          </w:tcPr>
          <w:p w14:paraId="26DC989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16929</w:t>
            </w:r>
          </w:p>
        </w:tc>
        <w:tc>
          <w:tcPr>
            <w:tcW w:w="850" w:type="dxa"/>
            <w:tcBorders>
              <w:top w:val="single" w:sz="4" w:space="0" w:color="000000"/>
              <w:left w:val="nil"/>
              <w:bottom w:val="single" w:sz="4" w:space="0" w:color="000000"/>
              <w:right w:val="nil"/>
            </w:tcBorders>
            <w:shd w:val="clear" w:color="auto" w:fill="auto"/>
            <w:noWrap/>
            <w:vAlign w:val="bottom"/>
            <w:hideMark/>
          </w:tcPr>
          <w:p w14:paraId="77D76AA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3373</w:t>
            </w:r>
          </w:p>
        </w:tc>
        <w:tc>
          <w:tcPr>
            <w:tcW w:w="850" w:type="dxa"/>
            <w:tcBorders>
              <w:top w:val="single" w:sz="4" w:space="0" w:color="000000"/>
              <w:left w:val="nil"/>
              <w:bottom w:val="single" w:sz="4" w:space="0" w:color="000000"/>
              <w:right w:val="nil"/>
            </w:tcBorders>
            <w:shd w:val="clear" w:color="auto" w:fill="auto"/>
            <w:noWrap/>
            <w:vAlign w:val="bottom"/>
            <w:hideMark/>
          </w:tcPr>
          <w:p w14:paraId="1E230AD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28562</w:t>
            </w:r>
          </w:p>
        </w:tc>
        <w:tc>
          <w:tcPr>
            <w:tcW w:w="850" w:type="dxa"/>
            <w:tcBorders>
              <w:top w:val="single" w:sz="4" w:space="0" w:color="000000"/>
              <w:left w:val="nil"/>
              <w:bottom w:val="single" w:sz="4" w:space="0" w:color="000000"/>
              <w:right w:val="nil"/>
            </w:tcBorders>
            <w:shd w:val="clear" w:color="auto" w:fill="auto"/>
            <w:noWrap/>
            <w:vAlign w:val="bottom"/>
            <w:hideMark/>
          </w:tcPr>
          <w:p w14:paraId="4163BE4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w:t>
            </w:r>
          </w:p>
        </w:tc>
        <w:tc>
          <w:tcPr>
            <w:tcW w:w="850" w:type="dxa"/>
            <w:tcBorders>
              <w:top w:val="single" w:sz="4" w:space="0" w:color="000000"/>
              <w:left w:val="nil"/>
              <w:bottom w:val="single" w:sz="4" w:space="0" w:color="000000"/>
              <w:right w:val="nil"/>
            </w:tcBorders>
            <w:shd w:val="clear" w:color="auto" w:fill="auto"/>
            <w:noWrap/>
            <w:vAlign w:val="bottom"/>
            <w:hideMark/>
          </w:tcPr>
          <w:p w14:paraId="2A87CAB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c>
          <w:tcPr>
            <w:tcW w:w="850" w:type="dxa"/>
            <w:tcBorders>
              <w:top w:val="single" w:sz="4" w:space="0" w:color="000000"/>
              <w:left w:val="nil"/>
              <w:bottom w:val="single" w:sz="4" w:space="0" w:color="000000"/>
              <w:right w:val="nil"/>
            </w:tcBorders>
            <w:shd w:val="clear" w:color="auto" w:fill="auto"/>
            <w:noWrap/>
            <w:vAlign w:val="bottom"/>
            <w:hideMark/>
          </w:tcPr>
          <w:p w14:paraId="367994C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714E0B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w:t>
            </w:r>
          </w:p>
        </w:tc>
      </w:tr>
    </w:tbl>
    <w:p w14:paraId="666B5535" w14:textId="62DF2579" w:rsidR="00800CD3" w:rsidRPr="00C235E5" w:rsidRDefault="00800CD3" w:rsidP="00F333DC">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Chart – </w:t>
      </w:r>
      <w:r w:rsidR="00914CBA" w:rsidRPr="00C235E5">
        <w:rPr>
          <w:rFonts w:ascii="Times New Roman" w:hAnsi="Times New Roman" w:cs="Times New Roman"/>
          <w:b/>
          <w:bCs/>
          <w:sz w:val="24"/>
          <w:szCs w:val="24"/>
          <w:lang w:val="en-GB"/>
        </w:rPr>
        <w:t>E</w:t>
      </w:r>
      <w:r w:rsidRPr="00C235E5">
        <w:rPr>
          <w:rFonts w:ascii="Times New Roman" w:hAnsi="Times New Roman" w:cs="Times New Roman"/>
          <w:b/>
          <w:bCs/>
          <w:sz w:val="24"/>
          <w:szCs w:val="24"/>
          <w:lang w:val="en-GB"/>
        </w:rPr>
        <w:t xml:space="preserve">1: </w:t>
      </w:r>
      <w:r w:rsidRPr="00C235E5">
        <w:rPr>
          <w:rFonts w:ascii="Times New Roman" w:hAnsi="Times New Roman" w:cs="Times New Roman"/>
          <w:b/>
          <w:bCs/>
          <w:i/>
          <w:iCs/>
          <w:sz w:val="24"/>
          <w:szCs w:val="24"/>
          <w:lang w:val="en-GB"/>
        </w:rPr>
        <w:t>Activision/King</w:t>
      </w:r>
      <w:r w:rsidRPr="00C235E5">
        <w:rPr>
          <w:rFonts w:ascii="Times New Roman" w:hAnsi="Times New Roman" w:cs="Times New Roman"/>
          <w:b/>
          <w:bCs/>
          <w:sz w:val="24"/>
          <w:szCs w:val="24"/>
          <w:lang w:val="en-GB"/>
        </w:rPr>
        <w:t xml:space="preserve"> Evolution of Total Sales</w:t>
      </w:r>
    </w:p>
    <w:p w14:paraId="3EB0B011" w14:textId="77777777"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746ADAA1" wp14:editId="425248BA">
            <wp:extent cx="4561217" cy="2710851"/>
            <wp:effectExtent l="0" t="0" r="10795" b="13335"/>
            <wp:docPr id="16" name="Chart 16">
              <a:extLst xmlns:a="http://schemas.openxmlformats.org/drawingml/2006/main">
                <a:ext uri="{FF2B5EF4-FFF2-40B4-BE49-F238E27FC236}">
                  <a16:creationId xmlns:a16="http://schemas.microsoft.com/office/drawing/2014/main" id="{51FDB672-9F93-4505-9FBA-075F5407E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EC25D5" w14:textId="77777777" w:rsidR="003D5045" w:rsidRDefault="003D5045">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1B5F3F8A" w14:textId="0221EF76"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 xml:space="preserve">Chart – </w:t>
      </w:r>
      <w:r w:rsidR="00914CBA" w:rsidRPr="00C235E5">
        <w:rPr>
          <w:rFonts w:ascii="Times New Roman" w:hAnsi="Times New Roman" w:cs="Times New Roman"/>
          <w:b/>
          <w:bCs/>
          <w:sz w:val="24"/>
          <w:szCs w:val="24"/>
          <w:lang w:val="en-GB"/>
        </w:rPr>
        <w:t>E</w:t>
      </w:r>
      <w:r w:rsidRPr="00C235E5">
        <w:rPr>
          <w:rFonts w:ascii="Times New Roman" w:hAnsi="Times New Roman" w:cs="Times New Roman"/>
          <w:b/>
          <w:bCs/>
          <w:sz w:val="24"/>
          <w:szCs w:val="24"/>
          <w:lang w:val="en-GB"/>
        </w:rPr>
        <w:t xml:space="preserve">2: </w:t>
      </w:r>
      <w:r w:rsidRPr="00C235E5">
        <w:rPr>
          <w:rFonts w:ascii="Times New Roman" w:hAnsi="Times New Roman" w:cs="Times New Roman"/>
          <w:b/>
          <w:bCs/>
          <w:i/>
          <w:iCs/>
          <w:sz w:val="24"/>
          <w:szCs w:val="24"/>
          <w:lang w:val="en-GB"/>
        </w:rPr>
        <w:t>Activision/King</w:t>
      </w:r>
      <w:r w:rsidRPr="00C235E5">
        <w:rPr>
          <w:rFonts w:ascii="Times New Roman" w:hAnsi="Times New Roman" w:cs="Times New Roman"/>
          <w:b/>
          <w:bCs/>
          <w:sz w:val="24"/>
          <w:szCs w:val="24"/>
          <w:lang w:val="en-GB"/>
        </w:rPr>
        <w:t xml:space="preserve"> Evolution of Competitor Market Shares</w:t>
      </w:r>
    </w:p>
    <w:p w14:paraId="30154FED" w14:textId="77777777"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69BCD352" wp14:editId="0C03E322">
            <wp:extent cx="4574158" cy="2710851"/>
            <wp:effectExtent l="0" t="0" r="17145" b="13335"/>
            <wp:docPr id="18" name="Chart 18">
              <a:extLst xmlns:a="http://schemas.openxmlformats.org/drawingml/2006/main">
                <a:ext uri="{FF2B5EF4-FFF2-40B4-BE49-F238E27FC236}">
                  <a16:creationId xmlns:a16="http://schemas.microsoft.com/office/drawing/2014/main" id="{C617D281-C4D8-4B94-89B7-A3B0D58B2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1B0CDA" w14:textId="77777777" w:rsidR="00800CD3" w:rsidRPr="00C235E5" w:rsidRDefault="00800CD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The data shows an industry wide increase in output. The beginning of this trend aligns with the date of the acquisition (2016). Before 2016, industry sales were gradually decreasing. The transaction seems to have changed that course. We also observe that SICs grew, suggesting rival expansion. Each and every rival increased its sales between the period of analysis. Last, the market appears to display some rivalry. Nintendo’s growth trajectory is especially noteworthy, since it expanded its share of sales by 16%,  while its rivals, EA and Take-Two, experienced steady decline.</w:t>
      </w:r>
    </w:p>
    <w:p w14:paraId="32C8C144" w14:textId="40A971AB" w:rsidR="00800CD3" w:rsidRPr="00C235E5" w:rsidRDefault="00800CD3" w:rsidP="00F42292">
      <w:pPr>
        <w:pStyle w:val="Heading2"/>
        <w:numPr>
          <w:ilvl w:val="0"/>
          <w:numId w:val="24"/>
        </w:numPr>
        <w:rPr>
          <w:rFonts w:cs="Times New Roman"/>
          <w:i w:val="0"/>
          <w:iCs/>
          <w:sz w:val="24"/>
          <w:szCs w:val="24"/>
          <w:lang w:val="en-GB"/>
        </w:rPr>
      </w:pPr>
      <w:r w:rsidRPr="00C235E5">
        <w:rPr>
          <w:rFonts w:cs="Times New Roman"/>
          <w:iCs/>
          <w:sz w:val="24"/>
          <w:szCs w:val="24"/>
          <w:lang w:val="en-GB"/>
        </w:rPr>
        <w:t>Microsoft/LinkedIn</w:t>
      </w:r>
    </w:p>
    <w:p w14:paraId="5AAB1EC6" w14:textId="0D901430" w:rsidR="00800CD3" w:rsidRPr="00C235E5" w:rsidRDefault="00800CD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 xml:space="preserve">Microsoft’s acquisition of LinkedIn was completed in 2016. In </w:t>
      </w:r>
      <w:r w:rsidRPr="003B576F">
        <w:rPr>
          <w:rFonts w:ascii="Times New Roman" w:hAnsi="Times New Roman" w:cs="Times New Roman"/>
          <w:i/>
          <w:iCs/>
          <w:sz w:val="24"/>
          <w:szCs w:val="24"/>
          <w:lang w:val="en-GB"/>
        </w:rPr>
        <w:t>Microsoft/LinkedIn</w:t>
      </w:r>
      <w:r w:rsidRPr="00C235E5">
        <w:rPr>
          <w:rFonts w:ascii="Times New Roman" w:hAnsi="Times New Roman" w:cs="Times New Roman"/>
          <w:sz w:val="24"/>
          <w:szCs w:val="24"/>
          <w:lang w:val="en-GB"/>
        </w:rPr>
        <w:t xml:space="preserve">, the EC considered the relevant market to be “customer relationship management software”. It identified Salesforce, Oracle, SAP, and Adobe as competitors of the merged entity. Table – </w:t>
      </w:r>
      <w:r w:rsidR="00D45E42" w:rsidRPr="00C235E5">
        <w:rPr>
          <w:rFonts w:ascii="Times New Roman" w:hAnsi="Times New Roman" w:cs="Times New Roman"/>
          <w:sz w:val="24"/>
          <w:szCs w:val="24"/>
          <w:lang w:val="en-GB"/>
        </w:rPr>
        <w:t>VIII</w:t>
      </w:r>
      <w:r w:rsidRPr="00C235E5">
        <w:rPr>
          <w:rFonts w:ascii="Times New Roman" w:hAnsi="Times New Roman" w:cs="Times New Roman"/>
          <w:sz w:val="24"/>
          <w:szCs w:val="24"/>
          <w:lang w:val="en-GB"/>
        </w:rPr>
        <w:t xml:space="preserve"> and Charts </w:t>
      </w:r>
      <w:r w:rsidR="00D45E42" w:rsidRPr="00C235E5">
        <w:rPr>
          <w:rFonts w:ascii="Times New Roman" w:hAnsi="Times New Roman" w:cs="Times New Roman"/>
          <w:sz w:val="24"/>
          <w:szCs w:val="24"/>
          <w:lang w:val="en-GB"/>
        </w:rPr>
        <w:t>F</w:t>
      </w:r>
      <w:r w:rsidRPr="00C235E5">
        <w:rPr>
          <w:rFonts w:ascii="Times New Roman" w:hAnsi="Times New Roman" w:cs="Times New Roman"/>
          <w:sz w:val="24"/>
          <w:szCs w:val="24"/>
          <w:lang w:val="en-GB"/>
        </w:rPr>
        <w:t xml:space="preserve">1 – </w:t>
      </w:r>
      <w:r w:rsidR="00D45E42" w:rsidRPr="00C235E5">
        <w:rPr>
          <w:rFonts w:ascii="Times New Roman" w:hAnsi="Times New Roman" w:cs="Times New Roman"/>
          <w:sz w:val="24"/>
          <w:szCs w:val="24"/>
          <w:lang w:val="en-GB"/>
        </w:rPr>
        <w:t>F</w:t>
      </w:r>
      <w:r w:rsidRPr="00C235E5">
        <w:rPr>
          <w:rFonts w:ascii="Times New Roman" w:hAnsi="Times New Roman" w:cs="Times New Roman"/>
          <w:sz w:val="24"/>
          <w:szCs w:val="24"/>
          <w:lang w:val="en-GB"/>
        </w:rPr>
        <w:t>2 below provide the evolution of industry sales and market structure before and after the transaction.</w:t>
      </w:r>
    </w:p>
    <w:p w14:paraId="7F12C693" w14:textId="6B7EAF7E" w:rsidR="00257E43" w:rsidRPr="00C235E5" w:rsidRDefault="00257E43" w:rsidP="00792C0D">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lastRenderedPageBreak/>
        <w:t xml:space="preserve">In the table, SIC 1, 2, 3 and 4 represent Salesforce, Oracle, SAP and Adobe, respectively. All three companies are active in the enterprise software solutions market, which encompasses the relevant market identified by the EC. To further refine the data, we focus on segment-level information. For Oracle, the relevant segment is “Software Licenses and Cloud Software Subscriptions”. For Salesforce, we look at “Subscription, Support, and Professional Services”. For Adobe, we rely on “Digital Marketing”. Finally, for SAP, the relevant segment is “Applications, Technology &amp; Services”. </w:t>
      </w:r>
    </w:p>
    <w:p w14:paraId="71C8804C" w14:textId="533F8A2C"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Table – </w:t>
      </w:r>
      <w:r w:rsidR="00D45E42" w:rsidRPr="00C235E5">
        <w:rPr>
          <w:rFonts w:ascii="Times New Roman" w:hAnsi="Times New Roman" w:cs="Times New Roman"/>
          <w:b/>
          <w:bCs/>
          <w:sz w:val="24"/>
          <w:szCs w:val="24"/>
          <w:lang w:val="en-GB"/>
        </w:rPr>
        <w:t>VIII</w:t>
      </w:r>
      <w:r w:rsidRPr="00C235E5">
        <w:rPr>
          <w:rFonts w:ascii="Times New Roman" w:hAnsi="Times New Roman" w:cs="Times New Roman"/>
          <w:b/>
          <w:bCs/>
          <w:sz w:val="24"/>
          <w:szCs w:val="24"/>
          <w:lang w:val="en-GB"/>
        </w:rPr>
        <w:t xml:space="preserve">: </w:t>
      </w:r>
      <w:r w:rsidRPr="00C235E5">
        <w:rPr>
          <w:rFonts w:ascii="Times New Roman" w:hAnsi="Times New Roman" w:cs="Times New Roman"/>
          <w:b/>
          <w:bCs/>
          <w:i/>
          <w:iCs/>
          <w:sz w:val="24"/>
          <w:szCs w:val="24"/>
          <w:lang w:val="en-GB"/>
        </w:rPr>
        <w:t>Microsoft/LinkedIn</w:t>
      </w:r>
      <w:r w:rsidRPr="00C235E5">
        <w:rPr>
          <w:rFonts w:ascii="Times New Roman" w:hAnsi="Times New Roman" w:cs="Times New Roman"/>
          <w:b/>
          <w:bCs/>
          <w:sz w:val="24"/>
          <w:szCs w:val="24"/>
          <w:lang w:val="en-GB"/>
        </w:rPr>
        <w:t xml:space="preserve"> Figures for the SIC Test</w:t>
      </w:r>
    </w:p>
    <w:tbl>
      <w:tblPr>
        <w:tblW w:w="8500" w:type="dxa"/>
        <w:jc w:val="center"/>
        <w:tblCellMar>
          <w:left w:w="70" w:type="dxa"/>
          <w:right w:w="70" w:type="dxa"/>
        </w:tblCellMar>
        <w:tblLook w:val="04A0" w:firstRow="1" w:lastRow="0" w:firstColumn="1" w:lastColumn="0" w:noHBand="0" w:noVBand="1"/>
      </w:tblPr>
      <w:tblGrid>
        <w:gridCol w:w="1060"/>
        <w:gridCol w:w="1260"/>
        <w:gridCol w:w="850"/>
        <w:gridCol w:w="850"/>
        <w:gridCol w:w="850"/>
        <w:gridCol w:w="850"/>
        <w:gridCol w:w="850"/>
        <w:gridCol w:w="850"/>
        <w:gridCol w:w="850"/>
        <w:gridCol w:w="850"/>
      </w:tblGrid>
      <w:tr w:rsidR="00800CD3" w:rsidRPr="00C235E5" w14:paraId="32F4989A"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3EED2CE"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vAlign w:val="bottom"/>
            <w:hideMark/>
          </w:tcPr>
          <w:p w14:paraId="6C19F197"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Sales of identified competitor (SIC) 1</w:t>
            </w:r>
          </w:p>
        </w:tc>
        <w:tc>
          <w:tcPr>
            <w:tcW w:w="850" w:type="dxa"/>
            <w:tcBorders>
              <w:top w:val="single" w:sz="4" w:space="0" w:color="000000"/>
              <w:left w:val="nil"/>
              <w:bottom w:val="nil"/>
              <w:right w:val="nil"/>
            </w:tcBorders>
            <w:shd w:val="clear" w:color="000000" w:fill="000000"/>
            <w:noWrap/>
            <w:vAlign w:val="bottom"/>
            <w:hideMark/>
          </w:tcPr>
          <w:p w14:paraId="3A561602"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139710C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3</w:t>
            </w:r>
          </w:p>
        </w:tc>
        <w:tc>
          <w:tcPr>
            <w:tcW w:w="850" w:type="dxa"/>
            <w:tcBorders>
              <w:top w:val="single" w:sz="4" w:space="0" w:color="000000"/>
              <w:left w:val="nil"/>
              <w:bottom w:val="nil"/>
              <w:right w:val="nil"/>
            </w:tcBorders>
            <w:shd w:val="clear" w:color="000000" w:fill="000000"/>
            <w:noWrap/>
            <w:vAlign w:val="bottom"/>
            <w:hideMark/>
          </w:tcPr>
          <w:p w14:paraId="256BC27E"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4</w:t>
            </w:r>
          </w:p>
        </w:tc>
        <w:tc>
          <w:tcPr>
            <w:tcW w:w="850" w:type="dxa"/>
            <w:tcBorders>
              <w:top w:val="single" w:sz="4" w:space="0" w:color="000000"/>
              <w:left w:val="nil"/>
              <w:bottom w:val="nil"/>
              <w:right w:val="nil"/>
            </w:tcBorders>
            <w:shd w:val="clear" w:color="000000" w:fill="000000"/>
            <w:noWrap/>
            <w:vAlign w:val="bottom"/>
            <w:hideMark/>
          </w:tcPr>
          <w:p w14:paraId="32111C96"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558284E7"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0B3166A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nil"/>
            </w:tcBorders>
            <w:shd w:val="clear" w:color="000000" w:fill="000000"/>
            <w:noWrap/>
            <w:vAlign w:val="bottom"/>
            <w:hideMark/>
          </w:tcPr>
          <w:p w14:paraId="013C4BF2"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c>
          <w:tcPr>
            <w:tcW w:w="850" w:type="dxa"/>
            <w:tcBorders>
              <w:top w:val="single" w:sz="4" w:space="0" w:color="000000"/>
              <w:left w:val="nil"/>
              <w:bottom w:val="nil"/>
              <w:right w:val="single" w:sz="4" w:space="0" w:color="000000"/>
            </w:tcBorders>
            <w:shd w:val="clear" w:color="000000" w:fill="000000"/>
            <w:noWrap/>
            <w:vAlign w:val="bottom"/>
            <w:hideMark/>
          </w:tcPr>
          <w:p w14:paraId="013A41A2"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4</w:t>
            </w:r>
          </w:p>
        </w:tc>
      </w:tr>
      <w:tr w:rsidR="00800CD3" w:rsidRPr="00C235E5" w14:paraId="3AF85613"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C8F2C7C"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FY2014</w:t>
            </w:r>
          </w:p>
        </w:tc>
        <w:tc>
          <w:tcPr>
            <w:tcW w:w="850" w:type="dxa"/>
            <w:tcBorders>
              <w:top w:val="single" w:sz="4" w:space="0" w:color="000000"/>
              <w:left w:val="single" w:sz="4" w:space="0" w:color="000000"/>
              <w:bottom w:val="nil"/>
              <w:right w:val="nil"/>
            </w:tcBorders>
            <w:shd w:val="clear" w:color="auto" w:fill="auto"/>
            <w:noWrap/>
            <w:vAlign w:val="bottom"/>
            <w:hideMark/>
          </w:tcPr>
          <w:p w14:paraId="4BAA8F1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4071</w:t>
            </w:r>
          </w:p>
        </w:tc>
        <w:tc>
          <w:tcPr>
            <w:tcW w:w="850" w:type="dxa"/>
            <w:tcBorders>
              <w:top w:val="single" w:sz="4" w:space="0" w:color="000000"/>
              <w:left w:val="nil"/>
              <w:bottom w:val="nil"/>
              <w:right w:val="nil"/>
            </w:tcBorders>
            <w:shd w:val="clear" w:color="auto" w:fill="auto"/>
            <w:noWrap/>
            <w:vAlign w:val="bottom"/>
            <w:hideMark/>
          </w:tcPr>
          <w:p w14:paraId="694129B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10542</w:t>
            </w:r>
          </w:p>
        </w:tc>
        <w:tc>
          <w:tcPr>
            <w:tcW w:w="850" w:type="dxa"/>
            <w:tcBorders>
              <w:top w:val="single" w:sz="4" w:space="0" w:color="000000"/>
              <w:left w:val="nil"/>
              <w:bottom w:val="nil"/>
              <w:right w:val="nil"/>
            </w:tcBorders>
            <w:shd w:val="clear" w:color="auto" w:fill="auto"/>
            <w:noWrap/>
            <w:vAlign w:val="bottom"/>
            <w:hideMark/>
          </w:tcPr>
          <w:p w14:paraId="03EA5E0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22409</w:t>
            </w:r>
          </w:p>
        </w:tc>
        <w:tc>
          <w:tcPr>
            <w:tcW w:w="850" w:type="dxa"/>
            <w:tcBorders>
              <w:top w:val="single" w:sz="4" w:space="0" w:color="000000"/>
              <w:left w:val="nil"/>
              <w:bottom w:val="nil"/>
              <w:right w:val="nil"/>
            </w:tcBorders>
            <w:shd w:val="clear" w:color="auto" w:fill="auto"/>
            <w:noWrap/>
            <w:vAlign w:val="bottom"/>
            <w:hideMark/>
          </w:tcPr>
          <w:p w14:paraId="5126C2E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798</w:t>
            </w:r>
          </w:p>
        </w:tc>
        <w:tc>
          <w:tcPr>
            <w:tcW w:w="850" w:type="dxa"/>
            <w:tcBorders>
              <w:top w:val="single" w:sz="4" w:space="0" w:color="000000"/>
              <w:left w:val="nil"/>
              <w:bottom w:val="nil"/>
              <w:right w:val="nil"/>
            </w:tcBorders>
            <w:shd w:val="clear" w:color="auto" w:fill="auto"/>
            <w:noWrap/>
            <w:vAlign w:val="bottom"/>
            <w:hideMark/>
          </w:tcPr>
          <w:p w14:paraId="5710223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37820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E3D7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w:t>
            </w:r>
          </w:p>
        </w:tc>
        <w:tc>
          <w:tcPr>
            <w:tcW w:w="850" w:type="dxa"/>
            <w:tcBorders>
              <w:top w:val="single" w:sz="4" w:space="0" w:color="000000"/>
              <w:left w:val="nil"/>
              <w:bottom w:val="nil"/>
              <w:right w:val="nil"/>
            </w:tcBorders>
            <w:shd w:val="clear" w:color="auto" w:fill="auto"/>
            <w:noWrap/>
            <w:vAlign w:val="bottom"/>
            <w:hideMark/>
          </w:tcPr>
          <w:p w14:paraId="5489377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2F21379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59%</w:t>
            </w:r>
          </w:p>
        </w:tc>
        <w:tc>
          <w:tcPr>
            <w:tcW w:w="850" w:type="dxa"/>
            <w:tcBorders>
              <w:top w:val="single" w:sz="4" w:space="0" w:color="000000"/>
              <w:left w:val="nil"/>
              <w:bottom w:val="nil"/>
              <w:right w:val="single" w:sz="4" w:space="0" w:color="000000"/>
            </w:tcBorders>
            <w:shd w:val="clear" w:color="auto" w:fill="auto"/>
            <w:noWrap/>
            <w:vAlign w:val="bottom"/>
            <w:hideMark/>
          </w:tcPr>
          <w:p w14:paraId="285E0BD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w:t>
            </w:r>
          </w:p>
        </w:tc>
      </w:tr>
      <w:tr w:rsidR="00800CD3" w:rsidRPr="00C235E5" w14:paraId="66FF5615"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40AE81F"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1177E99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5373</w:t>
            </w:r>
          </w:p>
        </w:tc>
        <w:tc>
          <w:tcPr>
            <w:tcW w:w="850" w:type="dxa"/>
            <w:tcBorders>
              <w:top w:val="single" w:sz="4" w:space="0" w:color="000000"/>
              <w:left w:val="nil"/>
              <w:bottom w:val="nil"/>
              <w:right w:val="nil"/>
            </w:tcBorders>
            <w:shd w:val="clear" w:color="auto" w:fill="auto"/>
            <w:noWrap/>
            <w:vAlign w:val="bottom"/>
            <w:hideMark/>
          </w:tcPr>
          <w:p w14:paraId="404846A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10025</w:t>
            </w:r>
          </w:p>
        </w:tc>
        <w:tc>
          <w:tcPr>
            <w:tcW w:w="850" w:type="dxa"/>
            <w:tcBorders>
              <w:top w:val="single" w:sz="4" w:space="0" w:color="000000"/>
              <w:left w:val="nil"/>
              <w:bottom w:val="nil"/>
              <w:right w:val="nil"/>
            </w:tcBorders>
            <w:shd w:val="clear" w:color="auto" w:fill="auto"/>
            <w:noWrap/>
            <w:vAlign w:val="bottom"/>
            <w:hideMark/>
          </w:tcPr>
          <w:p w14:paraId="2FCA57F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21229</w:t>
            </w:r>
          </w:p>
        </w:tc>
        <w:tc>
          <w:tcPr>
            <w:tcW w:w="850" w:type="dxa"/>
            <w:tcBorders>
              <w:top w:val="single" w:sz="4" w:space="0" w:color="000000"/>
              <w:left w:val="nil"/>
              <w:bottom w:val="nil"/>
              <w:right w:val="nil"/>
            </w:tcBorders>
            <w:shd w:val="clear" w:color="auto" w:fill="auto"/>
            <w:noWrap/>
            <w:vAlign w:val="bottom"/>
            <w:hideMark/>
          </w:tcPr>
          <w:p w14:paraId="009E8C6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937</w:t>
            </w:r>
          </w:p>
        </w:tc>
        <w:tc>
          <w:tcPr>
            <w:tcW w:w="850" w:type="dxa"/>
            <w:tcBorders>
              <w:top w:val="single" w:sz="4" w:space="0" w:color="000000"/>
              <w:left w:val="nil"/>
              <w:bottom w:val="nil"/>
              <w:right w:val="nil"/>
            </w:tcBorders>
            <w:shd w:val="clear" w:color="auto" w:fill="auto"/>
            <w:noWrap/>
            <w:vAlign w:val="bottom"/>
            <w:hideMark/>
          </w:tcPr>
          <w:p w14:paraId="5D7C4EA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37564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990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w:t>
            </w:r>
          </w:p>
        </w:tc>
        <w:tc>
          <w:tcPr>
            <w:tcW w:w="850" w:type="dxa"/>
            <w:tcBorders>
              <w:top w:val="single" w:sz="4" w:space="0" w:color="000000"/>
              <w:left w:val="nil"/>
              <w:bottom w:val="nil"/>
              <w:right w:val="nil"/>
            </w:tcBorders>
            <w:shd w:val="clear" w:color="auto" w:fill="auto"/>
            <w:noWrap/>
            <w:vAlign w:val="bottom"/>
            <w:hideMark/>
          </w:tcPr>
          <w:p w14:paraId="0415EC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w:t>
            </w:r>
          </w:p>
        </w:tc>
        <w:tc>
          <w:tcPr>
            <w:tcW w:w="850" w:type="dxa"/>
            <w:tcBorders>
              <w:top w:val="single" w:sz="4" w:space="0" w:color="000000"/>
              <w:left w:val="nil"/>
              <w:bottom w:val="nil"/>
              <w:right w:val="nil"/>
            </w:tcBorders>
            <w:shd w:val="clear" w:color="auto" w:fill="auto"/>
            <w:noWrap/>
            <w:vAlign w:val="bottom"/>
            <w:hideMark/>
          </w:tcPr>
          <w:p w14:paraId="58170D6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57%</w:t>
            </w:r>
          </w:p>
        </w:tc>
        <w:tc>
          <w:tcPr>
            <w:tcW w:w="850" w:type="dxa"/>
            <w:tcBorders>
              <w:top w:val="single" w:sz="4" w:space="0" w:color="000000"/>
              <w:left w:val="nil"/>
              <w:bottom w:val="nil"/>
              <w:right w:val="single" w:sz="4" w:space="0" w:color="000000"/>
            </w:tcBorders>
            <w:shd w:val="clear" w:color="auto" w:fill="auto"/>
            <w:noWrap/>
            <w:vAlign w:val="bottom"/>
            <w:hideMark/>
          </w:tcPr>
          <w:p w14:paraId="0769200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w:t>
            </w:r>
          </w:p>
        </w:tc>
      </w:tr>
      <w:tr w:rsidR="00800CD3" w:rsidRPr="00C235E5" w14:paraId="0181CEC9"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C9648C8"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FY2016*</w:t>
            </w:r>
          </w:p>
        </w:tc>
        <w:tc>
          <w:tcPr>
            <w:tcW w:w="850" w:type="dxa"/>
            <w:tcBorders>
              <w:top w:val="single" w:sz="4" w:space="0" w:color="000000"/>
              <w:left w:val="single" w:sz="4" w:space="0" w:color="000000"/>
              <w:bottom w:val="nil"/>
              <w:right w:val="nil"/>
            </w:tcBorders>
            <w:shd w:val="clear" w:color="auto" w:fill="auto"/>
            <w:noWrap/>
            <w:vAlign w:val="bottom"/>
            <w:hideMark/>
          </w:tcPr>
          <w:p w14:paraId="5C7302B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6667</w:t>
            </w:r>
          </w:p>
        </w:tc>
        <w:tc>
          <w:tcPr>
            <w:tcW w:w="850" w:type="dxa"/>
            <w:tcBorders>
              <w:top w:val="single" w:sz="4" w:space="0" w:color="000000"/>
              <w:left w:val="nil"/>
              <w:bottom w:val="nil"/>
              <w:right w:val="nil"/>
            </w:tcBorders>
            <w:shd w:val="clear" w:color="auto" w:fill="auto"/>
            <w:noWrap/>
            <w:vAlign w:val="bottom"/>
            <w:hideMark/>
          </w:tcPr>
          <w:p w14:paraId="433CDDA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9498</w:t>
            </w:r>
          </w:p>
        </w:tc>
        <w:tc>
          <w:tcPr>
            <w:tcW w:w="850" w:type="dxa"/>
            <w:tcBorders>
              <w:top w:val="single" w:sz="4" w:space="0" w:color="000000"/>
              <w:left w:val="nil"/>
              <w:bottom w:val="nil"/>
              <w:right w:val="nil"/>
            </w:tcBorders>
            <w:shd w:val="clear" w:color="auto" w:fill="auto"/>
            <w:noWrap/>
            <w:vAlign w:val="bottom"/>
            <w:hideMark/>
          </w:tcPr>
          <w:p w14:paraId="11105D6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22279</w:t>
            </w:r>
          </w:p>
        </w:tc>
        <w:tc>
          <w:tcPr>
            <w:tcW w:w="850" w:type="dxa"/>
            <w:tcBorders>
              <w:top w:val="single" w:sz="4" w:space="0" w:color="000000"/>
              <w:left w:val="nil"/>
              <w:bottom w:val="nil"/>
              <w:right w:val="nil"/>
            </w:tcBorders>
            <w:shd w:val="clear" w:color="auto" w:fill="auto"/>
            <w:noWrap/>
            <w:vAlign w:val="bottom"/>
            <w:hideMark/>
          </w:tcPr>
          <w:p w14:paraId="3BDD384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1180</w:t>
            </w:r>
          </w:p>
        </w:tc>
        <w:tc>
          <w:tcPr>
            <w:tcW w:w="850" w:type="dxa"/>
            <w:tcBorders>
              <w:top w:val="single" w:sz="4" w:space="0" w:color="000000"/>
              <w:left w:val="nil"/>
              <w:bottom w:val="nil"/>
              <w:right w:val="nil"/>
            </w:tcBorders>
            <w:shd w:val="clear" w:color="auto" w:fill="auto"/>
            <w:noWrap/>
            <w:vAlign w:val="bottom"/>
            <w:hideMark/>
          </w:tcPr>
          <w:p w14:paraId="30C4C42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39624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6B7A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w:t>
            </w:r>
          </w:p>
        </w:tc>
        <w:tc>
          <w:tcPr>
            <w:tcW w:w="850" w:type="dxa"/>
            <w:tcBorders>
              <w:top w:val="single" w:sz="4" w:space="0" w:color="000000"/>
              <w:left w:val="nil"/>
              <w:bottom w:val="nil"/>
              <w:right w:val="nil"/>
            </w:tcBorders>
            <w:shd w:val="clear" w:color="auto" w:fill="auto"/>
            <w:noWrap/>
            <w:vAlign w:val="bottom"/>
            <w:hideMark/>
          </w:tcPr>
          <w:p w14:paraId="21E0828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c>
          <w:tcPr>
            <w:tcW w:w="850" w:type="dxa"/>
            <w:tcBorders>
              <w:top w:val="single" w:sz="4" w:space="0" w:color="000000"/>
              <w:left w:val="nil"/>
              <w:bottom w:val="nil"/>
              <w:right w:val="nil"/>
            </w:tcBorders>
            <w:shd w:val="clear" w:color="auto" w:fill="auto"/>
            <w:noWrap/>
            <w:vAlign w:val="bottom"/>
            <w:hideMark/>
          </w:tcPr>
          <w:p w14:paraId="3CFCF88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56%</w:t>
            </w:r>
          </w:p>
        </w:tc>
        <w:tc>
          <w:tcPr>
            <w:tcW w:w="850" w:type="dxa"/>
            <w:tcBorders>
              <w:top w:val="single" w:sz="4" w:space="0" w:color="000000"/>
              <w:left w:val="nil"/>
              <w:bottom w:val="nil"/>
              <w:right w:val="single" w:sz="4" w:space="0" w:color="000000"/>
            </w:tcBorders>
            <w:shd w:val="clear" w:color="auto" w:fill="auto"/>
            <w:noWrap/>
            <w:vAlign w:val="bottom"/>
            <w:hideMark/>
          </w:tcPr>
          <w:p w14:paraId="4FD6E0F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w:t>
            </w:r>
          </w:p>
        </w:tc>
      </w:tr>
      <w:tr w:rsidR="00800CD3" w:rsidRPr="00C235E5" w14:paraId="093C59B9"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BE6A113"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09BE4E9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8347</w:t>
            </w:r>
          </w:p>
        </w:tc>
        <w:tc>
          <w:tcPr>
            <w:tcW w:w="850" w:type="dxa"/>
            <w:tcBorders>
              <w:top w:val="single" w:sz="4" w:space="0" w:color="000000"/>
              <w:left w:val="nil"/>
              <w:bottom w:val="nil"/>
              <w:right w:val="nil"/>
            </w:tcBorders>
            <w:shd w:val="clear" w:color="auto" w:fill="auto"/>
            <w:noWrap/>
            <w:vAlign w:val="bottom"/>
            <w:hideMark/>
          </w:tcPr>
          <w:p w14:paraId="64DAB40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10098</w:t>
            </w:r>
          </w:p>
        </w:tc>
        <w:tc>
          <w:tcPr>
            <w:tcW w:w="850" w:type="dxa"/>
            <w:tcBorders>
              <w:top w:val="single" w:sz="4" w:space="0" w:color="000000"/>
              <w:left w:val="nil"/>
              <w:bottom w:val="nil"/>
              <w:right w:val="nil"/>
            </w:tcBorders>
            <w:shd w:val="clear" w:color="auto" w:fill="auto"/>
            <w:noWrap/>
            <w:vAlign w:val="bottom"/>
            <w:hideMark/>
          </w:tcPr>
          <w:p w14:paraId="353945F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23898</w:t>
            </w:r>
          </w:p>
        </w:tc>
        <w:tc>
          <w:tcPr>
            <w:tcW w:w="850" w:type="dxa"/>
            <w:tcBorders>
              <w:top w:val="single" w:sz="4" w:space="0" w:color="000000"/>
              <w:left w:val="nil"/>
              <w:bottom w:val="nil"/>
              <w:right w:val="nil"/>
            </w:tcBorders>
            <w:shd w:val="clear" w:color="auto" w:fill="auto"/>
            <w:noWrap/>
            <w:vAlign w:val="bottom"/>
            <w:hideMark/>
          </w:tcPr>
          <w:p w14:paraId="713DCAE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1553</w:t>
            </w:r>
          </w:p>
        </w:tc>
        <w:tc>
          <w:tcPr>
            <w:tcW w:w="850" w:type="dxa"/>
            <w:tcBorders>
              <w:top w:val="single" w:sz="4" w:space="0" w:color="000000"/>
              <w:left w:val="nil"/>
              <w:bottom w:val="nil"/>
              <w:right w:val="nil"/>
            </w:tcBorders>
            <w:shd w:val="clear" w:color="auto" w:fill="auto"/>
            <w:noWrap/>
            <w:vAlign w:val="bottom"/>
            <w:hideMark/>
          </w:tcPr>
          <w:p w14:paraId="6A9DE64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43896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7C3B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w:t>
            </w:r>
          </w:p>
        </w:tc>
        <w:tc>
          <w:tcPr>
            <w:tcW w:w="850" w:type="dxa"/>
            <w:tcBorders>
              <w:top w:val="single" w:sz="4" w:space="0" w:color="000000"/>
              <w:left w:val="nil"/>
              <w:bottom w:val="nil"/>
              <w:right w:val="nil"/>
            </w:tcBorders>
            <w:shd w:val="clear" w:color="auto" w:fill="auto"/>
            <w:noWrap/>
            <w:vAlign w:val="bottom"/>
            <w:hideMark/>
          </w:tcPr>
          <w:p w14:paraId="473B93A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w:t>
            </w:r>
          </w:p>
        </w:tc>
        <w:tc>
          <w:tcPr>
            <w:tcW w:w="850" w:type="dxa"/>
            <w:tcBorders>
              <w:top w:val="single" w:sz="4" w:space="0" w:color="000000"/>
              <w:left w:val="nil"/>
              <w:bottom w:val="nil"/>
              <w:right w:val="nil"/>
            </w:tcBorders>
            <w:shd w:val="clear" w:color="auto" w:fill="auto"/>
            <w:noWrap/>
            <w:vAlign w:val="bottom"/>
            <w:hideMark/>
          </w:tcPr>
          <w:p w14:paraId="539D320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54%</w:t>
            </w:r>
          </w:p>
        </w:tc>
        <w:tc>
          <w:tcPr>
            <w:tcW w:w="850" w:type="dxa"/>
            <w:tcBorders>
              <w:top w:val="single" w:sz="4" w:space="0" w:color="000000"/>
              <w:left w:val="nil"/>
              <w:bottom w:val="nil"/>
              <w:right w:val="single" w:sz="4" w:space="0" w:color="000000"/>
            </w:tcBorders>
            <w:shd w:val="clear" w:color="auto" w:fill="auto"/>
            <w:noWrap/>
            <w:vAlign w:val="bottom"/>
            <w:hideMark/>
          </w:tcPr>
          <w:p w14:paraId="5095431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w:t>
            </w:r>
          </w:p>
        </w:tc>
      </w:tr>
      <w:tr w:rsidR="00800CD3" w:rsidRPr="00C235E5" w14:paraId="31818E1D"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B4ACBCC"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2F7936C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10540</w:t>
            </w:r>
          </w:p>
        </w:tc>
        <w:tc>
          <w:tcPr>
            <w:tcW w:w="850" w:type="dxa"/>
            <w:tcBorders>
              <w:top w:val="single" w:sz="4" w:space="0" w:color="000000"/>
              <w:left w:val="nil"/>
              <w:bottom w:val="nil"/>
              <w:right w:val="nil"/>
            </w:tcBorders>
            <w:shd w:val="clear" w:color="auto" w:fill="auto"/>
            <w:noWrap/>
            <w:vAlign w:val="bottom"/>
            <w:hideMark/>
          </w:tcPr>
          <w:p w14:paraId="5837A99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11113</w:t>
            </w:r>
          </w:p>
        </w:tc>
        <w:tc>
          <w:tcPr>
            <w:tcW w:w="850" w:type="dxa"/>
            <w:tcBorders>
              <w:top w:val="single" w:sz="4" w:space="0" w:color="000000"/>
              <w:left w:val="nil"/>
              <w:bottom w:val="nil"/>
              <w:right w:val="nil"/>
            </w:tcBorders>
            <w:shd w:val="clear" w:color="auto" w:fill="auto"/>
            <w:noWrap/>
            <w:vAlign w:val="bottom"/>
            <w:hideMark/>
          </w:tcPr>
          <w:p w14:paraId="6A71E74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25692</w:t>
            </w:r>
          </w:p>
        </w:tc>
        <w:tc>
          <w:tcPr>
            <w:tcW w:w="850" w:type="dxa"/>
            <w:tcBorders>
              <w:top w:val="single" w:sz="4" w:space="0" w:color="000000"/>
              <w:left w:val="nil"/>
              <w:bottom w:val="nil"/>
              <w:right w:val="nil"/>
            </w:tcBorders>
            <w:shd w:val="clear" w:color="auto" w:fill="auto"/>
            <w:noWrap/>
            <w:vAlign w:val="bottom"/>
            <w:hideMark/>
          </w:tcPr>
          <w:p w14:paraId="2EC1D44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1949</w:t>
            </w:r>
          </w:p>
        </w:tc>
        <w:tc>
          <w:tcPr>
            <w:tcW w:w="850" w:type="dxa"/>
            <w:tcBorders>
              <w:top w:val="single" w:sz="4" w:space="0" w:color="000000"/>
              <w:left w:val="nil"/>
              <w:bottom w:val="nil"/>
              <w:right w:val="nil"/>
            </w:tcBorders>
            <w:shd w:val="clear" w:color="auto" w:fill="auto"/>
            <w:noWrap/>
            <w:vAlign w:val="bottom"/>
            <w:hideMark/>
          </w:tcPr>
          <w:p w14:paraId="5CF9609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49294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B4E8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w:t>
            </w:r>
          </w:p>
        </w:tc>
        <w:tc>
          <w:tcPr>
            <w:tcW w:w="850" w:type="dxa"/>
            <w:tcBorders>
              <w:top w:val="single" w:sz="4" w:space="0" w:color="000000"/>
              <w:left w:val="nil"/>
              <w:bottom w:val="nil"/>
              <w:right w:val="nil"/>
            </w:tcBorders>
            <w:shd w:val="clear" w:color="auto" w:fill="auto"/>
            <w:noWrap/>
            <w:vAlign w:val="bottom"/>
            <w:hideMark/>
          </w:tcPr>
          <w:p w14:paraId="7501854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w:t>
            </w:r>
          </w:p>
        </w:tc>
        <w:tc>
          <w:tcPr>
            <w:tcW w:w="850" w:type="dxa"/>
            <w:tcBorders>
              <w:top w:val="single" w:sz="4" w:space="0" w:color="000000"/>
              <w:left w:val="nil"/>
              <w:bottom w:val="nil"/>
              <w:right w:val="nil"/>
            </w:tcBorders>
            <w:shd w:val="clear" w:color="auto" w:fill="auto"/>
            <w:noWrap/>
            <w:vAlign w:val="bottom"/>
            <w:hideMark/>
          </w:tcPr>
          <w:p w14:paraId="56632A5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52%</w:t>
            </w:r>
          </w:p>
        </w:tc>
        <w:tc>
          <w:tcPr>
            <w:tcW w:w="850" w:type="dxa"/>
            <w:tcBorders>
              <w:top w:val="single" w:sz="4" w:space="0" w:color="000000"/>
              <w:left w:val="nil"/>
              <w:bottom w:val="nil"/>
              <w:right w:val="single" w:sz="4" w:space="0" w:color="000000"/>
            </w:tcBorders>
            <w:shd w:val="clear" w:color="auto" w:fill="auto"/>
            <w:noWrap/>
            <w:vAlign w:val="bottom"/>
            <w:hideMark/>
          </w:tcPr>
          <w:p w14:paraId="355C50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w:t>
            </w:r>
          </w:p>
        </w:tc>
      </w:tr>
      <w:tr w:rsidR="00800CD3" w:rsidRPr="00C235E5" w14:paraId="347863F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5235B6D7"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nil"/>
              <w:right w:val="nil"/>
            </w:tcBorders>
            <w:shd w:val="clear" w:color="auto" w:fill="auto"/>
            <w:noWrap/>
            <w:vAlign w:val="bottom"/>
            <w:hideMark/>
          </w:tcPr>
          <w:p w14:paraId="71B43AC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13282</w:t>
            </w:r>
          </w:p>
        </w:tc>
        <w:tc>
          <w:tcPr>
            <w:tcW w:w="850" w:type="dxa"/>
            <w:tcBorders>
              <w:top w:val="single" w:sz="4" w:space="0" w:color="000000"/>
              <w:left w:val="nil"/>
              <w:bottom w:val="nil"/>
              <w:right w:val="nil"/>
            </w:tcBorders>
            <w:shd w:val="clear" w:color="auto" w:fill="auto"/>
            <w:noWrap/>
            <w:vAlign w:val="bottom"/>
            <w:hideMark/>
          </w:tcPr>
          <w:p w14:paraId="2A40F5D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10572</w:t>
            </w:r>
          </w:p>
        </w:tc>
        <w:tc>
          <w:tcPr>
            <w:tcW w:w="850" w:type="dxa"/>
            <w:tcBorders>
              <w:top w:val="single" w:sz="4" w:space="0" w:color="000000"/>
              <w:left w:val="nil"/>
              <w:bottom w:val="nil"/>
              <w:right w:val="nil"/>
            </w:tcBorders>
            <w:shd w:val="clear" w:color="auto" w:fill="auto"/>
            <w:noWrap/>
            <w:vAlign w:val="bottom"/>
            <w:hideMark/>
          </w:tcPr>
          <w:p w14:paraId="1923D61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25735</w:t>
            </w:r>
          </w:p>
        </w:tc>
        <w:tc>
          <w:tcPr>
            <w:tcW w:w="850" w:type="dxa"/>
            <w:tcBorders>
              <w:top w:val="single" w:sz="4" w:space="0" w:color="000000"/>
              <w:left w:val="nil"/>
              <w:bottom w:val="nil"/>
              <w:right w:val="nil"/>
            </w:tcBorders>
            <w:shd w:val="clear" w:color="auto" w:fill="auto"/>
            <w:noWrap/>
            <w:vAlign w:val="bottom"/>
            <w:hideMark/>
          </w:tcPr>
          <w:p w14:paraId="0ED9889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2280</w:t>
            </w:r>
          </w:p>
        </w:tc>
        <w:tc>
          <w:tcPr>
            <w:tcW w:w="850" w:type="dxa"/>
            <w:tcBorders>
              <w:top w:val="single" w:sz="4" w:space="0" w:color="000000"/>
              <w:left w:val="nil"/>
              <w:bottom w:val="nil"/>
              <w:right w:val="nil"/>
            </w:tcBorders>
            <w:shd w:val="clear" w:color="auto" w:fill="auto"/>
            <w:noWrap/>
            <w:vAlign w:val="bottom"/>
            <w:hideMark/>
          </w:tcPr>
          <w:p w14:paraId="4A5A37A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51869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645A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w:t>
            </w:r>
          </w:p>
        </w:tc>
        <w:tc>
          <w:tcPr>
            <w:tcW w:w="850" w:type="dxa"/>
            <w:tcBorders>
              <w:top w:val="single" w:sz="4" w:space="0" w:color="000000"/>
              <w:left w:val="nil"/>
              <w:bottom w:val="nil"/>
              <w:right w:val="nil"/>
            </w:tcBorders>
            <w:shd w:val="clear" w:color="auto" w:fill="auto"/>
            <w:noWrap/>
            <w:vAlign w:val="bottom"/>
            <w:hideMark/>
          </w:tcPr>
          <w:p w14:paraId="2B7C04A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w:t>
            </w:r>
          </w:p>
        </w:tc>
        <w:tc>
          <w:tcPr>
            <w:tcW w:w="850" w:type="dxa"/>
            <w:tcBorders>
              <w:top w:val="single" w:sz="4" w:space="0" w:color="000000"/>
              <w:left w:val="nil"/>
              <w:bottom w:val="nil"/>
              <w:right w:val="nil"/>
            </w:tcBorders>
            <w:shd w:val="clear" w:color="auto" w:fill="auto"/>
            <w:noWrap/>
            <w:vAlign w:val="bottom"/>
            <w:hideMark/>
          </w:tcPr>
          <w:p w14:paraId="4FCAFF0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50%</w:t>
            </w:r>
          </w:p>
        </w:tc>
        <w:tc>
          <w:tcPr>
            <w:tcW w:w="850" w:type="dxa"/>
            <w:tcBorders>
              <w:top w:val="single" w:sz="4" w:space="0" w:color="000000"/>
              <w:left w:val="nil"/>
              <w:bottom w:val="nil"/>
              <w:right w:val="single" w:sz="4" w:space="0" w:color="000000"/>
            </w:tcBorders>
            <w:shd w:val="clear" w:color="auto" w:fill="auto"/>
            <w:noWrap/>
            <w:vAlign w:val="bottom"/>
            <w:hideMark/>
          </w:tcPr>
          <w:p w14:paraId="39A61B7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w:t>
            </w:r>
          </w:p>
        </w:tc>
      </w:tr>
      <w:tr w:rsidR="00800CD3" w:rsidRPr="00C235E5" w14:paraId="15B7774A"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9A0F738"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FY2020</w:t>
            </w:r>
          </w:p>
        </w:tc>
        <w:tc>
          <w:tcPr>
            <w:tcW w:w="850" w:type="dxa"/>
            <w:tcBorders>
              <w:top w:val="single" w:sz="4" w:space="0" w:color="000000"/>
              <w:left w:val="single" w:sz="4" w:space="0" w:color="000000"/>
              <w:bottom w:val="nil"/>
              <w:right w:val="nil"/>
            </w:tcBorders>
            <w:shd w:val="clear" w:color="auto" w:fill="auto"/>
            <w:noWrap/>
            <w:vAlign w:val="bottom"/>
            <w:hideMark/>
          </w:tcPr>
          <w:p w14:paraId="7F38E10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17098</w:t>
            </w:r>
          </w:p>
        </w:tc>
        <w:tc>
          <w:tcPr>
            <w:tcW w:w="850" w:type="dxa"/>
            <w:tcBorders>
              <w:top w:val="single" w:sz="4" w:space="0" w:color="000000"/>
              <w:left w:val="nil"/>
              <w:bottom w:val="nil"/>
              <w:right w:val="nil"/>
            </w:tcBorders>
            <w:shd w:val="clear" w:color="auto" w:fill="auto"/>
            <w:noWrap/>
            <w:vAlign w:val="bottom"/>
            <w:hideMark/>
          </w:tcPr>
          <w:p w14:paraId="441EBB6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11019</w:t>
            </w:r>
          </w:p>
        </w:tc>
        <w:tc>
          <w:tcPr>
            <w:tcW w:w="850" w:type="dxa"/>
            <w:tcBorders>
              <w:top w:val="single" w:sz="4" w:space="0" w:color="000000"/>
              <w:left w:val="nil"/>
              <w:bottom w:val="nil"/>
              <w:right w:val="nil"/>
            </w:tcBorders>
            <w:shd w:val="clear" w:color="auto" w:fill="auto"/>
            <w:noWrap/>
            <w:vAlign w:val="bottom"/>
            <w:hideMark/>
          </w:tcPr>
          <w:p w14:paraId="6A07B4F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26226</w:t>
            </w:r>
          </w:p>
        </w:tc>
        <w:tc>
          <w:tcPr>
            <w:tcW w:w="850" w:type="dxa"/>
            <w:tcBorders>
              <w:top w:val="single" w:sz="4" w:space="0" w:color="000000"/>
              <w:left w:val="nil"/>
              <w:bottom w:val="nil"/>
              <w:right w:val="nil"/>
            </w:tcBorders>
            <w:shd w:val="clear" w:color="auto" w:fill="auto"/>
            <w:noWrap/>
            <w:vAlign w:val="bottom"/>
            <w:hideMark/>
          </w:tcPr>
          <w:p w14:paraId="44B6F03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2660</w:t>
            </w:r>
          </w:p>
        </w:tc>
        <w:tc>
          <w:tcPr>
            <w:tcW w:w="850" w:type="dxa"/>
            <w:tcBorders>
              <w:top w:val="single" w:sz="4" w:space="0" w:color="000000"/>
              <w:left w:val="nil"/>
              <w:bottom w:val="nil"/>
              <w:right w:val="nil"/>
            </w:tcBorders>
            <w:shd w:val="clear" w:color="auto" w:fill="auto"/>
            <w:noWrap/>
            <w:vAlign w:val="bottom"/>
            <w:hideMark/>
          </w:tcPr>
          <w:p w14:paraId="392AC24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57003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B01A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30%</w:t>
            </w:r>
          </w:p>
        </w:tc>
        <w:tc>
          <w:tcPr>
            <w:tcW w:w="850" w:type="dxa"/>
            <w:tcBorders>
              <w:top w:val="single" w:sz="4" w:space="0" w:color="000000"/>
              <w:left w:val="nil"/>
              <w:bottom w:val="nil"/>
              <w:right w:val="nil"/>
            </w:tcBorders>
            <w:shd w:val="clear" w:color="auto" w:fill="auto"/>
            <w:noWrap/>
            <w:vAlign w:val="bottom"/>
            <w:hideMark/>
          </w:tcPr>
          <w:p w14:paraId="7C2ADC1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w:t>
            </w:r>
          </w:p>
        </w:tc>
        <w:tc>
          <w:tcPr>
            <w:tcW w:w="850" w:type="dxa"/>
            <w:tcBorders>
              <w:top w:val="single" w:sz="4" w:space="0" w:color="000000"/>
              <w:left w:val="nil"/>
              <w:bottom w:val="nil"/>
              <w:right w:val="nil"/>
            </w:tcBorders>
            <w:shd w:val="clear" w:color="auto" w:fill="auto"/>
            <w:noWrap/>
            <w:vAlign w:val="bottom"/>
            <w:hideMark/>
          </w:tcPr>
          <w:p w14:paraId="134A9E0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46%</w:t>
            </w:r>
          </w:p>
        </w:tc>
        <w:tc>
          <w:tcPr>
            <w:tcW w:w="850" w:type="dxa"/>
            <w:tcBorders>
              <w:top w:val="single" w:sz="4" w:space="0" w:color="000000"/>
              <w:left w:val="nil"/>
              <w:bottom w:val="nil"/>
              <w:right w:val="single" w:sz="4" w:space="0" w:color="000000"/>
            </w:tcBorders>
            <w:shd w:val="clear" w:color="auto" w:fill="auto"/>
            <w:noWrap/>
            <w:vAlign w:val="bottom"/>
            <w:hideMark/>
          </w:tcPr>
          <w:p w14:paraId="309D183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w:t>
            </w:r>
          </w:p>
        </w:tc>
      </w:tr>
      <w:tr w:rsidR="00800CD3" w:rsidRPr="00C235E5" w14:paraId="76A988D5"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A67FBEB"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FY2021</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42383C6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21252</w:t>
            </w:r>
          </w:p>
        </w:tc>
        <w:tc>
          <w:tcPr>
            <w:tcW w:w="850" w:type="dxa"/>
            <w:tcBorders>
              <w:top w:val="single" w:sz="4" w:space="0" w:color="000000"/>
              <w:left w:val="nil"/>
              <w:bottom w:val="single" w:sz="4" w:space="0" w:color="000000"/>
              <w:right w:val="nil"/>
            </w:tcBorders>
            <w:shd w:val="clear" w:color="auto" w:fill="auto"/>
            <w:noWrap/>
            <w:vAlign w:val="bottom"/>
            <w:hideMark/>
          </w:tcPr>
          <w:p w14:paraId="02718FE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11713</w:t>
            </w:r>
          </w:p>
        </w:tc>
        <w:tc>
          <w:tcPr>
            <w:tcW w:w="850" w:type="dxa"/>
            <w:tcBorders>
              <w:top w:val="single" w:sz="4" w:space="0" w:color="000000"/>
              <w:left w:val="nil"/>
              <w:bottom w:val="single" w:sz="4" w:space="0" w:color="000000"/>
              <w:right w:val="nil"/>
            </w:tcBorders>
            <w:shd w:val="clear" w:color="auto" w:fill="auto"/>
            <w:noWrap/>
            <w:vAlign w:val="bottom"/>
            <w:hideMark/>
          </w:tcPr>
          <w:p w14:paraId="59A9BCD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28174</w:t>
            </w:r>
          </w:p>
        </w:tc>
        <w:tc>
          <w:tcPr>
            <w:tcW w:w="850" w:type="dxa"/>
            <w:tcBorders>
              <w:top w:val="single" w:sz="4" w:space="0" w:color="000000"/>
              <w:left w:val="nil"/>
              <w:bottom w:val="single" w:sz="4" w:space="0" w:color="000000"/>
              <w:right w:val="nil"/>
            </w:tcBorders>
            <w:shd w:val="clear" w:color="auto" w:fill="auto"/>
            <w:noWrap/>
            <w:vAlign w:val="bottom"/>
            <w:hideMark/>
          </w:tcPr>
          <w:p w14:paraId="5FBEB25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3379</w:t>
            </w:r>
          </w:p>
        </w:tc>
        <w:tc>
          <w:tcPr>
            <w:tcW w:w="850" w:type="dxa"/>
            <w:tcBorders>
              <w:top w:val="single" w:sz="4" w:space="0" w:color="000000"/>
              <w:left w:val="nil"/>
              <w:bottom w:val="single" w:sz="4" w:space="0" w:color="000000"/>
              <w:right w:val="nil"/>
            </w:tcBorders>
            <w:shd w:val="clear" w:color="auto" w:fill="auto"/>
            <w:noWrap/>
            <w:vAlign w:val="bottom"/>
            <w:hideMark/>
          </w:tcPr>
          <w:p w14:paraId="31CBA3F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64518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E331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w:t>
            </w:r>
          </w:p>
        </w:tc>
        <w:tc>
          <w:tcPr>
            <w:tcW w:w="850" w:type="dxa"/>
            <w:tcBorders>
              <w:top w:val="single" w:sz="4" w:space="0" w:color="000000"/>
              <w:left w:val="nil"/>
              <w:bottom w:val="single" w:sz="4" w:space="0" w:color="000000"/>
              <w:right w:val="nil"/>
            </w:tcBorders>
            <w:shd w:val="clear" w:color="auto" w:fill="auto"/>
            <w:noWrap/>
            <w:vAlign w:val="bottom"/>
            <w:hideMark/>
          </w:tcPr>
          <w:p w14:paraId="74D9E21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w:t>
            </w:r>
          </w:p>
        </w:tc>
        <w:tc>
          <w:tcPr>
            <w:tcW w:w="850" w:type="dxa"/>
            <w:tcBorders>
              <w:top w:val="single" w:sz="4" w:space="0" w:color="000000"/>
              <w:left w:val="nil"/>
              <w:bottom w:val="single" w:sz="4" w:space="0" w:color="000000"/>
              <w:right w:val="nil"/>
            </w:tcBorders>
            <w:shd w:val="clear" w:color="auto" w:fill="auto"/>
            <w:noWrap/>
            <w:vAlign w:val="bottom"/>
            <w:hideMark/>
          </w:tcPr>
          <w:p w14:paraId="65C2D71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44%</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7EC214E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w:t>
            </w:r>
          </w:p>
        </w:tc>
      </w:tr>
    </w:tbl>
    <w:p w14:paraId="60F3512F" w14:textId="659CB6C4" w:rsidR="00800CD3" w:rsidRPr="00C235E5" w:rsidRDefault="00800CD3" w:rsidP="00D57ACA">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Chart – </w:t>
      </w:r>
      <w:r w:rsidR="00D45E42" w:rsidRPr="00C235E5">
        <w:rPr>
          <w:rFonts w:ascii="Times New Roman" w:hAnsi="Times New Roman" w:cs="Times New Roman"/>
          <w:b/>
          <w:bCs/>
          <w:sz w:val="24"/>
          <w:szCs w:val="24"/>
          <w:lang w:val="en-GB"/>
        </w:rPr>
        <w:t>F</w:t>
      </w:r>
      <w:r w:rsidRPr="00C235E5">
        <w:rPr>
          <w:rFonts w:ascii="Times New Roman" w:hAnsi="Times New Roman" w:cs="Times New Roman"/>
          <w:b/>
          <w:bCs/>
          <w:sz w:val="24"/>
          <w:szCs w:val="24"/>
          <w:lang w:val="en-GB"/>
        </w:rPr>
        <w:t xml:space="preserve">1: </w:t>
      </w:r>
      <w:r w:rsidRPr="00C235E5">
        <w:rPr>
          <w:rFonts w:ascii="Times New Roman" w:hAnsi="Times New Roman" w:cs="Times New Roman"/>
          <w:b/>
          <w:bCs/>
          <w:i/>
          <w:iCs/>
          <w:sz w:val="24"/>
          <w:szCs w:val="24"/>
          <w:lang w:val="en-GB"/>
        </w:rPr>
        <w:t>Microsoft/LinkedIn</w:t>
      </w:r>
      <w:r w:rsidRPr="00C235E5">
        <w:rPr>
          <w:rFonts w:ascii="Times New Roman" w:hAnsi="Times New Roman" w:cs="Times New Roman"/>
          <w:b/>
          <w:bCs/>
          <w:sz w:val="24"/>
          <w:szCs w:val="24"/>
          <w:lang w:val="en-GB"/>
        </w:rPr>
        <w:t xml:space="preserve"> Evolution of Total Sales</w:t>
      </w:r>
    </w:p>
    <w:p w14:paraId="548FF478" w14:textId="08D55760" w:rsidR="003D5045" w:rsidRDefault="00800CD3" w:rsidP="00792C0D">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0C2D49E0" wp14:editId="4077C488">
            <wp:extent cx="4572000" cy="2743200"/>
            <wp:effectExtent l="0" t="0" r="0" b="0"/>
            <wp:docPr id="21" name="Chart 21">
              <a:extLst xmlns:a="http://schemas.openxmlformats.org/drawingml/2006/main">
                <a:ext uri="{FF2B5EF4-FFF2-40B4-BE49-F238E27FC236}">
                  <a16:creationId xmlns:a16="http://schemas.microsoft.com/office/drawing/2014/main" id="{554ADF5B-1F4B-49CB-A388-AF8A14695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F6D13C" w14:textId="4FFA68B6"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 xml:space="preserve">Chart – </w:t>
      </w:r>
      <w:r w:rsidR="00D45E42" w:rsidRPr="00C235E5">
        <w:rPr>
          <w:rFonts w:ascii="Times New Roman" w:hAnsi="Times New Roman" w:cs="Times New Roman"/>
          <w:b/>
          <w:bCs/>
          <w:sz w:val="24"/>
          <w:szCs w:val="24"/>
          <w:lang w:val="en-GB"/>
        </w:rPr>
        <w:t>F</w:t>
      </w:r>
      <w:r w:rsidRPr="00C235E5">
        <w:rPr>
          <w:rFonts w:ascii="Times New Roman" w:hAnsi="Times New Roman" w:cs="Times New Roman"/>
          <w:b/>
          <w:bCs/>
          <w:sz w:val="24"/>
          <w:szCs w:val="24"/>
          <w:lang w:val="en-GB"/>
        </w:rPr>
        <w:t xml:space="preserve">2: </w:t>
      </w:r>
      <w:r w:rsidRPr="00C235E5">
        <w:rPr>
          <w:rFonts w:ascii="Times New Roman" w:hAnsi="Times New Roman" w:cs="Times New Roman"/>
          <w:b/>
          <w:bCs/>
          <w:i/>
          <w:iCs/>
          <w:sz w:val="24"/>
          <w:szCs w:val="24"/>
          <w:lang w:val="en-GB"/>
        </w:rPr>
        <w:t>Microsoft/LinkedIn</w:t>
      </w:r>
      <w:r w:rsidRPr="00C235E5">
        <w:rPr>
          <w:rFonts w:ascii="Times New Roman" w:hAnsi="Times New Roman" w:cs="Times New Roman"/>
          <w:b/>
          <w:bCs/>
          <w:sz w:val="24"/>
          <w:szCs w:val="24"/>
          <w:lang w:val="en-GB"/>
        </w:rPr>
        <w:t xml:space="preserve"> Evolution of Competitor Market Shares</w:t>
      </w:r>
    </w:p>
    <w:p w14:paraId="38C5A910" w14:textId="77777777"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4DBB6B0C" wp14:editId="2A069CCD">
            <wp:extent cx="4572000" cy="2743200"/>
            <wp:effectExtent l="0" t="0" r="0" b="0"/>
            <wp:docPr id="23" name="Chart 23">
              <a:extLst xmlns:a="http://schemas.openxmlformats.org/drawingml/2006/main">
                <a:ext uri="{FF2B5EF4-FFF2-40B4-BE49-F238E27FC236}">
                  <a16:creationId xmlns:a16="http://schemas.microsoft.com/office/drawing/2014/main" id="{833D8C00-72F8-4C17-93FF-2498DBA58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1EC7DC" w14:textId="73B9D859" w:rsidR="003D5045" w:rsidRPr="003D5045" w:rsidRDefault="00800CD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The data shows an increase in total output, coinciding with the year of acquisition (2016). Indeed, whilst industry sales were stagnant in 2014 and 2015, we observe a steady increase in the following years. Second, we notice substantial changes in the distribution of sales amongst competitors. Specifically, Salesforce and Adobe’s share of sales grew substantially, while the share of legacy players SAP and Oracle decreased. Notably, Salesforce tripled its share. Adobe doubled its share, but it still remains a relatively small player. These are significant developments for the CRM market, as the EC itself identified that demand in this market is sticky and customers rarely switch providers.</w:t>
      </w:r>
      <w:r w:rsidRPr="001F0513">
        <w:rPr>
          <w:rFonts w:ascii="Times New Roman" w:hAnsi="Times New Roman" w:cs="Times New Roman"/>
          <w:sz w:val="24"/>
          <w:szCs w:val="24"/>
          <w:vertAlign w:val="superscript"/>
          <w:lang w:val="en-GB"/>
        </w:rPr>
        <w:footnoteReference w:id="116"/>
      </w:r>
      <w:r w:rsidR="003D5045">
        <w:rPr>
          <w:rFonts w:ascii="Times New Roman" w:hAnsi="Times New Roman" w:cs="Times New Roman"/>
          <w:i/>
          <w:iCs/>
          <w:sz w:val="24"/>
          <w:szCs w:val="24"/>
          <w:lang w:val="en-GB"/>
        </w:rPr>
        <w:br w:type="page"/>
      </w:r>
    </w:p>
    <w:p w14:paraId="6C4F202A" w14:textId="1902FFDF" w:rsidR="00800CD3" w:rsidRPr="00C235E5" w:rsidRDefault="00800CD3" w:rsidP="00F42292">
      <w:pPr>
        <w:pStyle w:val="Heading2"/>
        <w:numPr>
          <w:ilvl w:val="0"/>
          <w:numId w:val="24"/>
        </w:numPr>
        <w:rPr>
          <w:rFonts w:cs="Times New Roman"/>
          <w:i w:val="0"/>
          <w:iCs/>
          <w:sz w:val="24"/>
          <w:szCs w:val="24"/>
          <w:lang w:val="en-GB"/>
        </w:rPr>
      </w:pPr>
      <w:r w:rsidRPr="00C235E5">
        <w:rPr>
          <w:rFonts w:cs="Times New Roman"/>
          <w:iCs/>
          <w:sz w:val="24"/>
          <w:szCs w:val="24"/>
          <w:lang w:val="en-GB"/>
        </w:rPr>
        <w:lastRenderedPageBreak/>
        <w:t>Verizon/Yahoo</w:t>
      </w:r>
    </w:p>
    <w:p w14:paraId="1FA4866A" w14:textId="7112C552" w:rsidR="00800CD3" w:rsidRPr="00C235E5" w:rsidRDefault="00800CD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Verizon acquired Yahoo in 2016.</w:t>
      </w:r>
      <w:r w:rsidRPr="001F0513">
        <w:rPr>
          <w:rFonts w:ascii="Times New Roman" w:hAnsi="Times New Roman" w:cs="Times New Roman"/>
          <w:sz w:val="24"/>
          <w:szCs w:val="24"/>
          <w:vertAlign w:val="superscript"/>
          <w:lang w:val="en-GB"/>
        </w:rPr>
        <w:footnoteReference w:id="117"/>
      </w:r>
      <w:r w:rsidRPr="001F0513">
        <w:rPr>
          <w:rFonts w:ascii="Times New Roman" w:hAnsi="Times New Roman" w:cs="Times New Roman"/>
          <w:sz w:val="24"/>
          <w:szCs w:val="24"/>
          <w:vertAlign w:val="superscript"/>
          <w:lang w:val="en-GB"/>
        </w:rPr>
        <w:t xml:space="preserve"> </w:t>
      </w:r>
      <w:r w:rsidRPr="00C235E5">
        <w:rPr>
          <w:rFonts w:ascii="Times New Roman" w:hAnsi="Times New Roman" w:cs="Times New Roman"/>
          <w:sz w:val="24"/>
          <w:szCs w:val="24"/>
          <w:lang w:val="en-GB"/>
        </w:rPr>
        <w:t xml:space="preserve">In its decision, the EC considered the provision of “digital mobile finance content” as the relevant product market. The EC identified three competitors able to exert pressure on the merged entity: Business Insider (Axel Springer), The New York Times Corporation, and Thomson Reuters. Table – </w:t>
      </w:r>
      <w:r w:rsidR="00D45E42" w:rsidRPr="00C235E5">
        <w:rPr>
          <w:rFonts w:ascii="Times New Roman" w:hAnsi="Times New Roman" w:cs="Times New Roman"/>
          <w:sz w:val="24"/>
          <w:szCs w:val="24"/>
          <w:lang w:val="en-GB"/>
        </w:rPr>
        <w:t>IX</w:t>
      </w:r>
      <w:r w:rsidRPr="00C235E5">
        <w:rPr>
          <w:rFonts w:ascii="Times New Roman" w:hAnsi="Times New Roman" w:cs="Times New Roman"/>
          <w:sz w:val="24"/>
          <w:szCs w:val="24"/>
          <w:lang w:val="en-GB"/>
        </w:rPr>
        <w:t xml:space="preserve"> and Charts </w:t>
      </w:r>
      <w:r w:rsidR="00D45E42" w:rsidRPr="00C235E5">
        <w:rPr>
          <w:rFonts w:ascii="Times New Roman" w:hAnsi="Times New Roman" w:cs="Times New Roman"/>
          <w:sz w:val="24"/>
          <w:szCs w:val="24"/>
          <w:lang w:val="en-GB"/>
        </w:rPr>
        <w:t>G</w:t>
      </w:r>
      <w:r w:rsidRPr="00C235E5">
        <w:rPr>
          <w:rFonts w:ascii="Times New Roman" w:hAnsi="Times New Roman" w:cs="Times New Roman"/>
          <w:sz w:val="24"/>
          <w:szCs w:val="24"/>
          <w:lang w:val="en-GB"/>
        </w:rPr>
        <w:t xml:space="preserve">1 – </w:t>
      </w:r>
      <w:r w:rsidR="00D45E42" w:rsidRPr="00C235E5">
        <w:rPr>
          <w:rFonts w:ascii="Times New Roman" w:hAnsi="Times New Roman" w:cs="Times New Roman"/>
          <w:sz w:val="24"/>
          <w:szCs w:val="24"/>
          <w:lang w:val="en-GB"/>
        </w:rPr>
        <w:t>G</w:t>
      </w:r>
      <w:r w:rsidRPr="00C235E5">
        <w:rPr>
          <w:rFonts w:ascii="Times New Roman" w:hAnsi="Times New Roman" w:cs="Times New Roman"/>
          <w:sz w:val="24"/>
          <w:szCs w:val="24"/>
          <w:lang w:val="en-GB"/>
        </w:rPr>
        <w:t>2 below provide the evolution of industry sales and market structure before and after the transaction.</w:t>
      </w:r>
      <w:r w:rsidR="00A01333" w:rsidRPr="00C235E5">
        <w:rPr>
          <w:rFonts w:ascii="Times New Roman" w:hAnsi="Times New Roman" w:cs="Times New Roman"/>
          <w:sz w:val="24"/>
          <w:szCs w:val="24"/>
          <w:lang w:val="en-GB"/>
        </w:rPr>
        <w:t xml:space="preserve"> In the table, SIC 1, 2 and 3 represent Axel Springer AG, the NYT and Thomson Reuters, respectively.</w:t>
      </w:r>
    </w:p>
    <w:p w14:paraId="05C55333" w14:textId="046A8AD3"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Table – </w:t>
      </w:r>
      <w:r w:rsidR="00D45E42" w:rsidRPr="00C235E5">
        <w:rPr>
          <w:rFonts w:ascii="Times New Roman" w:hAnsi="Times New Roman" w:cs="Times New Roman"/>
          <w:b/>
          <w:bCs/>
          <w:sz w:val="24"/>
          <w:szCs w:val="24"/>
          <w:lang w:val="en-GB"/>
        </w:rPr>
        <w:t>I</w:t>
      </w:r>
      <w:r w:rsidRPr="00C235E5">
        <w:rPr>
          <w:rFonts w:ascii="Times New Roman" w:hAnsi="Times New Roman" w:cs="Times New Roman"/>
          <w:b/>
          <w:bCs/>
          <w:sz w:val="24"/>
          <w:szCs w:val="24"/>
          <w:lang w:val="en-GB"/>
        </w:rPr>
        <w:t xml:space="preserve">X: </w:t>
      </w:r>
      <w:r w:rsidRPr="00C235E5">
        <w:rPr>
          <w:rFonts w:ascii="Times New Roman" w:hAnsi="Times New Roman" w:cs="Times New Roman"/>
          <w:b/>
          <w:bCs/>
          <w:i/>
          <w:iCs/>
          <w:sz w:val="24"/>
          <w:szCs w:val="24"/>
          <w:lang w:val="en-GB"/>
        </w:rPr>
        <w:t>Verizon/Yahoo</w:t>
      </w:r>
      <w:r w:rsidRPr="00C235E5">
        <w:rPr>
          <w:rFonts w:ascii="Times New Roman" w:hAnsi="Times New Roman" w:cs="Times New Roman"/>
          <w:b/>
          <w:bCs/>
          <w:sz w:val="24"/>
          <w:szCs w:val="24"/>
          <w:lang w:val="en-GB"/>
        </w:rPr>
        <w:t xml:space="preserve"> Figures for the SIC Test</w:t>
      </w:r>
    </w:p>
    <w:tbl>
      <w:tblPr>
        <w:tblW w:w="6800" w:type="dxa"/>
        <w:jc w:val="center"/>
        <w:tblCellMar>
          <w:left w:w="70" w:type="dxa"/>
          <w:right w:w="70" w:type="dxa"/>
        </w:tblCellMar>
        <w:tblLook w:val="04A0" w:firstRow="1" w:lastRow="0" w:firstColumn="1" w:lastColumn="0" w:noHBand="0" w:noVBand="1"/>
      </w:tblPr>
      <w:tblGrid>
        <w:gridCol w:w="1060"/>
        <w:gridCol w:w="850"/>
        <w:gridCol w:w="850"/>
        <w:gridCol w:w="850"/>
        <w:gridCol w:w="920"/>
        <w:gridCol w:w="850"/>
        <w:gridCol w:w="850"/>
        <w:gridCol w:w="850"/>
      </w:tblGrid>
      <w:tr w:rsidR="00800CD3" w:rsidRPr="00C235E5" w14:paraId="13ED4B3C"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E1571F6"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noWrap/>
            <w:vAlign w:val="bottom"/>
            <w:hideMark/>
          </w:tcPr>
          <w:p w14:paraId="17C1F18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1</w:t>
            </w:r>
          </w:p>
        </w:tc>
        <w:tc>
          <w:tcPr>
            <w:tcW w:w="850" w:type="dxa"/>
            <w:tcBorders>
              <w:top w:val="single" w:sz="4" w:space="0" w:color="000000"/>
              <w:left w:val="nil"/>
              <w:bottom w:val="nil"/>
              <w:right w:val="nil"/>
            </w:tcBorders>
            <w:shd w:val="clear" w:color="000000" w:fill="000000"/>
            <w:noWrap/>
            <w:vAlign w:val="bottom"/>
            <w:hideMark/>
          </w:tcPr>
          <w:p w14:paraId="065C08B0"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13C5FB57"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 xml:space="preserve">SIC 3 </w:t>
            </w:r>
          </w:p>
        </w:tc>
        <w:tc>
          <w:tcPr>
            <w:tcW w:w="850" w:type="dxa"/>
            <w:tcBorders>
              <w:top w:val="single" w:sz="4" w:space="0" w:color="000000"/>
              <w:left w:val="nil"/>
              <w:bottom w:val="nil"/>
              <w:right w:val="nil"/>
            </w:tcBorders>
            <w:shd w:val="clear" w:color="000000" w:fill="000000"/>
            <w:noWrap/>
            <w:vAlign w:val="bottom"/>
            <w:hideMark/>
          </w:tcPr>
          <w:p w14:paraId="2D48034F"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3EB3CB36"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1287A479"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single" w:sz="4" w:space="0" w:color="000000"/>
            </w:tcBorders>
            <w:shd w:val="clear" w:color="000000" w:fill="000000"/>
            <w:noWrap/>
            <w:vAlign w:val="bottom"/>
            <w:hideMark/>
          </w:tcPr>
          <w:p w14:paraId="78BD5EDD"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r>
      <w:tr w:rsidR="00800CD3" w:rsidRPr="00C235E5" w14:paraId="706BE092"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16BF585"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75B6B60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3656,3</w:t>
            </w:r>
          </w:p>
        </w:tc>
        <w:tc>
          <w:tcPr>
            <w:tcW w:w="850" w:type="dxa"/>
            <w:tcBorders>
              <w:top w:val="single" w:sz="4" w:space="0" w:color="000000"/>
              <w:left w:val="nil"/>
              <w:bottom w:val="nil"/>
              <w:right w:val="nil"/>
            </w:tcBorders>
            <w:shd w:val="clear" w:color="auto" w:fill="auto"/>
            <w:noWrap/>
            <w:vAlign w:val="bottom"/>
            <w:hideMark/>
          </w:tcPr>
          <w:p w14:paraId="7D72D62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11257</w:t>
            </w:r>
          </w:p>
        </w:tc>
        <w:tc>
          <w:tcPr>
            <w:tcW w:w="850" w:type="dxa"/>
            <w:tcBorders>
              <w:top w:val="single" w:sz="4" w:space="0" w:color="000000"/>
              <w:left w:val="nil"/>
              <w:bottom w:val="nil"/>
              <w:right w:val="nil"/>
            </w:tcBorders>
            <w:shd w:val="clear" w:color="auto" w:fill="auto"/>
            <w:noWrap/>
            <w:vAlign w:val="bottom"/>
            <w:hideMark/>
          </w:tcPr>
          <w:p w14:paraId="398F8B3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851</w:t>
            </w:r>
          </w:p>
        </w:tc>
        <w:tc>
          <w:tcPr>
            <w:tcW w:w="850" w:type="dxa"/>
            <w:tcBorders>
              <w:top w:val="single" w:sz="4" w:space="0" w:color="000000"/>
              <w:left w:val="nil"/>
              <w:bottom w:val="nil"/>
              <w:right w:val="nil"/>
            </w:tcBorders>
            <w:shd w:val="clear" w:color="auto" w:fill="auto"/>
            <w:noWrap/>
            <w:vAlign w:val="bottom"/>
            <w:hideMark/>
          </w:tcPr>
          <w:p w14:paraId="52DD659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15764,3</w:t>
            </w:r>
          </w:p>
        </w:tc>
        <w:tc>
          <w:tcPr>
            <w:tcW w:w="850" w:type="dxa"/>
            <w:tcBorders>
              <w:top w:val="single" w:sz="4" w:space="0" w:color="000000"/>
              <w:left w:val="nil"/>
              <w:bottom w:val="nil"/>
              <w:right w:val="nil"/>
            </w:tcBorders>
            <w:shd w:val="clear" w:color="auto" w:fill="auto"/>
            <w:noWrap/>
            <w:vAlign w:val="bottom"/>
            <w:hideMark/>
          </w:tcPr>
          <w:p w14:paraId="1290630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w:t>
            </w:r>
          </w:p>
        </w:tc>
        <w:tc>
          <w:tcPr>
            <w:tcW w:w="850" w:type="dxa"/>
            <w:tcBorders>
              <w:top w:val="single" w:sz="4" w:space="0" w:color="000000"/>
              <w:left w:val="nil"/>
              <w:bottom w:val="nil"/>
              <w:right w:val="nil"/>
            </w:tcBorders>
            <w:shd w:val="clear" w:color="auto" w:fill="auto"/>
            <w:noWrap/>
            <w:vAlign w:val="bottom"/>
            <w:hideMark/>
          </w:tcPr>
          <w:p w14:paraId="4833A3F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71%</w:t>
            </w:r>
          </w:p>
        </w:tc>
        <w:tc>
          <w:tcPr>
            <w:tcW w:w="850" w:type="dxa"/>
            <w:tcBorders>
              <w:top w:val="single" w:sz="4" w:space="0" w:color="000000"/>
              <w:left w:val="nil"/>
              <w:bottom w:val="nil"/>
              <w:right w:val="single" w:sz="4" w:space="0" w:color="000000"/>
            </w:tcBorders>
            <w:shd w:val="clear" w:color="auto" w:fill="auto"/>
            <w:noWrap/>
            <w:vAlign w:val="bottom"/>
            <w:hideMark/>
          </w:tcPr>
          <w:p w14:paraId="0026ED5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w:t>
            </w:r>
          </w:p>
        </w:tc>
      </w:tr>
      <w:tr w:rsidR="00800CD3" w:rsidRPr="00C235E5" w14:paraId="49206CA9"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5932332"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FY2016*</w:t>
            </w:r>
          </w:p>
        </w:tc>
        <w:tc>
          <w:tcPr>
            <w:tcW w:w="850" w:type="dxa"/>
            <w:tcBorders>
              <w:top w:val="single" w:sz="4" w:space="0" w:color="000000"/>
              <w:left w:val="single" w:sz="4" w:space="0" w:color="000000"/>
              <w:bottom w:val="nil"/>
              <w:right w:val="nil"/>
            </w:tcBorders>
            <w:shd w:val="clear" w:color="auto" w:fill="auto"/>
            <w:noWrap/>
            <w:vAlign w:val="bottom"/>
            <w:hideMark/>
          </w:tcPr>
          <w:p w14:paraId="28BA1B7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3641,3</w:t>
            </w:r>
          </w:p>
        </w:tc>
        <w:tc>
          <w:tcPr>
            <w:tcW w:w="850" w:type="dxa"/>
            <w:tcBorders>
              <w:top w:val="single" w:sz="4" w:space="0" w:color="000000"/>
              <w:left w:val="nil"/>
              <w:bottom w:val="nil"/>
              <w:right w:val="nil"/>
            </w:tcBorders>
            <w:shd w:val="clear" w:color="auto" w:fill="auto"/>
            <w:noWrap/>
            <w:vAlign w:val="bottom"/>
            <w:hideMark/>
          </w:tcPr>
          <w:p w14:paraId="06BB95A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11166</w:t>
            </w:r>
          </w:p>
        </w:tc>
        <w:tc>
          <w:tcPr>
            <w:tcW w:w="850" w:type="dxa"/>
            <w:tcBorders>
              <w:top w:val="single" w:sz="4" w:space="0" w:color="000000"/>
              <w:left w:val="nil"/>
              <w:bottom w:val="nil"/>
              <w:right w:val="nil"/>
            </w:tcBorders>
            <w:shd w:val="clear" w:color="auto" w:fill="auto"/>
            <w:noWrap/>
            <w:vAlign w:val="bottom"/>
            <w:hideMark/>
          </w:tcPr>
          <w:p w14:paraId="65689B6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880</w:t>
            </w:r>
          </w:p>
        </w:tc>
        <w:tc>
          <w:tcPr>
            <w:tcW w:w="850" w:type="dxa"/>
            <w:tcBorders>
              <w:top w:val="single" w:sz="4" w:space="0" w:color="000000"/>
              <w:left w:val="nil"/>
              <w:bottom w:val="nil"/>
              <w:right w:val="nil"/>
            </w:tcBorders>
            <w:shd w:val="clear" w:color="auto" w:fill="auto"/>
            <w:noWrap/>
            <w:vAlign w:val="bottom"/>
            <w:hideMark/>
          </w:tcPr>
          <w:p w14:paraId="791DBA2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15687,3</w:t>
            </w:r>
          </w:p>
        </w:tc>
        <w:tc>
          <w:tcPr>
            <w:tcW w:w="850" w:type="dxa"/>
            <w:tcBorders>
              <w:top w:val="single" w:sz="4" w:space="0" w:color="000000"/>
              <w:left w:val="nil"/>
              <w:bottom w:val="nil"/>
              <w:right w:val="nil"/>
            </w:tcBorders>
            <w:shd w:val="clear" w:color="auto" w:fill="auto"/>
            <w:noWrap/>
            <w:vAlign w:val="bottom"/>
            <w:hideMark/>
          </w:tcPr>
          <w:p w14:paraId="047BECF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w:t>
            </w:r>
          </w:p>
        </w:tc>
        <w:tc>
          <w:tcPr>
            <w:tcW w:w="850" w:type="dxa"/>
            <w:tcBorders>
              <w:top w:val="single" w:sz="4" w:space="0" w:color="000000"/>
              <w:left w:val="nil"/>
              <w:bottom w:val="nil"/>
              <w:right w:val="nil"/>
            </w:tcBorders>
            <w:shd w:val="clear" w:color="auto" w:fill="auto"/>
            <w:noWrap/>
            <w:vAlign w:val="bottom"/>
            <w:hideMark/>
          </w:tcPr>
          <w:p w14:paraId="213ECEE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71%</w:t>
            </w:r>
          </w:p>
        </w:tc>
        <w:tc>
          <w:tcPr>
            <w:tcW w:w="850" w:type="dxa"/>
            <w:tcBorders>
              <w:top w:val="single" w:sz="4" w:space="0" w:color="000000"/>
              <w:left w:val="nil"/>
              <w:bottom w:val="nil"/>
              <w:right w:val="single" w:sz="4" w:space="0" w:color="000000"/>
            </w:tcBorders>
            <w:shd w:val="clear" w:color="auto" w:fill="auto"/>
            <w:noWrap/>
            <w:vAlign w:val="bottom"/>
            <w:hideMark/>
          </w:tcPr>
          <w:p w14:paraId="0194EBA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w:t>
            </w:r>
          </w:p>
        </w:tc>
      </w:tr>
      <w:tr w:rsidR="00800CD3" w:rsidRPr="00C235E5" w14:paraId="2EB6CD31"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BF55BD2"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0ED0771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4027,2</w:t>
            </w:r>
          </w:p>
        </w:tc>
        <w:tc>
          <w:tcPr>
            <w:tcW w:w="850" w:type="dxa"/>
            <w:tcBorders>
              <w:top w:val="single" w:sz="4" w:space="0" w:color="000000"/>
              <w:left w:val="nil"/>
              <w:bottom w:val="nil"/>
              <w:right w:val="nil"/>
            </w:tcBorders>
            <w:shd w:val="clear" w:color="auto" w:fill="auto"/>
            <w:noWrap/>
            <w:vAlign w:val="bottom"/>
            <w:hideMark/>
          </w:tcPr>
          <w:p w14:paraId="6E753AC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11333</w:t>
            </w:r>
          </w:p>
        </w:tc>
        <w:tc>
          <w:tcPr>
            <w:tcW w:w="850" w:type="dxa"/>
            <w:tcBorders>
              <w:top w:val="single" w:sz="4" w:space="0" w:color="000000"/>
              <w:left w:val="nil"/>
              <w:bottom w:val="nil"/>
              <w:right w:val="nil"/>
            </w:tcBorders>
            <w:shd w:val="clear" w:color="auto" w:fill="auto"/>
            <w:noWrap/>
            <w:vAlign w:val="bottom"/>
            <w:hideMark/>
          </w:tcPr>
          <w:p w14:paraId="225C5EC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1008</w:t>
            </w:r>
          </w:p>
        </w:tc>
        <w:tc>
          <w:tcPr>
            <w:tcW w:w="850" w:type="dxa"/>
            <w:tcBorders>
              <w:top w:val="single" w:sz="4" w:space="0" w:color="000000"/>
              <w:left w:val="nil"/>
              <w:bottom w:val="nil"/>
              <w:right w:val="nil"/>
            </w:tcBorders>
            <w:shd w:val="clear" w:color="auto" w:fill="auto"/>
            <w:noWrap/>
            <w:vAlign w:val="bottom"/>
            <w:hideMark/>
          </w:tcPr>
          <w:p w14:paraId="4CABB4C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16368,2</w:t>
            </w:r>
          </w:p>
        </w:tc>
        <w:tc>
          <w:tcPr>
            <w:tcW w:w="850" w:type="dxa"/>
            <w:tcBorders>
              <w:top w:val="single" w:sz="4" w:space="0" w:color="000000"/>
              <w:left w:val="nil"/>
              <w:bottom w:val="nil"/>
              <w:right w:val="nil"/>
            </w:tcBorders>
            <w:shd w:val="clear" w:color="auto" w:fill="auto"/>
            <w:noWrap/>
            <w:vAlign w:val="bottom"/>
            <w:hideMark/>
          </w:tcPr>
          <w:p w14:paraId="7244207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nil"/>
              <w:right w:val="nil"/>
            </w:tcBorders>
            <w:shd w:val="clear" w:color="auto" w:fill="auto"/>
            <w:noWrap/>
            <w:vAlign w:val="bottom"/>
            <w:hideMark/>
          </w:tcPr>
          <w:p w14:paraId="3A9F83E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69%</w:t>
            </w:r>
          </w:p>
        </w:tc>
        <w:tc>
          <w:tcPr>
            <w:tcW w:w="850" w:type="dxa"/>
            <w:tcBorders>
              <w:top w:val="single" w:sz="4" w:space="0" w:color="000000"/>
              <w:left w:val="nil"/>
              <w:bottom w:val="nil"/>
              <w:right w:val="single" w:sz="4" w:space="0" w:color="000000"/>
            </w:tcBorders>
            <w:shd w:val="clear" w:color="auto" w:fill="auto"/>
            <w:noWrap/>
            <w:vAlign w:val="bottom"/>
            <w:hideMark/>
          </w:tcPr>
          <w:p w14:paraId="1494E23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w:t>
            </w:r>
          </w:p>
        </w:tc>
      </w:tr>
      <w:tr w:rsidR="00800CD3" w:rsidRPr="00C235E5" w14:paraId="6896A5BD"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5EAA4A5"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05BB319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2126,8</w:t>
            </w:r>
          </w:p>
        </w:tc>
        <w:tc>
          <w:tcPr>
            <w:tcW w:w="850" w:type="dxa"/>
            <w:tcBorders>
              <w:top w:val="single" w:sz="4" w:space="0" w:color="000000"/>
              <w:left w:val="nil"/>
              <w:bottom w:val="nil"/>
              <w:right w:val="nil"/>
            </w:tcBorders>
            <w:shd w:val="clear" w:color="auto" w:fill="auto"/>
            <w:noWrap/>
            <w:vAlign w:val="bottom"/>
            <w:hideMark/>
          </w:tcPr>
          <w:p w14:paraId="796A846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5501</w:t>
            </w:r>
          </w:p>
        </w:tc>
        <w:tc>
          <w:tcPr>
            <w:tcW w:w="850" w:type="dxa"/>
            <w:tcBorders>
              <w:top w:val="single" w:sz="4" w:space="0" w:color="000000"/>
              <w:left w:val="nil"/>
              <w:bottom w:val="nil"/>
              <w:right w:val="nil"/>
            </w:tcBorders>
            <w:shd w:val="clear" w:color="auto" w:fill="auto"/>
            <w:noWrap/>
            <w:vAlign w:val="bottom"/>
            <w:hideMark/>
          </w:tcPr>
          <w:p w14:paraId="0665A09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1042</w:t>
            </w:r>
          </w:p>
        </w:tc>
        <w:tc>
          <w:tcPr>
            <w:tcW w:w="850" w:type="dxa"/>
            <w:tcBorders>
              <w:top w:val="single" w:sz="4" w:space="0" w:color="000000"/>
              <w:left w:val="nil"/>
              <w:bottom w:val="nil"/>
              <w:right w:val="nil"/>
            </w:tcBorders>
            <w:shd w:val="clear" w:color="auto" w:fill="auto"/>
            <w:noWrap/>
            <w:vAlign w:val="bottom"/>
            <w:hideMark/>
          </w:tcPr>
          <w:p w14:paraId="03CE4D1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8669,8</w:t>
            </w:r>
          </w:p>
        </w:tc>
        <w:tc>
          <w:tcPr>
            <w:tcW w:w="850" w:type="dxa"/>
            <w:tcBorders>
              <w:top w:val="single" w:sz="4" w:space="0" w:color="000000"/>
              <w:left w:val="nil"/>
              <w:bottom w:val="nil"/>
              <w:right w:val="nil"/>
            </w:tcBorders>
            <w:shd w:val="clear" w:color="auto" w:fill="auto"/>
            <w:noWrap/>
            <w:vAlign w:val="bottom"/>
            <w:hideMark/>
          </w:tcPr>
          <w:p w14:paraId="1C6F765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nil"/>
              <w:right w:val="nil"/>
            </w:tcBorders>
            <w:shd w:val="clear" w:color="auto" w:fill="auto"/>
            <w:noWrap/>
            <w:vAlign w:val="bottom"/>
            <w:hideMark/>
          </w:tcPr>
          <w:p w14:paraId="7B1AE5E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63%</w:t>
            </w:r>
          </w:p>
        </w:tc>
        <w:tc>
          <w:tcPr>
            <w:tcW w:w="850" w:type="dxa"/>
            <w:tcBorders>
              <w:top w:val="single" w:sz="4" w:space="0" w:color="000000"/>
              <w:left w:val="nil"/>
              <w:bottom w:val="nil"/>
              <w:right w:val="single" w:sz="4" w:space="0" w:color="000000"/>
            </w:tcBorders>
            <w:shd w:val="clear" w:color="auto" w:fill="auto"/>
            <w:noWrap/>
            <w:vAlign w:val="bottom"/>
            <w:hideMark/>
          </w:tcPr>
          <w:p w14:paraId="51F2BF0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w:t>
            </w:r>
          </w:p>
        </w:tc>
      </w:tr>
      <w:tr w:rsidR="00800CD3" w:rsidRPr="00C235E5" w14:paraId="1AB5E806"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766120B8"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0731239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3485,2</w:t>
            </w:r>
          </w:p>
        </w:tc>
        <w:tc>
          <w:tcPr>
            <w:tcW w:w="850" w:type="dxa"/>
            <w:tcBorders>
              <w:top w:val="single" w:sz="4" w:space="0" w:color="000000"/>
              <w:left w:val="nil"/>
              <w:bottom w:val="single" w:sz="4" w:space="0" w:color="000000"/>
              <w:right w:val="nil"/>
            </w:tcBorders>
            <w:shd w:val="clear" w:color="auto" w:fill="auto"/>
            <w:noWrap/>
            <w:vAlign w:val="bottom"/>
            <w:hideMark/>
          </w:tcPr>
          <w:p w14:paraId="032FFFC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5906</w:t>
            </w:r>
          </w:p>
        </w:tc>
        <w:tc>
          <w:tcPr>
            <w:tcW w:w="850" w:type="dxa"/>
            <w:tcBorders>
              <w:top w:val="single" w:sz="4" w:space="0" w:color="000000"/>
              <w:left w:val="nil"/>
              <w:bottom w:val="single" w:sz="4" w:space="0" w:color="000000"/>
              <w:right w:val="nil"/>
            </w:tcBorders>
            <w:shd w:val="clear" w:color="auto" w:fill="auto"/>
            <w:noWrap/>
            <w:vAlign w:val="bottom"/>
            <w:hideMark/>
          </w:tcPr>
          <w:p w14:paraId="637327B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1083</w:t>
            </w:r>
          </w:p>
        </w:tc>
        <w:tc>
          <w:tcPr>
            <w:tcW w:w="850" w:type="dxa"/>
            <w:tcBorders>
              <w:top w:val="single" w:sz="4" w:space="0" w:color="000000"/>
              <w:left w:val="nil"/>
              <w:bottom w:val="single" w:sz="4" w:space="0" w:color="000000"/>
              <w:right w:val="nil"/>
            </w:tcBorders>
            <w:shd w:val="clear" w:color="auto" w:fill="auto"/>
            <w:noWrap/>
            <w:vAlign w:val="bottom"/>
            <w:hideMark/>
          </w:tcPr>
          <w:p w14:paraId="53C67AF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10474,2</w:t>
            </w:r>
          </w:p>
        </w:tc>
        <w:tc>
          <w:tcPr>
            <w:tcW w:w="850" w:type="dxa"/>
            <w:tcBorders>
              <w:top w:val="single" w:sz="4" w:space="0" w:color="000000"/>
              <w:left w:val="nil"/>
              <w:bottom w:val="single" w:sz="4" w:space="0" w:color="000000"/>
              <w:right w:val="nil"/>
            </w:tcBorders>
            <w:shd w:val="clear" w:color="auto" w:fill="auto"/>
            <w:noWrap/>
            <w:vAlign w:val="bottom"/>
            <w:hideMark/>
          </w:tcPr>
          <w:p w14:paraId="0067E8B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w:t>
            </w:r>
          </w:p>
        </w:tc>
        <w:tc>
          <w:tcPr>
            <w:tcW w:w="850" w:type="dxa"/>
            <w:tcBorders>
              <w:top w:val="single" w:sz="4" w:space="0" w:color="000000"/>
              <w:left w:val="nil"/>
              <w:bottom w:val="single" w:sz="4" w:space="0" w:color="000000"/>
              <w:right w:val="nil"/>
            </w:tcBorders>
            <w:shd w:val="clear" w:color="auto" w:fill="auto"/>
            <w:noWrap/>
            <w:vAlign w:val="bottom"/>
            <w:hideMark/>
          </w:tcPr>
          <w:p w14:paraId="2D56800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56%</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A7B63F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w:t>
            </w:r>
          </w:p>
        </w:tc>
      </w:tr>
    </w:tbl>
    <w:p w14:paraId="4F92EEFE" w14:textId="7E14C45F" w:rsidR="00800CD3" w:rsidRPr="00C235E5" w:rsidRDefault="00800CD3" w:rsidP="003D5045">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Chart – </w:t>
      </w:r>
      <w:r w:rsidR="00D45E42" w:rsidRPr="00C235E5">
        <w:rPr>
          <w:rFonts w:ascii="Times New Roman" w:hAnsi="Times New Roman" w:cs="Times New Roman"/>
          <w:b/>
          <w:bCs/>
          <w:sz w:val="24"/>
          <w:szCs w:val="24"/>
          <w:lang w:val="en-GB"/>
        </w:rPr>
        <w:t>G</w:t>
      </w:r>
      <w:r w:rsidRPr="00C235E5">
        <w:rPr>
          <w:rFonts w:ascii="Times New Roman" w:hAnsi="Times New Roman" w:cs="Times New Roman"/>
          <w:b/>
          <w:bCs/>
          <w:sz w:val="24"/>
          <w:szCs w:val="24"/>
          <w:lang w:val="en-GB"/>
        </w:rPr>
        <w:t xml:space="preserve">1: </w:t>
      </w:r>
      <w:r w:rsidRPr="00C235E5">
        <w:rPr>
          <w:rFonts w:ascii="Times New Roman" w:hAnsi="Times New Roman" w:cs="Times New Roman"/>
          <w:b/>
          <w:bCs/>
          <w:i/>
          <w:iCs/>
          <w:sz w:val="24"/>
          <w:szCs w:val="24"/>
          <w:lang w:val="en-GB"/>
        </w:rPr>
        <w:t>Verizon/Yahoo</w:t>
      </w:r>
      <w:r w:rsidRPr="00C235E5">
        <w:rPr>
          <w:rFonts w:ascii="Times New Roman" w:hAnsi="Times New Roman" w:cs="Times New Roman"/>
          <w:b/>
          <w:bCs/>
          <w:sz w:val="24"/>
          <w:szCs w:val="24"/>
          <w:lang w:val="en-GB"/>
        </w:rPr>
        <w:t xml:space="preserve"> Evolution of Total Sales</w:t>
      </w:r>
    </w:p>
    <w:p w14:paraId="44A17411" w14:textId="602D6B33" w:rsidR="00F04C38" w:rsidRPr="00C235E5" w:rsidRDefault="00800CD3" w:rsidP="00F226D4">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5ABA3E76" wp14:editId="35FB147A">
            <wp:extent cx="4572000" cy="2743200"/>
            <wp:effectExtent l="0" t="0" r="0" b="0"/>
            <wp:docPr id="6" name="Chart 6">
              <a:extLst xmlns:a="http://schemas.openxmlformats.org/drawingml/2006/main">
                <a:ext uri="{FF2B5EF4-FFF2-40B4-BE49-F238E27FC236}">
                  <a16:creationId xmlns:a16="http://schemas.microsoft.com/office/drawing/2014/main" id="{B2128163-C36A-442C-9FD4-98F25D416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5B69F9" w14:textId="77777777" w:rsidR="0050718D" w:rsidRDefault="0050718D">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120E6252" w14:textId="1163FFDD"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 xml:space="preserve">Chart – </w:t>
      </w:r>
      <w:r w:rsidR="00D45E42" w:rsidRPr="00C235E5">
        <w:rPr>
          <w:rFonts w:ascii="Times New Roman" w:hAnsi="Times New Roman" w:cs="Times New Roman"/>
          <w:b/>
          <w:bCs/>
          <w:sz w:val="24"/>
          <w:szCs w:val="24"/>
          <w:lang w:val="en-GB"/>
        </w:rPr>
        <w:t>G</w:t>
      </w:r>
      <w:r w:rsidRPr="00C235E5">
        <w:rPr>
          <w:rFonts w:ascii="Times New Roman" w:hAnsi="Times New Roman" w:cs="Times New Roman"/>
          <w:b/>
          <w:bCs/>
          <w:sz w:val="24"/>
          <w:szCs w:val="24"/>
          <w:lang w:val="en-GB"/>
        </w:rPr>
        <w:t xml:space="preserve">2: </w:t>
      </w:r>
      <w:r w:rsidRPr="00C235E5">
        <w:rPr>
          <w:rFonts w:ascii="Times New Roman" w:hAnsi="Times New Roman" w:cs="Times New Roman"/>
          <w:b/>
          <w:bCs/>
          <w:i/>
          <w:iCs/>
          <w:sz w:val="24"/>
          <w:szCs w:val="24"/>
          <w:lang w:val="en-GB"/>
        </w:rPr>
        <w:t>Verizon/Yahoo</w:t>
      </w:r>
      <w:r w:rsidRPr="00C235E5">
        <w:rPr>
          <w:rFonts w:ascii="Times New Roman" w:hAnsi="Times New Roman" w:cs="Times New Roman"/>
          <w:b/>
          <w:bCs/>
          <w:sz w:val="24"/>
          <w:szCs w:val="24"/>
          <w:lang w:val="en-GB"/>
        </w:rPr>
        <w:t xml:space="preserve"> Evolution of Competitor Market Shares</w:t>
      </w:r>
    </w:p>
    <w:p w14:paraId="4CDEA7F9" w14:textId="77777777" w:rsidR="00800CD3" w:rsidRPr="00C235E5" w:rsidRDefault="00800CD3" w:rsidP="00800CD3">
      <w:pPr>
        <w:pStyle w:val="xxxxmsonormal"/>
        <w:spacing w:before="120" w:after="120" w:line="276" w:lineRule="auto"/>
        <w:jc w:val="center"/>
        <w:rPr>
          <w:rFonts w:ascii="Times New Roman" w:hAnsi="Times New Roman" w:cs="Times New Roman"/>
          <w:sz w:val="24"/>
          <w:szCs w:val="24"/>
          <w:lang w:val="en-GB"/>
        </w:rPr>
      </w:pPr>
      <w:r w:rsidRPr="00C235E5">
        <w:rPr>
          <w:rFonts w:ascii="Times New Roman" w:hAnsi="Times New Roman" w:cs="Times New Roman"/>
          <w:noProof/>
          <w:sz w:val="24"/>
          <w:szCs w:val="24"/>
        </w:rPr>
        <w:drawing>
          <wp:inline distT="0" distB="0" distL="0" distR="0" wp14:anchorId="7C4D5D77" wp14:editId="3F079392">
            <wp:extent cx="4572000" cy="2743200"/>
            <wp:effectExtent l="0" t="0" r="0" b="0"/>
            <wp:docPr id="8" name="Chart 8">
              <a:extLst xmlns:a="http://schemas.openxmlformats.org/drawingml/2006/main">
                <a:ext uri="{FF2B5EF4-FFF2-40B4-BE49-F238E27FC236}">
                  <a16:creationId xmlns:a16="http://schemas.microsoft.com/office/drawing/2014/main" id="{207D1EEE-F5BB-4E43-BDAF-50C135EE3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0ABB14" w14:textId="68E109B3" w:rsidR="00800CD3" w:rsidRPr="00C235E5" w:rsidRDefault="00800CD3" w:rsidP="00792D53">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Two observations arise from our data. First, total sales of digital mobile finance content have decreased since the merger. We see, however, a slight rise in output immediately following the merger. Second, the dominance enjoyed by the New York Times appears to have diminished post-merger. Following the transaction, the NYT consistently lost market share. By contrast, rival Axel Springer AG, a German media conglomerate, experienced a growth of its share of sales. Thomson Reuters also managed to double its share of market sales at the expense of the NYT.</w:t>
      </w:r>
    </w:p>
    <w:p w14:paraId="4558C2E2" w14:textId="69798682" w:rsidR="00800CD3" w:rsidRPr="00C235E5" w:rsidRDefault="00800CD3" w:rsidP="00F42292">
      <w:pPr>
        <w:pStyle w:val="Heading2"/>
        <w:numPr>
          <w:ilvl w:val="0"/>
          <w:numId w:val="24"/>
        </w:numPr>
        <w:rPr>
          <w:rFonts w:cs="Times New Roman"/>
          <w:i w:val="0"/>
          <w:iCs/>
          <w:sz w:val="24"/>
          <w:szCs w:val="24"/>
          <w:lang w:val="en-GB"/>
        </w:rPr>
      </w:pPr>
      <w:r w:rsidRPr="00C235E5">
        <w:rPr>
          <w:rFonts w:cs="Times New Roman"/>
          <w:iCs/>
          <w:sz w:val="24"/>
          <w:szCs w:val="24"/>
          <w:lang w:val="en-GB"/>
        </w:rPr>
        <w:t>Google/FitBit</w:t>
      </w:r>
    </w:p>
    <w:p w14:paraId="79F874B3" w14:textId="357C602F" w:rsidR="00A01333" w:rsidRPr="00C235E5" w:rsidRDefault="00800CD3" w:rsidP="00EE77E2">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Google acquired FitBit, a technology company mainly concerned with the production and sales of wearable devices (</w:t>
      </w:r>
      <w:r w:rsidR="0016284F">
        <w:rPr>
          <w:rFonts w:ascii="Times New Roman" w:hAnsi="Times New Roman" w:cs="Times New Roman"/>
          <w:sz w:val="24"/>
          <w:szCs w:val="24"/>
          <w:lang w:val="en-GB"/>
        </w:rPr>
        <w:t>for example</w:t>
      </w:r>
      <w:r w:rsidRPr="00C235E5">
        <w:rPr>
          <w:rFonts w:ascii="Times New Roman" w:hAnsi="Times New Roman" w:cs="Times New Roman"/>
          <w:sz w:val="24"/>
          <w:szCs w:val="24"/>
          <w:lang w:val="en-GB"/>
        </w:rPr>
        <w:t xml:space="preserve">, fitness trackers), in 2020. In </w:t>
      </w:r>
      <w:r w:rsidRPr="00792C0D">
        <w:rPr>
          <w:rFonts w:ascii="Times New Roman" w:hAnsi="Times New Roman" w:cs="Times New Roman"/>
          <w:i/>
          <w:iCs/>
          <w:sz w:val="24"/>
          <w:szCs w:val="24"/>
          <w:lang w:val="en-GB"/>
        </w:rPr>
        <w:t>Google/FitBit</w:t>
      </w:r>
      <w:r w:rsidRPr="00C235E5">
        <w:rPr>
          <w:rFonts w:ascii="Times New Roman" w:hAnsi="Times New Roman" w:cs="Times New Roman"/>
          <w:sz w:val="24"/>
          <w:szCs w:val="24"/>
          <w:lang w:val="en-GB"/>
        </w:rPr>
        <w:t>, the EC decision considered the relevant market as “wrist-worn wearable devices”.</w:t>
      </w:r>
      <w:r w:rsidRPr="00EE77E2">
        <w:t xml:space="preserve"> </w:t>
      </w:r>
      <w:r w:rsidRPr="00260174">
        <w:rPr>
          <w:rFonts w:ascii="Times New Roman" w:hAnsi="Times New Roman" w:cs="Times New Roman"/>
          <w:sz w:val="24"/>
          <w:szCs w:val="24"/>
          <w:vertAlign w:val="superscript"/>
          <w:lang w:val="en-GB"/>
        </w:rPr>
        <w:footnoteReference w:id="118"/>
      </w:r>
      <w:r w:rsidRPr="00C235E5">
        <w:rPr>
          <w:rFonts w:ascii="Times New Roman" w:hAnsi="Times New Roman" w:cs="Times New Roman"/>
          <w:sz w:val="24"/>
          <w:szCs w:val="24"/>
          <w:lang w:val="en-GB"/>
        </w:rPr>
        <w:t xml:space="preserve">  In that market, the EC identified competition from  Apple, Xiaomi, Huawei, Garmin, and Samsung. All of these firms are publicly traded. Table – X and Charts </w:t>
      </w:r>
      <w:r w:rsidR="005C4818" w:rsidRPr="00C235E5">
        <w:rPr>
          <w:rFonts w:ascii="Times New Roman" w:hAnsi="Times New Roman" w:cs="Times New Roman"/>
          <w:sz w:val="24"/>
          <w:szCs w:val="24"/>
          <w:lang w:val="en-GB"/>
        </w:rPr>
        <w:t>H</w:t>
      </w:r>
      <w:r w:rsidRPr="00C235E5">
        <w:rPr>
          <w:rFonts w:ascii="Times New Roman" w:hAnsi="Times New Roman" w:cs="Times New Roman"/>
          <w:sz w:val="24"/>
          <w:szCs w:val="24"/>
          <w:lang w:val="en-GB"/>
        </w:rPr>
        <w:t xml:space="preserve">1 – </w:t>
      </w:r>
      <w:r w:rsidR="005C4818" w:rsidRPr="00C235E5">
        <w:rPr>
          <w:rFonts w:ascii="Times New Roman" w:hAnsi="Times New Roman" w:cs="Times New Roman"/>
          <w:sz w:val="24"/>
          <w:szCs w:val="24"/>
          <w:lang w:val="en-GB"/>
        </w:rPr>
        <w:t>H</w:t>
      </w:r>
      <w:r w:rsidRPr="00C235E5">
        <w:rPr>
          <w:rFonts w:ascii="Times New Roman" w:hAnsi="Times New Roman" w:cs="Times New Roman"/>
          <w:sz w:val="24"/>
          <w:szCs w:val="24"/>
          <w:lang w:val="en-GB"/>
        </w:rPr>
        <w:t>2 below provide an account of the structure and evolution of the industry, centred around the acquisition.</w:t>
      </w:r>
      <w:r w:rsidR="00A01333" w:rsidRPr="00C235E5">
        <w:rPr>
          <w:rFonts w:ascii="Times New Roman" w:hAnsi="Times New Roman" w:cs="Times New Roman"/>
          <w:sz w:val="24"/>
          <w:szCs w:val="24"/>
          <w:lang w:val="en-GB"/>
        </w:rPr>
        <w:t xml:space="preserve"> </w:t>
      </w:r>
    </w:p>
    <w:p w14:paraId="5C06180B" w14:textId="050147EB" w:rsidR="00F04C38" w:rsidRPr="00D57ACA" w:rsidRDefault="00A01333" w:rsidP="00EE77E2">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lastRenderedPageBreak/>
        <w:t>In the table, SIC 1, 2, 3, 4, and 5 represent Apple, Xiaomi, Samsung, Garmin and Huawei, respectively. For Huawei, we use revenue figures from the “Customer” business segment. For Xiaomi, we use figures from the “IoT and Lifestyle Products” segment. For Samsung, we rely on the “Information Technology &amp; Mobile Communications” segment.</w:t>
      </w:r>
      <w:r w:rsidRPr="00260174">
        <w:rPr>
          <w:rFonts w:ascii="Times New Roman" w:hAnsi="Times New Roman" w:cs="Times New Roman"/>
          <w:sz w:val="24"/>
          <w:szCs w:val="24"/>
          <w:vertAlign w:val="superscript"/>
          <w:lang w:val="en-GB"/>
        </w:rPr>
        <w:footnoteReference w:id="119"/>
      </w:r>
      <w:r w:rsidRPr="00260174">
        <w:rPr>
          <w:rFonts w:ascii="Times New Roman" w:hAnsi="Times New Roman" w:cs="Times New Roman"/>
          <w:sz w:val="24"/>
          <w:szCs w:val="24"/>
          <w:vertAlign w:val="superscript"/>
          <w:lang w:val="en-GB"/>
        </w:rPr>
        <w:t xml:space="preserve"> </w:t>
      </w:r>
      <w:r w:rsidRPr="00C235E5">
        <w:rPr>
          <w:rFonts w:ascii="Times New Roman" w:hAnsi="Times New Roman" w:cs="Times New Roman"/>
          <w:sz w:val="24"/>
          <w:szCs w:val="24"/>
          <w:lang w:val="en-GB"/>
        </w:rPr>
        <w:t>For Apple, we consider “Wearables, Home, and Accessories” segment. For Garmin, we use overall revenue.</w:t>
      </w:r>
      <w:r w:rsidRPr="00260174">
        <w:rPr>
          <w:rFonts w:ascii="Times New Roman" w:hAnsi="Times New Roman" w:cs="Times New Roman"/>
          <w:sz w:val="24"/>
          <w:szCs w:val="24"/>
          <w:vertAlign w:val="superscript"/>
          <w:lang w:val="en-GB"/>
        </w:rPr>
        <w:footnoteReference w:id="120"/>
      </w:r>
      <w:r w:rsidRPr="00C235E5">
        <w:rPr>
          <w:rFonts w:ascii="Times New Roman" w:hAnsi="Times New Roman" w:cs="Times New Roman"/>
          <w:sz w:val="24"/>
          <w:szCs w:val="24"/>
          <w:lang w:val="en-GB"/>
        </w:rPr>
        <w:t xml:space="preserve"> Each of these segments correspond to reporting categories in which sales data for wearables are located</w:t>
      </w:r>
      <w:r w:rsidR="00D57ACA">
        <w:rPr>
          <w:rFonts w:ascii="Times New Roman" w:hAnsi="Times New Roman" w:cs="Times New Roman"/>
          <w:sz w:val="24"/>
          <w:szCs w:val="24"/>
          <w:lang w:val="en-GB"/>
        </w:rPr>
        <w:t>.</w:t>
      </w:r>
    </w:p>
    <w:p w14:paraId="23D0373F" w14:textId="00EE963B"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Table – </w:t>
      </w:r>
      <w:r w:rsidR="00D45E42" w:rsidRPr="00C235E5">
        <w:rPr>
          <w:rFonts w:ascii="Times New Roman" w:hAnsi="Times New Roman" w:cs="Times New Roman"/>
          <w:b/>
          <w:bCs/>
          <w:sz w:val="24"/>
          <w:szCs w:val="24"/>
          <w:lang w:val="en-GB"/>
        </w:rPr>
        <w:t>X</w:t>
      </w:r>
      <w:r w:rsidRPr="00C235E5">
        <w:rPr>
          <w:rFonts w:ascii="Times New Roman" w:hAnsi="Times New Roman" w:cs="Times New Roman"/>
          <w:b/>
          <w:bCs/>
          <w:sz w:val="24"/>
          <w:szCs w:val="24"/>
          <w:lang w:val="en-GB"/>
        </w:rPr>
        <w:t xml:space="preserve">: </w:t>
      </w:r>
      <w:r w:rsidRPr="00C235E5">
        <w:rPr>
          <w:rFonts w:ascii="Times New Roman" w:hAnsi="Times New Roman" w:cs="Times New Roman"/>
          <w:b/>
          <w:bCs/>
          <w:i/>
          <w:iCs/>
          <w:sz w:val="24"/>
          <w:szCs w:val="24"/>
          <w:lang w:val="en-GB"/>
        </w:rPr>
        <w:t>Google/FitBit</w:t>
      </w:r>
      <w:r w:rsidRPr="00C235E5">
        <w:rPr>
          <w:rFonts w:ascii="Times New Roman" w:hAnsi="Times New Roman" w:cs="Times New Roman"/>
          <w:b/>
          <w:bCs/>
          <w:sz w:val="24"/>
          <w:szCs w:val="24"/>
          <w:lang w:val="en-GB"/>
        </w:rPr>
        <w:t xml:space="preserve"> Figures for the SIC Test</w:t>
      </w:r>
    </w:p>
    <w:tbl>
      <w:tblPr>
        <w:tblW w:w="10200" w:type="dxa"/>
        <w:jc w:val="center"/>
        <w:tblCellMar>
          <w:left w:w="70" w:type="dxa"/>
          <w:right w:w="70" w:type="dxa"/>
        </w:tblCellMar>
        <w:tblLook w:val="04A0" w:firstRow="1" w:lastRow="0" w:firstColumn="1" w:lastColumn="0" w:noHBand="0" w:noVBand="1"/>
      </w:tblPr>
      <w:tblGrid>
        <w:gridCol w:w="1060"/>
        <w:gridCol w:w="1260"/>
        <w:gridCol w:w="850"/>
        <w:gridCol w:w="850"/>
        <w:gridCol w:w="850"/>
        <w:gridCol w:w="850"/>
        <w:gridCol w:w="860"/>
        <w:gridCol w:w="850"/>
        <w:gridCol w:w="850"/>
        <w:gridCol w:w="850"/>
        <w:gridCol w:w="850"/>
        <w:gridCol w:w="850"/>
      </w:tblGrid>
      <w:tr w:rsidR="00800CD3" w:rsidRPr="00C235E5" w14:paraId="24E57D22"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5E43013"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noWrap/>
            <w:vAlign w:val="bottom"/>
            <w:hideMark/>
          </w:tcPr>
          <w:p w14:paraId="1E15079F"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Sales of identified competitor (SIC) 1</w:t>
            </w:r>
          </w:p>
        </w:tc>
        <w:tc>
          <w:tcPr>
            <w:tcW w:w="850" w:type="dxa"/>
            <w:tcBorders>
              <w:top w:val="single" w:sz="4" w:space="0" w:color="000000"/>
              <w:left w:val="nil"/>
              <w:bottom w:val="nil"/>
              <w:right w:val="nil"/>
            </w:tcBorders>
            <w:shd w:val="clear" w:color="000000" w:fill="000000"/>
            <w:noWrap/>
            <w:vAlign w:val="bottom"/>
            <w:hideMark/>
          </w:tcPr>
          <w:p w14:paraId="27D21383"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41435DA2"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3</w:t>
            </w:r>
          </w:p>
        </w:tc>
        <w:tc>
          <w:tcPr>
            <w:tcW w:w="850" w:type="dxa"/>
            <w:tcBorders>
              <w:top w:val="single" w:sz="4" w:space="0" w:color="000000"/>
              <w:left w:val="nil"/>
              <w:bottom w:val="nil"/>
              <w:right w:val="nil"/>
            </w:tcBorders>
            <w:shd w:val="clear" w:color="000000" w:fill="000000"/>
            <w:noWrap/>
            <w:vAlign w:val="bottom"/>
            <w:hideMark/>
          </w:tcPr>
          <w:p w14:paraId="506BEFE9"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4</w:t>
            </w:r>
          </w:p>
        </w:tc>
        <w:tc>
          <w:tcPr>
            <w:tcW w:w="850" w:type="dxa"/>
            <w:tcBorders>
              <w:top w:val="single" w:sz="4" w:space="0" w:color="000000"/>
              <w:left w:val="nil"/>
              <w:bottom w:val="nil"/>
              <w:right w:val="nil"/>
            </w:tcBorders>
            <w:shd w:val="clear" w:color="000000" w:fill="000000"/>
            <w:noWrap/>
            <w:vAlign w:val="bottom"/>
            <w:hideMark/>
          </w:tcPr>
          <w:p w14:paraId="57DF923D"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5</w:t>
            </w:r>
          </w:p>
        </w:tc>
        <w:tc>
          <w:tcPr>
            <w:tcW w:w="850" w:type="dxa"/>
            <w:tcBorders>
              <w:top w:val="single" w:sz="4" w:space="0" w:color="000000"/>
              <w:left w:val="nil"/>
              <w:bottom w:val="nil"/>
              <w:right w:val="nil"/>
            </w:tcBorders>
            <w:shd w:val="clear" w:color="000000" w:fill="000000"/>
            <w:noWrap/>
            <w:vAlign w:val="bottom"/>
            <w:hideMark/>
          </w:tcPr>
          <w:p w14:paraId="36FA0AC6"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317C14E3"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003A22D5"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nil"/>
            </w:tcBorders>
            <w:shd w:val="clear" w:color="000000" w:fill="000000"/>
            <w:noWrap/>
            <w:vAlign w:val="bottom"/>
            <w:hideMark/>
          </w:tcPr>
          <w:p w14:paraId="5156FB1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c>
          <w:tcPr>
            <w:tcW w:w="850" w:type="dxa"/>
            <w:tcBorders>
              <w:top w:val="single" w:sz="4" w:space="0" w:color="000000"/>
              <w:left w:val="nil"/>
              <w:bottom w:val="nil"/>
              <w:right w:val="nil"/>
            </w:tcBorders>
            <w:shd w:val="clear" w:color="000000" w:fill="000000"/>
            <w:noWrap/>
            <w:vAlign w:val="bottom"/>
            <w:hideMark/>
          </w:tcPr>
          <w:p w14:paraId="10EBF75B"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4</w:t>
            </w:r>
          </w:p>
        </w:tc>
        <w:tc>
          <w:tcPr>
            <w:tcW w:w="850" w:type="dxa"/>
            <w:tcBorders>
              <w:top w:val="single" w:sz="4" w:space="0" w:color="000000"/>
              <w:left w:val="nil"/>
              <w:bottom w:val="nil"/>
              <w:right w:val="single" w:sz="4" w:space="0" w:color="000000"/>
            </w:tcBorders>
            <w:shd w:val="clear" w:color="000000" w:fill="000000"/>
            <w:noWrap/>
            <w:vAlign w:val="bottom"/>
            <w:hideMark/>
          </w:tcPr>
          <w:p w14:paraId="477D16EE"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5</w:t>
            </w:r>
          </w:p>
        </w:tc>
      </w:tr>
      <w:tr w:rsidR="00800CD3" w:rsidRPr="00C235E5" w14:paraId="09AC0AFE"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2FE3E92"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3EB329E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12863</w:t>
            </w:r>
          </w:p>
        </w:tc>
        <w:tc>
          <w:tcPr>
            <w:tcW w:w="850" w:type="dxa"/>
            <w:tcBorders>
              <w:top w:val="single" w:sz="4" w:space="0" w:color="000000"/>
              <w:left w:val="nil"/>
              <w:bottom w:val="nil"/>
              <w:right w:val="nil"/>
            </w:tcBorders>
            <w:shd w:val="clear" w:color="auto" w:fill="auto"/>
            <w:noWrap/>
            <w:vAlign w:val="bottom"/>
            <w:hideMark/>
          </w:tcPr>
          <w:p w14:paraId="7A5A511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3469</w:t>
            </w:r>
          </w:p>
        </w:tc>
        <w:tc>
          <w:tcPr>
            <w:tcW w:w="850" w:type="dxa"/>
            <w:tcBorders>
              <w:top w:val="single" w:sz="4" w:space="0" w:color="000000"/>
              <w:left w:val="nil"/>
              <w:bottom w:val="nil"/>
              <w:right w:val="nil"/>
            </w:tcBorders>
            <w:shd w:val="clear" w:color="auto" w:fill="auto"/>
            <w:noWrap/>
            <w:vAlign w:val="bottom"/>
            <w:hideMark/>
          </w:tcPr>
          <w:p w14:paraId="75E69E1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94372</w:t>
            </w:r>
          </w:p>
        </w:tc>
        <w:tc>
          <w:tcPr>
            <w:tcW w:w="850" w:type="dxa"/>
            <w:tcBorders>
              <w:top w:val="single" w:sz="4" w:space="0" w:color="000000"/>
              <w:left w:val="nil"/>
              <w:bottom w:val="nil"/>
              <w:right w:val="nil"/>
            </w:tcBorders>
            <w:shd w:val="clear" w:color="auto" w:fill="auto"/>
            <w:noWrap/>
            <w:vAlign w:val="bottom"/>
            <w:hideMark/>
          </w:tcPr>
          <w:p w14:paraId="2B4C19E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762</w:t>
            </w:r>
          </w:p>
        </w:tc>
        <w:tc>
          <w:tcPr>
            <w:tcW w:w="850" w:type="dxa"/>
            <w:tcBorders>
              <w:top w:val="single" w:sz="4" w:space="0" w:color="000000"/>
              <w:left w:val="nil"/>
              <w:bottom w:val="nil"/>
              <w:right w:val="nil"/>
            </w:tcBorders>
            <w:shd w:val="clear" w:color="auto" w:fill="auto"/>
            <w:noWrap/>
            <w:vAlign w:val="bottom"/>
            <w:hideMark/>
          </w:tcPr>
          <w:p w14:paraId="218A46E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35148</w:t>
            </w:r>
          </w:p>
        </w:tc>
        <w:tc>
          <w:tcPr>
            <w:tcW w:w="850" w:type="dxa"/>
            <w:tcBorders>
              <w:top w:val="single" w:sz="4" w:space="0" w:color="000000"/>
              <w:left w:val="nil"/>
              <w:bottom w:val="nil"/>
              <w:right w:val="nil"/>
            </w:tcBorders>
            <w:shd w:val="clear" w:color="auto" w:fill="auto"/>
            <w:noWrap/>
            <w:vAlign w:val="bottom"/>
            <w:hideMark/>
          </w:tcPr>
          <w:p w14:paraId="50CFB8A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146614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C91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c>
          <w:tcPr>
            <w:tcW w:w="850" w:type="dxa"/>
            <w:tcBorders>
              <w:top w:val="single" w:sz="4" w:space="0" w:color="000000"/>
              <w:left w:val="nil"/>
              <w:bottom w:val="nil"/>
              <w:right w:val="nil"/>
            </w:tcBorders>
            <w:shd w:val="clear" w:color="auto" w:fill="auto"/>
            <w:noWrap/>
            <w:vAlign w:val="bottom"/>
            <w:hideMark/>
          </w:tcPr>
          <w:p w14:paraId="55EB8E6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w:t>
            </w:r>
          </w:p>
        </w:tc>
        <w:tc>
          <w:tcPr>
            <w:tcW w:w="850" w:type="dxa"/>
            <w:tcBorders>
              <w:top w:val="single" w:sz="4" w:space="0" w:color="000000"/>
              <w:left w:val="nil"/>
              <w:bottom w:val="nil"/>
              <w:right w:val="nil"/>
            </w:tcBorders>
            <w:shd w:val="clear" w:color="auto" w:fill="auto"/>
            <w:noWrap/>
            <w:vAlign w:val="bottom"/>
            <w:hideMark/>
          </w:tcPr>
          <w:p w14:paraId="48C3332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64%</w:t>
            </w:r>
          </w:p>
        </w:tc>
        <w:tc>
          <w:tcPr>
            <w:tcW w:w="850" w:type="dxa"/>
            <w:tcBorders>
              <w:top w:val="single" w:sz="4" w:space="0" w:color="000000"/>
              <w:left w:val="nil"/>
              <w:bottom w:val="nil"/>
              <w:right w:val="nil"/>
            </w:tcBorders>
            <w:shd w:val="clear" w:color="auto" w:fill="auto"/>
            <w:noWrap/>
            <w:vAlign w:val="bottom"/>
            <w:hideMark/>
          </w:tcPr>
          <w:p w14:paraId="038F27C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w:t>
            </w:r>
          </w:p>
        </w:tc>
        <w:tc>
          <w:tcPr>
            <w:tcW w:w="850" w:type="dxa"/>
            <w:tcBorders>
              <w:top w:val="single" w:sz="4" w:space="0" w:color="000000"/>
              <w:left w:val="nil"/>
              <w:bottom w:val="nil"/>
              <w:right w:val="single" w:sz="4" w:space="0" w:color="000000"/>
            </w:tcBorders>
            <w:shd w:val="clear" w:color="auto" w:fill="auto"/>
            <w:noWrap/>
            <w:vAlign w:val="bottom"/>
            <w:hideMark/>
          </w:tcPr>
          <w:p w14:paraId="25F6D73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r>
      <w:tr w:rsidR="00800CD3" w:rsidRPr="00C235E5" w14:paraId="7CB76C77"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82E5EDC"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15F9D45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17381</w:t>
            </w:r>
          </w:p>
        </w:tc>
        <w:tc>
          <w:tcPr>
            <w:tcW w:w="850" w:type="dxa"/>
            <w:tcBorders>
              <w:top w:val="single" w:sz="4" w:space="0" w:color="000000"/>
              <w:left w:val="nil"/>
              <w:bottom w:val="nil"/>
              <w:right w:val="nil"/>
            </w:tcBorders>
            <w:shd w:val="clear" w:color="auto" w:fill="auto"/>
            <w:noWrap/>
            <w:vAlign w:val="bottom"/>
            <w:hideMark/>
          </w:tcPr>
          <w:p w14:paraId="2C5322A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6608</w:t>
            </w:r>
          </w:p>
        </w:tc>
        <w:tc>
          <w:tcPr>
            <w:tcW w:w="850" w:type="dxa"/>
            <w:tcBorders>
              <w:top w:val="single" w:sz="4" w:space="0" w:color="000000"/>
              <w:left w:val="nil"/>
              <w:bottom w:val="nil"/>
              <w:right w:val="nil"/>
            </w:tcBorders>
            <w:shd w:val="clear" w:color="auto" w:fill="auto"/>
            <w:noWrap/>
            <w:vAlign w:val="bottom"/>
            <w:hideMark/>
          </w:tcPr>
          <w:p w14:paraId="0C6665B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91479</w:t>
            </w:r>
          </w:p>
        </w:tc>
        <w:tc>
          <w:tcPr>
            <w:tcW w:w="850" w:type="dxa"/>
            <w:tcBorders>
              <w:top w:val="single" w:sz="4" w:space="0" w:color="000000"/>
              <w:left w:val="nil"/>
              <w:bottom w:val="nil"/>
              <w:right w:val="nil"/>
            </w:tcBorders>
            <w:shd w:val="clear" w:color="auto" w:fill="auto"/>
            <w:noWrap/>
            <w:vAlign w:val="bottom"/>
            <w:hideMark/>
          </w:tcPr>
          <w:p w14:paraId="4F583A8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858</w:t>
            </w:r>
          </w:p>
        </w:tc>
        <w:tc>
          <w:tcPr>
            <w:tcW w:w="850" w:type="dxa"/>
            <w:tcBorders>
              <w:top w:val="single" w:sz="4" w:space="0" w:color="000000"/>
              <w:left w:val="nil"/>
              <w:bottom w:val="nil"/>
              <w:right w:val="nil"/>
            </w:tcBorders>
            <w:shd w:val="clear" w:color="auto" w:fill="auto"/>
            <w:noWrap/>
            <w:vAlign w:val="bottom"/>
            <w:hideMark/>
          </w:tcPr>
          <w:p w14:paraId="06C91C5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52617</w:t>
            </w:r>
          </w:p>
        </w:tc>
        <w:tc>
          <w:tcPr>
            <w:tcW w:w="850" w:type="dxa"/>
            <w:tcBorders>
              <w:top w:val="single" w:sz="4" w:space="0" w:color="000000"/>
              <w:left w:val="nil"/>
              <w:bottom w:val="nil"/>
              <w:right w:val="nil"/>
            </w:tcBorders>
            <w:shd w:val="clear" w:color="auto" w:fill="auto"/>
            <w:noWrap/>
            <w:vAlign w:val="bottom"/>
            <w:hideMark/>
          </w:tcPr>
          <w:p w14:paraId="6C51E9C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168943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2A13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w:t>
            </w:r>
          </w:p>
        </w:tc>
        <w:tc>
          <w:tcPr>
            <w:tcW w:w="850" w:type="dxa"/>
            <w:tcBorders>
              <w:top w:val="single" w:sz="4" w:space="0" w:color="000000"/>
              <w:left w:val="nil"/>
              <w:bottom w:val="nil"/>
              <w:right w:val="nil"/>
            </w:tcBorders>
            <w:shd w:val="clear" w:color="auto" w:fill="auto"/>
            <w:noWrap/>
            <w:vAlign w:val="bottom"/>
            <w:hideMark/>
          </w:tcPr>
          <w:p w14:paraId="37702CC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w:t>
            </w:r>
          </w:p>
        </w:tc>
        <w:tc>
          <w:tcPr>
            <w:tcW w:w="850" w:type="dxa"/>
            <w:tcBorders>
              <w:top w:val="single" w:sz="4" w:space="0" w:color="000000"/>
              <w:left w:val="nil"/>
              <w:bottom w:val="nil"/>
              <w:right w:val="nil"/>
            </w:tcBorders>
            <w:shd w:val="clear" w:color="auto" w:fill="auto"/>
            <w:noWrap/>
            <w:vAlign w:val="bottom"/>
            <w:hideMark/>
          </w:tcPr>
          <w:p w14:paraId="657287B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54%</w:t>
            </w:r>
          </w:p>
        </w:tc>
        <w:tc>
          <w:tcPr>
            <w:tcW w:w="850" w:type="dxa"/>
            <w:tcBorders>
              <w:top w:val="single" w:sz="4" w:space="0" w:color="000000"/>
              <w:left w:val="nil"/>
              <w:bottom w:val="nil"/>
              <w:right w:val="nil"/>
            </w:tcBorders>
            <w:shd w:val="clear" w:color="auto" w:fill="auto"/>
            <w:noWrap/>
            <w:vAlign w:val="bottom"/>
            <w:hideMark/>
          </w:tcPr>
          <w:p w14:paraId="75CC4A0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w:t>
            </w:r>
          </w:p>
        </w:tc>
        <w:tc>
          <w:tcPr>
            <w:tcW w:w="850" w:type="dxa"/>
            <w:tcBorders>
              <w:top w:val="single" w:sz="4" w:space="0" w:color="000000"/>
              <w:left w:val="nil"/>
              <w:bottom w:val="nil"/>
              <w:right w:val="single" w:sz="4" w:space="0" w:color="000000"/>
            </w:tcBorders>
            <w:shd w:val="clear" w:color="auto" w:fill="auto"/>
            <w:noWrap/>
            <w:vAlign w:val="bottom"/>
            <w:hideMark/>
          </w:tcPr>
          <w:p w14:paraId="39408EE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31%</w:t>
            </w:r>
          </w:p>
        </w:tc>
      </w:tr>
      <w:tr w:rsidR="00800CD3" w:rsidRPr="00C235E5" w14:paraId="2E26BEAF"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3C8F9AF"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nil"/>
              <w:right w:val="nil"/>
            </w:tcBorders>
            <w:shd w:val="clear" w:color="auto" w:fill="auto"/>
            <w:noWrap/>
            <w:vAlign w:val="bottom"/>
            <w:hideMark/>
          </w:tcPr>
          <w:p w14:paraId="701F6A2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24482</w:t>
            </w:r>
          </w:p>
        </w:tc>
        <w:tc>
          <w:tcPr>
            <w:tcW w:w="850" w:type="dxa"/>
            <w:tcBorders>
              <w:top w:val="single" w:sz="4" w:space="0" w:color="000000"/>
              <w:left w:val="nil"/>
              <w:bottom w:val="nil"/>
              <w:right w:val="nil"/>
            </w:tcBorders>
            <w:shd w:val="clear" w:color="auto" w:fill="auto"/>
            <w:noWrap/>
            <w:vAlign w:val="bottom"/>
            <w:hideMark/>
          </w:tcPr>
          <w:p w14:paraId="0037D06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8985</w:t>
            </w:r>
          </w:p>
        </w:tc>
        <w:tc>
          <w:tcPr>
            <w:tcW w:w="850" w:type="dxa"/>
            <w:tcBorders>
              <w:top w:val="single" w:sz="4" w:space="0" w:color="000000"/>
              <w:left w:val="nil"/>
              <w:bottom w:val="nil"/>
              <w:right w:val="nil"/>
            </w:tcBorders>
            <w:shd w:val="clear" w:color="auto" w:fill="auto"/>
            <w:noWrap/>
            <w:vAlign w:val="bottom"/>
            <w:hideMark/>
          </w:tcPr>
          <w:p w14:paraId="7843CE6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92051</w:t>
            </w:r>
          </w:p>
        </w:tc>
        <w:tc>
          <w:tcPr>
            <w:tcW w:w="850" w:type="dxa"/>
            <w:tcBorders>
              <w:top w:val="single" w:sz="4" w:space="0" w:color="000000"/>
              <w:left w:val="nil"/>
              <w:bottom w:val="nil"/>
              <w:right w:val="nil"/>
            </w:tcBorders>
            <w:shd w:val="clear" w:color="auto" w:fill="auto"/>
            <w:noWrap/>
            <w:vAlign w:val="bottom"/>
            <w:hideMark/>
          </w:tcPr>
          <w:p w14:paraId="5C52E37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1047</w:t>
            </w:r>
          </w:p>
        </w:tc>
        <w:tc>
          <w:tcPr>
            <w:tcW w:w="850" w:type="dxa"/>
            <w:tcBorders>
              <w:top w:val="single" w:sz="4" w:space="0" w:color="000000"/>
              <w:left w:val="nil"/>
              <w:bottom w:val="nil"/>
              <w:right w:val="nil"/>
            </w:tcBorders>
            <w:shd w:val="clear" w:color="auto" w:fill="auto"/>
            <w:noWrap/>
            <w:vAlign w:val="bottom"/>
            <w:hideMark/>
          </w:tcPr>
          <w:p w14:paraId="72EE545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67627</w:t>
            </w:r>
          </w:p>
        </w:tc>
        <w:tc>
          <w:tcPr>
            <w:tcW w:w="850" w:type="dxa"/>
            <w:tcBorders>
              <w:top w:val="single" w:sz="4" w:space="0" w:color="000000"/>
              <w:left w:val="nil"/>
              <w:bottom w:val="nil"/>
              <w:right w:val="nil"/>
            </w:tcBorders>
            <w:shd w:val="clear" w:color="auto" w:fill="auto"/>
            <w:noWrap/>
            <w:vAlign w:val="bottom"/>
            <w:hideMark/>
          </w:tcPr>
          <w:p w14:paraId="3C26088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194192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55F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w:t>
            </w:r>
          </w:p>
        </w:tc>
        <w:tc>
          <w:tcPr>
            <w:tcW w:w="850" w:type="dxa"/>
            <w:tcBorders>
              <w:top w:val="single" w:sz="4" w:space="0" w:color="000000"/>
              <w:left w:val="nil"/>
              <w:bottom w:val="nil"/>
              <w:right w:val="nil"/>
            </w:tcBorders>
            <w:shd w:val="clear" w:color="auto" w:fill="auto"/>
            <w:noWrap/>
            <w:vAlign w:val="bottom"/>
            <w:hideMark/>
          </w:tcPr>
          <w:p w14:paraId="0BEADBE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w:t>
            </w:r>
          </w:p>
        </w:tc>
        <w:tc>
          <w:tcPr>
            <w:tcW w:w="850" w:type="dxa"/>
            <w:tcBorders>
              <w:top w:val="single" w:sz="4" w:space="0" w:color="000000"/>
              <w:left w:val="nil"/>
              <w:bottom w:val="nil"/>
              <w:right w:val="nil"/>
            </w:tcBorders>
            <w:shd w:val="clear" w:color="auto" w:fill="auto"/>
            <w:noWrap/>
            <w:vAlign w:val="bottom"/>
            <w:hideMark/>
          </w:tcPr>
          <w:p w14:paraId="4C035FE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47%</w:t>
            </w:r>
          </w:p>
        </w:tc>
        <w:tc>
          <w:tcPr>
            <w:tcW w:w="850" w:type="dxa"/>
            <w:tcBorders>
              <w:top w:val="single" w:sz="4" w:space="0" w:color="000000"/>
              <w:left w:val="nil"/>
              <w:bottom w:val="nil"/>
              <w:right w:val="nil"/>
            </w:tcBorders>
            <w:shd w:val="clear" w:color="auto" w:fill="auto"/>
            <w:noWrap/>
            <w:vAlign w:val="bottom"/>
            <w:hideMark/>
          </w:tcPr>
          <w:p w14:paraId="3883B84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w:t>
            </w:r>
          </w:p>
        </w:tc>
        <w:tc>
          <w:tcPr>
            <w:tcW w:w="850" w:type="dxa"/>
            <w:tcBorders>
              <w:top w:val="single" w:sz="4" w:space="0" w:color="000000"/>
              <w:left w:val="nil"/>
              <w:bottom w:val="nil"/>
              <w:right w:val="single" w:sz="4" w:space="0" w:color="000000"/>
            </w:tcBorders>
            <w:shd w:val="clear" w:color="auto" w:fill="auto"/>
            <w:noWrap/>
            <w:vAlign w:val="bottom"/>
            <w:hideMark/>
          </w:tcPr>
          <w:p w14:paraId="30404F1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w:t>
            </w:r>
          </w:p>
        </w:tc>
      </w:tr>
      <w:tr w:rsidR="00800CD3" w:rsidRPr="00C235E5" w14:paraId="2C9C9BE7"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F6E0230"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FY2020*</w:t>
            </w:r>
          </w:p>
        </w:tc>
        <w:tc>
          <w:tcPr>
            <w:tcW w:w="850" w:type="dxa"/>
            <w:tcBorders>
              <w:top w:val="single" w:sz="4" w:space="0" w:color="000000"/>
              <w:left w:val="single" w:sz="4" w:space="0" w:color="000000"/>
              <w:bottom w:val="nil"/>
              <w:right w:val="nil"/>
            </w:tcBorders>
            <w:shd w:val="clear" w:color="auto" w:fill="auto"/>
            <w:noWrap/>
            <w:vAlign w:val="bottom"/>
            <w:hideMark/>
          </w:tcPr>
          <w:p w14:paraId="5A56B14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30620</w:t>
            </w:r>
          </w:p>
        </w:tc>
        <w:tc>
          <w:tcPr>
            <w:tcW w:w="850" w:type="dxa"/>
            <w:tcBorders>
              <w:top w:val="single" w:sz="4" w:space="0" w:color="000000"/>
              <w:left w:val="nil"/>
              <w:bottom w:val="nil"/>
              <w:right w:val="nil"/>
            </w:tcBorders>
            <w:shd w:val="clear" w:color="auto" w:fill="auto"/>
            <w:noWrap/>
            <w:vAlign w:val="bottom"/>
            <w:hideMark/>
          </w:tcPr>
          <w:p w14:paraId="4ADB88F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9769</w:t>
            </w:r>
          </w:p>
        </w:tc>
        <w:tc>
          <w:tcPr>
            <w:tcW w:w="850" w:type="dxa"/>
            <w:tcBorders>
              <w:top w:val="single" w:sz="4" w:space="0" w:color="000000"/>
              <w:left w:val="nil"/>
              <w:bottom w:val="nil"/>
              <w:right w:val="nil"/>
            </w:tcBorders>
            <w:shd w:val="clear" w:color="auto" w:fill="auto"/>
            <w:noWrap/>
            <w:vAlign w:val="bottom"/>
            <w:hideMark/>
          </w:tcPr>
          <w:p w14:paraId="63236BD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84438</w:t>
            </w:r>
          </w:p>
        </w:tc>
        <w:tc>
          <w:tcPr>
            <w:tcW w:w="850" w:type="dxa"/>
            <w:tcBorders>
              <w:top w:val="single" w:sz="4" w:space="0" w:color="000000"/>
              <w:left w:val="nil"/>
              <w:bottom w:val="nil"/>
              <w:right w:val="nil"/>
            </w:tcBorders>
            <w:shd w:val="clear" w:color="auto" w:fill="auto"/>
            <w:noWrap/>
            <w:vAlign w:val="bottom"/>
            <w:hideMark/>
          </w:tcPr>
          <w:p w14:paraId="60EBE7D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1317</w:t>
            </w:r>
          </w:p>
        </w:tc>
        <w:tc>
          <w:tcPr>
            <w:tcW w:w="850" w:type="dxa"/>
            <w:tcBorders>
              <w:top w:val="single" w:sz="4" w:space="0" w:color="000000"/>
              <w:left w:val="nil"/>
              <w:bottom w:val="nil"/>
              <w:right w:val="nil"/>
            </w:tcBorders>
            <w:shd w:val="clear" w:color="auto" w:fill="auto"/>
            <w:noWrap/>
            <w:vAlign w:val="bottom"/>
            <w:hideMark/>
          </w:tcPr>
          <w:p w14:paraId="552A4F2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69987</w:t>
            </w:r>
          </w:p>
        </w:tc>
        <w:tc>
          <w:tcPr>
            <w:tcW w:w="850" w:type="dxa"/>
            <w:tcBorders>
              <w:top w:val="single" w:sz="4" w:space="0" w:color="000000"/>
              <w:left w:val="nil"/>
              <w:bottom w:val="nil"/>
              <w:right w:val="nil"/>
            </w:tcBorders>
            <w:shd w:val="clear" w:color="auto" w:fill="auto"/>
            <w:noWrap/>
            <w:vAlign w:val="bottom"/>
            <w:hideMark/>
          </w:tcPr>
          <w:p w14:paraId="532AF3B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196131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492F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w:t>
            </w:r>
          </w:p>
        </w:tc>
        <w:tc>
          <w:tcPr>
            <w:tcW w:w="850" w:type="dxa"/>
            <w:tcBorders>
              <w:top w:val="single" w:sz="4" w:space="0" w:color="000000"/>
              <w:left w:val="nil"/>
              <w:bottom w:val="nil"/>
              <w:right w:val="nil"/>
            </w:tcBorders>
            <w:shd w:val="clear" w:color="auto" w:fill="auto"/>
            <w:noWrap/>
            <w:vAlign w:val="bottom"/>
            <w:hideMark/>
          </w:tcPr>
          <w:p w14:paraId="4315EAC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w:t>
            </w:r>
          </w:p>
        </w:tc>
        <w:tc>
          <w:tcPr>
            <w:tcW w:w="850" w:type="dxa"/>
            <w:tcBorders>
              <w:top w:val="single" w:sz="4" w:space="0" w:color="000000"/>
              <w:left w:val="nil"/>
              <w:bottom w:val="nil"/>
              <w:right w:val="nil"/>
            </w:tcBorders>
            <w:shd w:val="clear" w:color="auto" w:fill="auto"/>
            <w:noWrap/>
            <w:vAlign w:val="bottom"/>
            <w:hideMark/>
          </w:tcPr>
          <w:p w14:paraId="3ADC120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w:t>
            </w:r>
          </w:p>
        </w:tc>
        <w:tc>
          <w:tcPr>
            <w:tcW w:w="850" w:type="dxa"/>
            <w:tcBorders>
              <w:top w:val="single" w:sz="4" w:space="0" w:color="000000"/>
              <w:left w:val="nil"/>
              <w:bottom w:val="nil"/>
              <w:right w:val="nil"/>
            </w:tcBorders>
            <w:shd w:val="clear" w:color="auto" w:fill="auto"/>
            <w:noWrap/>
            <w:vAlign w:val="bottom"/>
            <w:hideMark/>
          </w:tcPr>
          <w:p w14:paraId="27AD8D6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w:t>
            </w:r>
          </w:p>
        </w:tc>
        <w:tc>
          <w:tcPr>
            <w:tcW w:w="850" w:type="dxa"/>
            <w:tcBorders>
              <w:top w:val="single" w:sz="4" w:space="0" w:color="000000"/>
              <w:left w:val="nil"/>
              <w:bottom w:val="nil"/>
              <w:right w:val="single" w:sz="4" w:space="0" w:color="000000"/>
            </w:tcBorders>
            <w:shd w:val="clear" w:color="auto" w:fill="auto"/>
            <w:noWrap/>
            <w:vAlign w:val="bottom"/>
            <w:hideMark/>
          </w:tcPr>
          <w:p w14:paraId="4816C55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36%</w:t>
            </w:r>
          </w:p>
        </w:tc>
      </w:tr>
      <w:tr w:rsidR="00800CD3" w:rsidRPr="00C235E5" w14:paraId="4D4E85F4"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F15C0D7"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FY2021</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5093BC5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38367</w:t>
            </w:r>
          </w:p>
        </w:tc>
        <w:tc>
          <w:tcPr>
            <w:tcW w:w="850" w:type="dxa"/>
            <w:tcBorders>
              <w:top w:val="single" w:sz="4" w:space="0" w:color="000000"/>
              <w:left w:val="nil"/>
              <w:bottom w:val="single" w:sz="4" w:space="0" w:color="000000"/>
              <w:right w:val="nil"/>
            </w:tcBorders>
            <w:shd w:val="clear" w:color="auto" w:fill="auto"/>
            <w:noWrap/>
            <w:vAlign w:val="bottom"/>
            <w:hideMark/>
          </w:tcPr>
          <w:p w14:paraId="4EAE27D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13169</w:t>
            </w:r>
          </w:p>
        </w:tc>
        <w:tc>
          <w:tcPr>
            <w:tcW w:w="850" w:type="dxa"/>
            <w:tcBorders>
              <w:top w:val="single" w:sz="4" w:space="0" w:color="000000"/>
              <w:left w:val="nil"/>
              <w:bottom w:val="single" w:sz="4" w:space="0" w:color="000000"/>
              <w:right w:val="nil"/>
            </w:tcBorders>
            <w:shd w:val="clear" w:color="auto" w:fill="auto"/>
            <w:noWrap/>
            <w:vAlign w:val="bottom"/>
            <w:hideMark/>
          </w:tcPr>
          <w:p w14:paraId="0A3AED6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95410</w:t>
            </w:r>
          </w:p>
        </w:tc>
        <w:tc>
          <w:tcPr>
            <w:tcW w:w="850" w:type="dxa"/>
            <w:tcBorders>
              <w:top w:val="single" w:sz="4" w:space="0" w:color="000000"/>
              <w:left w:val="nil"/>
              <w:bottom w:val="single" w:sz="4" w:space="0" w:color="000000"/>
              <w:right w:val="nil"/>
            </w:tcBorders>
            <w:shd w:val="clear" w:color="auto" w:fill="auto"/>
            <w:noWrap/>
            <w:vAlign w:val="bottom"/>
            <w:hideMark/>
          </w:tcPr>
          <w:p w14:paraId="11B12AE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1533</w:t>
            </w:r>
          </w:p>
        </w:tc>
        <w:tc>
          <w:tcPr>
            <w:tcW w:w="850" w:type="dxa"/>
            <w:tcBorders>
              <w:top w:val="single" w:sz="4" w:space="0" w:color="000000"/>
              <w:left w:val="nil"/>
              <w:bottom w:val="single" w:sz="4" w:space="0" w:color="000000"/>
              <w:right w:val="nil"/>
            </w:tcBorders>
            <w:shd w:val="clear" w:color="auto" w:fill="auto"/>
            <w:noWrap/>
            <w:vAlign w:val="bottom"/>
            <w:hideMark/>
          </w:tcPr>
          <w:p w14:paraId="54C8C8F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37724</w:t>
            </w:r>
          </w:p>
        </w:tc>
        <w:tc>
          <w:tcPr>
            <w:tcW w:w="850" w:type="dxa"/>
            <w:tcBorders>
              <w:top w:val="single" w:sz="4" w:space="0" w:color="000000"/>
              <w:left w:val="nil"/>
              <w:bottom w:val="single" w:sz="4" w:space="0" w:color="000000"/>
              <w:right w:val="nil"/>
            </w:tcBorders>
            <w:shd w:val="clear" w:color="auto" w:fill="auto"/>
            <w:noWrap/>
            <w:vAlign w:val="bottom"/>
            <w:hideMark/>
          </w:tcPr>
          <w:p w14:paraId="35D3C4F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186203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8FC6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w:t>
            </w:r>
          </w:p>
        </w:tc>
        <w:tc>
          <w:tcPr>
            <w:tcW w:w="850" w:type="dxa"/>
            <w:tcBorders>
              <w:top w:val="single" w:sz="4" w:space="0" w:color="000000"/>
              <w:left w:val="nil"/>
              <w:bottom w:val="single" w:sz="4" w:space="0" w:color="000000"/>
              <w:right w:val="nil"/>
            </w:tcBorders>
            <w:shd w:val="clear" w:color="auto" w:fill="auto"/>
            <w:noWrap/>
            <w:vAlign w:val="bottom"/>
            <w:hideMark/>
          </w:tcPr>
          <w:p w14:paraId="5D378A6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w:t>
            </w:r>
          </w:p>
        </w:tc>
        <w:tc>
          <w:tcPr>
            <w:tcW w:w="850" w:type="dxa"/>
            <w:tcBorders>
              <w:top w:val="single" w:sz="4" w:space="0" w:color="000000"/>
              <w:left w:val="nil"/>
              <w:bottom w:val="single" w:sz="4" w:space="0" w:color="000000"/>
              <w:right w:val="nil"/>
            </w:tcBorders>
            <w:shd w:val="clear" w:color="auto" w:fill="auto"/>
            <w:noWrap/>
            <w:vAlign w:val="bottom"/>
            <w:hideMark/>
          </w:tcPr>
          <w:p w14:paraId="36C577D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51%</w:t>
            </w:r>
          </w:p>
        </w:tc>
        <w:tc>
          <w:tcPr>
            <w:tcW w:w="850" w:type="dxa"/>
            <w:tcBorders>
              <w:top w:val="single" w:sz="4" w:space="0" w:color="000000"/>
              <w:left w:val="nil"/>
              <w:bottom w:val="single" w:sz="4" w:space="0" w:color="000000"/>
              <w:right w:val="nil"/>
            </w:tcBorders>
            <w:shd w:val="clear" w:color="auto" w:fill="auto"/>
            <w:noWrap/>
            <w:vAlign w:val="bottom"/>
            <w:hideMark/>
          </w:tcPr>
          <w:p w14:paraId="50937EE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4578FB5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w:t>
            </w:r>
          </w:p>
        </w:tc>
      </w:tr>
    </w:tbl>
    <w:p w14:paraId="5875C392" w14:textId="2D15D2A3" w:rsidR="00800CD3" w:rsidRPr="00C235E5" w:rsidRDefault="00800CD3" w:rsidP="0050718D">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Chart – </w:t>
      </w:r>
      <w:r w:rsidR="005C4818" w:rsidRPr="00C235E5">
        <w:rPr>
          <w:rFonts w:ascii="Times New Roman" w:hAnsi="Times New Roman" w:cs="Times New Roman"/>
          <w:b/>
          <w:bCs/>
          <w:sz w:val="24"/>
          <w:szCs w:val="24"/>
          <w:lang w:val="en-GB"/>
        </w:rPr>
        <w:t>H</w:t>
      </w:r>
      <w:r w:rsidRPr="00C235E5">
        <w:rPr>
          <w:rFonts w:ascii="Times New Roman" w:hAnsi="Times New Roman" w:cs="Times New Roman"/>
          <w:b/>
          <w:bCs/>
          <w:sz w:val="24"/>
          <w:szCs w:val="24"/>
          <w:lang w:val="en-GB"/>
        </w:rPr>
        <w:t xml:space="preserve">1: </w:t>
      </w:r>
      <w:r w:rsidRPr="00C235E5">
        <w:rPr>
          <w:rFonts w:ascii="Times New Roman" w:hAnsi="Times New Roman" w:cs="Times New Roman"/>
          <w:b/>
          <w:bCs/>
          <w:i/>
          <w:iCs/>
          <w:sz w:val="24"/>
          <w:szCs w:val="24"/>
          <w:lang w:val="en-GB"/>
        </w:rPr>
        <w:t>Google/FitBit</w:t>
      </w:r>
      <w:r w:rsidRPr="00C235E5">
        <w:rPr>
          <w:rFonts w:ascii="Times New Roman" w:hAnsi="Times New Roman" w:cs="Times New Roman"/>
          <w:b/>
          <w:bCs/>
          <w:sz w:val="24"/>
          <w:szCs w:val="24"/>
          <w:lang w:val="en-GB"/>
        </w:rPr>
        <w:t xml:space="preserve"> Evolution of Total Sales</w:t>
      </w:r>
    </w:p>
    <w:p w14:paraId="38DCA164" w14:textId="77777777"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20B50CE7" wp14:editId="5CBCAA9F">
            <wp:extent cx="4572000" cy="2743200"/>
            <wp:effectExtent l="0" t="0" r="0" b="0"/>
            <wp:docPr id="33" name="Chart 33">
              <a:extLst xmlns:a="http://schemas.openxmlformats.org/drawingml/2006/main">
                <a:ext uri="{FF2B5EF4-FFF2-40B4-BE49-F238E27FC236}">
                  <a16:creationId xmlns:a16="http://schemas.microsoft.com/office/drawing/2014/main" id="{F22ACA19-E626-4E85-B700-C66078653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283BA5" w14:textId="6AA120FF"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 xml:space="preserve">Chart – </w:t>
      </w:r>
      <w:r w:rsidR="005C4818" w:rsidRPr="00C235E5">
        <w:rPr>
          <w:rFonts w:ascii="Times New Roman" w:hAnsi="Times New Roman" w:cs="Times New Roman"/>
          <w:b/>
          <w:bCs/>
          <w:sz w:val="24"/>
          <w:szCs w:val="24"/>
          <w:lang w:val="en-GB"/>
        </w:rPr>
        <w:t>H</w:t>
      </w:r>
      <w:r w:rsidRPr="00C235E5">
        <w:rPr>
          <w:rFonts w:ascii="Times New Roman" w:hAnsi="Times New Roman" w:cs="Times New Roman"/>
          <w:b/>
          <w:bCs/>
          <w:sz w:val="24"/>
          <w:szCs w:val="24"/>
          <w:lang w:val="en-GB"/>
        </w:rPr>
        <w:t xml:space="preserve">2: </w:t>
      </w:r>
      <w:r w:rsidRPr="00C235E5">
        <w:rPr>
          <w:rFonts w:ascii="Times New Roman" w:hAnsi="Times New Roman" w:cs="Times New Roman"/>
          <w:b/>
          <w:bCs/>
          <w:i/>
          <w:iCs/>
          <w:sz w:val="24"/>
          <w:szCs w:val="24"/>
          <w:lang w:val="en-GB"/>
        </w:rPr>
        <w:t>Google/FitBit</w:t>
      </w:r>
      <w:r w:rsidRPr="00C235E5">
        <w:rPr>
          <w:rFonts w:ascii="Times New Roman" w:hAnsi="Times New Roman" w:cs="Times New Roman"/>
          <w:b/>
          <w:bCs/>
          <w:sz w:val="24"/>
          <w:szCs w:val="24"/>
          <w:lang w:val="en-GB"/>
        </w:rPr>
        <w:t xml:space="preserve"> Evolution of Competitor Market Shares</w:t>
      </w:r>
    </w:p>
    <w:p w14:paraId="3984D2E7" w14:textId="77777777"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4CEA7226" wp14:editId="5929F438">
            <wp:extent cx="4572000" cy="2743200"/>
            <wp:effectExtent l="0" t="0" r="0" b="0"/>
            <wp:docPr id="4" name="Chart 4">
              <a:extLst xmlns:a="http://schemas.openxmlformats.org/drawingml/2006/main">
                <a:ext uri="{FF2B5EF4-FFF2-40B4-BE49-F238E27FC236}">
                  <a16:creationId xmlns:a16="http://schemas.microsoft.com/office/drawing/2014/main" id="{002E5301-6F6F-4BCD-A252-2846377DA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C0D03C" w14:textId="30538D80" w:rsidR="00800CD3" w:rsidRPr="00C235E5" w:rsidRDefault="00800CD3" w:rsidP="00F42292">
      <w:pPr>
        <w:pStyle w:val="Heading2"/>
        <w:numPr>
          <w:ilvl w:val="0"/>
          <w:numId w:val="24"/>
        </w:numPr>
        <w:rPr>
          <w:rFonts w:cs="Times New Roman"/>
          <w:i w:val="0"/>
          <w:iCs/>
          <w:sz w:val="24"/>
          <w:szCs w:val="24"/>
          <w:lang w:val="en-GB"/>
        </w:rPr>
      </w:pPr>
      <w:r w:rsidRPr="00C235E5">
        <w:rPr>
          <w:rFonts w:cs="Times New Roman"/>
          <w:iCs/>
          <w:sz w:val="24"/>
          <w:szCs w:val="24"/>
          <w:lang w:val="en-GB"/>
        </w:rPr>
        <w:t>Microsoft/</w:t>
      </w:r>
      <w:r w:rsidR="00260174" w:rsidRPr="00C235E5">
        <w:rPr>
          <w:rFonts w:cs="Times New Roman"/>
          <w:iCs/>
          <w:sz w:val="24"/>
          <w:szCs w:val="24"/>
          <w:lang w:val="en-GB"/>
        </w:rPr>
        <w:t>ZeniMax</w:t>
      </w:r>
    </w:p>
    <w:p w14:paraId="71918992" w14:textId="5759596C" w:rsidR="00994408" w:rsidRPr="00C235E5" w:rsidRDefault="00800CD3" w:rsidP="00EE77E2">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 xml:space="preserve">Microsoft acquired </w:t>
      </w:r>
      <w:r w:rsidR="00260174" w:rsidRPr="00C235E5">
        <w:rPr>
          <w:rFonts w:ascii="Times New Roman" w:hAnsi="Times New Roman" w:cs="Times New Roman"/>
          <w:sz w:val="24"/>
          <w:szCs w:val="24"/>
          <w:lang w:val="en-GB"/>
        </w:rPr>
        <w:t>ZeniMax</w:t>
      </w:r>
      <w:r w:rsidRPr="00C235E5">
        <w:rPr>
          <w:rFonts w:ascii="Times New Roman" w:hAnsi="Times New Roman" w:cs="Times New Roman"/>
          <w:sz w:val="24"/>
          <w:szCs w:val="24"/>
          <w:lang w:val="en-GB"/>
        </w:rPr>
        <w:t xml:space="preserve">, a game publisher famous for titles like the Elder Scrolls series, in 2021. In </w:t>
      </w:r>
      <w:r w:rsidRPr="00792C0D">
        <w:rPr>
          <w:rFonts w:ascii="Times New Roman" w:hAnsi="Times New Roman" w:cs="Times New Roman"/>
          <w:i/>
          <w:iCs/>
          <w:sz w:val="24"/>
          <w:szCs w:val="24"/>
          <w:lang w:val="en-GB"/>
        </w:rPr>
        <w:t>Microsoft/</w:t>
      </w:r>
      <w:r w:rsidR="00260174" w:rsidRPr="00792C0D">
        <w:rPr>
          <w:rFonts w:ascii="Times New Roman" w:hAnsi="Times New Roman" w:cs="Times New Roman"/>
          <w:i/>
          <w:iCs/>
          <w:sz w:val="24"/>
          <w:szCs w:val="24"/>
          <w:lang w:val="en-GB"/>
        </w:rPr>
        <w:t>ZeniMax</w:t>
      </w:r>
      <w:r w:rsidRPr="00C235E5">
        <w:rPr>
          <w:rFonts w:ascii="Times New Roman" w:hAnsi="Times New Roman" w:cs="Times New Roman"/>
          <w:sz w:val="24"/>
          <w:szCs w:val="24"/>
          <w:lang w:val="en-GB"/>
        </w:rPr>
        <w:t>, the EC considered the “digital publishing of video games” as the relevant market. In that market, the merged entity would face pressure from several competitors, including Electronic Arts, Nintendo, Activision Blizzard, Take-Two Interactive, and Ubisoft. All of these firms are publicly traded. Therefore, our analysis in Table – X</w:t>
      </w:r>
      <w:r w:rsidR="00AC7920" w:rsidRPr="00C235E5">
        <w:rPr>
          <w:rFonts w:ascii="Times New Roman" w:hAnsi="Times New Roman" w:cs="Times New Roman"/>
          <w:sz w:val="24"/>
          <w:szCs w:val="24"/>
          <w:lang w:val="en-GB"/>
        </w:rPr>
        <w:t>I and Charts J1 and J2</w:t>
      </w:r>
      <w:r w:rsidRPr="00C235E5">
        <w:rPr>
          <w:rFonts w:ascii="Times New Roman" w:hAnsi="Times New Roman" w:cs="Times New Roman"/>
          <w:sz w:val="24"/>
          <w:szCs w:val="24"/>
          <w:lang w:val="en-GB"/>
        </w:rPr>
        <w:t xml:space="preserve"> below presents an overall picture of the structure and evolution of digital video game publishing industry. However, since the acquisition has only recently been closed, we are unable to provide a good picture of the post transaction world.</w:t>
      </w:r>
      <w:r w:rsidR="00994408" w:rsidRPr="00C235E5">
        <w:rPr>
          <w:rFonts w:ascii="Times New Roman" w:hAnsi="Times New Roman" w:cs="Times New Roman"/>
          <w:sz w:val="24"/>
          <w:szCs w:val="24"/>
          <w:lang w:val="en-GB"/>
        </w:rPr>
        <w:t xml:space="preserve"> </w:t>
      </w:r>
    </w:p>
    <w:p w14:paraId="4A0173A0" w14:textId="6F74BD1B" w:rsidR="000E0119" w:rsidRDefault="00994408" w:rsidP="00EE77E2">
      <w:pPr>
        <w:spacing w:before="120" w:after="120" w:line="480" w:lineRule="auto"/>
        <w:jc w:val="both"/>
        <w:rPr>
          <w:rFonts w:ascii="Times New Roman" w:hAnsi="Times New Roman" w:cs="Times New Roman"/>
          <w:sz w:val="24"/>
          <w:szCs w:val="24"/>
          <w:lang w:val="en-GB"/>
        </w:rPr>
      </w:pPr>
      <w:r w:rsidRPr="00C235E5">
        <w:rPr>
          <w:rFonts w:ascii="Times New Roman" w:hAnsi="Times New Roman" w:cs="Times New Roman"/>
          <w:sz w:val="24"/>
          <w:szCs w:val="24"/>
          <w:lang w:val="en-GB"/>
        </w:rPr>
        <w:t xml:space="preserve">In the table, SIC 1, 2, 3, 4 and 5 represent EA, Nintendo, Activision Blizzard, Take-Two Interactive and Ubisoft, respectively. Since these firms’ main area of business is the publishing of video games, we consider their total revenue as the basis for our examination. </w:t>
      </w:r>
    </w:p>
    <w:p w14:paraId="710532A4" w14:textId="32E9894A" w:rsidR="00800CD3" w:rsidRPr="00C235E5" w:rsidRDefault="000E0119" w:rsidP="000E0119">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811715C" w14:textId="1EFE944F"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Table – X</w:t>
      </w:r>
      <w:r w:rsidR="00AC7920" w:rsidRPr="00C235E5">
        <w:rPr>
          <w:rFonts w:ascii="Times New Roman" w:hAnsi="Times New Roman" w:cs="Times New Roman"/>
          <w:b/>
          <w:bCs/>
          <w:sz w:val="24"/>
          <w:szCs w:val="24"/>
          <w:lang w:val="en-GB"/>
        </w:rPr>
        <w:t>I</w:t>
      </w:r>
      <w:r w:rsidRPr="00C235E5">
        <w:rPr>
          <w:rFonts w:ascii="Times New Roman" w:hAnsi="Times New Roman" w:cs="Times New Roman"/>
          <w:b/>
          <w:bCs/>
          <w:sz w:val="24"/>
          <w:szCs w:val="24"/>
          <w:lang w:val="en-GB"/>
        </w:rPr>
        <w:t xml:space="preserve">: </w:t>
      </w:r>
      <w:r w:rsidRPr="00C235E5">
        <w:rPr>
          <w:rFonts w:ascii="Times New Roman" w:hAnsi="Times New Roman" w:cs="Times New Roman"/>
          <w:b/>
          <w:bCs/>
          <w:i/>
          <w:iCs/>
          <w:sz w:val="24"/>
          <w:szCs w:val="24"/>
          <w:lang w:val="en-GB"/>
        </w:rPr>
        <w:t>Microsoft/</w:t>
      </w:r>
      <w:r w:rsidR="000E0119" w:rsidRPr="00C235E5">
        <w:rPr>
          <w:rFonts w:ascii="Times New Roman" w:hAnsi="Times New Roman" w:cs="Times New Roman"/>
          <w:b/>
          <w:bCs/>
          <w:i/>
          <w:iCs/>
          <w:sz w:val="24"/>
          <w:szCs w:val="24"/>
          <w:lang w:val="en-GB"/>
        </w:rPr>
        <w:t>ZeniMax</w:t>
      </w:r>
      <w:r w:rsidRPr="00C235E5">
        <w:rPr>
          <w:rFonts w:ascii="Times New Roman" w:hAnsi="Times New Roman" w:cs="Times New Roman"/>
          <w:b/>
          <w:bCs/>
          <w:sz w:val="24"/>
          <w:szCs w:val="24"/>
          <w:lang w:val="en-GB"/>
        </w:rPr>
        <w:t xml:space="preserve"> Figures for the SIC Test</w:t>
      </w:r>
    </w:p>
    <w:tbl>
      <w:tblPr>
        <w:tblW w:w="10200" w:type="dxa"/>
        <w:jc w:val="center"/>
        <w:tblCellMar>
          <w:left w:w="70" w:type="dxa"/>
          <w:right w:w="70" w:type="dxa"/>
        </w:tblCellMar>
        <w:tblLook w:val="04A0" w:firstRow="1" w:lastRow="0" w:firstColumn="1" w:lastColumn="0" w:noHBand="0" w:noVBand="1"/>
      </w:tblPr>
      <w:tblGrid>
        <w:gridCol w:w="1060"/>
        <w:gridCol w:w="1260"/>
        <w:gridCol w:w="850"/>
        <w:gridCol w:w="850"/>
        <w:gridCol w:w="850"/>
        <w:gridCol w:w="850"/>
        <w:gridCol w:w="850"/>
        <w:gridCol w:w="850"/>
        <w:gridCol w:w="850"/>
        <w:gridCol w:w="850"/>
        <w:gridCol w:w="850"/>
        <w:gridCol w:w="850"/>
      </w:tblGrid>
      <w:tr w:rsidR="00800CD3" w:rsidRPr="00C235E5" w14:paraId="6652C6F5"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036BA3B" w14:textId="77777777" w:rsidR="00800CD3" w:rsidRPr="00C235E5" w:rsidRDefault="00800CD3" w:rsidP="002F043E">
            <w:pPr>
              <w:spacing w:after="0" w:line="240" w:lineRule="auto"/>
              <w:rPr>
                <w:rFonts w:ascii="Times New Roman" w:eastAsia="Times New Roman" w:hAnsi="Times New Roman" w:cs="Times New Roman"/>
                <w:sz w:val="24"/>
                <w:szCs w:val="24"/>
                <w:lang w:val="tr-TR" w:eastAsia="tr-TR"/>
              </w:rPr>
            </w:pPr>
          </w:p>
        </w:tc>
        <w:tc>
          <w:tcPr>
            <w:tcW w:w="850" w:type="dxa"/>
            <w:tcBorders>
              <w:top w:val="single" w:sz="4" w:space="0" w:color="000000"/>
              <w:left w:val="single" w:sz="4" w:space="0" w:color="000000"/>
              <w:bottom w:val="nil"/>
              <w:right w:val="nil"/>
            </w:tcBorders>
            <w:shd w:val="clear" w:color="000000" w:fill="000000"/>
            <w:vAlign w:val="bottom"/>
            <w:hideMark/>
          </w:tcPr>
          <w:p w14:paraId="4E931AD0"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Sales of identified competitor (SIC) 1</w:t>
            </w:r>
          </w:p>
        </w:tc>
        <w:tc>
          <w:tcPr>
            <w:tcW w:w="850" w:type="dxa"/>
            <w:tcBorders>
              <w:top w:val="single" w:sz="4" w:space="0" w:color="000000"/>
              <w:left w:val="nil"/>
              <w:bottom w:val="nil"/>
              <w:right w:val="nil"/>
            </w:tcBorders>
            <w:shd w:val="clear" w:color="000000" w:fill="000000"/>
            <w:noWrap/>
            <w:vAlign w:val="bottom"/>
            <w:hideMark/>
          </w:tcPr>
          <w:p w14:paraId="7C786BF0"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2</w:t>
            </w:r>
          </w:p>
        </w:tc>
        <w:tc>
          <w:tcPr>
            <w:tcW w:w="850" w:type="dxa"/>
            <w:tcBorders>
              <w:top w:val="single" w:sz="4" w:space="0" w:color="000000"/>
              <w:left w:val="nil"/>
              <w:bottom w:val="nil"/>
              <w:right w:val="nil"/>
            </w:tcBorders>
            <w:shd w:val="clear" w:color="000000" w:fill="000000"/>
            <w:noWrap/>
            <w:vAlign w:val="bottom"/>
            <w:hideMark/>
          </w:tcPr>
          <w:p w14:paraId="32D1BE44"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3</w:t>
            </w:r>
          </w:p>
        </w:tc>
        <w:tc>
          <w:tcPr>
            <w:tcW w:w="850" w:type="dxa"/>
            <w:tcBorders>
              <w:top w:val="single" w:sz="4" w:space="0" w:color="000000"/>
              <w:left w:val="nil"/>
              <w:bottom w:val="nil"/>
              <w:right w:val="nil"/>
            </w:tcBorders>
            <w:shd w:val="clear" w:color="000000" w:fill="000000"/>
            <w:noWrap/>
            <w:vAlign w:val="bottom"/>
            <w:hideMark/>
          </w:tcPr>
          <w:p w14:paraId="337CF5B8"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4</w:t>
            </w:r>
          </w:p>
        </w:tc>
        <w:tc>
          <w:tcPr>
            <w:tcW w:w="850" w:type="dxa"/>
            <w:tcBorders>
              <w:top w:val="single" w:sz="4" w:space="0" w:color="000000"/>
              <w:left w:val="nil"/>
              <w:bottom w:val="nil"/>
              <w:right w:val="nil"/>
            </w:tcBorders>
            <w:shd w:val="clear" w:color="000000" w:fill="000000"/>
            <w:noWrap/>
            <w:vAlign w:val="bottom"/>
            <w:hideMark/>
          </w:tcPr>
          <w:p w14:paraId="5BEB6477"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SIC 5</w:t>
            </w:r>
          </w:p>
        </w:tc>
        <w:tc>
          <w:tcPr>
            <w:tcW w:w="850" w:type="dxa"/>
            <w:tcBorders>
              <w:top w:val="single" w:sz="4" w:space="0" w:color="000000"/>
              <w:left w:val="nil"/>
              <w:bottom w:val="nil"/>
              <w:right w:val="nil"/>
            </w:tcBorders>
            <w:shd w:val="clear" w:color="000000" w:fill="000000"/>
            <w:noWrap/>
            <w:vAlign w:val="bottom"/>
            <w:hideMark/>
          </w:tcPr>
          <w:p w14:paraId="707A1427"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Total sales</w:t>
            </w:r>
          </w:p>
        </w:tc>
        <w:tc>
          <w:tcPr>
            <w:tcW w:w="850" w:type="dxa"/>
            <w:tcBorders>
              <w:top w:val="single" w:sz="4" w:space="0" w:color="000000"/>
              <w:left w:val="nil"/>
              <w:bottom w:val="nil"/>
              <w:right w:val="nil"/>
            </w:tcBorders>
            <w:shd w:val="clear" w:color="000000" w:fill="000000"/>
            <w:noWrap/>
            <w:vAlign w:val="bottom"/>
            <w:hideMark/>
          </w:tcPr>
          <w:p w14:paraId="1663FDBA"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1</w:t>
            </w:r>
          </w:p>
        </w:tc>
        <w:tc>
          <w:tcPr>
            <w:tcW w:w="850" w:type="dxa"/>
            <w:tcBorders>
              <w:top w:val="single" w:sz="4" w:space="0" w:color="000000"/>
              <w:left w:val="nil"/>
              <w:bottom w:val="nil"/>
              <w:right w:val="nil"/>
            </w:tcBorders>
            <w:shd w:val="clear" w:color="000000" w:fill="000000"/>
            <w:noWrap/>
            <w:vAlign w:val="bottom"/>
            <w:hideMark/>
          </w:tcPr>
          <w:p w14:paraId="15098F3B"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2</w:t>
            </w:r>
          </w:p>
        </w:tc>
        <w:tc>
          <w:tcPr>
            <w:tcW w:w="850" w:type="dxa"/>
            <w:tcBorders>
              <w:top w:val="single" w:sz="4" w:space="0" w:color="000000"/>
              <w:left w:val="nil"/>
              <w:bottom w:val="nil"/>
              <w:right w:val="nil"/>
            </w:tcBorders>
            <w:shd w:val="clear" w:color="000000" w:fill="000000"/>
            <w:noWrap/>
            <w:vAlign w:val="bottom"/>
            <w:hideMark/>
          </w:tcPr>
          <w:p w14:paraId="2AC888ED"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3</w:t>
            </w:r>
          </w:p>
        </w:tc>
        <w:tc>
          <w:tcPr>
            <w:tcW w:w="850" w:type="dxa"/>
            <w:tcBorders>
              <w:top w:val="single" w:sz="4" w:space="0" w:color="000000"/>
              <w:left w:val="nil"/>
              <w:bottom w:val="nil"/>
              <w:right w:val="nil"/>
            </w:tcBorders>
            <w:shd w:val="clear" w:color="000000" w:fill="000000"/>
            <w:noWrap/>
            <w:vAlign w:val="bottom"/>
            <w:hideMark/>
          </w:tcPr>
          <w:p w14:paraId="6A39B24E"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4</w:t>
            </w:r>
          </w:p>
        </w:tc>
        <w:tc>
          <w:tcPr>
            <w:tcW w:w="850" w:type="dxa"/>
            <w:tcBorders>
              <w:top w:val="single" w:sz="4" w:space="0" w:color="000000"/>
              <w:left w:val="nil"/>
              <w:bottom w:val="nil"/>
              <w:right w:val="single" w:sz="4" w:space="0" w:color="000000"/>
            </w:tcBorders>
            <w:shd w:val="clear" w:color="000000" w:fill="000000"/>
            <w:noWrap/>
            <w:vAlign w:val="bottom"/>
            <w:hideMark/>
          </w:tcPr>
          <w:p w14:paraId="427A3BBE" w14:textId="77777777" w:rsidR="00800CD3" w:rsidRPr="00C235E5" w:rsidRDefault="00800CD3" w:rsidP="002F043E">
            <w:pPr>
              <w:spacing w:after="0" w:line="240" w:lineRule="auto"/>
              <w:rPr>
                <w:rFonts w:ascii="Times New Roman" w:eastAsia="Times New Roman" w:hAnsi="Times New Roman" w:cs="Times New Roman"/>
                <w:b/>
                <w:bCs/>
                <w:color w:val="FFFFFF"/>
                <w:sz w:val="24"/>
                <w:szCs w:val="24"/>
                <w:lang w:val="tr-TR" w:eastAsia="tr-TR"/>
              </w:rPr>
            </w:pPr>
            <w:r w:rsidRPr="00C235E5">
              <w:rPr>
                <w:rFonts w:ascii="Times New Roman" w:eastAsia="Times New Roman" w:hAnsi="Times New Roman" w:cs="Times New Roman"/>
                <w:b/>
                <w:bCs/>
                <w:color w:val="FFFFFF"/>
                <w:sz w:val="24"/>
                <w:szCs w:val="24"/>
                <w:lang w:val="tr-TR" w:eastAsia="tr-TR"/>
              </w:rPr>
              <w:t>MS of SIC 5</w:t>
            </w:r>
          </w:p>
        </w:tc>
      </w:tr>
      <w:tr w:rsidR="00800CD3" w:rsidRPr="00C235E5" w14:paraId="561F0C45"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0A7842B"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FY2014</w:t>
            </w:r>
          </w:p>
        </w:tc>
        <w:tc>
          <w:tcPr>
            <w:tcW w:w="850" w:type="dxa"/>
            <w:tcBorders>
              <w:top w:val="single" w:sz="4" w:space="0" w:color="000000"/>
              <w:left w:val="single" w:sz="4" w:space="0" w:color="000000"/>
              <w:bottom w:val="nil"/>
              <w:right w:val="nil"/>
            </w:tcBorders>
            <w:shd w:val="clear" w:color="auto" w:fill="auto"/>
            <w:noWrap/>
            <w:vAlign w:val="bottom"/>
            <w:hideMark/>
          </w:tcPr>
          <w:p w14:paraId="05860CF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3575</w:t>
            </w:r>
          </w:p>
        </w:tc>
        <w:tc>
          <w:tcPr>
            <w:tcW w:w="850" w:type="dxa"/>
            <w:tcBorders>
              <w:top w:val="single" w:sz="4" w:space="0" w:color="000000"/>
              <w:left w:val="nil"/>
              <w:bottom w:val="nil"/>
              <w:right w:val="nil"/>
            </w:tcBorders>
            <w:shd w:val="clear" w:color="auto" w:fill="auto"/>
            <w:noWrap/>
            <w:vAlign w:val="bottom"/>
            <w:hideMark/>
          </w:tcPr>
          <w:p w14:paraId="02ABFAB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5397</w:t>
            </w:r>
          </w:p>
        </w:tc>
        <w:tc>
          <w:tcPr>
            <w:tcW w:w="850" w:type="dxa"/>
            <w:tcBorders>
              <w:top w:val="single" w:sz="4" w:space="0" w:color="000000"/>
              <w:left w:val="nil"/>
              <w:bottom w:val="nil"/>
              <w:right w:val="nil"/>
            </w:tcBorders>
            <w:shd w:val="clear" w:color="auto" w:fill="auto"/>
            <w:noWrap/>
            <w:vAlign w:val="bottom"/>
            <w:hideMark/>
          </w:tcPr>
          <w:p w14:paraId="1ABDB43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4408</w:t>
            </w:r>
          </w:p>
        </w:tc>
        <w:tc>
          <w:tcPr>
            <w:tcW w:w="850" w:type="dxa"/>
            <w:tcBorders>
              <w:top w:val="single" w:sz="4" w:space="0" w:color="000000"/>
              <w:left w:val="nil"/>
              <w:bottom w:val="nil"/>
              <w:right w:val="nil"/>
            </w:tcBorders>
            <w:shd w:val="clear" w:color="auto" w:fill="auto"/>
            <w:noWrap/>
            <w:vAlign w:val="bottom"/>
            <w:hideMark/>
          </w:tcPr>
          <w:p w14:paraId="7AB7803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2350</w:t>
            </w:r>
          </w:p>
        </w:tc>
        <w:tc>
          <w:tcPr>
            <w:tcW w:w="850" w:type="dxa"/>
            <w:tcBorders>
              <w:top w:val="single" w:sz="4" w:space="0" w:color="000000"/>
              <w:left w:val="nil"/>
              <w:bottom w:val="nil"/>
              <w:right w:val="nil"/>
            </w:tcBorders>
            <w:shd w:val="clear" w:color="auto" w:fill="auto"/>
            <w:noWrap/>
            <w:vAlign w:val="bottom"/>
            <w:hideMark/>
          </w:tcPr>
          <w:p w14:paraId="6CBFA85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1337</w:t>
            </w:r>
          </w:p>
        </w:tc>
        <w:tc>
          <w:tcPr>
            <w:tcW w:w="850" w:type="dxa"/>
            <w:tcBorders>
              <w:top w:val="single" w:sz="4" w:space="0" w:color="000000"/>
              <w:left w:val="nil"/>
              <w:bottom w:val="nil"/>
              <w:right w:val="nil"/>
            </w:tcBorders>
            <w:shd w:val="clear" w:color="auto" w:fill="auto"/>
            <w:noWrap/>
            <w:vAlign w:val="bottom"/>
            <w:hideMark/>
          </w:tcPr>
          <w:p w14:paraId="0FA9AE9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17067</w:t>
            </w:r>
          </w:p>
        </w:tc>
        <w:tc>
          <w:tcPr>
            <w:tcW w:w="850" w:type="dxa"/>
            <w:tcBorders>
              <w:top w:val="single" w:sz="4" w:space="0" w:color="000000"/>
              <w:left w:val="nil"/>
              <w:bottom w:val="nil"/>
              <w:right w:val="nil"/>
            </w:tcBorders>
            <w:shd w:val="clear" w:color="auto" w:fill="auto"/>
            <w:noWrap/>
            <w:vAlign w:val="bottom"/>
            <w:hideMark/>
          </w:tcPr>
          <w:p w14:paraId="7B9C2F2C"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21%</w:t>
            </w:r>
          </w:p>
        </w:tc>
        <w:tc>
          <w:tcPr>
            <w:tcW w:w="850" w:type="dxa"/>
            <w:tcBorders>
              <w:top w:val="single" w:sz="4" w:space="0" w:color="000000"/>
              <w:left w:val="nil"/>
              <w:bottom w:val="nil"/>
              <w:right w:val="nil"/>
            </w:tcBorders>
            <w:shd w:val="clear" w:color="auto" w:fill="auto"/>
            <w:noWrap/>
            <w:vAlign w:val="bottom"/>
            <w:hideMark/>
          </w:tcPr>
          <w:p w14:paraId="31CA940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32%</w:t>
            </w:r>
          </w:p>
        </w:tc>
        <w:tc>
          <w:tcPr>
            <w:tcW w:w="850" w:type="dxa"/>
            <w:tcBorders>
              <w:top w:val="single" w:sz="4" w:space="0" w:color="000000"/>
              <w:left w:val="nil"/>
              <w:bottom w:val="nil"/>
              <w:right w:val="nil"/>
            </w:tcBorders>
            <w:shd w:val="clear" w:color="auto" w:fill="auto"/>
            <w:noWrap/>
            <w:vAlign w:val="bottom"/>
            <w:hideMark/>
          </w:tcPr>
          <w:p w14:paraId="439DEA3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w:t>
            </w:r>
          </w:p>
        </w:tc>
        <w:tc>
          <w:tcPr>
            <w:tcW w:w="850" w:type="dxa"/>
            <w:tcBorders>
              <w:top w:val="single" w:sz="4" w:space="0" w:color="000000"/>
              <w:left w:val="nil"/>
              <w:bottom w:val="nil"/>
              <w:right w:val="nil"/>
            </w:tcBorders>
            <w:shd w:val="clear" w:color="auto" w:fill="auto"/>
            <w:noWrap/>
            <w:vAlign w:val="bottom"/>
            <w:hideMark/>
          </w:tcPr>
          <w:p w14:paraId="1C2F551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w:t>
            </w:r>
          </w:p>
        </w:tc>
        <w:tc>
          <w:tcPr>
            <w:tcW w:w="850" w:type="dxa"/>
            <w:tcBorders>
              <w:top w:val="single" w:sz="4" w:space="0" w:color="000000"/>
              <w:left w:val="nil"/>
              <w:bottom w:val="nil"/>
              <w:right w:val="single" w:sz="4" w:space="0" w:color="000000"/>
            </w:tcBorders>
            <w:shd w:val="clear" w:color="auto" w:fill="auto"/>
            <w:noWrap/>
            <w:vAlign w:val="bottom"/>
            <w:hideMark/>
          </w:tcPr>
          <w:p w14:paraId="5EE018A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w:t>
            </w:r>
          </w:p>
        </w:tc>
      </w:tr>
      <w:tr w:rsidR="00800CD3" w:rsidRPr="00C235E5" w14:paraId="19CF2721"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00269D18"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FY2015</w:t>
            </w:r>
          </w:p>
        </w:tc>
        <w:tc>
          <w:tcPr>
            <w:tcW w:w="850" w:type="dxa"/>
            <w:tcBorders>
              <w:top w:val="single" w:sz="4" w:space="0" w:color="000000"/>
              <w:left w:val="single" w:sz="4" w:space="0" w:color="000000"/>
              <w:bottom w:val="nil"/>
              <w:right w:val="nil"/>
            </w:tcBorders>
            <w:shd w:val="clear" w:color="auto" w:fill="auto"/>
            <w:noWrap/>
            <w:vAlign w:val="bottom"/>
            <w:hideMark/>
          </w:tcPr>
          <w:p w14:paraId="6465560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4515</w:t>
            </w:r>
          </w:p>
        </w:tc>
        <w:tc>
          <w:tcPr>
            <w:tcW w:w="850" w:type="dxa"/>
            <w:tcBorders>
              <w:top w:val="single" w:sz="4" w:space="0" w:color="000000"/>
              <w:left w:val="nil"/>
              <w:bottom w:val="nil"/>
              <w:right w:val="nil"/>
            </w:tcBorders>
            <w:shd w:val="clear" w:color="auto" w:fill="auto"/>
            <w:noWrap/>
            <w:vAlign w:val="bottom"/>
            <w:hideMark/>
          </w:tcPr>
          <w:p w14:paraId="1EA1CF6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4541</w:t>
            </w:r>
          </w:p>
        </w:tc>
        <w:tc>
          <w:tcPr>
            <w:tcW w:w="850" w:type="dxa"/>
            <w:tcBorders>
              <w:top w:val="single" w:sz="4" w:space="0" w:color="000000"/>
              <w:left w:val="nil"/>
              <w:bottom w:val="nil"/>
              <w:right w:val="nil"/>
            </w:tcBorders>
            <w:shd w:val="clear" w:color="auto" w:fill="auto"/>
            <w:noWrap/>
            <w:vAlign w:val="bottom"/>
            <w:hideMark/>
          </w:tcPr>
          <w:p w14:paraId="409EF65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4464</w:t>
            </w:r>
          </w:p>
        </w:tc>
        <w:tc>
          <w:tcPr>
            <w:tcW w:w="850" w:type="dxa"/>
            <w:tcBorders>
              <w:top w:val="single" w:sz="4" w:space="0" w:color="000000"/>
              <w:left w:val="nil"/>
              <w:bottom w:val="nil"/>
              <w:right w:val="nil"/>
            </w:tcBorders>
            <w:shd w:val="clear" w:color="auto" w:fill="auto"/>
            <w:noWrap/>
            <w:vAlign w:val="bottom"/>
            <w:hideMark/>
          </w:tcPr>
          <w:p w14:paraId="2D5C4EF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1082</w:t>
            </w:r>
          </w:p>
        </w:tc>
        <w:tc>
          <w:tcPr>
            <w:tcW w:w="850" w:type="dxa"/>
            <w:tcBorders>
              <w:top w:val="single" w:sz="4" w:space="0" w:color="000000"/>
              <w:left w:val="nil"/>
              <w:bottom w:val="nil"/>
              <w:right w:val="nil"/>
            </w:tcBorders>
            <w:shd w:val="clear" w:color="auto" w:fill="auto"/>
            <w:noWrap/>
            <w:vAlign w:val="bottom"/>
            <w:hideMark/>
          </w:tcPr>
          <w:p w14:paraId="494EA69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1624</w:t>
            </w:r>
          </w:p>
        </w:tc>
        <w:tc>
          <w:tcPr>
            <w:tcW w:w="850" w:type="dxa"/>
            <w:tcBorders>
              <w:top w:val="single" w:sz="4" w:space="0" w:color="000000"/>
              <w:left w:val="nil"/>
              <w:bottom w:val="nil"/>
              <w:right w:val="nil"/>
            </w:tcBorders>
            <w:shd w:val="clear" w:color="auto" w:fill="auto"/>
            <w:noWrap/>
            <w:vAlign w:val="bottom"/>
            <w:hideMark/>
          </w:tcPr>
          <w:p w14:paraId="6959933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16226</w:t>
            </w:r>
          </w:p>
        </w:tc>
        <w:tc>
          <w:tcPr>
            <w:tcW w:w="850" w:type="dxa"/>
            <w:tcBorders>
              <w:top w:val="single" w:sz="4" w:space="0" w:color="000000"/>
              <w:left w:val="nil"/>
              <w:bottom w:val="nil"/>
              <w:right w:val="nil"/>
            </w:tcBorders>
            <w:shd w:val="clear" w:color="auto" w:fill="auto"/>
            <w:noWrap/>
            <w:vAlign w:val="bottom"/>
            <w:hideMark/>
          </w:tcPr>
          <w:p w14:paraId="2C70C2A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7CE934B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1997864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28%</w:t>
            </w:r>
          </w:p>
        </w:tc>
        <w:tc>
          <w:tcPr>
            <w:tcW w:w="850" w:type="dxa"/>
            <w:tcBorders>
              <w:top w:val="single" w:sz="4" w:space="0" w:color="000000"/>
              <w:left w:val="nil"/>
              <w:bottom w:val="nil"/>
              <w:right w:val="nil"/>
            </w:tcBorders>
            <w:shd w:val="clear" w:color="auto" w:fill="auto"/>
            <w:noWrap/>
            <w:vAlign w:val="bottom"/>
            <w:hideMark/>
          </w:tcPr>
          <w:p w14:paraId="650818B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w:t>
            </w:r>
          </w:p>
        </w:tc>
        <w:tc>
          <w:tcPr>
            <w:tcW w:w="850" w:type="dxa"/>
            <w:tcBorders>
              <w:top w:val="single" w:sz="4" w:space="0" w:color="000000"/>
              <w:left w:val="nil"/>
              <w:bottom w:val="nil"/>
              <w:right w:val="single" w:sz="4" w:space="0" w:color="000000"/>
            </w:tcBorders>
            <w:shd w:val="clear" w:color="auto" w:fill="auto"/>
            <w:noWrap/>
            <w:vAlign w:val="bottom"/>
            <w:hideMark/>
          </w:tcPr>
          <w:p w14:paraId="02A89E5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w:t>
            </w:r>
          </w:p>
        </w:tc>
      </w:tr>
      <w:tr w:rsidR="00800CD3" w:rsidRPr="00C235E5" w14:paraId="2712F40B"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3B1CE752"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FY2016</w:t>
            </w:r>
          </w:p>
        </w:tc>
        <w:tc>
          <w:tcPr>
            <w:tcW w:w="850" w:type="dxa"/>
            <w:tcBorders>
              <w:top w:val="single" w:sz="4" w:space="0" w:color="000000"/>
              <w:left w:val="single" w:sz="4" w:space="0" w:color="000000"/>
              <w:bottom w:val="nil"/>
              <w:right w:val="nil"/>
            </w:tcBorders>
            <w:shd w:val="clear" w:color="auto" w:fill="auto"/>
            <w:noWrap/>
            <w:vAlign w:val="bottom"/>
            <w:hideMark/>
          </w:tcPr>
          <w:p w14:paraId="5EE3067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4396</w:t>
            </w:r>
          </w:p>
        </w:tc>
        <w:tc>
          <w:tcPr>
            <w:tcW w:w="850" w:type="dxa"/>
            <w:tcBorders>
              <w:top w:val="single" w:sz="4" w:space="0" w:color="000000"/>
              <w:left w:val="nil"/>
              <w:bottom w:val="nil"/>
              <w:right w:val="nil"/>
            </w:tcBorders>
            <w:shd w:val="clear" w:color="auto" w:fill="auto"/>
            <w:noWrap/>
            <w:vAlign w:val="bottom"/>
            <w:hideMark/>
          </w:tcPr>
          <w:p w14:paraId="467BB64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4164</w:t>
            </w:r>
          </w:p>
        </w:tc>
        <w:tc>
          <w:tcPr>
            <w:tcW w:w="850" w:type="dxa"/>
            <w:tcBorders>
              <w:top w:val="single" w:sz="4" w:space="0" w:color="000000"/>
              <w:left w:val="nil"/>
              <w:bottom w:val="nil"/>
              <w:right w:val="nil"/>
            </w:tcBorders>
            <w:shd w:val="clear" w:color="auto" w:fill="auto"/>
            <w:noWrap/>
            <w:vAlign w:val="bottom"/>
            <w:hideMark/>
          </w:tcPr>
          <w:p w14:paraId="130BD03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6608</w:t>
            </w:r>
          </w:p>
        </w:tc>
        <w:tc>
          <w:tcPr>
            <w:tcW w:w="850" w:type="dxa"/>
            <w:tcBorders>
              <w:top w:val="single" w:sz="4" w:space="0" w:color="000000"/>
              <w:left w:val="nil"/>
              <w:bottom w:val="nil"/>
              <w:right w:val="nil"/>
            </w:tcBorders>
            <w:shd w:val="clear" w:color="auto" w:fill="auto"/>
            <w:noWrap/>
            <w:vAlign w:val="bottom"/>
            <w:hideMark/>
          </w:tcPr>
          <w:p w14:paraId="473F26A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1414</w:t>
            </w:r>
          </w:p>
        </w:tc>
        <w:tc>
          <w:tcPr>
            <w:tcW w:w="850" w:type="dxa"/>
            <w:tcBorders>
              <w:top w:val="single" w:sz="4" w:space="0" w:color="000000"/>
              <w:left w:val="nil"/>
              <w:bottom w:val="nil"/>
              <w:right w:val="nil"/>
            </w:tcBorders>
            <w:shd w:val="clear" w:color="auto" w:fill="auto"/>
            <w:noWrap/>
            <w:vAlign w:val="bottom"/>
            <w:hideMark/>
          </w:tcPr>
          <w:p w14:paraId="5CBA53E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1543</w:t>
            </w:r>
          </w:p>
        </w:tc>
        <w:tc>
          <w:tcPr>
            <w:tcW w:w="850" w:type="dxa"/>
            <w:tcBorders>
              <w:top w:val="single" w:sz="4" w:space="0" w:color="000000"/>
              <w:left w:val="nil"/>
              <w:bottom w:val="nil"/>
              <w:right w:val="nil"/>
            </w:tcBorders>
            <w:shd w:val="clear" w:color="auto" w:fill="auto"/>
            <w:noWrap/>
            <w:vAlign w:val="bottom"/>
            <w:hideMark/>
          </w:tcPr>
          <w:p w14:paraId="73323F4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18125</w:t>
            </w:r>
          </w:p>
        </w:tc>
        <w:tc>
          <w:tcPr>
            <w:tcW w:w="850" w:type="dxa"/>
            <w:tcBorders>
              <w:top w:val="single" w:sz="4" w:space="0" w:color="000000"/>
              <w:left w:val="nil"/>
              <w:bottom w:val="nil"/>
              <w:right w:val="nil"/>
            </w:tcBorders>
            <w:shd w:val="clear" w:color="auto" w:fill="auto"/>
            <w:noWrap/>
            <w:vAlign w:val="bottom"/>
            <w:hideMark/>
          </w:tcPr>
          <w:p w14:paraId="69B1752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c>
          <w:tcPr>
            <w:tcW w:w="850" w:type="dxa"/>
            <w:tcBorders>
              <w:top w:val="single" w:sz="4" w:space="0" w:color="000000"/>
              <w:left w:val="nil"/>
              <w:bottom w:val="nil"/>
              <w:right w:val="nil"/>
            </w:tcBorders>
            <w:shd w:val="clear" w:color="auto" w:fill="auto"/>
            <w:noWrap/>
            <w:vAlign w:val="bottom"/>
            <w:hideMark/>
          </w:tcPr>
          <w:p w14:paraId="57E76EF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23%</w:t>
            </w:r>
          </w:p>
        </w:tc>
        <w:tc>
          <w:tcPr>
            <w:tcW w:w="850" w:type="dxa"/>
            <w:tcBorders>
              <w:top w:val="single" w:sz="4" w:space="0" w:color="000000"/>
              <w:left w:val="nil"/>
              <w:bottom w:val="nil"/>
              <w:right w:val="nil"/>
            </w:tcBorders>
            <w:shd w:val="clear" w:color="auto" w:fill="auto"/>
            <w:noWrap/>
            <w:vAlign w:val="bottom"/>
            <w:hideMark/>
          </w:tcPr>
          <w:p w14:paraId="6499F7B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36%</w:t>
            </w:r>
          </w:p>
        </w:tc>
        <w:tc>
          <w:tcPr>
            <w:tcW w:w="850" w:type="dxa"/>
            <w:tcBorders>
              <w:top w:val="single" w:sz="4" w:space="0" w:color="000000"/>
              <w:left w:val="nil"/>
              <w:bottom w:val="nil"/>
              <w:right w:val="nil"/>
            </w:tcBorders>
            <w:shd w:val="clear" w:color="auto" w:fill="auto"/>
            <w:noWrap/>
            <w:vAlign w:val="bottom"/>
            <w:hideMark/>
          </w:tcPr>
          <w:p w14:paraId="01C1017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w:t>
            </w:r>
          </w:p>
        </w:tc>
        <w:tc>
          <w:tcPr>
            <w:tcW w:w="850" w:type="dxa"/>
            <w:tcBorders>
              <w:top w:val="single" w:sz="4" w:space="0" w:color="000000"/>
              <w:left w:val="nil"/>
              <w:bottom w:val="nil"/>
              <w:right w:val="single" w:sz="4" w:space="0" w:color="000000"/>
            </w:tcBorders>
            <w:shd w:val="clear" w:color="auto" w:fill="auto"/>
            <w:noWrap/>
            <w:vAlign w:val="bottom"/>
            <w:hideMark/>
          </w:tcPr>
          <w:p w14:paraId="6462383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r>
      <w:tr w:rsidR="00800CD3" w:rsidRPr="00C235E5" w14:paraId="7D49C51C"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D29099D"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FY2017</w:t>
            </w:r>
          </w:p>
        </w:tc>
        <w:tc>
          <w:tcPr>
            <w:tcW w:w="850" w:type="dxa"/>
            <w:tcBorders>
              <w:top w:val="single" w:sz="4" w:space="0" w:color="000000"/>
              <w:left w:val="single" w:sz="4" w:space="0" w:color="000000"/>
              <w:bottom w:val="nil"/>
              <w:right w:val="nil"/>
            </w:tcBorders>
            <w:shd w:val="clear" w:color="auto" w:fill="auto"/>
            <w:noWrap/>
            <w:vAlign w:val="bottom"/>
            <w:hideMark/>
          </w:tcPr>
          <w:p w14:paraId="4A6287A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4845</w:t>
            </w:r>
          </w:p>
        </w:tc>
        <w:tc>
          <w:tcPr>
            <w:tcW w:w="850" w:type="dxa"/>
            <w:tcBorders>
              <w:top w:val="single" w:sz="4" w:space="0" w:color="000000"/>
              <w:left w:val="nil"/>
              <w:bottom w:val="nil"/>
              <w:right w:val="nil"/>
            </w:tcBorders>
            <w:shd w:val="clear" w:color="auto" w:fill="auto"/>
            <w:noWrap/>
            <w:vAlign w:val="bottom"/>
            <w:hideMark/>
          </w:tcPr>
          <w:p w14:paraId="40FBE82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4361</w:t>
            </w:r>
          </w:p>
        </w:tc>
        <w:tc>
          <w:tcPr>
            <w:tcW w:w="850" w:type="dxa"/>
            <w:tcBorders>
              <w:top w:val="single" w:sz="4" w:space="0" w:color="000000"/>
              <w:left w:val="nil"/>
              <w:bottom w:val="nil"/>
              <w:right w:val="nil"/>
            </w:tcBorders>
            <w:shd w:val="clear" w:color="auto" w:fill="auto"/>
            <w:noWrap/>
            <w:vAlign w:val="bottom"/>
            <w:hideMark/>
          </w:tcPr>
          <w:p w14:paraId="1B0677D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7017</w:t>
            </w:r>
          </w:p>
        </w:tc>
        <w:tc>
          <w:tcPr>
            <w:tcW w:w="850" w:type="dxa"/>
            <w:tcBorders>
              <w:top w:val="single" w:sz="4" w:space="0" w:color="000000"/>
              <w:left w:val="nil"/>
              <w:bottom w:val="nil"/>
              <w:right w:val="nil"/>
            </w:tcBorders>
            <w:shd w:val="clear" w:color="auto" w:fill="auto"/>
            <w:noWrap/>
            <w:vAlign w:val="bottom"/>
            <w:hideMark/>
          </w:tcPr>
          <w:p w14:paraId="622F374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1780</w:t>
            </w:r>
          </w:p>
        </w:tc>
        <w:tc>
          <w:tcPr>
            <w:tcW w:w="850" w:type="dxa"/>
            <w:tcBorders>
              <w:top w:val="single" w:sz="4" w:space="0" w:color="000000"/>
              <w:left w:val="nil"/>
              <w:bottom w:val="nil"/>
              <w:right w:val="nil"/>
            </w:tcBorders>
            <w:shd w:val="clear" w:color="auto" w:fill="auto"/>
            <w:noWrap/>
            <w:vAlign w:val="bottom"/>
            <w:hideMark/>
          </w:tcPr>
          <w:p w14:paraId="4867D0D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1650</w:t>
            </w:r>
          </w:p>
        </w:tc>
        <w:tc>
          <w:tcPr>
            <w:tcW w:w="850" w:type="dxa"/>
            <w:tcBorders>
              <w:top w:val="single" w:sz="4" w:space="0" w:color="000000"/>
              <w:left w:val="nil"/>
              <w:bottom w:val="nil"/>
              <w:right w:val="nil"/>
            </w:tcBorders>
            <w:shd w:val="clear" w:color="auto" w:fill="auto"/>
            <w:noWrap/>
            <w:vAlign w:val="bottom"/>
            <w:hideMark/>
          </w:tcPr>
          <w:p w14:paraId="51C4B21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19653</w:t>
            </w:r>
          </w:p>
        </w:tc>
        <w:tc>
          <w:tcPr>
            <w:tcW w:w="850" w:type="dxa"/>
            <w:tcBorders>
              <w:top w:val="single" w:sz="4" w:space="0" w:color="000000"/>
              <w:left w:val="nil"/>
              <w:bottom w:val="nil"/>
              <w:right w:val="nil"/>
            </w:tcBorders>
            <w:shd w:val="clear" w:color="auto" w:fill="auto"/>
            <w:noWrap/>
            <w:vAlign w:val="bottom"/>
            <w:hideMark/>
          </w:tcPr>
          <w:p w14:paraId="01F0BCE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25%</w:t>
            </w:r>
          </w:p>
        </w:tc>
        <w:tc>
          <w:tcPr>
            <w:tcW w:w="850" w:type="dxa"/>
            <w:tcBorders>
              <w:top w:val="single" w:sz="4" w:space="0" w:color="000000"/>
              <w:left w:val="nil"/>
              <w:bottom w:val="nil"/>
              <w:right w:val="nil"/>
            </w:tcBorders>
            <w:shd w:val="clear" w:color="auto" w:fill="auto"/>
            <w:noWrap/>
            <w:vAlign w:val="bottom"/>
            <w:hideMark/>
          </w:tcPr>
          <w:p w14:paraId="0B8AB0C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w:t>
            </w:r>
          </w:p>
        </w:tc>
        <w:tc>
          <w:tcPr>
            <w:tcW w:w="850" w:type="dxa"/>
            <w:tcBorders>
              <w:top w:val="single" w:sz="4" w:space="0" w:color="000000"/>
              <w:left w:val="nil"/>
              <w:bottom w:val="nil"/>
              <w:right w:val="nil"/>
            </w:tcBorders>
            <w:shd w:val="clear" w:color="auto" w:fill="auto"/>
            <w:noWrap/>
            <w:vAlign w:val="bottom"/>
            <w:hideMark/>
          </w:tcPr>
          <w:p w14:paraId="62AC55C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36%</w:t>
            </w:r>
          </w:p>
        </w:tc>
        <w:tc>
          <w:tcPr>
            <w:tcW w:w="850" w:type="dxa"/>
            <w:tcBorders>
              <w:top w:val="single" w:sz="4" w:space="0" w:color="000000"/>
              <w:left w:val="nil"/>
              <w:bottom w:val="nil"/>
              <w:right w:val="nil"/>
            </w:tcBorders>
            <w:shd w:val="clear" w:color="auto" w:fill="auto"/>
            <w:noWrap/>
            <w:vAlign w:val="bottom"/>
            <w:hideMark/>
          </w:tcPr>
          <w:p w14:paraId="0863867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c>
          <w:tcPr>
            <w:tcW w:w="850" w:type="dxa"/>
            <w:tcBorders>
              <w:top w:val="single" w:sz="4" w:space="0" w:color="000000"/>
              <w:left w:val="nil"/>
              <w:bottom w:val="nil"/>
              <w:right w:val="single" w:sz="4" w:space="0" w:color="000000"/>
            </w:tcBorders>
            <w:shd w:val="clear" w:color="auto" w:fill="auto"/>
            <w:noWrap/>
            <w:vAlign w:val="bottom"/>
            <w:hideMark/>
          </w:tcPr>
          <w:p w14:paraId="6D29F28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w:t>
            </w:r>
          </w:p>
        </w:tc>
      </w:tr>
      <w:tr w:rsidR="00800CD3" w:rsidRPr="00C235E5" w14:paraId="1D60ADB4"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121BB97D"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FY2018</w:t>
            </w:r>
          </w:p>
        </w:tc>
        <w:tc>
          <w:tcPr>
            <w:tcW w:w="850" w:type="dxa"/>
            <w:tcBorders>
              <w:top w:val="single" w:sz="4" w:space="0" w:color="000000"/>
              <w:left w:val="single" w:sz="4" w:space="0" w:color="000000"/>
              <w:bottom w:val="nil"/>
              <w:right w:val="nil"/>
            </w:tcBorders>
            <w:shd w:val="clear" w:color="auto" w:fill="auto"/>
            <w:noWrap/>
            <w:vAlign w:val="bottom"/>
            <w:hideMark/>
          </w:tcPr>
          <w:p w14:paraId="4CA79CB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5150</w:t>
            </w:r>
          </w:p>
        </w:tc>
        <w:tc>
          <w:tcPr>
            <w:tcW w:w="850" w:type="dxa"/>
            <w:tcBorders>
              <w:top w:val="single" w:sz="4" w:space="0" w:color="000000"/>
              <w:left w:val="nil"/>
              <w:bottom w:val="nil"/>
              <w:right w:val="nil"/>
            </w:tcBorders>
            <w:shd w:val="clear" w:color="auto" w:fill="auto"/>
            <w:noWrap/>
            <w:vAlign w:val="bottom"/>
            <w:hideMark/>
          </w:tcPr>
          <w:p w14:paraId="5533198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9561</w:t>
            </w:r>
          </w:p>
        </w:tc>
        <w:tc>
          <w:tcPr>
            <w:tcW w:w="850" w:type="dxa"/>
            <w:tcBorders>
              <w:top w:val="single" w:sz="4" w:space="0" w:color="000000"/>
              <w:left w:val="nil"/>
              <w:bottom w:val="nil"/>
              <w:right w:val="nil"/>
            </w:tcBorders>
            <w:shd w:val="clear" w:color="auto" w:fill="auto"/>
            <w:noWrap/>
            <w:vAlign w:val="bottom"/>
            <w:hideMark/>
          </w:tcPr>
          <w:p w14:paraId="24681B9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7500</w:t>
            </w:r>
          </w:p>
        </w:tc>
        <w:tc>
          <w:tcPr>
            <w:tcW w:w="850" w:type="dxa"/>
            <w:tcBorders>
              <w:top w:val="single" w:sz="4" w:space="0" w:color="000000"/>
              <w:left w:val="nil"/>
              <w:bottom w:val="nil"/>
              <w:right w:val="nil"/>
            </w:tcBorders>
            <w:shd w:val="clear" w:color="auto" w:fill="auto"/>
            <w:noWrap/>
            <w:vAlign w:val="bottom"/>
            <w:hideMark/>
          </w:tcPr>
          <w:p w14:paraId="48F7B39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1793</w:t>
            </w:r>
          </w:p>
        </w:tc>
        <w:tc>
          <w:tcPr>
            <w:tcW w:w="850" w:type="dxa"/>
            <w:tcBorders>
              <w:top w:val="single" w:sz="4" w:space="0" w:color="000000"/>
              <w:left w:val="nil"/>
              <w:bottom w:val="nil"/>
              <w:right w:val="nil"/>
            </w:tcBorders>
            <w:shd w:val="clear" w:color="auto" w:fill="auto"/>
            <w:noWrap/>
            <w:vAlign w:val="bottom"/>
            <w:hideMark/>
          </w:tcPr>
          <w:p w14:paraId="61B0AC9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2046</w:t>
            </w:r>
          </w:p>
        </w:tc>
        <w:tc>
          <w:tcPr>
            <w:tcW w:w="850" w:type="dxa"/>
            <w:tcBorders>
              <w:top w:val="single" w:sz="4" w:space="0" w:color="000000"/>
              <w:left w:val="nil"/>
              <w:bottom w:val="nil"/>
              <w:right w:val="nil"/>
            </w:tcBorders>
            <w:shd w:val="clear" w:color="auto" w:fill="auto"/>
            <w:noWrap/>
            <w:vAlign w:val="bottom"/>
            <w:hideMark/>
          </w:tcPr>
          <w:p w14:paraId="51DA4B2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26050</w:t>
            </w:r>
          </w:p>
        </w:tc>
        <w:tc>
          <w:tcPr>
            <w:tcW w:w="850" w:type="dxa"/>
            <w:tcBorders>
              <w:top w:val="single" w:sz="4" w:space="0" w:color="000000"/>
              <w:left w:val="nil"/>
              <w:bottom w:val="nil"/>
              <w:right w:val="nil"/>
            </w:tcBorders>
            <w:shd w:val="clear" w:color="auto" w:fill="auto"/>
            <w:noWrap/>
            <w:vAlign w:val="bottom"/>
            <w:hideMark/>
          </w:tcPr>
          <w:p w14:paraId="3E816A9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20%</w:t>
            </w:r>
          </w:p>
        </w:tc>
        <w:tc>
          <w:tcPr>
            <w:tcW w:w="850" w:type="dxa"/>
            <w:tcBorders>
              <w:top w:val="single" w:sz="4" w:space="0" w:color="000000"/>
              <w:left w:val="nil"/>
              <w:bottom w:val="nil"/>
              <w:right w:val="nil"/>
            </w:tcBorders>
            <w:shd w:val="clear" w:color="auto" w:fill="auto"/>
            <w:noWrap/>
            <w:vAlign w:val="bottom"/>
            <w:hideMark/>
          </w:tcPr>
          <w:p w14:paraId="05E2D36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w:t>
            </w:r>
          </w:p>
        </w:tc>
        <w:tc>
          <w:tcPr>
            <w:tcW w:w="850" w:type="dxa"/>
            <w:tcBorders>
              <w:top w:val="single" w:sz="4" w:space="0" w:color="000000"/>
              <w:left w:val="nil"/>
              <w:bottom w:val="nil"/>
              <w:right w:val="nil"/>
            </w:tcBorders>
            <w:shd w:val="clear" w:color="auto" w:fill="auto"/>
            <w:noWrap/>
            <w:vAlign w:val="bottom"/>
            <w:hideMark/>
          </w:tcPr>
          <w:p w14:paraId="69D53198"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29%</w:t>
            </w:r>
          </w:p>
        </w:tc>
        <w:tc>
          <w:tcPr>
            <w:tcW w:w="850" w:type="dxa"/>
            <w:tcBorders>
              <w:top w:val="single" w:sz="4" w:space="0" w:color="000000"/>
              <w:left w:val="nil"/>
              <w:bottom w:val="nil"/>
              <w:right w:val="nil"/>
            </w:tcBorders>
            <w:shd w:val="clear" w:color="auto" w:fill="auto"/>
            <w:noWrap/>
            <w:vAlign w:val="bottom"/>
            <w:hideMark/>
          </w:tcPr>
          <w:p w14:paraId="32DC74E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w:t>
            </w:r>
          </w:p>
        </w:tc>
        <w:tc>
          <w:tcPr>
            <w:tcW w:w="850" w:type="dxa"/>
            <w:tcBorders>
              <w:top w:val="single" w:sz="4" w:space="0" w:color="000000"/>
              <w:left w:val="nil"/>
              <w:bottom w:val="nil"/>
              <w:right w:val="single" w:sz="4" w:space="0" w:color="000000"/>
            </w:tcBorders>
            <w:shd w:val="clear" w:color="auto" w:fill="auto"/>
            <w:noWrap/>
            <w:vAlign w:val="bottom"/>
            <w:hideMark/>
          </w:tcPr>
          <w:p w14:paraId="4E7C9B5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w:t>
            </w:r>
          </w:p>
        </w:tc>
      </w:tr>
      <w:tr w:rsidR="00800CD3" w:rsidRPr="00C235E5" w14:paraId="64516DBB"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0F49C59"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FY2019</w:t>
            </w:r>
          </w:p>
        </w:tc>
        <w:tc>
          <w:tcPr>
            <w:tcW w:w="850" w:type="dxa"/>
            <w:tcBorders>
              <w:top w:val="single" w:sz="4" w:space="0" w:color="000000"/>
              <w:left w:val="single" w:sz="4" w:space="0" w:color="000000"/>
              <w:bottom w:val="nil"/>
              <w:right w:val="nil"/>
            </w:tcBorders>
            <w:shd w:val="clear" w:color="auto" w:fill="auto"/>
            <w:noWrap/>
            <w:vAlign w:val="bottom"/>
            <w:hideMark/>
          </w:tcPr>
          <w:p w14:paraId="631EC08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4950</w:t>
            </w:r>
          </w:p>
        </w:tc>
        <w:tc>
          <w:tcPr>
            <w:tcW w:w="850" w:type="dxa"/>
            <w:tcBorders>
              <w:top w:val="single" w:sz="4" w:space="0" w:color="000000"/>
              <w:left w:val="nil"/>
              <w:bottom w:val="nil"/>
              <w:right w:val="nil"/>
            </w:tcBorders>
            <w:shd w:val="clear" w:color="auto" w:fill="auto"/>
            <w:noWrap/>
            <w:vAlign w:val="bottom"/>
            <w:hideMark/>
          </w:tcPr>
          <w:p w14:paraId="2DCCA56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11014</w:t>
            </w:r>
          </w:p>
        </w:tc>
        <w:tc>
          <w:tcPr>
            <w:tcW w:w="850" w:type="dxa"/>
            <w:tcBorders>
              <w:top w:val="single" w:sz="4" w:space="0" w:color="000000"/>
              <w:left w:val="nil"/>
              <w:bottom w:val="nil"/>
              <w:right w:val="nil"/>
            </w:tcBorders>
            <w:shd w:val="clear" w:color="auto" w:fill="auto"/>
            <w:noWrap/>
            <w:vAlign w:val="bottom"/>
            <w:hideMark/>
          </w:tcPr>
          <w:p w14:paraId="1EF145C5"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6489</w:t>
            </w:r>
          </w:p>
        </w:tc>
        <w:tc>
          <w:tcPr>
            <w:tcW w:w="850" w:type="dxa"/>
            <w:tcBorders>
              <w:top w:val="single" w:sz="4" w:space="0" w:color="000000"/>
              <w:left w:val="nil"/>
              <w:bottom w:val="nil"/>
              <w:right w:val="nil"/>
            </w:tcBorders>
            <w:shd w:val="clear" w:color="auto" w:fill="auto"/>
            <w:noWrap/>
            <w:vAlign w:val="bottom"/>
            <w:hideMark/>
          </w:tcPr>
          <w:p w14:paraId="290E4DA4"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2668</w:t>
            </w:r>
          </w:p>
        </w:tc>
        <w:tc>
          <w:tcPr>
            <w:tcW w:w="850" w:type="dxa"/>
            <w:tcBorders>
              <w:top w:val="single" w:sz="4" w:space="0" w:color="000000"/>
              <w:left w:val="nil"/>
              <w:bottom w:val="nil"/>
              <w:right w:val="nil"/>
            </w:tcBorders>
            <w:shd w:val="clear" w:color="auto" w:fill="auto"/>
            <w:noWrap/>
            <w:vAlign w:val="bottom"/>
            <w:hideMark/>
          </w:tcPr>
          <w:p w14:paraId="24C5537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2272</w:t>
            </w:r>
          </w:p>
        </w:tc>
        <w:tc>
          <w:tcPr>
            <w:tcW w:w="850" w:type="dxa"/>
            <w:tcBorders>
              <w:top w:val="single" w:sz="4" w:space="0" w:color="000000"/>
              <w:left w:val="nil"/>
              <w:bottom w:val="nil"/>
              <w:right w:val="nil"/>
            </w:tcBorders>
            <w:shd w:val="clear" w:color="auto" w:fill="auto"/>
            <w:noWrap/>
            <w:vAlign w:val="bottom"/>
            <w:hideMark/>
          </w:tcPr>
          <w:p w14:paraId="411FA94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27393</w:t>
            </w:r>
          </w:p>
        </w:tc>
        <w:tc>
          <w:tcPr>
            <w:tcW w:w="850" w:type="dxa"/>
            <w:tcBorders>
              <w:top w:val="single" w:sz="4" w:space="0" w:color="000000"/>
              <w:left w:val="nil"/>
              <w:bottom w:val="nil"/>
              <w:right w:val="nil"/>
            </w:tcBorders>
            <w:shd w:val="clear" w:color="auto" w:fill="auto"/>
            <w:noWrap/>
            <w:vAlign w:val="bottom"/>
            <w:hideMark/>
          </w:tcPr>
          <w:p w14:paraId="76AD4F8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w:t>
            </w:r>
          </w:p>
        </w:tc>
        <w:tc>
          <w:tcPr>
            <w:tcW w:w="850" w:type="dxa"/>
            <w:tcBorders>
              <w:top w:val="single" w:sz="4" w:space="0" w:color="000000"/>
              <w:left w:val="nil"/>
              <w:bottom w:val="nil"/>
              <w:right w:val="nil"/>
            </w:tcBorders>
            <w:shd w:val="clear" w:color="auto" w:fill="auto"/>
            <w:noWrap/>
            <w:vAlign w:val="bottom"/>
            <w:hideMark/>
          </w:tcPr>
          <w:p w14:paraId="71D1906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40%</w:t>
            </w:r>
          </w:p>
        </w:tc>
        <w:tc>
          <w:tcPr>
            <w:tcW w:w="850" w:type="dxa"/>
            <w:tcBorders>
              <w:top w:val="single" w:sz="4" w:space="0" w:color="000000"/>
              <w:left w:val="nil"/>
              <w:bottom w:val="nil"/>
              <w:right w:val="nil"/>
            </w:tcBorders>
            <w:shd w:val="clear" w:color="auto" w:fill="auto"/>
            <w:noWrap/>
            <w:vAlign w:val="bottom"/>
            <w:hideMark/>
          </w:tcPr>
          <w:p w14:paraId="0F9D20C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c>
          <w:tcPr>
            <w:tcW w:w="850" w:type="dxa"/>
            <w:tcBorders>
              <w:top w:val="single" w:sz="4" w:space="0" w:color="000000"/>
              <w:left w:val="nil"/>
              <w:bottom w:val="nil"/>
              <w:right w:val="nil"/>
            </w:tcBorders>
            <w:shd w:val="clear" w:color="auto" w:fill="auto"/>
            <w:noWrap/>
            <w:vAlign w:val="bottom"/>
            <w:hideMark/>
          </w:tcPr>
          <w:p w14:paraId="19FF1AA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w:t>
            </w:r>
          </w:p>
        </w:tc>
        <w:tc>
          <w:tcPr>
            <w:tcW w:w="850" w:type="dxa"/>
            <w:tcBorders>
              <w:top w:val="single" w:sz="4" w:space="0" w:color="000000"/>
              <w:left w:val="nil"/>
              <w:bottom w:val="nil"/>
              <w:right w:val="single" w:sz="4" w:space="0" w:color="000000"/>
            </w:tcBorders>
            <w:shd w:val="clear" w:color="auto" w:fill="auto"/>
            <w:noWrap/>
            <w:vAlign w:val="bottom"/>
            <w:hideMark/>
          </w:tcPr>
          <w:p w14:paraId="6AAF5B60"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w:t>
            </w:r>
          </w:p>
        </w:tc>
      </w:tr>
      <w:tr w:rsidR="00800CD3" w:rsidRPr="00C235E5" w14:paraId="7E1E3893"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22EB8271" w14:textId="77777777" w:rsidR="00800CD3" w:rsidRPr="00C235E5" w:rsidRDefault="00800CD3" w:rsidP="002F043E">
            <w:pPr>
              <w:spacing w:after="0" w:line="240" w:lineRule="auto"/>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FY2020</w:t>
            </w:r>
          </w:p>
        </w:tc>
        <w:tc>
          <w:tcPr>
            <w:tcW w:w="850" w:type="dxa"/>
            <w:tcBorders>
              <w:top w:val="single" w:sz="4" w:space="0" w:color="000000"/>
              <w:left w:val="single" w:sz="4" w:space="0" w:color="000000"/>
              <w:bottom w:val="nil"/>
              <w:right w:val="nil"/>
            </w:tcBorders>
            <w:shd w:val="clear" w:color="auto" w:fill="auto"/>
            <w:noWrap/>
            <w:vAlign w:val="bottom"/>
            <w:hideMark/>
          </w:tcPr>
          <w:p w14:paraId="3FF7E4E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5537</w:t>
            </w:r>
          </w:p>
        </w:tc>
        <w:tc>
          <w:tcPr>
            <w:tcW w:w="850" w:type="dxa"/>
            <w:tcBorders>
              <w:top w:val="single" w:sz="4" w:space="0" w:color="000000"/>
              <w:left w:val="nil"/>
              <w:bottom w:val="nil"/>
              <w:right w:val="nil"/>
            </w:tcBorders>
            <w:shd w:val="clear" w:color="auto" w:fill="auto"/>
            <w:noWrap/>
            <w:vAlign w:val="bottom"/>
            <w:hideMark/>
          </w:tcPr>
          <w:p w14:paraId="2415EA3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12072</w:t>
            </w:r>
          </w:p>
        </w:tc>
        <w:tc>
          <w:tcPr>
            <w:tcW w:w="850" w:type="dxa"/>
            <w:tcBorders>
              <w:top w:val="single" w:sz="4" w:space="0" w:color="000000"/>
              <w:left w:val="nil"/>
              <w:bottom w:val="nil"/>
              <w:right w:val="nil"/>
            </w:tcBorders>
            <w:shd w:val="clear" w:color="auto" w:fill="auto"/>
            <w:noWrap/>
            <w:vAlign w:val="bottom"/>
            <w:hideMark/>
          </w:tcPr>
          <w:p w14:paraId="77C7B19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8086</w:t>
            </w:r>
          </w:p>
        </w:tc>
        <w:tc>
          <w:tcPr>
            <w:tcW w:w="850" w:type="dxa"/>
            <w:tcBorders>
              <w:top w:val="single" w:sz="4" w:space="0" w:color="000000"/>
              <w:left w:val="nil"/>
              <w:bottom w:val="nil"/>
              <w:right w:val="nil"/>
            </w:tcBorders>
            <w:shd w:val="clear" w:color="auto" w:fill="auto"/>
            <w:noWrap/>
            <w:vAlign w:val="bottom"/>
            <w:hideMark/>
          </w:tcPr>
          <w:p w14:paraId="42F618F2"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3089</w:t>
            </w:r>
          </w:p>
        </w:tc>
        <w:tc>
          <w:tcPr>
            <w:tcW w:w="850" w:type="dxa"/>
            <w:tcBorders>
              <w:top w:val="single" w:sz="4" w:space="0" w:color="000000"/>
              <w:left w:val="nil"/>
              <w:bottom w:val="nil"/>
              <w:right w:val="nil"/>
            </w:tcBorders>
            <w:shd w:val="clear" w:color="auto" w:fill="auto"/>
            <w:noWrap/>
            <w:vAlign w:val="bottom"/>
            <w:hideMark/>
          </w:tcPr>
          <w:p w14:paraId="7627E33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1812</w:t>
            </w:r>
          </w:p>
        </w:tc>
        <w:tc>
          <w:tcPr>
            <w:tcW w:w="850" w:type="dxa"/>
            <w:tcBorders>
              <w:top w:val="single" w:sz="4" w:space="0" w:color="000000"/>
              <w:left w:val="nil"/>
              <w:bottom w:val="nil"/>
              <w:right w:val="nil"/>
            </w:tcBorders>
            <w:shd w:val="clear" w:color="auto" w:fill="auto"/>
            <w:noWrap/>
            <w:vAlign w:val="bottom"/>
            <w:hideMark/>
          </w:tcPr>
          <w:p w14:paraId="7345878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30596</w:t>
            </w:r>
          </w:p>
        </w:tc>
        <w:tc>
          <w:tcPr>
            <w:tcW w:w="850" w:type="dxa"/>
            <w:tcBorders>
              <w:top w:val="single" w:sz="4" w:space="0" w:color="000000"/>
              <w:left w:val="nil"/>
              <w:bottom w:val="nil"/>
              <w:right w:val="nil"/>
            </w:tcBorders>
            <w:shd w:val="clear" w:color="auto" w:fill="auto"/>
            <w:noWrap/>
            <w:vAlign w:val="bottom"/>
            <w:hideMark/>
          </w:tcPr>
          <w:p w14:paraId="4D6C52E1"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18%</w:t>
            </w:r>
          </w:p>
        </w:tc>
        <w:tc>
          <w:tcPr>
            <w:tcW w:w="850" w:type="dxa"/>
            <w:tcBorders>
              <w:top w:val="single" w:sz="4" w:space="0" w:color="000000"/>
              <w:left w:val="nil"/>
              <w:bottom w:val="nil"/>
              <w:right w:val="nil"/>
            </w:tcBorders>
            <w:shd w:val="clear" w:color="auto" w:fill="auto"/>
            <w:noWrap/>
            <w:vAlign w:val="bottom"/>
            <w:hideMark/>
          </w:tcPr>
          <w:p w14:paraId="4FB454A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39%</w:t>
            </w:r>
          </w:p>
        </w:tc>
        <w:tc>
          <w:tcPr>
            <w:tcW w:w="850" w:type="dxa"/>
            <w:tcBorders>
              <w:top w:val="single" w:sz="4" w:space="0" w:color="000000"/>
              <w:left w:val="nil"/>
              <w:bottom w:val="nil"/>
              <w:right w:val="nil"/>
            </w:tcBorders>
            <w:shd w:val="clear" w:color="auto" w:fill="auto"/>
            <w:noWrap/>
            <w:vAlign w:val="bottom"/>
            <w:hideMark/>
          </w:tcPr>
          <w:p w14:paraId="54219A5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w:t>
            </w:r>
          </w:p>
        </w:tc>
        <w:tc>
          <w:tcPr>
            <w:tcW w:w="850" w:type="dxa"/>
            <w:tcBorders>
              <w:top w:val="single" w:sz="4" w:space="0" w:color="000000"/>
              <w:left w:val="nil"/>
              <w:bottom w:val="nil"/>
              <w:right w:val="nil"/>
            </w:tcBorders>
            <w:shd w:val="clear" w:color="auto" w:fill="auto"/>
            <w:noWrap/>
            <w:vAlign w:val="bottom"/>
            <w:hideMark/>
          </w:tcPr>
          <w:p w14:paraId="282AAA2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10%</w:t>
            </w:r>
          </w:p>
        </w:tc>
        <w:tc>
          <w:tcPr>
            <w:tcW w:w="850" w:type="dxa"/>
            <w:tcBorders>
              <w:top w:val="single" w:sz="4" w:space="0" w:color="000000"/>
              <w:left w:val="nil"/>
              <w:bottom w:val="nil"/>
              <w:right w:val="single" w:sz="4" w:space="0" w:color="000000"/>
            </w:tcBorders>
            <w:shd w:val="clear" w:color="auto" w:fill="auto"/>
            <w:noWrap/>
            <w:vAlign w:val="bottom"/>
            <w:hideMark/>
          </w:tcPr>
          <w:p w14:paraId="07CDD2D7"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6%</w:t>
            </w:r>
          </w:p>
        </w:tc>
      </w:tr>
      <w:tr w:rsidR="00800CD3" w:rsidRPr="00C235E5" w14:paraId="02701885" w14:textId="77777777" w:rsidTr="002F043E">
        <w:trPr>
          <w:trHeight w:val="261"/>
          <w:jc w:val="center"/>
        </w:trPr>
        <w:tc>
          <w:tcPr>
            <w:tcW w:w="850" w:type="dxa"/>
            <w:tcBorders>
              <w:top w:val="nil"/>
              <w:left w:val="nil"/>
              <w:bottom w:val="nil"/>
              <w:right w:val="nil"/>
            </w:tcBorders>
            <w:shd w:val="clear" w:color="auto" w:fill="auto"/>
            <w:noWrap/>
            <w:vAlign w:val="bottom"/>
            <w:hideMark/>
          </w:tcPr>
          <w:p w14:paraId="686D61A0" w14:textId="77777777" w:rsidR="00800CD3" w:rsidRPr="00C235E5" w:rsidRDefault="00800CD3" w:rsidP="002F043E">
            <w:pPr>
              <w:spacing w:after="0" w:line="240" w:lineRule="auto"/>
              <w:rPr>
                <w:rFonts w:ascii="Times New Roman" w:eastAsia="Times New Roman" w:hAnsi="Times New Roman" w:cs="Times New Roman"/>
                <w:b/>
                <w:bCs/>
                <w:color w:val="C00000"/>
                <w:sz w:val="24"/>
                <w:szCs w:val="24"/>
                <w:lang w:val="tr-TR" w:eastAsia="tr-TR"/>
              </w:rPr>
            </w:pPr>
            <w:r w:rsidRPr="00C235E5">
              <w:rPr>
                <w:rFonts w:ascii="Times New Roman" w:eastAsia="Times New Roman" w:hAnsi="Times New Roman" w:cs="Times New Roman"/>
                <w:b/>
                <w:bCs/>
                <w:color w:val="C00000"/>
                <w:sz w:val="24"/>
                <w:szCs w:val="24"/>
                <w:lang w:val="tr-TR" w:eastAsia="tr-TR"/>
              </w:rPr>
              <w:t>FY2021*</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14:paraId="47472BA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5629</w:t>
            </w:r>
          </w:p>
        </w:tc>
        <w:tc>
          <w:tcPr>
            <w:tcW w:w="850" w:type="dxa"/>
            <w:tcBorders>
              <w:top w:val="single" w:sz="4" w:space="0" w:color="000000"/>
              <w:left w:val="nil"/>
              <w:bottom w:val="single" w:sz="4" w:space="0" w:color="000000"/>
              <w:right w:val="nil"/>
            </w:tcBorders>
            <w:shd w:val="clear" w:color="auto" w:fill="auto"/>
            <w:noWrap/>
            <w:vAlign w:val="bottom"/>
            <w:hideMark/>
          </w:tcPr>
          <w:p w14:paraId="1061F75E"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16929</w:t>
            </w:r>
          </w:p>
        </w:tc>
        <w:tc>
          <w:tcPr>
            <w:tcW w:w="850" w:type="dxa"/>
            <w:tcBorders>
              <w:top w:val="single" w:sz="4" w:space="0" w:color="000000"/>
              <w:left w:val="nil"/>
              <w:bottom w:val="single" w:sz="4" w:space="0" w:color="000000"/>
              <w:right w:val="nil"/>
            </w:tcBorders>
            <w:shd w:val="clear" w:color="auto" w:fill="auto"/>
            <w:noWrap/>
            <w:vAlign w:val="bottom"/>
            <w:hideMark/>
          </w:tcPr>
          <w:p w14:paraId="195B7AE3"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8803</w:t>
            </w:r>
          </w:p>
        </w:tc>
        <w:tc>
          <w:tcPr>
            <w:tcW w:w="850" w:type="dxa"/>
            <w:tcBorders>
              <w:top w:val="single" w:sz="4" w:space="0" w:color="000000"/>
              <w:left w:val="nil"/>
              <w:bottom w:val="single" w:sz="4" w:space="0" w:color="000000"/>
              <w:right w:val="nil"/>
            </w:tcBorders>
            <w:shd w:val="clear" w:color="auto" w:fill="auto"/>
            <w:noWrap/>
            <w:vAlign w:val="bottom"/>
            <w:hideMark/>
          </w:tcPr>
          <w:p w14:paraId="6586109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3373</w:t>
            </w:r>
          </w:p>
        </w:tc>
        <w:tc>
          <w:tcPr>
            <w:tcW w:w="850" w:type="dxa"/>
            <w:tcBorders>
              <w:top w:val="single" w:sz="4" w:space="0" w:color="000000"/>
              <w:left w:val="nil"/>
              <w:bottom w:val="single" w:sz="4" w:space="0" w:color="000000"/>
              <w:right w:val="nil"/>
            </w:tcBorders>
            <w:shd w:val="clear" w:color="auto" w:fill="auto"/>
            <w:noWrap/>
            <w:vAlign w:val="bottom"/>
            <w:hideMark/>
          </w:tcPr>
          <w:p w14:paraId="633808B6"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2631</w:t>
            </w:r>
          </w:p>
        </w:tc>
        <w:tc>
          <w:tcPr>
            <w:tcW w:w="850" w:type="dxa"/>
            <w:tcBorders>
              <w:top w:val="single" w:sz="4" w:space="0" w:color="000000"/>
              <w:left w:val="nil"/>
              <w:bottom w:val="single" w:sz="4" w:space="0" w:color="000000"/>
              <w:right w:val="nil"/>
            </w:tcBorders>
            <w:shd w:val="clear" w:color="auto" w:fill="auto"/>
            <w:noWrap/>
            <w:vAlign w:val="bottom"/>
            <w:hideMark/>
          </w:tcPr>
          <w:p w14:paraId="77B3185D"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37365</w:t>
            </w:r>
          </w:p>
        </w:tc>
        <w:tc>
          <w:tcPr>
            <w:tcW w:w="850" w:type="dxa"/>
            <w:tcBorders>
              <w:top w:val="single" w:sz="4" w:space="0" w:color="000000"/>
              <w:left w:val="nil"/>
              <w:bottom w:val="single" w:sz="4" w:space="0" w:color="000000"/>
              <w:right w:val="nil"/>
            </w:tcBorders>
            <w:shd w:val="clear" w:color="auto" w:fill="auto"/>
            <w:noWrap/>
            <w:vAlign w:val="bottom"/>
            <w:hideMark/>
          </w:tcPr>
          <w:p w14:paraId="2CBA975B"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15%</w:t>
            </w:r>
          </w:p>
        </w:tc>
        <w:tc>
          <w:tcPr>
            <w:tcW w:w="850" w:type="dxa"/>
            <w:tcBorders>
              <w:top w:val="single" w:sz="4" w:space="0" w:color="000000"/>
              <w:left w:val="nil"/>
              <w:bottom w:val="single" w:sz="4" w:space="0" w:color="000000"/>
              <w:right w:val="nil"/>
            </w:tcBorders>
            <w:shd w:val="clear" w:color="auto" w:fill="auto"/>
            <w:noWrap/>
            <w:vAlign w:val="bottom"/>
            <w:hideMark/>
          </w:tcPr>
          <w:p w14:paraId="0D4D435F"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45%</w:t>
            </w:r>
          </w:p>
        </w:tc>
        <w:tc>
          <w:tcPr>
            <w:tcW w:w="850" w:type="dxa"/>
            <w:tcBorders>
              <w:top w:val="single" w:sz="4" w:space="0" w:color="000000"/>
              <w:left w:val="nil"/>
              <w:bottom w:val="single" w:sz="4" w:space="0" w:color="000000"/>
              <w:right w:val="nil"/>
            </w:tcBorders>
            <w:shd w:val="clear" w:color="auto" w:fill="auto"/>
            <w:noWrap/>
            <w:vAlign w:val="bottom"/>
            <w:hideMark/>
          </w:tcPr>
          <w:p w14:paraId="681E47A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24%</w:t>
            </w:r>
          </w:p>
        </w:tc>
        <w:tc>
          <w:tcPr>
            <w:tcW w:w="850" w:type="dxa"/>
            <w:tcBorders>
              <w:top w:val="single" w:sz="4" w:space="0" w:color="000000"/>
              <w:left w:val="nil"/>
              <w:bottom w:val="single" w:sz="4" w:space="0" w:color="000000"/>
              <w:right w:val="nil"/>
            </w:tcBorders>
            <w:shd w:val="clear" w:color="auto" w:fill="auto"/>
            <w:noWrap/>
            <w:vAlign w:val="bottom"/>
            <w:hideMark/>
          </w:tcPr>
          <w:p w14:paraId="6CB0086A"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383FCB89" w14:textId="77777777" w:rsidR="00800CD3" w:rsidRPr="00C235E5" w:rsidRDefault="00800CD3" w:rsidP="002F043E">
            <w:pPr>
              <w:spacing w:after="0" w:line="240" w:lineRule="auto"/>
              <w:jc w:val="right"/>
              <w:rPr>
                <w:rFonts w:ascii="Times New Roman" w:eastAsia="Times New Roman" w:hAnsi="Times New Roman" w:cs="Times New Roman"/>
                <w:color w:val="000000"/>
                <w:sz w:val="24"/>
                <w:szCs w:val="24"/>
                <w:lang w:val="tr-TR" w:eastAsia="tr-TR"/>
              </w:rPr>
            </w:pPr>
            <w:r w:rsidRPr="00C235E5">
              <w:rPr>
                <w:rFonts w:ascii="Times New Roman" w:eastAsia="Times New Roman" w:hAnsi="Times New Roman" w:cs="Times New Roman"/>
                <w:color w:val="000000"/>
                <w:sz w:val="24"/>
                <w:szCs w:val="24"/>
                <w:lang w:val="tr-TR" w:eastAsia="tr-TR"/>
              </w:rPr>
              <w:t>7%</w:t>
            </w:r>
          </w:p>
        </w:tc>
      </w:tr>
    </w:tbl>
    <w:p w14:paraId="21696050" w14:textId="592587A9" w:rsidR="00800CD3" w:rsidRPr="00C235E5" w:rsidRDefault="00800CD3" w:rsidP="00994408">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t xml:space="preserve">Chart – </w:t>
      </w:r>
      <w:r w:rsidR="00AC7920" w:rsidRPr="00C235E5">
        <w:rPr>
          <w:rFonts w:ascii="Times New Roman" w:hAnsi="Times New Roman" w:cs="Times New Roman"/>
          <w:b/>
          <w:bCs/>
          <w:sz w:val="24"/>
          <w:szCs w:val="24"/>
          <w:lang w:val="en-GB"/>
        </w:rPr>
        <w:t>J</w:t>
      </w:r>
      <w:r w:rsidRPr="00C235E5">
        <w:rPr>
          <w:rFonts w:ascii="Times New Roman" w:hAnsi="Times New Roman" w:cs="Times New Roman"/>
          <w:b/>
          <w:bCs/>
          <w:sz w:val="24"/>
          <w:szCs w:val="24"/>
          <w:lang w:val="en-GB"/>
        </w:rPr>
        <w:t xml:space="preserve">1: </w:t>
      </w:r>
      <w:r w:rsidRPr="00C235E5">
        <w:rPr>
          <w:rFonts w:ascii="Times New Roman" w:hAnsi="Times New Roman" w:cs="Times New Roman"/>
          <w:b/>
          <w:bCs/>
          <w:i/>
          <w:iCs/>
          <w:sz w:val="24"/>
          <w:szCs w:val="24"/>
          <w:lang w:val="en-GB"/>
        </w:rPr>
        <w:t>Microsoft/</w:t>
      </w:r>
      <w:r w:rsidR="00260174" w:rsidRPr="00C235E5">
        <w:rPr>
          <w:rFonts w:ascii="Times New Roman" w:hAnsi="Times New Roman" w:cs="Times New Roman"/>
          <w:b/>
          <w:bCs/>
          <w:i/>
          <w:iCs/>
          <w:sz w:val="24"/>
          <w:szCs w:val="24"/>
          <w:lang w:val="en-GB"/>
        </w:rPr>
        <w:t>ZeniMax</w:t>
      </w:r>
      <w:r w:rsidRPr="00C235E5">
        <w:rPr>
          <w:rFonts w:ascii="Times New Roman" w:hAnsi="Times New Roman" w:cs="Times New Roman"/>
          <w:b/>
          <w:bCs/>
          <w:sz w:val="24"/>
          <w:szCs w:val="24"/>
          <w:lang w:val="en-GB"/>
        </w:rPr>
        <w:t xml:space="preserve"> Evolution of Total Sales</w:t>
      </w:r>
    </w:p>
    <w:p w14:paraId="5CE4DE16" w14:textId="480FC80A" w:rsidR="00F226D4" w:rsidRDefault="00800CD3" w:rsidP="0050718D">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398AEF12" wp14:editId="22026081">
            <wp:extent cx="4572000" cy="2743200"/>
            <wp:effectExtent l="0" t="0" r="0" b="0"/>
            <wp:docPr id="37" name="Chart 37">
              <a:extLst xmlns:a="http://schemas.openxmlformats.org/drawingml/2006/main">
                <a:ext uri="{FF2B5EF4-FFF2-40B4-BE49-F238E27FC236}">
                  <a16:creationId xmlns:a16="http://schemas.microsoft.com/office/drawing/2014/main" id="{C82144A1-CF86-48B1-86CE-34681B3CC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71B329" w14:textId="77777777" w:rsidR="000E0119" w:rsidRDefault="000E0119">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839FFC0" w14:textId="1C640071" w:rsidR="00800CD3" w:rsidRPr="00C235E5" w:rsidRDefault="00800CD3" w:rsidP="00800CD3">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b/>
          <w:bCs/>
          <w:sz w:val="24"/>
          <w:szCs w:val="24"/>
          <w:lang w:val="en-GB"/>
        </w:rPr>
        <w:lastRenderedPageBreak/>
        <w:t xml:space="preserve">Chart – </w:t>
      </w:r>
      <w:r w:rsidR="00AC7920" w:rsidRPr="00C235E5">
        <w:rPr>
          <w:rFonts w:ascii="Times New Roman" w:hAnsi="Times New Roman" w:cs="Times New Roman"/>
          <w:b/>
          <w:bCs/>
          <w:sz w:val="24"/>
          <w:szCs w:val="24"/>
          <w:lang w:val="en-GB"/>
        </w:rPr>
        <w:t>J</w:t>
      </w:r>
      <w:r w:rsidRPr="00C235E5">
        <w:rPr>
          <w:rFonts w:ascii="Times New Roman" w:hAnsi="Times New Roman" w:cs="Times New Roman"/>
          <w:b/>
          <w:bCs/>
          <w:sz w:val="24"/>
          <w:szCs w:val="24"/>
          <w:lang w:val="en-GB"/>
        </w:rPr>
        <w:t xml:space="preserve">2: </w:t>
      </w:r>
      <w:r w:rsidRPr="00C235E5">
        <w:rPr>
          <w:rFonts w:ascii="Times New Roman" w:hAnsi="Times New Roman" w:cs="Times New Roman"/>
          <w:b/>
          <w:bCs/>
          <w:i/>
          <w:iCs/>
          <w:sz w:val="24"/>
          <w:szCs w:val="24"/>
          <w:lang w:val="en-GB"/>
        </w:rPr>
        <w:t>Microsoft/</w:t>
      </w:r>
      <w:r w:rsidR="00260174" w:rsidRPr="00C235E5">
        <w:rPr>
          <w:rFonts w:ascii="Times New Roman" w:hAnsi="Times New Roman" w:cs="Times New Roman"/>
          <w:b/>
          <w:bCs/>
          <w:i/>
          <w:iCs/>
          <w:sz w:val="24"/>
          <w:szCs w:val="24"/>
          <w:lang w:val="en-GB"/>
        </w:rPr>
        <w:t>ZeniMax</w:t>
      </w:r>
      <w:r w:rsidRPr="00C235E5">
        <w:rPr>
          <w:rFonts w:ascii="Times New Roman" w:hAnsi="Times New Roman" w:cs="Times New Roman"/>
          <w:b/>
          <w:bCs/>
          <w:sz w:val="24"/>
          <w:szCs w:val="24"/>
          <w:lang w:val="en-GB"/>
        </w:rPr>
        <w:t xml:space="preserve"> Evolution of Competitor Market Shares</w:t>
      </w:r>
    </w:p>
    <w:p w14:paraId="759D41A0" w14:textId="4D15DD33" w:rsidR="008E78BC" w:rsidRPr="00C235E5" w:rsidRDefault="00800CD3" w:rsidP="00180B91">
      <w:pPr>
        <w:pStyle w:val="xxxxmsonormal"/>
        <w:spacing w:before="120" w:after="120" w:line="276" w:lineRule="auto"/>
        <w:jc w:val="center"/>
        <w:rPr>
          <w:rFonts w:ascii="Times New Roman" w:hAnsi="Times New Roman" w:cs="Times New Roman"/>
          <w:b/>
          <w:bCs/>
          <w:sz w:val="24"/>
          <w:szCs w:val="24"/>
          <w:lang w:val="en-GB"/>
        </w:rPr>
      </w:pPr>
      <w:r w:rsidRPr="00C235E5">
        <w:rPr>
          <w:rFonts w:ascii="Times New Roman" w:hAnsi="Times New Roman" w:cs="Times New Roman"/>
          <w:noProof/>
          <w:sz w:val="24"/>
          <w:szCs w:val="24"/>
        </w:rPr>
        <w:drawing>
          <wp:inline distT="0" distB="0" distL="0" distR="0" wp14:anchorId="503CFBF8" wp14:editId="4E9B4165">
            <wp:extent cx="4572000" cy="2743200"/>
            <wp:effectExtent l="0" t="0" r="0" b="0"/>
            <wp:docPr id="40" name="Chart 40">
              <a:extLst xmlns:a="http://schemas.openxmlformats.org/drawingml/2006/main">
                <a:ext uri="{FF2B5EF4-FFF2-40B4-BE49-F238E27FC236}">
                  <a16:creationId xmlns:a16="http://schemas.microsoft.com/office/drawing/2014/main" id="{67F8D93C-2175-4456-A11E-4C6518A51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8E78BC" w:rsidRPr="00C235E5">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54933" w14:textId="77777777" w:rsidR="00A72B1B" w:rsidRDefault="00A72B1B" w:rsidP="00B75264">
      <w:pPr>
        <w:spacing w:after="0" w:line="240" w:lineRule="auto"/>
      </w:pPr>
      <w:r>
        <w:separator/>
      </w:r>
    </w:p>
  </w:endnote>
  <w:endnote w:type="continuationSeparator" w:id="0">
    <w:p w14:paraId="0E01273B" w14:textId="77777777" w:rsidR="00A72B1B" w:rsidRDefault="00A72B1B" w:rsidP="00B75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72600851"/>
      <w:docPartObj>
        <w:docPartGallery w:val="Page Numbers (Bottom of Page)"/>
        <w:docPartUnique/>
      </w:docPartObj>
    </w:sdtPr>
    <w:sdtEndPr>
      <w:rPr>
        <w:noProof/>
      </w:rPr>
    </w:sdtEndPr>
    <w:sdtContent>
      <w:p w14:paraId="3858BC51" w14:textId="6C9A07E7" w:rsidR="00A72B1B" w:rsidRPr="0063447E" w:rsidRDefault="00A72B1B">
        <w:pPr>
          <w:pStyle w:val="Footer"/>
          <w:jc w:val="right"/>
          <w:rPr>
            <w:rFonts w:ascii="Times New Roman" w:hAnsi="Times New Roman" w:cs="Times New Roman"/>
          </w:rPr>
        </w:pPr>
        <w:r w:rsidRPr="0063447E">
          <w:rPr>
            <w:rFonts w:ascii="Times New Roman" w:hAnsi="Times New Roman" w:cs="Times New Roman"/>
          </w:rPr>
          <w:fldChar w:fldCharType="begin"/>
        </w:r>
        <w:r w:rsidRPr="0063447E">
          <w:rPr>
            <w:rFonts w:ascii="Times New Roman" w:hAnsi="Times New Roman" w:cs="Times New Roman"/>
          </w:rPr>
          <w:instrText xml:space="preserve"> PAGE   \* MERGEFORMAT </w:instrText>
        </w:r>
        <w:r w:rsidRPr="0063447E">
          <w:rPr>
            <w:rFonts w:ascii="Times New Roman" w:hAnsi="Times New Roman" w:cs="Times New Roman"/>
          </w:rPr>
          <w:fldChar w:fldCharType="separate"/>
        </w:r>
        <w:r w:rsidR="00627AF4">
          <w:rPr>
            <w:rFonts w:ascii="Times New Roman" w:hAnsi="Times New Roman" w:cs="Times New Roman"/>
            <w:noProof/>
          </w:rPr>
          <w:t>4</w:t>
        </w:r>
        <w:r w:rsidRPr="0063447E">
          <w:rPr>
            <w:rFonts w:ascii="Times New Roman" w:hAnsi="Times New Roman" w:cs="Times New Roman"/>
            <w:noProof/>
          </w:rPr>
          <w:fldChar w:fldCharType="end"/>
        </w:r>
      </w:p>
    </w:sdtContent>
  </w:sdt>
  <w:p w14:paraId="72EE2222" w14:textId="77777777" w:rsidR="00A72B1B" w:rsidRDefault="00A7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F3988" w14:textId="77777777" w:rsidR="00A72B1B" w:rsidRDefault="00A72B1B" w:rsidP="00B75264">
      <w:pPr>
        <w:spacing w:after="0" w:line="240" w:lineRule="auto"/>
      </w:pPr>
      <w:r>
        <w:separator/>
      </w:r>
    </w:p>
  </w:footnote>
  <w:footnote w:type="continuationSeparator" w:id="0">
    <w:p w14:paraId="4C8342CC" w14:textId="77777777" w:rsidR="00A72B1B" w:rsidRDefault="00A72B1B" w:rsidP="00B75264">
      <w:pPr>
        <w:spacing w:after="0" w:line="240" w:lineRule="auto"/>
      </w:pPr>
      <w:r>
        <w:continuationSeparator/>
      </w:r>
    </w:p>
  </w:footnote>
  <w:footnote w:id="1">
    <w:p w14:paraId="228B9255" w14:textId="28F1A64A"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t>*</w:t>
      </w:r>
      <w:r w:rsidRPr="002B1559">
        <w:rPr>
          <w:rFonts w:ascii="Times New Roman" w:hAnsi="Times New Roman" w:cs="Times New Roman"/>
          <w:sz w:val="16"/>
          <w:szCs w:val="16"/>
          <w:lang w:val="en-GB"/>
        </w:rPr>
        <w:t xml:space="preserve"> Professor, Toulouse School of Economics (TSE).</w:t>
      </w:r>
    </w:p>
  </w:footnote>
  <w:footnote w:id="2">
    <w:p w14:paraId="3E2E2923" w14:textId="183315A0"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t>**</w:t>
      </w:r>
      <w:r w:rsidRPr="002B1559">
        <w:rPr>
          <w:rFonts w:ascii="Times New Roman" w:hAnsi="Times New Roman" w:cs="Times New Roman"/>
          <w:sz w:val="16"/>
          <w:szCs w:val="16"/>
          <w:lang w:val="en-GB"/>
        </w:rPr>
        <w:t xml:space="preserve"> </w:t>
      </w:r>
      <w:r w:rsidRPr="00AE12BC">
        <w:rPr>
          <w:rFonts w:ascii="Times New Roman" w:hAnsi="Times New Roman" w:cs="Times New Roman"/>
          <w:sz w:val="16"/>
          <w:szCs w:val="16"/>
          <w:lang w:val="en-GB"/>
        </w:rPr>
        <w:t>Professor, European University Institute (EUI</w:t>
      </w:r>
      <w:r w:rsidRPr="007D6111">
        <w:rPr>
          <w:rFonts w:ascii="Times New Roman" w:hAnsi="Times New Roman" w:cs="Times New Roman"/>
          <w:sz w:val="16"/>
          <w:szCs w:val="16"/>
          <w:lang w:val="en-GB"/>
        </w:rPr>
        <w:t>),</w:t>
      </w:r>
      <w:r>
        <w:rPr>
          <w:rFonts w:ascii="Times New Roman" w:hAnsi="Times New Roman" w:cs="Times New Roman"/>
          <w:sz w:val="16"/>
          <w:szCs w:val="16"/>
          <w:lang w:val="en-GB"/>
        </w:rPr>
        <w:t xml:space="preserve"> Invited Professor, College of Europe</w:t>
      </w:r>
      <w:r w:rsidRPr="00A94E27">
        <w:rPr>
          <w:rFonts w:ascii="Times New Roman" w:hAnsi="Times New Roman" w:cs="Times New Roman"/>
          <w:sz w:val="16"/>
          <w:szCs w:val="16"/>
          <w:lang w:val="en-GB"/>
        </w:rPr>
        <w:t>.</w:t>
      </w:r>
    </w:p>
  </w:footnote>
  <w:footnote w:id="3">
    <w:p w14:paraId="63718826" w14:textId="026B414F"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t>***</w:t>
      </w:r>
      <w:r w:rsidRPr="002B1559">
        <w:rPr>
          <w:rFonts w:ascii="Times New Roman" w:hAnsi="Times New Roman" w:cs="Times New Roman"/>
          <w:sz w:val="16"/>
          <w:szCs w:val="16"/>
          <w:lang w:val="en-GB"/>
        </w:rPr>
        <w:t xml:space="preserve"> PhD researcher, European University Institute (EUI). The authors want to thank Giacomo Calzolari, Svend Albaek, Philip Hanspach, Bowman Heiden, Sara Guidi, Alexandra Telychko</w:t>
      </w:r>
      <w:r w:rsidR="00AE12BC">
        <w:rPr>
          <w:rFonts w:ascii="Times New Roman" w:hAnsi="Times New Roman" w:cs="Times New Roman"/>
          <w:sz w:val="16"/>
          <w:szCs w:val="16"/>
          <w:lang w:val="en-GB"/>
        </w:rPr>
        <w:t>, and David Reader</w:t>
      </w:r>
      <w:r w:rsidRPr="002B1559">
        <w:rPr>
          <w:rFonts w:ascii="Times New Roman" w:hAnsi="Times New Roman" w:cs="Times New Roman"/>
          <w:sz w:val="16"/>
          <w:szCs w:val="16"/>
          <w:lang w:val="en-GB"/>
        </w:rPr>
        <w:t xml:space="preserve"> for useful comments on a previous draft. We also acknowledge the helpful discussion at CRESSE 2023.</w:t>
      </w:r>
    </w:p>
  </w:footnote>
  <w:footnote w:id="4">
    <w:p w14:paraId="78505594" w14:textId="353AAD0C"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Donald Bowen III, Laurent Fresard, &amp; Gerard Hoberg, ‘Rapidly Evolving Technologies and Startup Exits’ (2021) Swiss Finance Institute Research Paper No. 19-22.</w:t>
      </w:r>
    </w:p>
  </w:footnote>
  <w:footnote w:id="5">
    <w:p w14:paraId="677E512B" w14:textId="060115B2"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Colleen Cunningham, Song Ma, &amp; Florian Ederer, ‘Killer Acquisitions’ (2021) 129 (3) Journal of Political Economy 649.</w:t>
      </w:r>
    </w:p>
  </w:footnote>
  <w:footnote w:id="6">
    <w:p w14:paraId="7F560B92" w14:textId="350D7010"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Gregory Crawford, Cristina Caffarra, &amp; Tommaso Valletti, ‘‘How tech rolls’: Potential competition and ‘reverse’ killer acquisitions’ (</w:t>
      </w:r>
      <w:r w:rsidRPr="002B1559">
        <w:rPr>
          <w:rFonts w:ascii="Times New Roman" w:hAnsi="Times New Roman" w:cs="Times New Roman"/>
          <w:i/>
          <w:iCs/>
          <w:sz w:val="16"/>
          <w:szCs w:val="16"/>
          <w:lang w:val="en-GB"/>
        </w:rPr>
        <w:t>VoxEU CEPR Blog</w:t>
      </w:r>
      <w:r w:rsidRPr="002B1559">
        <w:rPr>
          <w:rFonts w:ascii="Times New Roman" w:hAnsi="Times New Roman" w:cs="Times New Roman"/>
          <w:sz w:val="16"/>
          <w:szCs w:val="16"/>
          <w:lang w:val="en-GB"/>
        </w:rPr>
        <w:t xml:space="preserve">, 11 May 2020) </w:t>
      </w:r>
      <w:hyperlink r:id="rId1" w:history="1">
        <w:r w:rsidRPr="002B1559">
          <w:rPr>
            <w:rStyle w:val="Hyperlink"/>
            <w:rFonts w:ascii="Times New Roman" w:hAnsi="Times New Roman" w:cs="Times New Roman"/>
            <w:sz w:val="16"/>
            <w:szCs w:val="16"/>
            <w:lang w:val="en-GB"/>
          </w:rPr>
          <w:t>https://new.cepr.org/voxeu/blogs-and-reviews/how-tech-rolls-potential-competition-and-reverse-killer-acquisitions</w:t>
        </w:r>
      </w:hyperlink>
      <w:r w:rsidRPr="002B1559">
        <w:rPr>
          <w:rFonts w:ascii="Times New Roman" w:hAnsi="Times New Roman" w:cs="Times New Roman"/>
          <w:sz w:val="16"/>
          <w:szCs w:val="16"/>
          <w:lang w:val="en-GB"/>
        </w:rPr>
        <w:t>.</w:t>
      </w:r>
    </w:p>
  </w:footnote>
  <w:footnote w:id="7">
    <w:p w14:paraId="164BFE94" w14:textId="1B520DE8"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‘CMA orders Meta to sell Giphy’ (</w:t>
      </w:r>
      <w:r w:rsidRPr="002B1559">
        <w:rPr>
          <w:rFonts w:ascii="Times New Roman" w:hAnsi="Times New Roman" w:cs="Times New Roman"/>
          <w:i/>
          <w:iCs/>
          <w:sz w:val="16"/>
          <w:szCs w:val="16"/>
          <w:lang w:val="en-GB"/>
        </w:rPr>
        <w:t>CMA Press Release</w:t>
      </w:r>
      <w:r w:rsidRPr="002B1559">
        <w:rPr>
          <w:rFonts w:ascii="Times New Roman" w:hAnsi="Times New Roman" w:cs="Times New Roman"/>
          <w:sz w:val="16"/>
          <w:szCs w:val="16"/>
          <w:lang w:val="en-GB"/>
        </w:rPr>
        <w:t xml:space="preserve">, 18 October 2022) </w:t>
      </w:r>
      <w:hyperlink r:id="rId2" w:history="1">
        <w:r w:rsidRPr="002B1559">
          <w:rPr>
            <w:rStyle w:val="Hyperlink"/>
            <w:rFonts w:ascii="Times New Roman" w:hAnsi="Times New Roman" w:cs="Times New Roman"/>
            <w:sz w:val="16"/>
            <w:szCs w:val="16"/>
            <w:lang w:val="en-GB"/>
          </w:rPr>
          <w:t>https://www.gov.uk/government/news/cma-orders-meta-to-sell-giphy</w:t>
        </w:r>
      </w:hyperlink>
      <w:r w:rsidRPr="002B1559">
        <w:rPr>
          <w:rFonts w:ascii="Times New Roman" w:hAnsi="Times New Roman" w:cs="Times New Roman"/>
          <w:sz w:val="16"/>
          <w:szCs w:val="16"/>
          <w:lang w:val="en-GB"/>
        </w:rPr>
        <w:t>.</w:t>
      </w:r>
    </w:p>
  </w:footnote>
  <w:footnote w:id="8">
    <w:p w14:paraId="2EB6A831" w14:textId="3381A21C"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‘FTC Seeks to Block Virtual Reality Giant Meta’s Acquisition of Popular App Creator Within’ (27 July 2022) </w:t>
      </w:r>
      <w:hyperlink r:id="rId3" w:history="1">
        <w:r w:rsidRPr="002B1559">
          <w:rPr>
            <w:rStyle w:val="Hyperlink"/>
            <w:rFonts w:ascii="Times New Roman" w:hAnsi="Times New Roman" w:cs="Times New Roman"/>
            <w:sz w:val="16"/>
            <w:szCs w:val="16"/>
            <w:lang w:val="en-GB"/>
          </w:rPr>
          <w:t>https://www.ftc.gov/news-events/news/press-releases/2022/07/ftc-seeks-block-virtual-reality-giant-metas-acquisition-popular-app-creator-within</w:t>
        </w:r>
      </w:hyperlink>
      <w:r w:rsidRPr="002B1559">
        <w:rPr>
          <w:rFonts w:ascii="Times New Roman" w:hAnsi="Times New Roman" w:cs="Times New Roman"/>
          <w:sz w:val="16"/>
          <w:szCs w:val="16"/>
          <w:lang w:val="en-GB"/>
        </w:rPr>
        <w:t>.</w:t>
      </w:r>
    </w:p>
  </w:footnote>
  <w:footnote w:id="9">
    <w:p w14:paraId="3E681399" w14:textId="7BB3982D"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‘FTC Seeks to Block Microsoft Corp.’s Acquisition of Activision Blizzard, Inc.’ (8 December 2022) </w:t>
      </w:r>
      <w:hyperlink r:id="rId4" w:history="1">
        <w:r w:rsidRPr="002B1559">
          <w:rPr>
            <w:rStyle w:val="Hyperlink"/>
            <w:rFonts w:ascii="Times New Roman" w:hAnsi="Times New Roman" w:cs="Times New Roman"/>
            <w:sz w:val="16"/>
            <w:szCs w:val="16"/>
            <w:lang w:val="en-GB"/>
          </w:rPr>
          <w:t>https://www.ftc.gov/news-events/news/press-releases/2022/12/ftc-seeks-block-microsoft-corps-acquisition-activision-blizzard-inc</w:t>
        </w:r>
      </w:hyperlink>
      <w:r w:rsidRPr="002B1559">
        <w:rPr>
          <w:rFonts w:ascii="Times New Roman" w:hAnsi="Times New Roman" w:cs="Times New Roman"/>
          <w:sz w:val="16"/>
          <w:szCs w:val="16"/>
          <w:lang w:val="en-GB"/>
        </w:rPr>
        <w:t>.</w:t>
      </w:r>
    </w:p>
  </w:footnote>
  <w:footnote w:id="10">
    <w:p w14:paraId="5569A274" w14:textId="4A9F95B8"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‘Mergers: Commission opens in-depth investigation into the proposed acquisition of Activision Blizzard by Microsoft’ (8 November 2022) </w:t>
      </w:r>
      <w:hyperlink r:id="rId5" w:history="1">
        <w:r w:rsidRPr="002B1559">
          <w:rPr>
            <w:rStyle w:val="Hyperlink"/>
            <w:rFonts w:ascii="Times New Roman" w:hAnsi="Times New Roman" w:cs="Times New Roman"/>
            <w:sz w:val="16"/>
            <w:szCs w:val="16"/>
            <w:lang w:val="en-GB"/>
          </w:rPr>
          <w:t>https://ec.europa.eu/commission/presscorner/detail/en/ip_22_6578</w:t>
        </w:r>
      </w:hyperlink>
      <w:r w:rsidRPr="002B1559">
        <w:rPr>
          <w:rFonts w:ascii="Times New Roman" w:hAnsi="Times New Roman" w:cs="Times New Roman"/>
          <w:sz w:val="16"/>
          <w:szCs w:val="16"/>
          <w:lang w:val="en-GB"/>
        </w:rPr>
        <w:t>.</w:t>
      </w:r>
    </w:p>
  </w:footnote>
  <w:footnote w:id="11">
    <w:p w14:paraId="761B4C67" w14:textId="2C81669B"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The draft merger guidelines, as issued by the US Department of Justice and the Federal Trade Commission, also contain tightened rules on controlling the acquisition of entrants. See, Randy Picker, ‘Understanding Firm Entry and the Internal Growth Presumption in the Draft Merger Guidelines’ (</w:t>
      </w:r>
      <w:r w:rsidRPr="002B1559">
        <w:rPr>
          <w:rFonts w:ascii="Times New Roman" w:hAnsi="Times New Roman" w:cs="Times New Roman"/>
          <w:i/>
          <w:iCs/>
          <w:sz w:val="16"/>
          <w:szCs w:val="16"/>
          <w:lang w:val="en-GB"/>
        </w:rPr>
        <w:t xml:space="preserve">ProMarket, </w:t>
      </w:r>
      <w:r w:rsidRPr="002B1559">
        <w:rPr>
          <w:rFonts w:ascii="Times New Roman" w:hAnsi="Times New Roman" w:cs="Times New Roman"/>
          <w:sz w:val="16"/>
          <w:szCs w:val="16"/>
          <w:lang w:val="en-GB"/>
        </w:rPr>
        <w:t xml:space="preserve">1 August 2023) </w:t>
      </w:r>
      <w:hyperlink r:id="rId6" w:history="1">
        <w:r w:rsidRPr="002B1559">
          <w:rPr>
            <w:rStyle w:val="Hyperlink"/>
            <w:rFonts w:ascii="Times New Roman" w:hAnsi="Times New Roman" w:cs="Times New Roman"/>
            <w:sz w:val="16"/>
            <w:szCs w:val="16"/>
            <w:lang w:val="en-GB"/>
          </w:rPr>
          <w:t>https://www.promarket.org/2023/08/01/randy-picker-understanding-firm-entry-and-the-internal-growth-presumption-in-the-draft-merger-guidelines/</w:t>
        </w:r>
      </w:hyperlink>
      <w:r w:rsidRPr="002B1559">
        <w:rPr>
          <w:rFonts w:ascii="Times New Roman" w:hAnsi="Times New Roman" w:cs="Times New Roman"/>
          <w:sz w:val="16"/>
          <w:szCs w:val="16"/>
          <w:lang w:val="en-GB"/>
        </w:rPr>
        <w:t>.</w:t>
      </w:r>
    </w:p>
  </w:footnote>
  <w:footnote w:id="12">
    <w:p w14:paraId="3FCF9D4E" w14:textId="77777777" w:rsidR="00A72B1B" w:rsidRPr="00816FFF"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816FFF">
        <w:rPr>
          <w:rStyle w:val="FootnoteReference"/>
          <w:rFonts w:ascii="Times New Roman" w:hAnsi="Times New Roman" w:cs="Times New Roman"/>
          <w:sz w:val="16"/>
          <w:szCs w:val="16"/>
          <w:lang w:val="en-GB"/>
        </w:rPr>
        <w:footnoteRef/>
      </w:r>
      <w:r w:rsidRPr="00816FFF">
        <w:rPr>
          <w:rFonts w:ascii="Times New Roman" w:hAnsi="Times New Roman" w:cs="Times New Roman"/>
          <w:sz w:val="16"/>
          <w:szCs w:val="16"/>
          <w:lang w:val="en-GB"/>
        </w:rPr>
        <w:t xml:space="preserve"> A showing of a substantial lessening of competition is the test required under US and EU merger law to challenge a merger. </w:t>
      </w:r>
    </w:p>
  </w:footnote>
  <w:footnote w:id="13">
    <w:p w14:paraId="49A53CAD" w14:textId="72C8676F" w:rsidR="00A72B1B" w:rsidRPr="00816FFF"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784BDF">
        <w:rPr>
          <w:rStyle w:val="FootnoteReference"/>
          <w:rFonts w:ascii="Times New Roman" w:hAnsi="Times New Roman" w:cs="Times New Roman"/>
          <w:sz w:val="16"/>
          <w:szCs w:val="16"/>
          <w:lang w:val="en-GB"/>
        </w:rPr>
        <w:footnoteRef/>
      </w:r>
      <w:r w:rsidRPr="00784BDF">
        <w:rPr>
          <w:rStyle w:val="FootnoteReference"/>
          <w:rFonts w:ascii="Times New Roman" w:hAnsi="Times New Roman" w:cs="Times New Roman"/>
          <w:sz w:val="16"/>
          <w:szCs w:val="16"/>
          <w:lang w:val="en-GB"/>
        </w:rPr>
        <w:t xml:space="preserve"> </w:t>
      </w:r>
      <w:r w:rsidR="00D36980" w:rsidRPr="007D261F">
        <w:rPr>
          <w:rStyle w:val="FootnoteReference"/>
          <w:rFonts w:ascii="Times New Roman" w:hAnsi="Times New Roman" w:cs="Times New Roman"/>
          <w:sz w:val="16"/>
          <w:szCs w:val="16"/>
          <w:vertAlign w:val="baseline"/>
          <w:lang w:val="en-GB"/>
        </w:rPr>
        <w:t xml:space="preserve">Sam Peltzman, ‘Productivity, Prices, and Concentration in Manufacturing: A Demsetzian Perspective’ (2022) </w:t>
      </w:r>
      <w:r w:rsidR="003E6B2D" w:rsidRPr="007D261F">
        <w:rPr>
          <w:rStyle w:val="FootnoteReference"/>
          <w:rFonts w:ascii="Times New Roman" w:hAnsi="Times New Roman" w:cs="Times New Roman"/>
          <w:sz w:val="16"/>
          <w:szCs w:val="16"/>
          <w:vertAlign w:val="baseline"/>
          <w:lang w:val="en-GB"/>
        </w:rPr>
        <w:t xml:space="preserve">65 The Journal of Law and Economics </w:t>
      </w:r>
      <w:r w:rsidR="00440651" w:rsidRPr="007D261F">
        <w:rPr>
          <w:rStyle w:val="FootnoteReference"/>
          <w:rFonts w:ascii="Times New Roman" w:hAnsi="Times New Roman" w:cs="Times New Roman"/>
          <w:sz w:val="16"/>
          <w:szCs w:val="16"/>
          <w:vertAlign w:val="baseline"/>
          <w:lang w:val="en-GB"/>
        </w:rPr>
        <w:t>121.</w:t>
      </w:r>
    </w:p>
  </w:footnote>
  <w:footnote w:id="14">
    <w:p w14:paraId="235FA9F1" w14:textId="1AE79A18" w:rsidR="00A72B1B" w:rsidRPr="00816FFF"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816FFF">
        <w:rPr>
          <w:rStyle w:val="FootnoteReference"/>
          <w:rFonts w:ascii="Times New Roman" w:hAnsi="Times New Roman" w:cs="Times New Roman"/>
          <w:sz w:val="16"/>
          <w:szCs w:val="16"/>
          <w:lang w:val="en-GB"/>
        </w:rPr>
        <w:footnoteRef/>
      </w:r>
      <w:r w:rsidRPr="00816FFF">
        <w:rPr>
          <w:rFonts w:ascii="Times New Roman" w:hAnsi="Times New Roman" w:cs="Times New Roman"/>
          <w:sz w:val="16"/>
          <w:szCs w:val="16"/>
          <w:lang w:val="en-GB"/>
        </w:rPr>
        <w:t xml:space="preserve"> </w:t>
      </w:r>
      <w:r w:rsidRPr="007D261F">
        <w:rPr>
          <w:rFonts w:ascii="Times New Roman" w:hAnsi="Times New Roman" w:cs="Times New Roman"/>
          <w:sz w:val="16"/>
          <w:szCs w:val="16"/>
          <w:lang w:val="en-GB"/>
        </w:rPr>
        <w:t>We take a short-run perspective, as in usual merger investigations. Looking at the impact of suspected killer acquisitions by examining changes in the number of patents is a long-term perspective and is incompatible with our relatively small dataset.</w:t>
      </w:r>
      <w:r w:rsidR="00095D54" w:rsidRPr="007D261F">
        <w:rPr>
          <w:rFonts w:ascii="Times New Roman" w:hAnsi="Times New Roman" w:cs="Times New Roman"/>
          <w:sz w:val="16"/>
          <w:szCs w:val="16"/>
          <w:lang w:val="en-GB"/>
        </w:rPr>
        <w:t xml:space="preserve"> Observe that we can only draw a strong inference of a reduction of competition (that gives rise to firm liability) when the three changes can be observed. Thus, for example, discontinuing a product (1) could, but does not necessarily, mean impairing competition. Only if product discontinuation is followed by a reduction or stagnation in industry-wide sales (3) can we reasonably expect harm to competition from a product discontinuation.</w:t>
      </w:r>
    </w:p>
  </w:footnote>
  <w:footnote w:id="15">
    <w:p w14:paraId="59E41748" w14:textId="7F7FA14F"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816FFF">
        <w:rPr>
          <w:rStyle w:val="FootnoteReference"/>
          <w:rFonts w:ascii="Times New Roman" w:hAnsi="Times New Roman" w:cs="Times New Roman"/>
          <w:sz w:val="16"/>
          <w:szCs w:val="16"/>
          <w:lang w:val="en-GB"/>
        </w:rPr>
        <w:footnoteRef/>
      </w:r>
      <w:r w:rsidRPr="00816FFF">
        <w:rPr>
          <w:rFonts w:ascii="Times New Roman" w:hAnsi="Times New Roman" w:cs="Times New Roman"/>
          <w:sz w:val="16"/>
          <w:szCs w:val="16"/>
          <w:lang w:val="en-GB"/>
        </w:rPr>
        <w:t xml:space="preserve"> ICT industry includes the following lines of business: publishing activities; motion picture, video and television programme production, sound recording and music publishing activities; programming and broadcasting activities; telecommunications; computer programming, consultancy and related activities; information service activities. The letter “J” corresponds to the ICT industry in the EC’s methodology of classification (“NACE”).</w:t>
      </w:r>
    </w:p>
  </w:footnote>
  <w:footnote w:id="16">
    <w:p w14:paraId="09A432BE" w14:textId="77777777" w:rsidR="00A72B1B" w:rsidRPr="00193588"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93588">
        <w:rPr>
          <w:rStyle w:val="FootnoteReference"/>
          <w:rFonts w:ascii="Times New Roman" w:hAnsi="Times New Roman" w:cs="Times New Roman"/>
          <w:sz w:val="16"/>
          <w:szCs w:val="16"/>
          <w:lang w:val="en-GB"/>
        </w:rPr>
        <w:footnoteRef/>
      </w:r>
      <w:r w:rsidRPr="00193588">
        <w:rPr>
          <w:rFonts w:ascii="Times New Roman" w:hAnsi="Times New Roman" w:cs="Times New Roman"/>
          <w:sz w:val="16"/>
          <w:szCs w:val="16"/>
          <w:lang w:val="en-GB"/>
        </w:rPr>
        <w:t xml:space="preserve"> Earlier accounts conceived of killer acquisitions in a different manner compared to its recent usage. For example, Carlin et al. define killer acquisitions as “transactions that lead not just to value dissipation for the acquiring parties, but that result in such a profoundly negative outcome that the fact of the consummation of the transaction in fact results in the onset of financial distress and potential liquidation for the newly-enlarged firm”. Tyrone M. Carlin, Nigel Finch, &amp; Guy Ford, ‘A Deal Too Far: The Case of the Killer Acquisition’ in Gregoriou &amp; Neuhauser (eds), </w:t>
      </w:r>
      <w:r w:rsidRPr="00193588">
        <w:rPr>
          <w:rFonts w:ascii="Times New Roman" w:hAnsi="Times New Roman" w:cs="Times New Roman"/>
          <w:i/>
          <w:iCs/>
          <w:sz w:val="16"/>
          <w:szCs w:val="16"/>
          <w:lang w:val="en-GB"/>
        </w:rPr>
        <w:t>Mergers and Acquisitions: Current Issues</w:t>
      </w:r>
      <w:r w:rsidRPr="00193588">
        <w:rPr>
          <w:rFonts w:ascii="Times New Roman" w:hAnsi="Times New Roman" w:cs="Times New Roman"/>
          <w:sz w:val="16"/>
          <w:szCs w:val="16"/>
          <w:lang w:val="en-GB"/>
        </w:rPr>
        <w:t xml:space="preserve"> (Palgrave Macmillan 2007).</w:t>
      </w:r>
    </w:p>
  </w:footnote>
  <w:footnote w:id="17">
    <w:p w14:paraId="502C8AB4" w14:textId="77777777" w:rsidR="00A72B1B" w:rsidRPr="00E6368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63689">
        <w:rPr>
          <w:rStyle w:val="FootnoteReference"/>
          <w:rFonts w:ascii="Times New Roman" w:hAnsi="Times New Roman" w:cs="Times New Roman"/>
          <w:sz w:val="16"/>
          <w:szCs w:val="16"/>
          <w:lang w:val="en-GB"/>
        </w:rPr>
        <w:footnoteRef/>
      </w:r>
      <w:r w:rsidRPr="00E63689">
        <w:rPr>
          <w:rFonts w:ascii="Times New Roman" w:hAnsi="Times New Roman" w:cs="Times New Roman"/>
          <w:sz w:val="16"/>
          <w:szCs w:val="16"/>
          <w:lang w:val="en-GB"/>
        </w:rPr>
        <w:t xml:space="preserve"> Colleen Cunningham, Song Ma, &amp; Florian Ederer, ‘Killer Acquisitions’ (2021) 129 (3) Journal of Political Economy 649.</w:t>
      </w:r>
    </w:p>
  </w:footnote>
  <w:footnote w:id="18">
    <w:p w14:paraId="0155393C" w14:textId="77777777" w:rsidR="00A72B1B" w:rsidRPr="00E6368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63689">
        <w:rPr>
          <w:rStyle w:val="FootnoteReference"/>
          <w:rFonts w:ascii="Times New Roman" w:hAnsi="Times New Roman" w:cs="Times New Roman"/>
          <w:sz w:val="16"/>
          <w:szCs w:val="16"/>
          <w:lang w:val="en-GB"/>
        </w:rPr>
        <w:footnoteRef/>
      </w:r>
      <w:r w:rsidRPr="00E63689">
        <w:rPr>
          <w:rFonts w:ascii="Times New Roman" w:hAnsi="Times New Roman" w:cs="Times New Roman"/>
          <w:sz w:val="16"/>
          <w:szCs w:val="16"/>
          <w:lang w:val="en-GB"/>
        </w:rPr>
        <w:t xml:space="preserve"> Cunningham, Ma, &amp; Ederer (n 2) 652.</w:t>
      </w:r>
    </w:p>
  </w:footnote>
  <w:footnote w:id="19">
    <w:p w14:paraId="3DC4402C" w14:textId="2687FBD1" w:rsidR="00A72B1B" w:rsidRPr="00494CFE"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94CFE">
        <w:rPr>
          <w:rStyle w:val="FootnoteReference"/>
          <w:rFonts w:ascii="Times New Roman" w:hAnsi="Times New Roman" w:cs="Times New Roman"/>
          <w:sz w:val="16"/>
          <w:szCs w:val="16"/>
          <w:lang w:val="en-GB"/>
        </w:rPr>
        <w:footnoteRef/>
      </w:r>
      <w:r w:rsidRPr="00494CFE">
        <w:rPr>
          <w:rFonts w:ascii="Times New Roman" w:hAnsi="Times New Roman" w:cs="Times New Roman"/>
          <w:sz w:val="16"/>
          <w:szCs w:val="16"/>
          <w:lang w:val="en-GB"/>
        </w:rPr>
        <w:t xml:space="preserve"> Massimo Motta &amp; Martin Peitz, ‘Big Tech Mergers’ (2021) 54 Information Economics and Policy 100868.</w:t>
      </w:r>
      <w:r>
        <w:rPr>
          <w:rFonts w:ascii="Times New Roman" w:hAnsi="Times New Roman" w:cs="Times New Roman"/>
          <w:sz w:val="16"/>
          <w:szCs w:val="16"/>
          <w:lang w:val="en-GB"/>
        </w:rPr>
        <w:t xml:space="preserve"> On the relationship between killer acquisitions and data, see also Anca D. Chirita, ‘Exclusionary and Exploitative Abuses of Consumer Data’ in Ioannidou &amp; Mantzari (eds), </w:t>
      </w:r>
      <w:r w:rsidRPr="00494CFE">
        <w:rPr>
          <w:rFonts w:ascii="Times New Roman" w:hAnsi="Times New Roman" w:cs="Times New Roman"/>
          <w:i/>
          <w:iCs/>
          <w:sz w:val="16"/>
          <w:szCs w:val="16"/>
          <w:lang w:val="en-GB"/>
        </w:rPr>
        <w:t>Research Handbook on Competition Law and Data Privacy</w:t>
      </w:r>
      <w:r>
        <w:rPr>
          <w:rFonts w:ascii="Times New Roman" w:hAnsi="Times New Roman" w:cs="Times New Roman"/>
          <w:sz w:val="16"/>
          <w:szCs w:val="16"/>
          <w:lang w:val="en-GB"/>
        </w:rPr>
        <w:t xml:space="preserve"> (Elgar 2023).</w:t>
      </w:r>
    </w:p>
  </w:footnote>
  <w:footnote w:id="20">
    <w:p w14:paraId="5155DA3D" w14:textId="77777777" w:rsidR="00A72B1B" w:rsidRPr="00494CFE"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94CFE">
        <w:rPr>
          <w:rStyle w:val="FootnoteReference"/>
          <w:rFonts w:ascii="Times New Roman" w:hAnsi="Times New Roman" w:cs="Times New Roman"/>
          <w:sz w:val="16"/>
          <w:szCs w:val="16"/>
          <w:lang w:val="en-GB"/>
        </w:rPr>
        <w:footnoteRef/>
      </w:r>
      <w:r w:rsidRPr="00494CFE">
        <w:rPr>
          <w:rFonts w:ascii="Times New Roman" w:hAnsi="Times New Roman" w:cs="Times New Roman"/>
          <w:sz w:val="16"/>
          <w:szCs w:val="16"/>
          <w:lang w:val="en-GB"/>
        </w:rPr>
        <w:t xml:space="preserve"> Pauline Affeldt &amp; Reinhold Kesler, ‘Big Tech Acquisitions – Towards Empirical Evidence’ (2021) 12 (6) Journal of European Competition Law &amp; Practice 471.</w:t>
      </w:r>
    </w:p>
  </w:footnote>
  <w:footnote w:id="21">
    <w:p w14:paraId="65A22A01" w14:textId="77777777" w:rsidR="00A72B1B" w:rsidRPr="00494CFE"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94CFE">
        <w:rPr>
          <w:rStyle w:val="FootnoteReference"/>
          <w:rFonts w:ascii="Times New Roman" w:hAnsi="Times New Roman" w:cs="Times New Roman"/>
          <w:sz w:val="16"/>
          <w:szCs w:val="16"/>
          <w:lang w:val="en-GB"/>
        </w:rPr>
        <w:footnoteRef/>
      </w:r>
      <w:r w:rsidRPr="00C94B59">
        <w:rPr>
          <w:rFonts w:ascii="Times New Roman" w:hAnsi="Times New Roman" w:cs="Times New Roman"/>
          <w:sz w:val="16"/>
          <w:szCs w:val="16"/>
          <w:lang w:val="it-IT"/>
        </w:rPr>
        <w:t xml:space="preserve"> Chiara Fumagalli, Massimo Motta, &amp; Emanuele Tarantino, ‘Shelving or Developing? </w:t>
      </w:r>
      <w:r w:rsidRPr="00494CFE">
        <w:rPr>
          <w:rFonts w:ascii="Times New Roman" w:hAnsi="Times New Roman" w:cs="Times New Roman"/>
          <w:sz w:val="16"/>
          <w:szCs w:val="16"/>
          <w:lang w:val="en-GB"/>
        </w:rPr>
        <w:t>The Acquisition of Potential Competitors Under Financial Constraints’ (2020) CEPR Discussion Paper No. DP15113.</w:t>
      </w:r>
    </w:p>
  </w:footnote>
  <w:footnote w:id="22">
    <w:p w14:paraId="19324C05" w14:textId="77777777" w:rsidR="00A72B1B" w:rsidRPr="00494CFE"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94CFE">
        <w:rPr>
          <w:rStyle w:val="FootnoteReference"/>
          <w:rFonts w:ascii="Times New Roman" w:hAnsi="Times New Roman" w:cs="Times New Roman"/>
          <w:sz w:val="16"/>
          <w:szCs w:val="16"/>
          <w:lang w:val="en-GB"/>
        </w:rPr>
        <w:footnoteRef/>
      </w:r>
      <w:r w:rsidRPr="00494CFE">
        <w:rPr>
          <w:rFonts w:ascii="Times New Roman" w:hAnsi="Times New Roman" w:cs="Times New Roman"/>
          <w:sz w:val="16"/>
          <w:szCs w:val="16"/>
          <w:lang w:val="en-GB"/>
        </w:rPr>
        <w:t xml:space="preserve"> Pauline Affeldt &amp; Reinhold Kesler, ‘Competitors’ Reactions to Big Tech Acquisitions: Evidence from Mobile Apps’ (2022) DIW Berlin Discussion Paper No. 1987.</w:t>
      </w:r>
    </w:p>
  </w:footnote>
  <w:footnote w:id="23">
    <w:p w14:paraId="399B259F"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94CFE">
        <w:rPr>
          <w:rStyle w:val="FootnoteReference"/>
          <w:rFonts w:ascii="Times New Roman" w:hAnsi="Times New Roman" w:cs="Times New Roman"/>
          <w:sz w:val="16"/>
          <w:szCs w:val="16"/>
          <w:lang w:val="en-GB"/>
        </w:rPr>
        <w:footnoteRef/>
      </w:r>
      <w:r w:rsidRPr="00494CFE">
        <w:rPr>
          <w:rFonts w:ascii="Times New Roman" w:hAnsi="Times New Roman" w:cs="Times New Roman"/>
          <w:sz w:val="16"/>
          <w:szCs w:val="16"/>
          <w:lang w:val="en-GB"/>
        </w:rPr>
        <w:t xml:space="preserve"> Zelda Brutti &amp; Luis E. Rojas, ‘M&amp;A and Early Investment Decisions by Digital Platforms’ (2022) 49 Journal of Industrial and Business Economics 509.</w:t>
      </w:r>
    </w:p>
  </w:footnote>
  <w:footnote w:id="24">
    <w:p w14:paraId="3D7500D2" w14:textId="463EA751"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Robert W. Crandall &amp; Thomas W. Hazlett, ‘Antitrust in the Information Economy: Digital Platform Mergers’ (2022) 65 (2) The Journal of Law &amp; Economics 499.</w:t>
      </w:r>
    </w:p>
  </w:footnote>
  <w:footnote w:id="25">
    <w:p w14:paraId="1D8322B9" w14:textId="5DBF37AF"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See, Camila Cabral Pires-Alves, Manuel Gonzalo, &amp; Marcos Lyra, ‘Startups and Young Innovative Firms Mergers &amp; Acquisitions: An Antitrust Debate?’ (2019) 23 (2) Revista de Economia Contemporanea 1; Mats Holmström, Jorge Padilla, Robin Stitzing, &amp; Pekka Saaskilahti, ‘Killer Acquisitions? The Debate on Merger Control for Digital Markets’ (2018) Yearbook of the Finnish Competition Law Association.</w:t>
      </w:r>
    </w:p>
  </w:footnote>
  <w:footnote w:id="26">
    <w:p w14:paraId="6B8619B2" w14:textId="243D4788"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See, Natalie Harsdorf, ‘Digital Economy: New Test in Austrian Merger Control’ (2017) 8 (7) Journal of European Competition Law &amp; Practice 421.</w:t>
      </w:r>
    </w:p>
  </w:footnote>
  <w:footnote w:id="27">
    <w:p w14:paraId="0FFF1B62" w14:textId="1CAB5CA5"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See, Amy Madl, ‘Killing Innovation? Antitrust Implications of Killer Acquisitions’ (2021) 38 Yale Journal on Regulation Bulletin 28.</w:t>
      </w:r>
    </w:p>
  </w:footnote>
  <w:footnote w:id="28">
    <w:p w14:paraId="37E3A11A" w14:textId="77777777" w:rsidR="00A72B1B" w:rsidRPr="009D47B2"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9D47B2">
        <w:rPr>
          <w:rStyle w:val="FootnoteReference"/>
          <w:rFonts w:ascii="Times New Roman" w:hAnsi="Times New Roman" w:cs="Times New Roman"/>
          <w:sz w:val="16"/>
          <w:szCs w:val="16"/>
          <w:lang w:val="en-GB"/>
        </w:rPr>
        <w:footnoteRef/>
      </w:r>
      <w:r w:rsidRPr="009D47B2">
        <w:rPr>
          <w:rFonts w:ascii="Times New Roman" w:hAnsi="Times New Roman" w:cs="Times New Roman"/>
          <w:sz w:val="16"/>
          <w:szCs w:val="16"/>
          <w:lang w:val="en-GB"/>
        </w:rPr>
        <w:t xml:space="preserve"> Daniel Sokol, ‘Merger Law for Biotech and Killer Acquisitions’ (2021) 72 Florida Law Review Forum 1.</w:t>
      </w:r>
    </w:p>
  </w:footnote>
  <w:footnote w:id="29">
    <w:p w14:paraId="48CA312E" w14:textId="77777777"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Axel Gautier &amp; Joe Lamesch, ‘Mergers in the Digital Economy’ (2021) 54 Information Economics and Policy 1.</w:t>
      </w:r>
    </w:p>
  </w:footnote>
  <w:footnote w:id="30">
    <w:p w14:paraId="63691D37" w14:textId="77777777"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John M. Yun, ‘Discriminatory Antitrust in the Realm of Potential and Nascent Competition’ (2022) George Mason Law &amp; Economics Research Paper No. 22-04.</w:t>
      </w:r>
    </w:p>
  </w:footnote>
  <w:footnote w:id="31">
    <w:p w14:paraId="7F21F9E0" w14:textId="3A0E5606"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Mark A. Lemley, ‘Industry-Specific Antitrust Policy for Innovation’ (2011) 3 Columbia Business Law Review 637.</w:t>
      </w:r>
    </w:p>
  </w:footnote>
  <w:footnote w:id="32">
    <w:p w14:paraId="45598024" w14:textId="78B06CC1"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Arti K. Rai, ‘Fostering Cumulative Innovation in the Biopharmaceutical Industry: The Role of Patents and Antitrust’ (2001) 16 (2) Berkeley Technology Law Journal 813.</w:t>
      </w:r>
    </w:p>
  </w:footnote>
  <w:footnote w:id="33">
    <w:p w14:paraId="207B2C07" w14:textId="50F07C3D"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Kumar R. Sarangee &amp; Raj Echambadi, ‘Firm-Specific Determinants of Product Line Technology Strategies in High Technology Markets’ (2014) 8 (2) Strategic Entrepreneurship Journal 149.</w:t>
      </w:r>
    </w:p>
  </w:footnote>
  <w:footnote w:id="34">
    <w:p w14:paraId="1C18EF1B" w14:textId="3C2DC6B5" w:rsidR="00A72B1B" w:rsidRPr="0016590B"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 Patrycja Klimas &amp; Wojciech Czakon, ‘Gaming innovation ecosystem: actors, roles and co-innovation processes’ (2022) 16 Review of Managerial Science 2213; Filipe Castro Soeiro, Mariana Santos, &amp; Jose Alves, ‘Network-based innovation: the case for mobile gaming and digital music’ (2016) 28 (2) European Business Review 155.</w:t>
      </w:r>
    </w:p>
  </w:footnote>
  <w:footnote w:id="35">
    <w:p w14:paraId="0331803C" w14:textId="31491D59"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6590B">
        <w:rPr>
          <w:rStyle w:val="FootnoteReference"/>
          <w:rFonts w:ascii="Times New Roman" w:hAnsi="Times New Roman" w:cs="Times New Roman"/>
          <w:sz w:val="16"/>
          <w:szCs w:val="16"/>
          <w:lang w:val="en-GB"/>
        </w:rPr>
        <w:footnoteRef/>
      </w:r>
      <w:r w:rsidRPr="0016590B">
        <w:rPr>
          <w:rFonts w:ascii="Times New Roman" w:hAnsi="Times New Roman" w:cs="Times New Roman"/>
          <w:sz w:val="16"/>
          <w:szCs w:val="16"/>
          <w:lang w:val="en-GB"/>
        </w:rPr>
        <w:t xml:space="preserve">The Literature continues to treat non-horizontal mergers as largely beneficial for innovation. Giovanni Morzenti, ‘Antitrust Policy and Innovation’ (2022) </w:t>
      </w:r>
      <w:hyperlink r:id="rId7" w:history="1">
        <w:r w:rsidRPr="0016590B">
          <w:rPr>
            <w:rStyle w:val="Hyperlink"/>
            <w:rFonts w:ascii="Times New Roman" w:hAnsi="Times New Roman" w:cs="Times New Roman"/>
            <w:sz w:val="16"/>
            <w:szCs w:val="16"/>
            <w:lang w:val="en-GB"/>
          </w:rPr>
          <w:t>https://www.dropbox.com/s/pxwr4wt9hh5rate/Antitrust_and_Innovation___Paper_V2.pdf?dl=0</w:t>
        </w:r>
      </w:hyperlink>
      <w:r w:rsidRPr="0016590B">
        <w:rPr>
          <w:rFonts w:ascii="Times New Roman" w:hAnsi="Times New Roman" w:cs="Times New Roman"/>
          <w:sz w:val="16"/>
          <w:szCs w:val="16"/>
          <w:lang w:val="en-GB"/>
        </w:rPr>
        <w:t>.</w:t>
      </w:r>
    </w:p>
  </w:footnote>
  <w:footnote w:id="36">
    <w:p w14:paraId="592DABE3" w14:textId="336FC7EE"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See, Steven Sunshine &amp; Julia K. York, ‘DoJs Failure to Prove its “Killer Acquisition” Claim in Sabre/Farelogix and Parallels to Other Recent Government Merger Litigation Losses’ (2021) 72 Florida Law Review Forum 22; Frederic Marty &amp; Thierry Warin, ‘Visa Acquiring Plaid: A Tartan Over a Killer Acquisition?’ (2020) CIRANO Working Papers No. 2020s-62.</w:t>
      </w:r>
    </w:p>
  </w:footnote>
  <w:footnote w:id="37">
    <w:p w14:paraId="77791E43" w14:textId="78E94C65"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Interestingly, the authors’ finding of the rarity of killer acquisitions disappear in the final (published) version of their paper, which omits their previous characterization of what constitutes a killer acquisition.</w:t>
      </w:r>
      <w:r w:rsidR="00403231">
        <w:rPr>
          <w:rFonts w:ascii="Times New Roman" w:hAnsi="Times New Roman" w:cs="Times New Roman"/>
          <w:sz w:val="16"/>
          <w:szCs w:val="16"/>
          <w:lang w:val="en-GB"/>
        </w:rPr>
        <w:t xml:space="preserve"> </w:t>
      </w:r>
    </w:p>
  </w:footnote>
  <w:footnote w:id="38">
    <w:p w14:paraId="4828138F" w14:textId="77777777"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Luis Cabral, ‘Merger Policy in Digital Industries’ (2021) 54 Information Economics and Policy 100866.</w:t>
      </w:r>
    </w:p>
  </w:footnote>
  <w:footnote w:id="39">
    <w:p w14:paraId="44832499" w14:textId="77777777"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Geoffrey Manne, Sam Bowman, &amp; Dirk Auer, ‘Technology Mergers and the Market for Corporate Control’ (2022) 86 (4) Missouri Law Review 1047.</w:t>
      </w:r>
    </w:p>
  </w:footnote>
  <w:footnote w:id="40">
    <w:p w14:paraId="761FDEA4" w14:textId="77777777"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Björn Lundqvist, ‘Killer Acquisitions and Other Forms of Anticompetitive Collaborations in Time of Corona’ (2022) BRICS Competition Law and Policy Series Working Paper No. 22/2022/01. </w:t>
      </w:r>
    </w:p>
  </w:footnote>
  <w:footnote w:id="41">
    <w:p w14:paraId="4AA945C9" w14:textId="3742D4FD"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The EC cleared 94% of the notified transactions between 2010 – 2017. See, European Court of Auditors, ‘The Commission’s EU merger control and antitrust proceedings: a need to scale up market oversight’ (2020) Special Report No. 24 </w:t>
      </w:r>
      <w:hyperlink r:id="rId8" w:history="1">
        <w:r w:rsidRPr="00403231">
          <w:rPr>
            <w:rStyle w:val="Hyperlink"/>
            <w:rFonts w:ascii="Times New Roman" w:hAnsi="Times New Roman" w:cs="Times New Roman"/>
            <w:sz w:val="16"/>
            <w:szCs w:val="16"/>
            <w:lang w:val="en-GB"/>
          </w:rPr>
          <w:t>https://www.eca.europa.eu/Lists/ECADocuments/SR20_24/SR_Competition_policy_EN.pdf</w:t>
        </w:r>
      </w:hyperlink>
      <w:r w:rsidRPr="00403231">
        <w:rPr>
          <w:rFonts w:ascii="Times New Roman" w:hAnsi="Times New Roman" w:cs="Times New Roman"/>
          <w:sz w:val="16"/>
          <w:szCs w:val="16"/>
          <w:lang w:val="en-GB"/>
        </w:rPr>
        <w:t>.</w:t>
      </w:r>
    </w:p>
  </w:footnote>
  <w:footnote w:id="42">
    <w:p w14:paraId="4B1E482A" w14:textId="77777777"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Kevin A. Bryan &amp; Erik Hovenkamp, ‘Startup Acquisitions, Error Costs, and Antitrust Policy’ (2020) 87 (2) The University of Chicago Law Review 331.</w:t>
      </w:r>
    </w:p>
  </w:footnote>
  <w:footnote w:id="43">
    <w:p w14:paraId="1842DE8E" w14:textId="7CD7C262"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Claire Turgot, ‘Killer Acquisitions in Digital Markets: Evaluating the Effectiveness of the EU Merger Control Regime’ (2021) 2 European Competition and Regulatory Law Review 112.</w:t>
      </w:r>
    </w:p>
  </w:footnote>
  <w:footnote w:id="44">
    <w:p w14:paraId="5BF39DFC" w14:textId="77777777" w:rsidR="00A72B1B" w:rsidRPr="0040323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‘Stigler Committee on Digital Platforms: Final Report’ (2019) </w:t>
      </w:r>
      <w:hyperlink r:id="rId9" w:history="1">
        <w:r w:rsidRPr="00403231">
          <w:rPr>
            <w:rStyle w:val="Hyperlink"/>
            <w:rFonts w:ascii="Times New Roman" w:hAnsi="Times New Roman" w:cs="Times New Roman"/>
            <w:sz w:val="16"/>
            <w:szCs w:val="16"/>
            <w:lang w:val="en-GB"/>
          </w:rPr>
          <w:t>https://www.sipotra.it/wp-content/uploads/2020/02/Stigler-Committee-on-Digital-Platforms-Final-Report.pdf</w:t>
        </w:r>
      </w:hyperlink>
      <w:r w:rsidRPr="00403231">
        <w:rPr>
          <w:rFonts w:ascii="Times New Roman" w:hAnsi="Times New Roman" w:cs="Times New Roman"/>
          <w:sz w:val="16"/>
          <w:szCs w:val="16"/>
          <w:lang w:val="en-GB"/>
        </w:rPr>
        <w:t>.</w:t>
      </w:r>
    </w:p>
  </w:footnote>
  <w:footnote w:id="45">
    <w:p w14:paraId="2C00ACAE"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403231">
        <w:rPr>
          <w:rStyle w:val="FootnoteReference"/>
          <w:rFonts w:ascii="Times New Roman" w:hAnsi="Times New Roman" w:cs="Times New Roman"/>
          <w:sz w:val="16"/>
          <w:szCs w:val="16"/>
          <w:lang w:val="en-GB"/>
        </w:rPr>
        <w:footnoteRef/>
      </w:r>
      <w:r w:rsidRPr="00403231">
        <w:rPr>
          <w:rFonts w:ascii="Times New Roman" w:hAnsi="Times New Roman" w:cs="Times New Roman"/>
          <w:sz w:val="16"/>
          <w:szCs w:val="16"/>
          <w:lang w:val="en-GB"/>
        </w:rPr>
        <w:t xml:space="preserve"> ‘Start-ups, Killer Acquisitions, and Merger Control’ (Background Note by the OECD Secretariat, DAF/COMP2020/5) </w:t>
      </w:r>
      <w:hyperlink r:id="rId10" w:history="1">
        <w:r w:rsidRPr="00403231">
          <w:rPr>
            <w:rStyle w:val="Hyperlink"/>
            <w:rFonts w:ascii="Times New Roman" w:hAnsi="Times New Roman" w:cs="Times New Roman"/>
            <w:sz w:val="16"/>
            <w:szCs w:val="16"/>
            <w:lang w:val="en-GB"/>
          </w:rPr>
          <w:t>https://one.oecd.org/document/DAF/COMP(2020)5/en/pdf</w:t>
        </w:r>
      </w:hyperlink>
      <w:r w:rsidRPr="00403231">
        <w:rPr>
          <w:rFonts w:ascii="Times New Roman" w:hAnsi="Times New Roman" w:cs="Times New Roman"/>
          <w:sz w:val="16"/>
          <w:szCs w:val="16"/>
          <w:lang w:val="en-GB"/>
        </w:rPr>
        <w:t>.</w:t>
      </w:r>
    </w:p>
  </w:footnote>
  <w:footnote w:id="46">
    <w:p w14:paraId="0CFA9E38" w14:textId="77777777"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Igor Letina, Armin Schmutzler, &amp; Regina Seibel, ‘Killer Acquisitions and Beyond: Policy Effects on Innovation Strategies’ (2020) CEPR Discussion Paper No. DP15167.</w:t>
      </w:r>
    </w:p>
  </w:footnote>
  <w:footnote w:id="47">
    <w:p w14:paraId="39E4A6BC" w14:textId="22520B60"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Luise Eisfeld, ‘Entry and Acquisitions in Software Markets’ (2023) </w:t>
      </w:r>
      <w:hyperlink r:id="rId11" w:history="1">
        <w:r w:rsidRPr="00140191">
          <w:rPr>
            <w:rStyle w:val="Hyperlink"/>
            <w:rFonts w:ascii="Times New Roman" w:hAnsi="Times New Roman" w:cs="Times New Roman"/>
            <w:sz w:val="16"/>
            <w:szCs w:val="16"/>
            <w:lang w:val="en-GB"/>
          </w:rPr>
          <w:t>https://luiseeisfeld.github.io/assets/docs/JMP_Eisfeld_TSE.pdf</w:t>
        </w:r>
      </w:hyperlink>
      <w:r w:rsidRPr="00140191">
        <w:rPr>
          <w:rFonts w:ascii="Times New Roman" w:hAnsi="Times New Roman" w:cs="Times New Roman"/>
          <w:sz w:val="16"/>
          <w:szCs w:val="16"/>
          <w:lang w:val="en-GB"/>
        </w:rPr>
        <w:t>. See also, John M. Yun, ‘Potential Competition, Nascent Competitors, and Killer Acquisitions’ (2020) The Global Antitrust Institute Report on the Digital Economy No. 18.</w:t>
      </w:r>
    </w:p>
  </w:footnote>
  <w:footnote w:id="48">
    <w:p w14:paraId="78412FF2" w14:textId="77777777"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Pehr-Johan Norback, Charlotta Olofsson, &amp; Lars Persson, ‘Acquisitions for Sleep’ (2020) CESifo Working Paper No. 8095.</w:t>
      </w:r>
    </w:p>
  </w:footnote>
  <w:footnote w:id="49">
    <w:p w14:paraId="1E2DE064" w14:textId="77777777" w:rsidR="00A72B1B" w:rsidRPr="00E6368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63689">
        <w:rPr>
          <w:rStyle w:val="FootnoteReference"/>
          <w:rFonts w:ascii="Times New Roman" w:hAnsi="Times New Roman" w:cs="Times New Roman"/>
          <w:sz w:val="16"/>
          <w:szCs w:val="16"/>
          <w:lang w:val="en-GB"/>
        </w:rPr>
        <w:footnoteRef/>
      </w:r>
      <w:r w:rsidRPr="00E63689">
        <w:rPr>
          <w:rFonts w:ascii="Times New Roman" w:hAnsi="Times New Roman" w:cs="Times New Roman"/>
          <w:sz w:val="16"/>
          <w:szCs w:val="16"/>
          <w:lang w:val="en-GB"/>
        </w:rPr>
        <w:t xml:space="preserve"> Sai Krishna Kamepalli, Raghuram Rajan, &amp; Luigi Zingales, ‘Kill Zone’ (2020) NBER Working Paper No. 27146.</w:t>
      </w:r>
    </w:p>
  </w:footnote>
  <w:footnote w:id="50">
    <w:p w14:paraId="3A128D88" w14:textId="77777777" w:rsidR="00A72B1B" w:rsidRPr="00E6368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63689">
        <w:rPr>
          <w:rStyle w:val="FootnoteReference"/>
          <w:rFonts w:ascii="Times New Roman" w:hAnsi="Times New Roman" w:cs="Times New Roman"/>
          <w:sz w:val="16"/>
          <w:szCs w:val="16"/>
          <w:lang w:val="en-GB"/>
        </w:rPr>
        <w:footnoteRef/>
      </w:r>
      <w:r w:rsidRPr="00E63689">
        <w:rPr>
          <w:rFonts w:ascii="Times New Roman" w:hAnsi="Times New Roman" w:cs="Times New Roman"/>
          <w:sz w:val="16"/>
          <w:szCs w:val="16"/>
          <w:lang w:val="en-GB"/>
        </w:rPr>
        <w:t xml:space="preserve"> Kevin A. Bryan &amp; Erik Hovenkamp, ‘Antitrust Limits on Startup Acquisitions’ (2020) 56 Review of Industrial Organization 615.</w:t>
      </w:r>
    </w:p>
  </w:footnote>
  <w:footnote w:id="51">
    <w:p w14:paraId="7E1FBE7A" w14:textId="77777777"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Cristina Caffarra, Gregory Crawford, &amp; Tommaso Valletti, ‘How Tech Rolls: Potential Competition and Reverse Killer Acquisitions’ (</w:t>
      </w:r>
      <w:r w:rsidRPr="00140191">
        <w:rPr>
          <w:rFonts w:ascii="Times New Roman" w:hAnsi="Times New Roman" w:cs="Times New Roman"/>
          <w:i/>
          <w:iCs/>
          <w:sz w:val="16"/>
          <w:szCs w:val="16"/>
          <w:lang w:val="en-GB"/>
        </w:rPr>
        <w:t>Competition Policy International</w:t>
      </w:r>
      <w:r w:rsidRPr="00140191">
        <w:rPr>
          <w:rFonts w:ascii="Times New Roman" w:hAnsi="Times New Roman" w:cs="Times New Roman"/>
          <w:sz w:val="16"/>
          <w:szCs w:val="16"/>
          <w:lang w:val="en-GB"/>
        </w:rPr>
        <w:t xml:space="preserve">, 26 May 2020) </w:t>
      </w:r>
      <w:hyperlink r:id="rId12" w:history="1">
        <w:r w:rsidRPr="00140191">
          <w:rPr>
            <w:rStyle w:val="Hyperlink"/>
            <w:rFonts w:ascii="Times New Roman" w:hAnsi="Times New Roman" w:cs="Times New Roman"/>
            <w:sz w:val="16"/>
            <w:szCs w:val="16"/>
            <w:lang w:val="en-GB"/>
          </w:rPr>
          <w:t>https://www.competitionpolicyinternational.com/how-tech-rolls-potential-competition-and-reverse-killer-acquisitions/</w:t>
        </w:r>
      </w:hyperlink>
      <w:r w:rsidRPr="00140191">
        <w:rPr>
          <w:rFonts w:ascii="Times New Roman" w:hAnsi="Times New Roman" w:cs="Times New Roman"/>
          <w:sz w:val="16"/>
          <w:szCs w:val="16"/>
          <w:lang w:val="en-GB"/>
        </w:rPr>
        <w:t>.</w:t>
      </w:r>
    </w:p>
  </w:footnote>
  <w:footnote w:id="52">
    <w:p w14:paraId="22DB4442" w14:textId="77777777"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Oliver Latham, Isabel Tecu, &amp; Nitika Bagaria, ‘Beyond Killer Acquisitions’ (</w:t>
      </w:r>
      <w:r w:rsidRPr="00140191">
        <w:rPr>
          <w:rFonts w:ascii="Times New Roman" w:hAnsi="Times New Roman" w:cs="Times New Roman"/>
          <w:i/>
          <w:iCs/>
          <w:sz w:val="16"/>
          <w:szCs w:val="16"/>
          <w:lang w:val="en-GB"/>
        </w:rPr>
        <w:t>Competition Policy International</w:t>
      </w:r>
      <w:r w:rsidRPr="00140191">
        <w:rPr>
          <w:rFonts w:ascii="Times New Roman" w:hAnsi="Times New Roman" w:cs="Times New Roman"/>
          <w:sz w:val="16"/>
          <w:szCs w:val="16"/>
          <w:lang w:val="en-GB"/>
        </w:rPr>
        <w:t xml:space="preserve">, 26 May 2020) </w:t>
      </w:r>
      <w:hyperlink r:id="rId13" w:history="1">
        <w:r w:rsidRPr="00140191">
          <w:rPr>
            <w:rStyle w:val="Hyperlink"/>
            <w:rFonts w:ascii="Times New Roman" w:hAnsi="Times New Roman" w:cs="Times New Roman"/>
            <w:sz w:val="16"/>
            <w:szCs w:val="16"/>
            <w:lang w:val="en-GB"/>
          </w:rPr>
          <w:t>https://www.competitionpolicyinternational.com/beyond-killer-acquisitions-are-there-more-common-potential-competition-issues-in-tech-deals-and-how-can-these-be-assessed/</w:t>
        </w:r>
      </w:hyperlink>
      <w:r w:rsidRPr="00140191">
        <w:rPr>
          <w:rFonts w:ascii="Times New Roman" w:hAnsi="Times New Roman" w:cs="Times New Roman"/>
          <w:sz w:val="16"/>
          <w:szCs w:val="16"/>
          <w:lang w:val="en-GB"/>
        </w:rPr>
        <w:t>.</w:t>
      </w:r>
    </w:p>
  </w:footnote>
  <w:footnote w:id="53">
    <w:p w14:paraId="50D66E38" w14:textId="77777777"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Kristen Limarzi &amp; Harry S. Phillips, ‘“Killer Acquisitions,” Big Tech, and Section 2: A Solution in Search of a Problem’ (</w:t>
      </w:r>
      <w:r w:rsidRPr="00140191">
        <w:rPr>
          <w:rFonts w:ascii="Times New Roman" w:hAnsi="Times New Roman" w:cs="Times New Roman"/>
          <w:i/>
          <w:iCs/>
          <w:sz w:val="16"/>
          <w:szCs w:val="16"/>
          <w:lang w:val="en-GB"/>
        </w:rPr>
        <w:t>Competition Policy International</w:t>
      </w:r>
      <w:r w:rsidRPr="00140191">
        <w:rPr>
          <w:rFonts w:ascii="Times New Roman" w:hAnsi="Times New Roman" w:cs="Times New Roman"/>
          <w:sz w:val="16"/>
          <w:szCs w:val="16"/>
          <w:lang w:val="en-GB"/>
        </w:rPr>
        <w:t xml:space="preserve">, 26 May 2022) </w:t>
      </w:r>
      <w:hyperlink r:id="rId14" w:history="1">
        <w:r w:rsidRPr="00140191">
          <w:rPr>
            <w:rStyle w:val="Hyperlink"/>
            <w:rFonts w:ascii="Times New Roman" w:hAnsi="Times New Roman" w:cs="Times New Roman"/>
            <w:sz w:val="16"/>
            <w:szCs w:val="16"/>
            <w:lang w:val="en-GB"/>
          </w:rPr>
          <w:t>https://www.competitionpolicyinternational.com/killer-acquisitions-big-tech-and-section-2-a-solution-in-search-of-a-problem/</w:t>
        </w:r>
      </w:hyperlink>
      <w:r w:rsidRPr="00140191">
        <w:rPr>
          <w:rFonts w:ascii="Times New Roman" w:hAnsi="Times New Roman" w:cs="Times New Roman"/>
          <w:sz w:val="16"/>
          <w:szCs w:val="16"/>
          <w:lang w:val="en-GB"/>
        </w:rPr>
        <w:t>.</w:t>
      </w:r>
    </w:p>
  </w:footnote>
  <w:footnote w:id="54">
    <w:p w14:paraId="1D635809" w14:textId="2652A315" w:rsidR="00A72B1B" w:rsidRPr="00140191"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Robert Kulick &amp; Andrew Card, ‘Mergers, Industries, and Innovation: Evidence from R&amp;D Expenditure and Patent Applications’ (NERA Economic Consulting Paper, February 2023) </w:t>
      </w:r>
      <w:hyperlink r:id="rId15" w:history="1">
        <w:r w:rsidRPr="00140191">
          <w:rPr>
            <w:rStyle w:val="Hyperlink"/>
            <w:rFonts w:ascii="Times New Roman" w:hAnsi="Times New Roman" w:cs="Times New Roman"/>
            <w:sz w:val="16"/>
            <w:szCs w:val="16"/>
            <w:lang w:val="en-GB"/>
          </w:rPr>
          <w:t>https://www.uschamber.com/assets/documents/NERA-Mergers-and-Innovation-Feb-2023.pdf</w:t>
        </w:r>
      </w:hyperlink>
      <w:r w:rsidRPr="00140191">
        <w:rPr>
          <w:rFonts w:ascii="Times New Roman" w:hAnsi="Times New Roman" w:cs="Times New Roman"/>
          <w:sz w:val="16"/>
          <w:szCs w:val="16"/>
          <w:lang w:val="en-GB"/>
        </w:rPr>
        <w:t>.</w:t>
      </w:r>
    </w:p>
  </w:footnote>
  <w:footnote w:id="55">
    <w:p w14:paraId="09971B9B"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140191">
        <w:rPr>
          <w:rStyle w:val="FootnoteReference"/>
          <w:rFonts w:ascii="Times New Roman" w:hAnsi="Times New Roman" w:cs="Times New Roman"/>
          <w:sz w:val="16"/>
          <w:szCs w:val="16"/>
          <w:lang w:val="en-GB"/>
        </w:rPr>
        <w:footnoteRef/>
      </w:r>
      <w:r w:rsidRPr="00140191">
        <w:rPr>
          <w:rFonts w:ascii="Times New Roman" w:hAnsi="Times New Roman" w:cs="Times New Roman"/>
          <w:sz w:val="16"/>
          <w:szCs w:val="16"/>
          <w:lang w:val="en-GB"/>
        </w:rPr>
        <w:t xml:space="preserve"> See, in the same vein, Max Berre, ‘Killer Acquisition Theory in the Digital Age’ (2021) SSRN </w:t>
      </w:r>
      <w:hyperlink r:id="rId16" w:history="1">
        <w:r w:rsidRPr="00140191">
          <w:rPr>
            <w:rStyle w:val="Hyperlink"/>
            <w:rFonts w:ascii="Times New Roman" w:hAnsi="Times New Roman" w:cs="Times New Roman"/>
            <w:sz w:val="16"/>
            <w:szCs w:val="16"/>
            <w:lang w:val="en-GB"/>
          </w:rPr>
          <w:t>https://papers.ssrn.com/sol3/papers.cfm?abstract_id=3788536</w:t>
        </w:r>
      </w:hyperlink>
      <w:r w:rsidRPr="00140191">
        <w:rPr>
          <w:rFonts w:ascii="Times New Roman" w:hAnsi="Times New Roman" w:cs="Times New Roman"/>
          <w:sz w:val="16"/>
          <w:szCs w:val="16"/>
          <w:lang w:val="en-GB"/>
        </w:rPr>
        <w:t>.</w:t>
      </w:r>
    </w:p>
  </w:footnote>
  <w:footnote w:id="56">
    <w:p w14:paraId="09AC65CF" w14:textId="4ED6382F" w:rsidR="00A72B1B" w:rsidRPr="00D266A0"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D266A0">
        <w:rPr>
          <w:rStyle w:val="FootnoteReference"/>
          <w:rFonts w:ascii="Times New Roman" w:hAnsi="Times New Roman" w:cs="Times New Roman"/>
          <w:sz w:val="16"/>
          <w:szCs w:val="16"/>
          <w:lang w:val="en-GB"/>
        </w:rPr>
        <w:footnoteRef/>
      </w:r>
      <w:r w:rsidRPr="00D266A0">
        <w:rPr>
          <w:rFonts w:ascii="Times New Roman" w:hAnsi="Times New Roman" w:cs="Times New Roman"/>
          <w:sz w:val="16"/>
          <w:szCs w:val="16"/>
          <w:lang w:val="en-GB"/>
        </w:rPr>
        <w:t xml:space="preserve"> Alan J. Devlin, ‘Killing nascent innovation as abuse of dominance and monopolization’ in Akman, Brook, &amp; Stylianou, </w:t>
      </w:r>
      <w:r w:rsidRPr="00D266A0">
        <w:rPr>
          <w:rFonts w:ascii="Times New Roman" w:hAnsi="Times New Roman" w:cs="Times New Roman"/>
          <w:i/>
          <w:iCs/>
          <w:sz w:val="16"/>
          <w:szCs w:val="16"/>
          <w:lang w:val="en-GB"/>
        </w:rPr>
        <w:t xml:space="preserve">Research Handbook on Abuse of Dominance and Monopolization </w:t>
      </w:r>
      <w:r w:rsidRPr="00D266A0">
        <w:rPr>
          <w:rFonts w:ascii="Times New Roman" w:hAnsi="Times New Roman" w:cs="Times New Roman"/>
          <w:sz w:val="16"/>
          <w:szCs w:val="16"/>
          <w:lang w:val="en-GB"/>
        </w:rPr>
        <w:t>(Elgar 2023).</w:t>
      </w:r>
    </w:p>
  </w:footnote>
  <w:footnote w:id="57">
    <w:p w14:paraId="3330C63B" w14:textId="716AF272" w:rsidR="00A72B1B" w:rsidRPr="00D266A0" w:rsidRDefault="00A72B1B" w:rsidP="00EE77E2">
      <w:pPr>
        <w:pStyle w:val="FootnoteText"/>
        <w:spacing w:before="40" w:after="40" w:line="480" w:lineRule="auto"/>
        <w:jc w:val="both"/>
        <w:rPr>
          <w:rFonts w:ascii="Times New Roman" w:hAnsi="Times New Roman" w:cs="Times New Roman"/>
          <w:sz w:val="16"/>
          <w:szCs w:val="16"/>
          <w:lang w:val="en-GB"/>
        </w:rPr>
      </w:pPr>
      <w:r w:rsidRPr="00D266A0">
        <w:rPr>
          <w:rStyle w:val="FootnoteReference"/>
          <w:rFonts w:ascii="Times New Roman" w:hAnsi="Times New Roman" w:cs="Times New Roman"/>
          <w:sz w:val="16"/>
          <w:szCs w:val="16"/>
          <w:lang w:val="en-GB"/>
        </w:rPr>
        <w:footnoteRef/>
      </w:r>
      <w:r w:rsidRPr="00D266A0">
        <w:rPr>
          <w:rFonts w:ascii="Times New Roman" w:hAnsi="Times New Roman" w:cs="Times New Roman"/>
          <w:sz w:val="16"/>
          <w:szCs w:val="16"/>
          <w:lang w:val="en-GB"/>
        </w:rPr>
        <w:t xml:space="preserve"> These cases are </w:t>
      </w:r>
      <w:r w:rsidRPr="00D266A0">
        <w:rPr>
          <w:rFonts w:ascii="Times New Roman" w:hAnsi="Times New Roman" w:cs="Times New Roman"/>
          <w:i/>
          <w:iCs/>
          <w:sz w:val="16"/>
          <w:szCs w:val="16"/>
          <w:lang w:val="en-GB"/>
        </w:rPr>
        <w:t xml:space="preserve">Microsoft/Time Warner/ContentGuard </w:t>
      </w:r>
      <w:r w:rsidRPr="00D266A0">
        <w:rPr>
          <w:rFonts w:ascii="Times New Roman" w:hAnsi="Times New Roman" w:cs="Times New Roman"/>
          <w:sz w:val="16"/>
          <w:szCs w:val="16"/>
          <w:lang w:val="en-GB"/>
        </w:rPr>
        <w:t xml:space="preserve">(M.3445), </w:t>
      </w:r>
      <w:r w:rsidRPr="00D266A0">
        <w:rPr>
          <w:rFonts w:ascii="Times New Roman" w:hAnsi="Times New Roman" w:cs="Times New Roman"/>
          <w:i/>
          <w:iCs/>
          <w:sz w:val="16"/>
          <w:szCs w:val="16"/>
          <w:lang w:val="en-GB"/>
        </w:rPr>
        <w:t xml:space="preserve">General Electric/Microsoft </w:t>
      </w:r>
      <w:r w:rsidRPr="00D266A0">
        <w:rPr>
          <w:rFonts w:ascii="Times New Roman" w:hAnsi="Times New Roman" w:cs="Times New Roman"/>
          <w:sz w:val="16"/>
          <w:szCs w:val="16"/>
          <w:lang w:val="en-GB"/>
        </w:rPr>
        <w:t xml:space="preserve">(M.6474), and </w:t>
      </w:r>
      <w:r w:rsidRPr="00D266A0">
        <w:rPr>
          <w:rFonts w:ascii="Times New Roman" w:hAnsi="Times New Roman" w:cs="Times New Roman"/>
          <w:i/>
          <w:iCs/>
          <w:sz w:val="16"/>
          <w:szCs w:val="16"/>
          <w:lang w:val="en-GB"/>
        </w:rPr>
        <w:t xml:space="preserve">Alphabet/RESMED </w:t>
      </w:r>
      <w:r w:rsidRPr="00D266A0">
        <w:rPr>
          <w:rFonts w:ascii="Times New Roman" w:hAnsi="Times New Roman" w:cs="Times New Roman"/>
          <w:sz w:val="16"/>
          <w:szCs w:val="16"/>
          <w:lang w:val="en-GB"/>
        </w:rPr>
        <w:t>(M.8991).</w:t>
      </w:r>
    </w:p>
  </w:footnote>
  <w:footnote w:id="58">
    <w:p w14:paraId="61C402F7" w14:textId="424BD30A" w:rsidR="00A72B1B" w:rsidRPr="00D266A0"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D266A0">
        <w:rPr>
          <w:rStyle w:val="FootnoteReference"/>
          <w:rFonts w:ascii="Times New Roman" w:hAnsi="Times New Roman" w:cs="Times New Roman"/>
          <w:sz w:val="16"/>
          <w:szCs w:val="16"/>
          <w:lang w:val="en-GB"/>
        </w:rPr>
        <w:footnoteRef/>
      </w:r>
      <w:r w:rsidRPr="00D266A0">
        <w:rPr>
          <w:rFonts w:ascii="Times New Roman" w:hAnsi="Times New Roman" w:cs="Times New Roman"/>
          <w:sz w:val="16"/>
          <w:szCs w:val="16"/>
          <w:lang w:val="en-GB"/>
        </w:rPr>
        <w:t xml:space="preserve"> These cases are </w:t>
      </w:r>
      <w:r w:rsidRPr="00D266A0">
        <w:rPr>
          <w:rFonts w:ascii="Times New Roman" w:hAnsi="Times New Roman" w:cs="Times New Roman"/>
          <w:i/>
          <w:iCs/>
          <w:sz w:val="16"/>
          <w:szCs w:val="16"/>
          <w:lang w:val="en-GB"/>
        </w:rPr>
        <w:t>Meta/Kustomer</w:t>
      </w:r>
      <w:r w:rsidRPr="00D266A0">
        <w:rPr>
          <w:rFonts w:ascii="Times New Roman" w:hAnsi="Times New Roman" w:cs="Times New Roman"/>
          <w:sz w:val="16"/>
          <w:szCs w:val="16"/>
          <w:lang w:val="en-GB"/>
        </w:rPr>
        <w:t xml:space="preserve"> (M.10262), </w:t>
      </w:r>
      <w:r w:rsidRPr="00D266A0">
        <w:rPr>
          <w:rFonts w:ascii="Times New Roman" w:hAnsi="Times New Roman" w:cs="Times New Roman"/>
          <w:i/>
          <w:iCs/>
          <w:sz w:val="16"/>
          <w:szCs w:val="16"/>
          <w:lang w:val="en-GB"/>
        </w:rPr>
        <w:t>Amazon/MGM</w:t>
      </w:r>
      <w:r w:rsidRPr="00D266A0">
        <w:rPr>
          <w:rFonts w:ascii="Times New Roman" w:hAnsi="Times New Roman" w:cs="Times New Roman"/>
          <w:sz w:val="16"/>
          <w:szCs w:val="16"/>
          <w:lang w:val="en-GB"/>
        </w:rPr>
        <w:t xml:space="preserve"> (M.10349), and </w:t>
      </w:r>
      <w:r w:rsidRPr="00D266A0">
        <w:rPr>
          <w:rFonts w:ascii="Times New Roman" w:hAnsi="Times New Roman" w:cs="Times New Roman"/>
          <w:i/>
          <w:iCs/>
          <w:sz w:val="16"/>
          <w:szCs w:val="16"/>
          <w:lang w:val="en-GB"/>
        </w:rPr>
        <w:t>Microsoft/Nuance</w:t>
      </w:r>
      <w:r w:rsidRPr="00D266A0">
        <w:rPr>
          <w:rFonts w:ascii="Times New Roman" w:hAnsi="Times New Roman" w:cs="Times New Roman"/>
          <w:sz w:val="16"/>
          <w:szCs w:val="16"/>
          <w:lang w:val="en-GB"/>
        </w:rPr>
        <w:t xml:space="preserve"> (M.10290).</w:t>
      </w:r>
    </w:p>
  </w:footnote>
  <w:footnote w:id="59">
    <w:p w14:paraId="3F4FB779" w14:textId="37E505F9" w:rsidR="00A72B1B" w:rsidRPr="00D266A0" w:rsidRDefault="00A72B1B" w:rsidP="00EE77E2">
      <w:pPr>
        <w:pStyle w:val="FootnoteText"/>
        <w:spacing w:beforeLines="40" w:before="96" w:afterLines="40" w:after="96" w:line="480" w:lineRule="auto"/>
        <w:jc w:val="both"/>
        <w:rPr>
          <w:rFonts w:ascii="Times New Roman" w:hAnsi="Times New Roman" w:cs="Times New Roman"/>
          <w:color w:val="000000"/>
          <w:sz w:val="16"/>
          <w:szCs w:val="16"/>
          <w:lang w:val="en-GB"/>
        </w:rPr>
      </w:pPr>
      <w:r w:rsidRPr="00D266A0">
        <w:rPr>
          <w:rStyle w:val="FootnoteReference"/>
          <w:rFonts w:ascii="Times New Roman" w:hAnsi="Times New Roman" w:cs="Times New Roman"/>
          <w:sz w:val="16"/>
          <w:szCs w:val="16"/>
          <w:lang w:val="en-GB"/>
        </w:rPr>
        <w:footnoteRef/>
      </w:r>
      <w:r w:rsidRPr="00D266A0">
        <w:rPr>
          <w:rFonts w:ascii="Times New Roman" w:hAnsi="Times New Roman" w:cs="Times New Roman"/>
          <w:sz w:val="16"/>
          <w:szCs w:val="16"/>
          <w:lang w:val="en-GB"/>
        </w:rPr>
        <w:t xml:space="preserve"> </w:t>
      </w:r>
      <w:r w:rsidRPr="00D266A0">
        <w:rPr>
          <w:rFonts w:ascii="Times New Roman" w:eastAsia="Times New Roman" w:hAnsi="Times New Roman" w:cs="Times New Roman"/>
          <w:color w:val="000000"/>
          <w:sz w:val="16"/>
          <w:szCs w:val="16"/>
          <w:lang w:val="en-GB"/>
        </w:rPr>
        <w:t xml:space="preserve">So </w:t>
      </w:r>
      <w:r w:rsidRPr="00D266A0">
        <w:rPr>
          <w:rFonts w:ascii="Times New Roman" w:hAnsi="Times New Roman" w:cs="Times New Roman"/>
          <w:color w:val="000000"/>
          <w:sz w:val="16"/>
          <w:szCs w:val="16"/>
          <w:lang w:val="en-GB"/>
        </w:rPr>
        <w:t>that it is possible to gather data on sales - most companies do not have data pertaining to the 2000s.</w:t>
      </w:r>
    </w:p>
  </w:footnote>
  <w:footnote w:id="60">
    <w:p w14:paraId="0C2F8A56" w14:textId="095DA74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D266A0">
        <w:rPr>
          <w:rFonts w:ascii="Times New Roman" w:hAnsi="Times New Roman" w:cs="Times New Roman"/>
          <w:color w:val="000000"/>
          <w:sz w:val="16"/>
          <w:szCs w:val="16"/>
          <w:lang w:val="en-GB"/>
        </w:rPr>
        <w:footnoteRef/>
      </w:r>
      <w:r w:rsidRPr="00D266A0">
        <w:rPr>
          <w:rFonts w:ascii="Times New Roman" w:hAnsi="Times New Roman" w:cs="Times New Roman"/>
          <w:color w:val="000000"/>
          <w:sz w:val="16"/>
          <w:szCs w:val="16"/>
          <w:lang w:val="en-GB"/>
        </w:rPr>
        <w:t xml:space="preserve"> Apple/Beats - JVC (no deals), Sony (no deals); MS/Linkedin - SAP (1 deal:  Sybase), Oracle (2 deals: Cerner and Micros); Google/FitBit (no deals); MS/Skype - Yahoo (1 deal: Yahoo acquired by Verizon); Facebook/WhatsApp - Tencent (1 deal, but simplified procedure, no market definition or competitor identification); Apple/Shazam - No deals; MS/GitHub - no deals.</w:t>
      </w:r>
    </w:p>
  </w:footnote>
  <w:footnote w:id="61">
    <w:p w14:paraId="70ECE1DA" w14:textId="5F7F1A25" w:rsidR="00A72B1B" w:rsidRPr="00E0042D"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0042D">
        <w:rPr>
          <w:rStyle w:val="FootnoteReference"/>
          <w:rFonts w:ascii="Times New Roman" w:hAnsi="Times New Roman" w:cs="Times New Roman"/>
          <w:sz w:val="16"/>
          <w:szCs w:val="16"/>
          <w:lang w:val="en-GB"/>
        </w:rPr>
        <w:footnoteRef/>
      </w:r>
      <w:r w:rsidRPr="00E0042D">
        <w:rPr>
          <w:rFonts w:ascii="Times New Roman" w:hAnsi="Times New Roman" w:cs="Times New Roman"/>
          <w:sz w:val="16"/>
          <w:szCs w:val="16"/>
          <w:lang w:val="en-GB"/>
        </w:rPr>
        <w:t xml:space="preserve"> Case M.10643 </w:t>
      </w:r>
      <w:r w:rsidRPr="00E0042D">
        <w:rPr>
          <w:rFonts w:ascii="Times New Roman" w:hAnsi="Times New Roman" w:cs="Times New Roman"/>
          <w:i/>
          <w:iCs/>
          <w:sz w:val="16"/>
          <w:szCs w:val="16"/>
          <w:lang w:val="en-GB"/>
        </w:rPr>
        <w:t>Oracle/CERNER</w:t>
      </w:r>
      <w:r w:rsidRPr="00E0042D">
        <w:rPr>
          <w:rFonts w:ascii="Times New Roman" w:hAnsi="Times New Roman" w:cs="Times New Roman"/>
          <w:sz w:val="16"/>
          <w:szCs w:val="16"/>
          <w:lang w:val="en-GB"/>
        </w:rPr>
        <w:t xml:space="preserve"> [2022].</w:t>
      </w:r>
    </w:p>
  </w:footnote>
  <w:footnote w:id="62">
    <w:p w14:paraId="2726353E" w14:textId="7B71130B" w:rsidR="00A72B1B" w:rsidRPr="00E0042D" w:rsidRDefault="00A72B1B" w:rsidP="00EE77E2">
      <w:pPr>
        <w:pStyle w:val="FootnoteText"/>
        <w:tabs>
          <w:tab w:val="left" w:pos="8340"/>
        </w:tabs>
        <w:spacing w:beforeLines="40" w:before="96" w:afterLines="40" w:after="96" w:line="480" w:lineRule="auto"/>
        <w:jc w:val="both"/>
        <w:rPr>
          <w:rFonts w:ascii="Times New Roman" w:hAnsi="Times New Roman" w:cs="Times New Roman"/>
          <w:sz w:val="16"/>
          <w:szCs w:val="16"/>
          <w:lang w:val="en-GB"/>
        </w:rPr>
      </w:pPr>
      <w:r w:rsidRPr="00E0042D">
        <w:rPr>
          <w:rStyle w:val="FootnoteReference"/>
          <w:rFonts w:ascii="Times New Roman" w:hAnsi="Times New Roman" w:cs="Times New Roman"/>
          <w:sz w:val="16"/>
          <w:szCs w:val="16"/>
          <w:lang w:val="en-GB"/>
        </w:rPr>
        <w:footnoteRef/>
      </w:r>
      <w:r w:rsidRPr="00E0042D">
        <w:rPr>
          <w:rFonts w:ascii="Times New Roman" w:hAnsi="Times New Roman" w:cs="Times New Roman"/>
          <w:sz w:val="16"/>
          <w:szCs w:val="16"/>
          <w:lang w:val="en-GB"/>
        </w:rPr>
        <w:t xml:space="preserve"> These are </w:t>
      </w:r>
      <w:r w:rsidRPr="00E0042D">
        <w:rPr>
          <w:rFonts w:ascii="Times New Roman" w:hAnsi="Times New Roman" w:cs="Times New Roman"/>
          <w:i/>
          <w:iCs/>
          <w:sz w:val="16"/>
          <w:szCs w:val="16"/>
          <w:lang w:val="en-GB"/>
        </w:rPr>
        <w:t>Apple/Beats, Microsoft/Zenimax, Microsoft/GitHub, Apple/Shazam,</w:t>
      </w:r>
      <w:r w:rsidRPr="00E0042D">
        <w:rPr>
          <w:rFonts w:ascii="Times New Roman" w:hAnsi="Times New Roman" w:cs="Times New Roman"/>
          <w:sz w:val="16"/>
          <w:szCs w:val="16"/>
          <w:lang w:val="en-GB"/>
        </w:rPr>
        <w:t xml:space="preserve"> and </w:t>
      </w:r>
      <w:r w:rsidRPr="00E0042D">
        <w:rPr>
          <w:rFonts w:ascii="Times New Roman" w:hAnsi="Times New Roman" w:cs="Times New Roman"/>
          <w:i/>
          <w:iCs/>
          <w:sz w:val="16"/>
          <w:szCs w:val="16"/>
          <w:lang w:val="en-GB"/>
        </w:rPr>
        <w:t>Facebook/WhatsApp</w:t>
      </w:r>
      <w:r w:rsidRPr="00E0042D">
        <w:rPr>
          <w:rFonts w:ascii="Times New Roman" w:hAnsi="Times New Roman" w:cs="Times New Roman"/>
          <w:sz w:val="16"/>
          <w:szCs w:val="16"/>
          <w:lang w:val="en-GB"/>
        </w:rPr>
        <w:t xml:space="preserve">. </w:t>
      </w:r>
      <w:r>
        <w:rPr>
          <w:rFonts w:ascii="Times New Roman" w:hAnsi="Times New Roman" w:cs="Times New Roman"/>
          <w:sz w:val="16"/>
          <w:szCs w:val="16"/>
          <w:lang w:val="en-GB"/>
        </w:rPr>
        <w:tab/>
      </w:r>
    </w:p>
  </w:footnote>
  <w:footnote w:id="63">
    <w:p w14:paraId="4C0CFF60" w14:textId="2270AFB0" w:rsidR="00A72B1B" w:rsidRPr="00E0042D"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0042D">
        <w:rPr>
          <w:rStyle w:val="FootnoteReference"/>
          <w:rFonts w:ascii="Times New Roman" w:hAnsi="Times New Roman" w:cs="Times New Roman"/>
          <w:sz w:val="16"/>
          <w:szCs w:val="16"/>
          <w:lang w:val="en-GB"/>
        </w:rPr>
        <w:footnoteRef/>
      </w:r>
      <w:r w:rsidRPr="00E0042D">
        <w:rPr>
          <w:rFonts w:ascii="Times New Roman" w:hAnsi="Times New Roman" w:cs="Times New Roman"/>
          <w:sz w:val="16"/>
          <w:szCs w:val="16"/>
          <w:lang w:val="en-GB"/>
        </w:rPr>
        <w:t xml:space="preserve"> Cunningham, Ma, &amp; Ederer (n 2) 685.</w:t>
      </w:r>
    </w:p>
  </w:footnote>
  <w:footnote w:id="64">
    <w:p w14:paraId="5C2D925F" w14:textId="77777777" w:rsidR="00A72B1B" w:rsidRPr="00AB477C" w:rsidRDefault="00A72B1B" w:rsidP="00EE77E2">
      <w:pPr>
        <w:pStyle w:val="FootnoteText"/>
        <w:spacing w:before="40" w:after="40" w:line="480" w:lineRule="auto"/>
        <w:jc w:val="both"/>
        <w:rPr>
          <w:rFonts w:ascii="Times New Roman" w:hAnsi="Times New Roman" w:cs="Times New Roman"/>
          <w:sz w:val="16"/>
          <w:szCs w:val="16"/>
        </w:rPr>
      </w:pPr>
      <w:r w:rsidRPr="00AB477C">
        <w:rPr>
          <w:rStyle w:val="FootnoteReference"/>
          <w:rFonts w:ascii="Times New Roman" w:hAnsi="Times New Roman" w:cs="Times New Roman"/>
          <w:sz w:val="16"/>
          <w:szCs w:val="16"/>
        </w:rPr>
        <w:footnoteRef/>
      </w:r>
      <w:r w:rsidRPr="00AB477C">
        <w:rPr>
          <w:rFonts w:ascii="Times New Roman" w:hAnsi="Times New Roman" w:cs="Times New Roman"/>
          <w:sz w:val="16"/>
          <w:szCs w:val="16"/>
        </w:rPr>
        <w:t xml:space="preserve"> Applying the same case selection methodology to US cases yields only one additional case (</w:t>
      </w:r>
      <w:r w:rsidRPr="00AB477C">
        <w:rPr>
          <w:rFonts w:ascii="Times New Roman" w:hAnsi="Times New Roman" w:cs="Times New Roman"/>
          <w:i/>
          <w:iCs/>
          <w:sz w:val="16"/>
          <w:szCs w:val="16"/>
        </w:rPr>
        <w:t xml:space="preserve">Google/ITA Software). </w:t>
      </w:r>
      <w:r w:rsidRPr="00AB477C">
        <w:rPr>
          <w:rFonts w:ascii="Times New Roman" w:hAnsi="Times New Roman" w:cs="Times New Roman"/>
          <w:sz w:val="16"/>
          <w:szCs w:val="16"/>
        </w:rPr>
        <w:t>This case concerned the comparative flight search websites market, and was resolved via settlement. Interestingly, the terms of settlement included a mandate on Google to continue the R&amp;D effort for the target product (“QPX” – a flight search engine). Google also had to bring to market the next-generation flight search engine product planned by ITA (“InstaSearch”). Whilst this may be interpreted as a precaution against potential acts of killing, the existence of such remedies also somewhat repudiates the need for a separate killer acquisition theory of harm, as the agencies already seem to possess adequate tools to detect, monitor, and remedy problematic acquisitions.</w:t>
      </w:r>
    </w:p>
  </w:footnote>
  <w:footnote w:id="65">
    <w:p w14:paraId="2DB7B640" w14:textId="77777777" w:rsidR="00A72B1B" w:rsidRPr="008F3780" w:rsidRDefault="00A72B1B" w:rsidP="00EE77E2">
      <w:pPr>
        <w:pStyle w:val="FootnoteText"/>
        <w:spacing w:before="40" w:after="40" w:line="480" w:lineRule="auto"/>
        <w:jc w:val="both"/>
        <w:rPr>
          <w:rFonts w:ascii="Times New Roman" w:hAnsi="Times New Roman" w:cs="Times New Roman"/>
          <w:sz w:val="16"/>
          <w:szCs w:val="16"/>
          <w:lang w:val="en-GB"/>
        </w:rPr>
      </w:pPr>
      <w:r w:rsidRPr="008F3780">
        <w:rPr>
          <w:rStyle w:val="FootnoteReference"/>
          <w:rFonts w:ascii="Times New Roman" w:hAnsi="Times New Roman" w:cs="Times New Roman"/>
          <w:sz w:val="16"/>
          <w:szCs w:val="16"/>
          <w:lang w:val="en-GB"/>
        </w:rPr>
        <w:footnoteRef/>
      </w:r>
      <w:r w:rsidRPr="008F3780">
        <w:rPr>
          <w:rFonts w:ascii="Times New Roman" w:hAnsi="Times New Roman" w:cs="Times New Roman"/>
          <w:sz w:val="16"/>
          <w:szCs w:val="16"/>
          <w:lang w:val="en-GB"/>
        </w:rPr>
        <w:t xml:space="preserve"> For example, compare the conclusions of Bauer and Prado with the results obtained by Gugler, Szücs, and Wohak. Whilst both papers study a large sample of transactions, the former reports pro-competitive findings, whilst the latter argues that some acquisitions may be anticompetitive. See, Tiago S. Prado &amp; Johannes Bauer, ‘Big Tech platform acquisitions of start-ups and venture capital funding for innovation’ (2022) 59 Information Economics and Policy 100973; Klaus Gügler, Florian Szücs, &amp; Ulrich Wohak, ‘Start-up Acquisitions, Venture Capital, and Innovation’ (CRESSE Conference, Rhodes, June – July 2023).</w:t>
      </w:r>
    </w:p>
  </w:footnote>
  <w:footnote w:id="66">
    <w:p w14:paraId="10F576F3" w14:textId="0502BC5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0042D">
        <w:rPr>
          <w:rStyle w:val="FootnoteReference"/>
          <w:rFonts w:ascii="Times New Roman" w:hAnsi="Times New Roman" w:cs="Times New Roman"/>
          <w:sz w:val="16"/>
          <w:szCs w:val="16"/>
          <w:lang w:val="en-GB"/>
        </w:rPr>
        <w:footnoteRef/>
      </w:r>
      <w:r w:rsidRPr="00E0042D">
        <w:rPr>
          <w:rFonts w:ascii="Times New Roman" w:hAnsi="Times New Roman" w:cs="Times New Roman"/>
          <w:sz w:val="16"/>
          <w:szCs w:val="16"/>
          <w:lang w:val="en-GB"/>
        </w:rPr>
        <w:t xml:space="preserve"> In addition, where needed</w:t>
      </w:r>
      <w:r w:rsidRPr="00E0042D">
        <w:rPr>
          <w:rFonts w:ascii="Times New Roman" w:hAnsi="Times New Roman" w:cs="Times New Roman"/>
          <w:color w:val="000000"/>
          <w:sz w:val="16"/>
          <w:szCs w:val="16"/>
          <w:lang w:val="en-GB"/>
        </w:rPr>
        <w:t>, supplementary information in the form of market shares, consumer usage data, and popularity metrics can also be obtained to help construct a fuller picture of competitive changes in markets after an acquisition took place.</w:t>
      </w:r>
    </w:p>
  </w:footnote>
  <w:footnote w:id="67">
    <w:p w14:paraId="22C20B9F" w14:textId="338051AE" w:rsidR="00A72B1B" w:rsidRPr="00E0042D"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0042D">
        <w:rPr>
          <w:rStyle w:val="FootnoteReference"/>
          <w:rFonts w:ascii="Times New Roman" w:hAnsi="Times New Roman" w:cs="Times New Roman"/>
          <w:sz w:val="16"/>
          <w:szCs w:val="16"/>
          <w:lang w:val="en-GB"/>
        </w:rPr>
        <w:footnoteRef/>
      </w:r>
      <w:r w:rsidRPr="00E0042D">
        <w:rPr>
          <w:rFonts w:ascii="Times New Roman" w:hAnsi="Times New Roman" w:cs="Times New Roman"/>
          <w:sz w:val="16"/>
          <w:szCs w:val="16"/>
          <w:lang w:val="en-GB"/>
        </w:rPr>
        <w:t xml:space="preserve">See </w:t>
      </w:r>
      <w:hyperlink r:id="rId17" w:history="1">
        <w:r w:rsidRPr="00E0042D">
          <w:rPr>
            <w:rStyle w:val="Hyperlink"/>
            <w:rFonts w:ascii="Times New Roman" w:hAnsi="Times New Roman" w:cs="Times New Roman"/>
            <w:sz w:val="16"/>
            <w:szCs w:val="16"/>
            <w:lang w:val="en-GB"/>
          </w:rPr>
          <w:t>Merger-prospectus-31.05.22.pdf (deezer-investors.com)</w:t>
        </w:r>
      </w:hyperlink>
    </w:p>
  </w:footnote>
  <w:footnote w:id="68">
    <w:p w14:paraId="3CDBAAFC" w14:textId="0F70C1B4"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E0042D">
        <w:rPr>
          <w:rStyle w:val="FootnoteReference"/>
          <w:rFonts w:ascii="Times New Roman" w:hAnsi="Times New Roman" w:cs="Times New Roman"/>
          <w:sz w:val="16"/>
          <w:szCs w:val="16"/>
          <w:lang w:val="en-GB"/>
        </w:rPr>
        <w:footnoteRef/>
      </w:r>
      <w:r w:rsidRPr="00E0042D">
        <w:rPr>
          <w:rFonts w:ascii="Times New Roman" w:hAnsi="Times New Roman" w:cs="Times New Roman"/>
          <w:sz w:val="16"/>
          <w:szCs w:val="16"/>
          <w:lang w:val="en-GB"/>
        </w:rPr>
        <w:t xml:space="preserve"> We focus on either expansion of an existing competitor or entry of a new firm in the product market concerned by the merger.</w:t>
      </w:r>
    </w:p>
  </w:footnote>
  <w:footnote w:id="69">
    <w:p w14:paraId="6D2A8297" w14:textId="6981236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We prudently note that relying solely on firms’ declarations to determine whether they face competition from other firms is vulnerable to gaming. Specifically, firms can deliberately argue that a particular product or service offered by a competitor exerts pressure on them. In competition proceedings, firms generally have an incentive to portray their markets as subject to cutthroat competition. However, this is not the case in the context of 10-K reporting, where the incentives for disclosing firms are skewed towards showing profitability and growth, leading to reporting that tends to discount the competition. At any rate, taken together with the results of the remaining tests, the post-merger rival perception test yields useful indications.</w:t>
      </w:r>
    </w:p>
  </w:footnote>
  <w:footnote w:id="70">
    <w:p w14:paraId="3DC10368" w14:textId="16F47FCB"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Cleared in 2010.</w:t>
      </w:r>
    </w:p>
  </w:footnote>
  <w:footnote w:id="71">
    <w:p w14:paraId="10CF248B" w14:textId="0733B3F1"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Oracle 10-K Report, 2009, page 11.</w:t>
      </w:r>
    </w:p>
  </w:footnote>
  <w:footnote w:id="72">
    <w:p w14:paraId="145B75F2" w14:textId="142D7EE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Microsoft 10-K Reports, 2010 and 2011, pages 6.</w:t>
      </w:r>
    </w:p>
  </w:footnote>
  <w:footnote w:id="73">
    <w:p w14:paraId="060C1316" w14:textId="1EA46682"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Cleared in 2016.</w:t>
      </w:r>
    </w:p>
  </w:footnote>
  <w:footnote w:id="74">
    <w:p w14:paraId="096F80CB" w14:textId="57EF8C49"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t>
      </w:r>
      <w:r w:rsidRPr="002B1559">
        <w:rPr>
          <w:rStyle w:val="cf01"/>
          <w:rFonts w:ascii="Times New Roman" w:hAnsi="Times New Roman" w:cs="Times New Roman"/>
          <w:sz w:val="16"/>
          <w:szCs w:val="16"/>
          <w:lang w:val="en-GB"/>
        </w:rPr>
        <w:t>This case, Google recognized Microsoft as a threat due to Microsoft’s potential to integrate the target with its main product (Windows) and leverage its power.</w:t>
      </w:r>
    </w:p>
  </w:footnote>
  <w:footnote w:id="75">
    <w:p w14:paraId="69856F85" w14:textId="3C095FB9"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Garmin 10-K Reports, 2019 and 2020, pages 13 and 10, respectively.</w:t>
      </w:r>
    </w:p>
  </w:footnote>
  <w:footnote w:id="76">
    <w:p w14:paraId="0F63CC2E" w14:textId="71302034"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Garmin 10-K Report, 2021, page 10.</w:t>
      </w:r>
    </w:p>
  </w:footnote>
  <w:footnote w:id="77">
    <w:p w14:paraId="3D6B08C8" w14:textId="6E81F34A"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In fact, the inclusion of Google in brackets may be taken as corroborating evidence for an alternative explanation. It may have been that the motivation for the FitBit acquisition had to do with the power rivals yield in the wearables market, and Google's previously non-existent position. Google may have wanted to enter that market by acquiring an already-made team and product, rather than having to develop everything from scratch in-house. Data on market shares support this alternative scenario. Indeed, as explored below, the acquisition of FitBit succeeded at least a three-year long decline in Google’s share in the wearables market. After the acquisition, the shares have stabilized, hinting at the prospect that acquiring FitBit has stopped the bleeding for Google in the wearables market, at least for the time being.</w:t>
      </w:r>
    </w:p>
  </w:footnote>
  <w:footnote w:id="78">
    <w:p w14:paraId="2CD40E51" w14:textId="79B218F5"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Ubisoft Annual Report, 2017, page 22.</w:t>
      </w:r>
    </w:p>
  </w:footnote>
  <w:footnote w:id="79">
    <w:p w14:paraId="48B70118" w14:textId="4B5ECF8D"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NCR 10-K Report, 2016, page 14.</w:t>
      </w:r>
    </w:p>
  </w:footnote>
  <w:footnote w:id="80">
    <w:p w14:paraId="128EA444" w14:textId="2183E80C"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That may indeed stem from a relative disregard of the transaction. Alternatively, one can argue that these large Japanese firms did not view an acquisition by Apple in headphones market as a large enough development, since headphones comprised a sliver of their business operations.</w:t>
      </w:r>
    </w:p>
  </w:footnote>
  <w:footnote w:id="81">
    <w:p w14:paraId="15787D20" w14:textId="48B1CA51"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Since then, Deezer and SoundHound completed their IPOs in 2022. We note, however, that in its Merger Prospectus, Deezer highlighted Apple as a strong competitor. See Deezer, Merger Prospectus, page 74, </w:t>
      </w:r>
      <w:hyperlink r:id="rId18" w:history="1">
        <w:r w:rsidRPr="002B1559">
          <w:rPr>
            <w:rStyle w:val="Hyperlink"/>
            <w:rFonts w:ascii="Times New Roman" w:hAnsi="Times New Roman" w:cs="Times New Roman"/>
            <w:sz w:val="16"/>
            <w:szCs w:val="16"/>
            <w:lang w:val="en-GB"/>
          </w:rPr>
          <w:t>https://www.deezer-investors.com/wp-content/uploads/2022/06/Merger-prospectus-31.05.22.pdf</w:t>
        </w:r>
      </w:hyperlink>
      <w:r w:rsidRPr="002B1559">
        <w:rPr>
          <w:rFonts w:ascii="Times New Roman" w:hAnsi="Times New Roman" w:cs="Times New Roman"/>
          <w:sz w:val="16"/>
          <w:szCs w:val="16"/>
          <w:lang w:val="en-GB"/>
        </w:rPr>
        <w:t xml:space="preserve">. </w:t>
      </w:r>
    </w:p>
  </w:footnote>
  <w:footnote w:id="82">
    <w:p w14:paraId="0BE79EEC" w14:textId="0A4E672B"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We note, however, that Snapchat consistently identified both Facebook and WhatsApp as competitors since it started issuing 10-K reports.</w:t>
      </w:r>
    </w:p>
  </w:footnote>
  <w:footnote w:id="83">
    <w:p w14:paraId="7AF4BF48" w14:textId="286F3481"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Even though source code hosting services for control was offered as a relevant product market, the designation was nevertheless left open due to two factors: there was no uniform understanding of what that definition corresponds to in the industry, and the transaction was viewed as compatible with the internal market in both narrower and wider forms of that definition.</w:t>
      </w:r>
    </w:p>
  </w:footnote>
  <w:footnote w:id="84">
    <w:p w14:paraId="7923EB50" w14:textId="3785880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GitLab explicitly acknowledges the transaction and recognizes Microsoft as its “principal competitor”. See GitLab, Inc. 10-K Report, 2022, page 17. </w:t>
      </w:r>
    </w:p>
  </w:footnote>
  <w:footnote w:id="85">
    <w:p w14:paraId="1617D0B9" w14:textId="40519B41" w:rsidR="00A72B1B" w:rsidRPr="002B1559" w:rsidRDefault="00A72B1B" w:rsidP="00EE77E2">
      <w:pPr>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Nevertheless, we observe a general lack of interest on behalf of the competitors concerning the transaction. Microsoft itself was mentioned often. However, </w:t>
      </w:r>
      <w:r w:rsidR="007D41AF" w:rsidRPr="002B1559">
        <w:rPr>
          <w:rFonts w:ascii="Times New Roman" w:hAnsi="Times New Roman" w:cs="Times New Roman"/>
          <w:sz w:val="16"/>
          <w:szCs w:val="16"/>
          <w:lang w:val="en-GB"/>
        </w:rPr>
        <w:t>ZeniMax</w:t>
      </w:r>
      <w:r w:rsidRPr="002B1559">
        <w:rPr>
          <w:rFonts w:ascii="Times New Roman" w:hAnsi="Times New Roman" w:cs="Times New Roman"/>
          <w:sz w:val="16"/>
          <w:szCs w:val="16"/>
          <w:lang w:val="en-GB"/>
        </w:rPr>
        <w:t xml:space="preserve"> was completely missing. Another factor that renders this transaction peculiar is as follows. In its 10-K report issued in March 2022, Electronic Arts does not refer to the acquisition of </w:t>
      </w:r>
      <w:r w:rsidR="007D41AF" w:rsidRPr="002B1559">
        <w:rPr>
          <w:rFonts w:ascii="Times New Roman" w:hAnsi="Times New Roman" w:cs="Times New Roman"/>
          <w:sz w:val="16"/>
          <w:szCs w:val="16"/>
          <w:lang w:val="en-GB"/>
        </w:rPr>
        <w:t>ZeniMax</w:t>
      </w:r>
      <w:r w:rsidRPr="002B1559">
        <w:rPr>
          <w:rFonts w:ascii="Times New Roman" w:hAnsi="Times New Roman" w:cs="Times New Roman"/>
          <w:sz w:val="16"/>
          <w:szCs w:val="16"/>
          <w:lang w:val="en-GB"/>
        </w:rPr>
        <w:t xml:space="preserve"> by Microsoft. However, it does refer to other acquisitions of its competitors, such as the proposal by Microsoft to acquire Activision Blizzard (currently under review) and Take-Two's acquisition of Zynga Games. These references do not relate to a concern of "killing". Rather, the EA is worried that large and well-funded tech companies such as Microsoft and Take-Two are strengthening their capabilities in the game publishing market. Similar to EA, Take-Two interactive also does not mention the acquisition of </w:t>
      </w:r>
      <w:r w:rsidR="00314F46" w:rsidRPr="002B1559">
        <w:rPr>
          <w:rFonts w:ascii="Times New Roman" w:hAnsi="Times New Roman" w:cs="Times New Roman"/>
          <w:sz w:val="16"/>
          <w:szCs w:val="16"/>
          <w:lang w:val="en-GB"/>
        </w:rPr>
        <w:t>ZeniMax</w:t>
      </w:r>
      <w:r w:rsidRPr="002B1559">
        <w:rPr>
          <w:rFonts w:ascii="Times New Roman" w:hAnsi="Times New Roman" w:cs="Times New Roman"/>
          <w:sz w:val="16"/>
          <w:szCs w:val="16"/>
          <w:lang w:val="en-GB"/>
        </w:rPr>
        <w:t>. However, it refers to recent consolidation in the industry, explicitly singling out the proposed acquisition of Activision Blizzard by Microsoft. Again, its concern stems from a potential increase in the capabilities of large players like Microsoft to compete in the gaming sector.</w:t>
      </w:r>
      <w:r w:rsidRPr="002B1559">
        <w:rPr>
          <w:rFonts w:ascii="Times New Roman" w:hAnsi="Times New Roman" w:cs="Times New Roman"/>
          <w:sz w:val="16"/>
          <w:szCs w:val="16"/>
          <w:lang w:val="en-GB"/>
        </w:rPr>
        <w:footnoteRef/>
      </w:r>
    </w:p>
  </w:footnote>
  <w:footnote w:id="86">
    <w:p w14:paraId="50D6188B" w14:textId="60529E9C"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The case that comes closest to this ideal is Apple/Beats, in which the product market was delineated as “supply of headphones”. Even in that case, the most granular data we could derive from annual reports relate to the sales of “accessories”, “IoT devices”, or “Audio”.</w:t>
      </w:r>
    </w:p>
  </w:footnote>
  <w:footnote w:id="87">
    <w:p w14:paraId="3C69D47E" w14:textId="62BABF66"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For instance, where the identified antitrust product market is the sale of headphones, an analysis based on the “Wearables” segment fails to eliminate sales figures for fitness trackers or smart watches.</w:t>
      </w:r>
    </w:p>
  </w:footnote>
  <w:footnote w:id="88">
    <w:p w14:paraId="40D3148D" w14:textId="176A076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The sales data and YoY growth are available under the Appendix.</w:t>
      </w:r>
    </w:p>
  </w:footnote>
  <w:footnote w:id="89">
    <w:p w14:paraId="69FACE82" w14:textId="32CB9F34"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If there was a killing of competition understood as substitutes, harm to complements using the substitute should also obtain.</w:t>
      </w:r>
    </w:p>
  </w:footnote>
  <w:footnote w:id="90">
    <w:p w14:paraId="1B63D15D" w14:textId="26BB46EE"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We exclude </w:t>
      </w:r>
      <w:r w:rsidRPr="002B1559">
        <w:rPr>
          <w:rFonts w:ascii="Times New Roman" w:hAnsi="Times New Roman" w:cs="Times New Roman"/>
          <w:i/>
          <w:iCs/>
          <w:sz w:val="16"/>
          <w:szCs w:val="16"/>
          <w:lang w:val="en-GB"/>
        </w:rPr>
        <w:t>Microsoft/GitHub</w:t>
      </w:r>
      <w:r w:rsidRPr="002B1559">
        <w:rPr>
          <w:rFonts w:ascii="Times New Roman" w:hAnsi="Times New Roman" w:cs="Times New Roman"/>
          <w:sz w:val="16"/>
          <w:szCs w:val="16"/>
          <w:lang w:val="en-GB"/>
        </w:rPr>
        <w:t xml:space="preserve">, </w:t>
      </w:r>
      <w:r w:rsidRPr="002B1559">
        <w:rPr>
          <w:rFonts w:ascii="Times New Roman" w:hAnsi="Times New Roman" w:cs="Times New Roman"/>
          <w:i/>
          <w:iCs/>
          <w:sz w:val="16"/>
          <w:szCs w:val="16"/>
          <w:lang w:val="en-GB"/>
        </w:rPr>
        <w:t>Apple/Shazam</w:t>
      </w:r>
      <w:r w:rsidRPr="002B1559">
        <w:rPr>
          <w:rFonts w:ascii="Times New Roman" w:hAnsi="Times New Roman" w:cs="Times New Roman"/>
          <w:sz w:val="16"/>
          <w:szCs w:val="16"/>
          <w:lang w:val="en-GB"/>
        </w:rPr>
        <w:t xml:space="preserve">, and </w:t>
      </w:r>
      <w:r w:rsidRPr="002B1559">
        <w:rPr>
          <w:rFonts w:ascii="Times New Roman" w:hAnsi="Times New Roman" w:cs="Times New Roman"/>
          <w:i/>
          <w:iCs/>
          <w:sz w:val="16"/>
          <w:szCs w:val="16"/>
          <w:lang w:val="en-GB"/>
        </w:rPr>
        <w:t>Facebook/WhatsApp</w:t>
      </w:r>
      <w:r w:rsidRPr="002B1559">
        <w:rPr>
          <w:rFonts w:ascii="Times New Roman" w:hAnsi="Times New Roman" w:cs="Times New Roman"/>
          <w:sz w:val="16"/>
          <w:szCs w:val="16"/>
          <w:lang w:val="en-GB"/>
        </w:rPr>
        <w:t xml:space="preserve"> from this analysis. Microsoft/GitHub was completed in 2018 and the competitors (Atlassian and BitBucket) have gone public only very recently, thus making it an inappropriate case to derive observations from. </w:t>
      </w:r>
      <w:r w:rsidRPr="002B1559">
        <w:rPr>
          <w:rFonts w:ascii="Times New Roman" w:hAnsi="Times New Roman" w:cs="Times New Roman"/>
          <w:i/>
          <w:iCs/>
          <w:sz w:val="16"/>
          <w:szCs w:val="16"/>
          <w:lang w:val="en-GB"/>
        </w:rPr>
        <w:t>Apple/Shazam</w:t>
      </w:r>
      <w:r w:rsidRPr="002B1559">
        <w:rPr>
          <w:rFonts w:ascii="Times New Roman" w:hAnsi="Times New Roman" w:cs="Times New Roman"/>
          <w:sz w:val="16"/>
          <w:szCs w:val="16"/>
          <w:lang w:val="en-GB"/>
        </w:rPr>
        <w:t xml:space="preserve"> suffers from a shortage of sales data, as rivals the EC identified had gone public only very recently. </w:t>
      </w:r>
      <w:r w:rsidRPr="002B1559">
        <w:rPr>
          <w:rFonts w:ascii="Times New Roman" w:hAnsi="Times New Roman" w:cs="Times New Roman"/>
          <w:i/>
          <w:iCs/>
          <w:sz w:val="16"/>
          <w:szCs w:val="16"/>
          <w:lang w:val="en-GB"/>
        </w:rPr>
        <w:t>Facebook/WhatsApp</w:t>
      </w:r>
      <w:r w:rsidRPr="002B1559">
        <w:rPr>
          <w:rFonts w:ascii="Times New Roman" w:hAnsi="Times New Roman" w:cs="Times New Roman"/>
          <w:sz w:val="16"/>
          <w:szCs w:val="16"/>
          <w:lang w:val="en-GB"/>
        </w:rPr>
        <w:t xml:space="preserve"> represents an outlier in the sense that the rivals identified by the EC are either geographically specialized (LINE, QQ, WeChat) or non-profit (Signal, Telegram).</w:t>
      </w:r>
    </w:p>
  </w:footnote>
  <w:footnote w:id="91">
    <w:p w14:paraId="074D102B" w14:textId="0B293A75"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In this case, the drop in industry sales cannot be attributed solely to an acquisition made by a competitor.  See, ‘Sanction-hit Huawei says revenues down 29% this year’ (</w:t>
      </w:r>
      <w:r w:rsidRPr="002B1559">
        <w:rPr>
          <w:rFonts w:ascii="Times New Roman" w:hAnsi="Times New Roman" w:cs="Times New Roman"/>
          <w:i/>
          <w:iCs/>
          <w:sz w:val="16"/>
          <w:szCs w:val="16"/>
          <w:lang w:val="en-GB"/>
        </w:rPr>
        <w:t>The Guardian</w:t>
      </w:r>
      <w:r w:rsidRPr="002B1559">
        <w:rPr>
          <w:rFonts w:ascii="Times New Roman" w:hAnsi="Times New Roman" w:cs="Times New Roman"/>
          <w:sz w:val="16"/>
          <w:szCs w:val="16"/>
          <w:lang w:val="en-GB"/>
        </w:rPr>
        <w:t xml:space="preserve">, 31 December 2021) </w:t>
      </w:r>
      <w:hyperlink r:id="rId19" w:history="1">
        <w:r w:rsidRPr="002B1559">
          <w:rPr>
            <w:rStyle w:val="Hyperlink"/>
            <w:rFonts w:ascii="Times New Roman" w:hAnsi="Times New Roman" w:cs="Times New Roman"/>
            <w:sz w:val="16"/>
            <w:szCs w:val="16"/>
            <w:lang w:val="en-GB"/>
          </w:rPr>
          <w:t>https://www.theguardian.com/technology/2021/dec/31/sanction-hit-huawei-says-revenues-down-29-this-year</w:t>
        </w:r>
      </w:hyperlink>
      <w:r w:rsidRPr="002B1559">
        <w:rPr>
          <w:rFonts w:ascii="Times New Roman" w:hAnsi="Times New Roman" w:cs="Times New Roman"/>
          <w:sz w:val="16"/>
          <w:szCs w:val="16"/>
          <w:lang w:val="en-GB"/>
        </w:rPr>
        <w:t xml:space="preserve"> accessed 6 December 2022. </w:t>
      </w:r>
    </w:p>
  </w:footnote>
  <w:footnote w:id="92">
    <w:p w14:paraId="651CD881" w14:textId="59F36A01"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Sara Guaglione, ‘'New York Times' Tightens Metered Paywall’ (</w:t>
      </w:r>
      <w:r w:rsidRPr="002B1559">
        <w:rPr>
          <w:rFonts w:ascii="Times New Roman" w:hAnsi="Times New Roman" w:cs="Times New Roman"/>
          <w:i/>
          <w:iCs/>
          <w:sz w:val="16"/>
          <w:szCs w:val="16"/>
          <w:lang w:val="en-GB"/>
        </w:rPr>
        <w:t>MediaPost</w:t>
      </w:r>
      <w:r w:rsidRPr="002B1559">
        <w:rPr>
          <w:rFonts w:ascii="Times New Roman" w:hAnsi="Times New Roman" w:cs="Times New Roman"/>
          <w:sz w:val="16"/>
          <w:szCs w:val="16"/>
          <w:lang w:val="en-GB"/>
        </w:rPr>
        <w:t xml:space="preserve">, 1 December 2017) </w:t>
      </w:r>
      <w:hyperlink r:id="rId20" w:history="1">
        <w:r w:rsidRPr="002B1559">
          <w:rPr>
            <w:rStyle w:val="Hyperlink"/>
            <w:rFonts w:ascii="Times New Roman" w:hAnsi="Times New Roman" w:cs="Times New Roman"/>
            <w:sz w:val="16"/>
            <w:szCs w:val="16"/>
            <w:lang w:val="en-GB"/>
          </w:rPr>
          <w:t>https://www.mediapost.com/publications/article/310971/new-york-times-tightens-metered-paywall.html accessed 23 December 2022</w:t>
        </w:r>
      </w:hyperlink>
      <w:r w:rsidRPr="002B1559">
        <w:rPr>
          <w:rFonts w:ascii="Times New Roman" w:hAnsi="Times New Roman" w:cs="Times New Roman"/>
          <w:sz w:val="16"/>
          <w:szCs w:val="16"/>
          <w:lang w:val="en-GB"/>
        </w:rPr>
        <w:t xml:space="preserve">. Given that increasing cohorts of consumers look for finance content online, these practices may have had an impact on the NYT’s diminished revenue in terms of digital finance content. See ‘2019 research review: Traditional industries are transforming with digital’ </w:t>
      </w:r>
      <w:hyperlink r:id="rId21" w:history="1">
        <w:r w:rsidRPr="002B1559">
          <w:rPr>
            <w:rStyle w:val="Hyperlink"/>
            <w:rFonts w:ascii="Times New Roman" w:hAnsi="Times New Roman" w:cs="Times New Roman"/>
            <w:sz w:val="16"/>
            <w:szCs w:val="16"/>
            <w:lang w:val="en-GB"/>
          </w:rPr>
          <w:t>https://www.thinkwithgoogle.com/data-collections/mobile-search-statistics/</w:t>
        </w:r>
      </w:hyperlink>
      <w:r w:rsidRPr="002B1559">
        <w:rPr>
          <w:rFonts w:ascii="Times New Roman" w:hAnsi="Times New Roman" w:cs="Times New Roman"/>
          <w:sz w:val="16"/>
          <w:szCs w:val="16"/>
          <w:lang w:val="en-GB"/>
        </w:rPr>
        <w:t xml:space="preserve"> accessed 23 December 2022. We also note that Verizon itself admitted the fact that its acquisition of Yahoo and AOL proved unfruitful. See Verizon 10-K report, 2021, p. 73.</w:t>
      </w:r>
    </w:p>
  </w:footnote>
  <w:footnote w:id="93">
    <w:p w14:paraId="5BC92D76"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SAP also continued to explicitly refer to Sybase’s services in its 20-F reports.</w:t>
      </w:r>
    </w:p>
  </w:footnote>
  <w:footnote w:id="94">
    <w:p w14:paraId="2D86B09B" w14:textId="6095775F"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For instance, </w:t>
      </w:r>
      <w:r w:rsidRPr="002B1559">
        <w:rPr>
          <w:rFonts w:ascii="Times New Roman" w:hAnsi="Times New Roman" w:cs="Times New Roman"/>
          <w:i/>
          <w:iCs/>
          <w:sz w:val="16"/>
          <w:szCs w:val="16"/>
          <w:lang w:val="en-GB"/>
        </w:rPr>
        <w:t>IMS/CEGEDIM</w:t>
      </w:r>
      <w:r w:rsidRPr="002B1559">
        <w:rPr>
          <w:rFonts w:ascii="Times New Roman" w:hAnsi="Times New Roman" w:cs="Times New Roman"/>
          <w:sz w:val="16"/>
          <w:szCs w:val="16"/>
          <w:lang w:val="en-GB"/>
        </w:rPr>
        <w:t xml:space="preserve"> considered the relevant product market as “enterprise application software for healthcare businesses”. See, Case M.7337 </w:t>
      </w:r>
      <w:r w:rsidRPr="002B1559">
        <w:rPr>
          <w:rFonts w:ascii="Times New Roman" w:hAnsi="Times New Roman" w:cs="Times New Roman"/>
          <w:i/>
          <w:iCs/>
          <w:sz w:val="16"/>
          <w:szCs w:val="16"/>
          <w:lang w:val="en-GB"/>
        </w:rPr>
        <w:t>IMS Health/CEGEDIM</w:t>
      </w:r>
      <w:r w:rsidRPr="002B1559">
        <w:rPr>
          <w:rFonts w:ascii="Times New Roman" w:hAnsi="Times New Roman" w:cs="Times New Roman"/>
          <w:sz w:val="16"/>
          <w:szCs w:val="16"/>
          <w:lang w:val="en-GB"/>
        </w:rPr>
        <w:t xml:space="preserve"> [2014].</w:t>
      </w:r>
    </w:p>
  </w:footnote>
  <w:footnote w:id="95">
    <w:p w14:paraId="7C0E52FD" w14:textId="5C48078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See, Case M.8984 </w:t>
      </w:r>
      <w:r w:rsidRPr="002B1559">
        <w:rPr>
          <w:rFonts w:ascii="Times New Roman" w:hAnsi="Times New Roman" w:cs="Times New Roman"/>
          <w:i/>
          <w:iCs/>
          <w:sz w:val="16"/>
          <w:szCs w:val="16"/>
          <w:lang w:val="en-GB"/>
        </w:rPr>
        <w:t>HG/Vista/Allocate</w:t>
      </w:r>
      <w:r w:rsidRPr="002B1559">
        <w:rPr>
          <w:rFonts w:ascii="Times New Roman" w:hAnsi="Times New Roman" w:cs="Times New Roman"/>
          <w:sz w:val="16"/>
          <w:szCs w:val="16"/>
          <w:lang w:val="en-GB"/>
        </w:rPr>
        <w:t xml:space="preserve"> [2018]; Case M. 9447 </w:t>
      </w:r>
      <w:r w:rsidRPr="002B1559">
        <w:rPr>
          <w:rFonts w:ascii="Times New Roman" w:hAnsi="Times New Roman" w:cs="Times New Roman"/>
          <w:i/>
          <w:iCs/>
          <w:sz w:val="16"/>
          <w:szCs w:val="16"/>
          <w:lang w:val="en-GB"/>
        </w:rPr>
        <w:t>Hitachi/ABB</w:t>
      </w:r>
      <w:r w:rsidRPr="002B1559">
        <w:rPr>
          <w:rFonts w:ascii="Times New Roman" w:hAnsi="Times New Roman" w:cs="Times New Roman"/>
          <w:sz w:val="16"/>
          <w:szCs w:val="16"/>
          <w:lang w:val="en-GB"/>
        </w:rPr>
        <w:t xml:space="preserve"> [2020].</w:t>
      </w:r>
    </w:p>
  </w:footnote>
  <w:footnote w:id="96">
    <w:p w14:paraId="6C4B325D" w14:textId="11847A6F"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M.100060 </w:t>
      </w:r>
      <w:r w:rsidRPr="002B1559">
        <w:rPr>
          <w:rFonts w:ascii="Times New Roman" w:hAnsi="Times New Roman" w:cs="Times New Roman"/>
          <w:i/>
          <w:iCs/>
          <w:sz w:val="16"/>
          <w:szCs w:val="16"/>
          <w:lang w:val="en-GB"/>
        </w:rPr>
        <w:t>Francisco Partners/MEP/CONAN Holdco</w:t>
      </w:r>
      <w:r w:rsidRPr="002B1559">
        <w:rPr>
          <w:rFonts w:ascii="Times New Roman" w:hAnsi="Times New Roman" w:cs="Times New Roman"/>
          <w:sz w:val="16"/>
          <w:szCs w:val="16"/>
          <w:lang w:val="en-GB"/>
        </w:rPr>
        <w:t xml:space="preserve"> [2021]; Case M.10290 </w:t>
      </w:r>
      <w:r w:rsidRPr="002B1559">
        <w:rPr>
          <w:rFonts w:ascii="Times New Roman" w:hAnsi="Times New Roman" w:cs="Times New Roman"/>
          <w:i/>
          <w:iCs/>
          <w:sz w:val="16"/>
          <w:szCs w:val="16"/>
          <w:lang w:val="en-GB"/>
        </w:rPr>
        <w:t>Microsoft/Nuance</w:t>
      </w:r>
      <w:r w:rsidRPr="002B1559">
        <w:rPr>
          <w:rFonts w:ascii="Times New Roman" w:hAnsi="Times New Roman" w:cs="Times New Roman"/>
          <w:sz w:val="16"/>
          <w:szCs w:val="16"/>
          <w:lang w:val="en-GB"/>
        </w:rPr>
        <w:t xml:space="preserve"> [2021].</w:t>
      </w:r>
    </w:p>
  </w:footnote>
  <w:footnote w:id="97">
    <w:p w14:paraId="5ACB4E6A" w14:textId="0B9FF2CD"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Nadine F. Mendoza, ‘Zoom zips ahead of Google Meet, Microsoft Teams and Skype in one ranking’ (</w:t>
      </w:r>
      <w:r w:rsidRPr="002B1559">
        <w:rPr>
          <w:rFonts w:ascii="Times New Roman" w:hAnsi="Times New Roman" w:cs="Times New Roman"/>
          <w:i/>
          <w:iCs/>
          <w:sz w:val="16"/>
          <w:szCs w:val="16"/>
          <w:lang w:val="en-GB"/>
        </w:rPr>
        <w:t>Tech</w:t>
      </w:r>
      <w:r w:rsidRPr="002B1559">
        <w:rPr>
          <w:rFonts w:ascii="Times New Roman" w:hAnsi="Times New Roman" w:cs="Times New Roman"/>
          <w:sz w:val="16"/>
          <w:szCs w:val="16"/>
          <w:lang w:val="en-GB"/>
        </w:rPr>
        <w:t xml:space="preserve"> </w:t>
      </w:r>
      <w:r w:rsidRPr="002B1559">
        <w:rPr>
          <w:rFonts w:ascii="Times New Roman" w:hAnsi="Times New Roman" w:cs="Times New Roman"/>
          <w:i/>
          <w:iCs/>
          <w:sz w:val="16"/>
          <w:szCs w:val="16"/>
          <w:lang w:val="en-GB"/>
        </w:rPr>
        <w:t>Republic</w:t>
      </w:r>
      <w:r w:rsidRPr="002B1559">
        <w:rPr>
          <w:rFonts w:ascii="Times New Roman" w:hAnsi="Times New Roman" w:cs="Times New Roman"/>
          <w:sz w:val="16"/>
          <w:szCs w:val="16"/>
          <w:lang w:val="en-GB"/>
        </w:rPr>
        <w:t xml:space="preserve">, 31 March 2021) </w:t>
      </w:r>
      <w:hyperlink r:id="rId22" w:history="1">
        <w:r w:rsidRPr="002B1559">
          <w:rPr>
            <w:rStyle w:val="Hyperlink"/>
            <w:rFonts w:ascii="Times New Roman" w:hAnsi="Times New Roman" w:cs="Times New Roman"/>
            <w:sz w:val="16"/>
            <w:szCs w:val="16"/>
            <w:lang w:val="en-GB"/>
          </w:rPr>
          <w:t>https://www.techrepublic.com/article/zoom-zips-ahead-of-google-meet-microsoft-teams-and-skype-in-one-ranking/</w:t>
        </w:r>
      </w:hyperlink>
      <w:r w:rsidRPr="002B1559">
        <w:rPr>
          <w:rFonts w:ascii="Times New Roman" w:hAnsi="Times New Roman" w:cs="Times New Roman"/>
          <w:sz w:val="16"/>
          <w:szCs w:val="16"/>
          <w:lang w:val="en-GB"/>
        </w:rPr>
        <w:t xml:space="preserve"> accessed 24 December 2022.</w:t>
      </w:r>
    </w:p>
  </w:footnote>
  <w:footnote w:id="98">
    <w:p w14:paraId="0EFBC550" w14:textId="074FC5D2"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M.10737 </w:t>
      </w:r>
      <w:r w:rsidRPr="002B1559">
        <w:rPr>
          <w:rFonts w:ascii="Times New Roman" w:hAnsi="Times New Roman" w:cs="Times New Roman"/>
          <w:i/>
          <w:iCs/>
          <w:sz w:val="16"/>
          <w:szCs w:val="16"/>
          <w:lang w:val="en-GB"/>
        </w:rPr>
        <w:t>HP/Poly</w:t>
      </w:r>
      <w:r w:rsidRPr="002B1559">
        <w:rPr>
          <w:rFonts w:ascii="Times New Roman" w:hAnsi="Times New Roman" w:cs="Times New Roman"/>
          <w:sz w:val="16"/>
          <w:szCs w:val="16"/>
          <w:lang w:val="en-GB"/>
        </w:rPr>
        <w:t xml:space="preserve"> [2022].</w:t>
      </w:r>
    </w:p>
  </w:footnote>
  <w:footnote w:id="99">
    <w:p w14:paraId="48C995F7" w14:textId="52AE87CA"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M. 8090 </w:t>
      </w:r>
      <w:r w:rsidRPr="002B1559">
        <w:rPr>
          <w:rFonts w:ascii="Times New Roman" w:hAnsi="Times New Roman" w:cs="Times New Roman"/>
          <w:i/>
          <w:iCs/>
          <w:sz w:val="16"/>
          <w:szCs w:val="16"/>
          <w:lang w:val="en-GB"/>
        </w:rPr>
        <w:t>Tencent Holdings Limited/Supercell OY</w:t>
      </w:r>
      <w:r w:rsidRPr="002B1559">
        <w:rPr>
          <w:rFonts w:ascii="Times New Roman" w:hAnsi="Times New Roman" w:cs="Times New Roman"/>
          <w:sz w:val="16"/>
          <w:szCs w:val="16"/>
          <w:lang w:val="en-GB"/>
        </w:rPr>
        <w:t xml:space="preserve"> [2016].</w:t>
      </w:r>
    </w:p>
  </w:footnote>
  <w:footnote w:id="100">
    <w:p w14:paraId="0A435CDD" w14:textId="2978174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We note, however, that the acquisition of Supercell by Tencent constitutes an important development. Even though Tencent was not identified as a competitor in either </w:t>
      </w:r>
      <w:r w:rsidRPr="002B1559">
        <w:rPr>
          <w:rFonts w:ascii="Times New Roman" w:hAnsi="Times New Roman" w:cs="Times New Roman"/>
          <w:i/>
          <w:iCs/>
          <w:sz w:val="16"/>
          <w:szCs w:val="16"/>
          <w:lang w:val="en-GB"/>
        </w:rPr>
        <w:t>Activision/King</w:t>
      </w:r>
      <w:r w:rsidRPr="002B1559">
        <w:rPr>
          <w:rFonts w:ascii="Times New Roman" w:hAnsi="Times New Roman" w:cs="Times New Roman"/>
          <w:sz w:val="16"/>
          <w:szCs w:val="16"/>
          <w:lang w:val="en-GB"/>
        </w:rPr>
        <w:t xml:space="preserve"> or </w:t>
      </w:r>
      <w:r w:rsidRPr="002B1559">
        <w:rPr>
          <w:rFonts w:ascii="Times New Roman" w:hAnsi="Times New Roman" w:cs="Times New Roman"/>
          <w:i/>
          <w:iCs/>
          <w:sz w:val="16"/>
          <w:szCs w:val="16"/>
          <w:lang w:val="en-GB"/>
        </w:rPr>
        <w:t>Microsoft/</w:t>
      </w:r>
      <w:r w:rsidR="0092475F" w:rsidRPr="002B1559">
        <w:rPr>
          <w:rFonts w:ascii="Times New Roman" w:hAnsi="Times New Roman" w:cs="Times New Roman"/>
          <w:i/>
          <w:iCs/>
          <w:sz w:val="16"/>
          <w:szCs w:val="16"/>
          <w:lang w:val="en-GB"/>
        </w:rPr>
        <w:t>ZeniMax</w:t>
      </w:r>
      <w:r w:rsidRPr="002B1559">
        <w:rPr>
          <w:rFonts w:ascii="Times New Roman" w:hAnsi="Times New Roman" w:cs="Times New Roman"/>
          <w:sz w:val="16"/>
          <w:szCs w:val="16"/>
          <w:lang w:val="en-GB"/>
        </w:rPr>
        <w:t xml:space="preserve">, the acquisition of Supercell was comparable to the acquisition of King. This is because, whilst King was the most popular mobile game publisher in 2016, Supercell was a close follower occupying the second place. See, Case M.7866 </w:t>
      </w:r>
      <w:r w:rsidRPr="002B1559">
        <w:rPr>
          <w:rFonts w:ascii="Times New Roman" w:hAnsi="Times New Roman" w:cs="Times New Roman"/>
          <w:i/>
          <w:iCs/>
          <w:sz w:val="16"/>
          <w:szCs w:val="16"/>
          <w:lang w:val="en-GB"/>
        </w:rPr>
        <w:t>Activision/King</w:t>
      </w:r>
      <w:r w:rsidRPr="002B1559">
        <w:rPr>
          <w:rFonts w:ascii="Times New Roman" w:hAnsi="Times New Roman" w:cs="Times New Roman"/>
          <w:sz w:val="16"/>
          <w:szCs w:val="16"/>
          <w:lang w:val="en-GB"/>
        </w:rPr>
        <w:t xml:space="preserve"> [2016], p. 10 (Table IV).</w:t>
      </w:r>
    </w:p>
  </w:footnote>
  <w:footnote w:id="101">
    <w:p w14:paraId="212B7C5E" w14:textId="0EE6C019"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M.8274 </w:t>
      </w:r>
      <w:r w:rsidRPr="002B1559">
        <w:rPr>
          <w:rFonts w:ascii="Times New Roman" w:hAnsi="Times New Roman" w:cs="Times New Roman"/>
          <w:i/>
          <w:iCs/>
          <w:sz w:val="16"/>
          <w:szCs w:val="16"/>
          <w:lang w:val="en-GB"/>
        </w:rPr>
        <w:t xml:space="preserve">Cinven/Permira/Allegro/Ceneo </w:t>
      </w:r>
      <w:r w:rsidRPr="002B1559">
        <w:rPr>
          <w:rFonts w:ascii="Times New Roman" w:hAnsi="Times New Roman" w:cs="Times New Roman"/>
          <w:sz w:val="16"/>
          <w:szCs w:val="16"/>
          <w:lang w:val="en-GB"/>
        </w:rPr>
        <w:t>[2016].</w:t>
      </w:r>
    </w:p>
  </w:footnote>
  <w:footnote w:id="102">
    <w:p w14:paraId="346591C1" w14:textId="72D5C12D"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t>
      </w:r>
      <w:r w:rsidR="0016284F">
        <w:rPr>
          <w:rFonts w:ascii="Times New Roman" w:hAnsi="Times New Roman" w:cs="Times New Roman"/>
          <w:sz w:val="16"/>
          <w:szCs w:val="16"/>
          <w:lang w:val="en-GB"/>
        </w:rPr>
        <w:t>For instance,</w:t>
      </w:r>
      <w:r w:rsidRPr="002B1559">
        <w:rPr>
          <w:rFonts w:ascii="Times New Roman" w:hAnsi="Times New Roman" w:cs="Times New Roman"/>
          <w:sz w:val="16"/>
          <w:szCs w:val="16"/>
          <w:lang w:val="en-GB"/>
        </w:rPr>
        <w:t xml:space="preserve"> in Case M.10385 </w:t>
      </w:r>
      <w:r w:rsidRPr="002B1559">
        <w:rPr>
          <w:rFonts w:ascii="Times New Roman" w:hAnsi="Times New Roman" w:cs="Times New Roman"/>
          <w:i/>
          <w:iCs/>
          <w:sz w:val="16"/>
          <w:szCs w:val="16"/>
          <w:lang w:val="en-GB"/>
        </w:rPr>
        <w:t>Genstar Capital/TA Associates/Compusoft</w:t>
      </w:r>
      <w:r w:rsidRPr="002B1559">
        <w:rPr>
          <w:rFonts w:ascii="Times New Roman" w:hAnsi="Times New Roman" w:cs="Times New Roman"/>
          <w:sz w:val="16"/>
          <w:szCs w:val="16"/>
          <w:lang w:val="en-GB"/>
        </w:rPr>
        <w:t xml:space="preserve"> [2021].</w:t>
      </w:r>
    </w:p>
  </w:footnote>
  <w:footnote w:id="103">
    <w:p w14:paraId="4EDF9511" w14:textId="51013D4C"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For instance, in analyzing Microsoft’s recent acquisition of Nuance, the EC reiterated the competitors in the CRM market as Salesforce, SAP, Oracle, and Adobe.</w:t>
      </w:r>
    </w:p>
  </w:footnote>
  <w:footnote w:id="104">
    <w:p w14:paraId="65D8DA28" w14:textId="1B2919A0"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Brian Heater &amp; Ingrid Lunden, ‘Apollo completes its $5B acquisition of Verizon Media, known as Yahoo’ (</w:t>
      </w:r>
      <w:r w:rsidRPr="002B1559">
        <w:rPr>
          <w:rFonts w:ascii="Times New Roman" w:hAnsi="Times New Roman" w:cs="Times New Roman"/>
          <w:i/>
          <w:iCs/>
          <w:sz w:val="16"/>
          <w:szCs w:val="16"/>
          <w:lang w:val="en-GB"/>
        </w:rPr>
        <w:t>Tech</w:t>
      </w:r>
      <w:r w:rsidRPr="002B1559">
        <w:rPr>
          <w:rFonts w:ascii="Times New Roman" w:hAnsi="Times New Roman" w:cs="Times New Roman"/>
          <w:sz w:val="16"/>
          <w:szCs w:val="16"/>
          <w:lang w:val="en-GB"/>
        </w:rPr>
        <w:t xml:space="preserve"> </w:t>
      </w:r>
      <w:r w:rsidRPr="002B1559">
        <w:rPr>
          <w:rFonts w:ascii="Times New Roman" w:hAnsi="Times New Roman" w:cs="Times New Roman"/>
          <w:i/>
          <w:iCs/>
          <w:sz w:val="16"/>
          <w:szCs w:val="16"/>
          <w:lang w:val="en-GB"/>
        </w:rPr>
        <w:t>Crunch</w:t>
      </w:r>
      <w:r w:rsidRPr="002B1559">
        <w:rPr>
          <w:rFonts w:ascii="Times New Roman" w:hAnsi="Times New Roman" w:cs="Times New Roman"/>
          <w:sz w:val="16"/>
          <w:szCs w:val="16"/>
          <w:lang w:val="en-GB"/>
        </w:rPr>
        <w:t xml:space="preserve">, 1 September 2021) </w:t>
      </w:r>
      <w:hyperlink r:id="rId23" w:history="1">
        <w:r w:rsidRPr="002B1559">
          <w:rPr>
            <w:rStyle w:val="Hyperlink"/>
            <w:rFonts w:ascii="Times New Roman" w:hAnsi="Times New Roman" w:cs="Times New Roman"/>
            <w:sz w:val="16"/>
            <w:szCs w:val="16"/>
            <w:lang w:val="en-GB"/>
          </w:rPr>
          <w:t>https://techcrunch.com/2021/09/01/apollo-completes-its-5b-acquisition-of-verizon-media-now-known-as-yahoo/</w:t>
        </w:r>
      </w:hyperlink>
      <w:r w:rsidRPr="002B1559">
        <w:rPr>
          <w:rFonts w:ascii="Times New Roman" w:hAnsi="Times New Roman" w:cs="Times New Roman"/>
          <w:sz w:val="16"/>
          <w:szCs w:val="16"/>
          <w:lang w:val="en-GB"/>
        </w:rPr>
        <w:t xml:space="preserve"> accessed 24 December 2022.</w:t>
      </w:r>
    </w:p>
  </w:footnote>
  <w:footnote w:id="105">
    <w:p w14:paraId="7D0D9AED" w14:textId="7C15E19F"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Two decisions mention the term “wearables”, albeit in different industries, such as computer memories and aviation. See Case M.10059 </w:t>
      </w:r>
      <w:r w:rsidRPr="002B1559">
        <w:rPr>
          <w:rFonts w:ascii="Times New Roman" w:hAnsi="Times New Roman" w:cs="Times New Roman"/>
          <w:i/>
          <w:iCs/>
          <w:sz w:val="16"/>
          <w:szCs w:val="16"/>
          <w:lang w:val="en-GB"/>
        </w:rPr>
        <w:t>SK Hynix/Intel (NAND and SSD Businesses)</w:t>
      </w:r>
      <w:r w:rsidRPr="002B1559">
        <w:rPr>
          <w:rFonts w:ascii="Times New Roman" w:hAnsi="Times New Roman" w:cs="Times New Roman"/>
          <w:sz w:val="16"/>
          <w:szCs w:val="16"/>
          <w:lang w:val="en-GB"/>
        </w:rPr>
        <w:t xml:space="preserve"> [2021]; Case M. 10506 </w:t>
      </w:r>
      <w:r w:rsidRPr="002B1559">
        <w:rPr>
          <w:rFonts w:ascii="Times New Roman" w:hAnsi="Times New Roman" w:cs="Times New Roman"/>
          <w:i/>
          <w:iCs/>
          <w:sz w:val="16"/>
          <w:szCs w:val="16"/>
          <w:lang w:val="en-GB"/>
        </w:rPr>
        <w:t>Parker/Meggitt</w:t>
      </w:r>
      <w:r w:rsidRPr="002B1559">
        <w:rPr>
          <w:rFonts w:ascii="Times New Roman" w:hAnsi="Times New Roman" w:cs="Times New Roman"/>
          <w:sz w:val="16"/>
          <w:szCs w:val="16"/>
          <w:lang w:val="en-GB"/>
        </w:rPr>
        <w:t xml:space="preserve"> [2022].</w:t>
      </w:r>
    </w:p>
  </w:footnote>
  <w:footnote w:id="106">
    <w:p w14:paraId="2E375963" w14:textId="2CED7B0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‘India’s Imagine Marketing acquires Singapore’s KaHa to boost wearable products’ (</w:t>
      </w:r>
      <w:r w:rsidRPr="002B1559">
        <w:rPr>
          <w:rFonts w:ascii="Times New Roman" w:hAnsi="Times New Roman" w:cs="Times New Roman"/>
          <w:i/>
          <w:iCs/>
          <w:sz w:val="16"/>
          <w:szCs w:val="16"/>
          <w:lang w:val="en-GB"/>
        </w:rPr>
        <w:t>TechNode Global</w:t>
      </w:r>
      <w:r w:rsidRPr="002B1559">
        <w:rPr>
          <w:rFonts w:ascii="Times New Roman" w:hAnsi="Times New Roman" w:cs="Times New Roman"/>
          <w:sz w:val="16"/>
          <w:szCs w:val="16"/>
          <w:lang w:val="en-GB"/>
        </w:rPr>
        <w:t xml:space="preserve">, 18 January 2022) </w:t>
      </w:r>
      <w:hyperlink r:id="rId24" w:history="1">
        <w:r w:rsidRPr="002B1559">
          <w:rPr>
            <w:rStyle w:val="Hyperlink"/>
            <w:rFonts w:ascii="Times New Roman" w:hAnsi="Times New Roman" w:cs="Times New Roman"/>
            <w:sz w:val="16"/>
            <w:szCs w:val="16"/>
            <w:lang w:val="en-GB"/>
          </w:rPr>
          <w:t>https://technode.global/2022/01/18/indias-imagine-marketing-acquires-singapores-kaha-to-boost-wearable-products/</w:t>
        </w:r>
      </w:hyperlink>
      <w:r w:rsidRPr="002B1559">
        <w:rPr>
          <w:rFonts w:ascii="Times New Roman" w:hAnsi="Times New Roman" w:cs="Times New Roman"/>
          <w:sz w:val="16"/>
          <w:szCs w:val="16"/>
          <w:lang w:val="en-GB"/>
        </w:rPr>
        <w:t xml:space="preserve"> accessed 24 December 2022.</w:t>
      </w:r>
    </w:p>
  </w:footnote>
  <w:footnote w:id="107">
    <w:p w14:paraId="4B87C6E1" w14:textId="5C20316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Peter Zackariasson &amp; Timothy L. Wilson, ‘Paradigm shifts in the video game industry’ (2010) 20 (2) Competitiveness Review 139.</w:t>
      </w:r>
    </w:p>
  </w:footnote>
  <w:footnote w:id="108">
    <w:p w14:paraId="6954285B" w14:textId="6A723FE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In-house publishing of games enhances social welfare. See, Tim P. Thomes, ‘In-house publishing and competition in the video game industry’ (2015) 32 Information Economics and Policy 46.</w:t>
      </w:r>
    </w:p>
  </w:footnote>
  <w:footnote w:id="109">
    <w:p w14:paraId="34C1F351" w14:textId="5EA88DE1"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Competition in modern gaming relies not only on creating attractive content but also on effective marketing and developing sustainable streams of revenue. To solve the revenue problem, nascent gaming teams may opt for merging with larger studios and producers. For an overview of the industry dynamics, see Joost von Dreunen, </w:t>
      </w:r>
      <w:r w:rsidRPr="002B1559">
        <w:rPr>
          <w:rFonts w:ascii="Times New Roman" w:hAnsi="Times New Roman" w:cs="Times New Roman"/>
          <w:i/>
          <w:iCs/>
          <w:sz w:val="16"/>
          <w:szCs w:val="16"/>
          <w:lang w:val="en-GB"/>
        </w:rPr>
        <w:t xml:space="preserve">One Up: Creativity, Competition, and the Global Business of Video Games </w:t>
      </w:r>
      <w:r w:rsidRPr="002B1559">
        <w:rPr>
          <w:rFonts w:ascii="Times New Roman" w:hAnsi="Times New Roman" w:cs="Times New Roman"/>
          <w:sz w:val="16"/>
          <w:szCs w:val="16"/>
          <w:lang w:val="en-GB"/>
        </w:rPr>
        <w:t>(Columbia Business School Publishing 2020).</w:t>
      </w:r>
    </w:p>
  </w:footnote>
  <w:footnote w:id="110">
    <w:p w14:paraId="636F5CEB" w14:textId="646E1E82"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Francesco Lantano, Antonio M. Petruzzelli, &amp; Umberto Panniello, ‘Business model innovation in video-game consoles to face the threats of mobile gaming: Evidence from the case of Sony PlayStation’ (2022) 174 Technological Forecasting and Social Change 121210.</w:t>
      </w:r>
    </w:p>
  </w:footnote>
  <w:footnote w:id="111">
    <w:p w14:paraId="618479D0" w14:textId="412F7ECE" w:rsidR="00A72B1B" w:rsidRPr="00EB3809" w:rsidRDefault="00A72B1B" w:rsidP="00EE77E2">
      <w:pPr>
        <w:pStyle w:val="FootnoteText"/>
        <w:spacing w:line="480" w:lineRule="auto"/>
        <w:rPr>
          <w:lang w:val="tr-TR"/>
        </w:rPr>
      </w:pPr>
      <w:r>
        <w:rPr>
          <w:rStyle w:val="FootnoteReference"/>
        </w:rPr>
        <w:footnoteRef/>
      </w:r>
      <w:r>
        <w:t xml:space="preserve"> </w:t>
      </w:r>
      <w:r w:rsidRPr="002B1559">
        <w:rPr>
          <w:i/>
          <w:iCs/>
        </w:rPr>
        <w:t>Google Inc./BeatThatQuote</w:t>
      </w:r>
      <w:r>
        <w:t xml:space="preserve"> [2011], para. 122.</w:t>
      </w:r>
    </w:p>
  </w:footnote>
  <w:footnote w:id="112">
    <w:p w14:paraId="038B7AD9" w14:textId="7D792D1F" w:rsidR="00A72B1B" w:rsidRPr="002B1559" w:rsidRDefault="00A72B1B" w:rsidP="00EE77E2">
      <w:pPr>
        <w:pStyle w:val="FootnoteText"/>
        <w:spacing w:line="480" w:lineRule="auto"/>
        <w:rPr>
          <w:lang w:val="tr-TR"/>
        </w:rPr>
      </w:pPr>
      <w:r>
        <w:rPr>
          <w:rStyle w:val="FootnoteReference"/>
        </w:rPr>
        <w:footnoteRef/>
      </w:r>
      <w:r>
        <w:t xml:space="preserve"> </w:t>
      </w:r>
      <w:r w:rsidRPr="002B1559">
        <w:rPr>
          <w:i/>
          <w:iCs/>
        </w:rPr>
        <w:t>Motorola Mobility Holding (Google Inc.)/Waze Mobile Limited</w:t>
      </w:r>
      <w:r>
        <w:t xml:space="preserve"> [2013], para. 50.</w:t>
      </w:r>
    </w:p>
  </w:footnote>
  <w:footnote w:id="113">
    <w:p w14:paraId="32A70718"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No. COMP/M.5904 – </w:t>
      </w:r>
      <w:r w:rsidRPr="002B1559">
        <w:rPr>
          <w:rFonts w:ascii="Times New Roman" w:hAnsi="Times New Roman" w:cs="Times New Roman"/>
          <w:i/>
          <w:iCs/>
          <w:sz w:val="16"/>
          <w:szCs w:val="16"/>
          <w:lang w:val="en-GB"/>
        </w:rPr>
        <w:t>SAP/SYBASE</w:t>
      </w:r>
      <w:r w:rsidRPr="002B1559">
        <w:rPr>
          <w:rFonts w:ascii="Times New Roman" w:hAnsi="Times New Roman" w:cs="Times New Roman"/>
          <w:sz w:val="16"/>
          <w:szCs w:val="16"/>
          <w:lang w:val="en-GB"/>
        </w:rPr>
        <w:t xml:space="preserve"> [2010].</w:t>
      </w:r>
    </w:p>
  </w:footnote>
  <w:footnote w:id="114">
    <w:p w14:paraId="6CBAC346"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We note that these segments supply imperfect data, since their broad definition introduces noise to our analysis.</w:t>
      </w:r>
    </w:p>
  </w:footnote>
  <w:footnote w:id="115">
    <w:p w14:paraId="242B8F17"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No. M.7334 – </w:t>
      </w:r>
      <w:r w:rsidRPr="002B1559">
        <w:rPr>
          <w:rFonts w:ascii="Times New Roman" w:hAnsi="Times New Roman" w:cs="Times New Roman"/>
          <w:i/>
          <w:iCs/>
          <w:sz w:val="16"/>
          <w:szCs w:val="16"/>
          <w:lang w:val="en-GB"/>
        </w:rPr>
        <w:t>Oracle/Micros</w:t>
      </w:r>
      <w:r w:rsidRPr="002B1559">
        <w:rPr>
          <w:rFonts w:ascii="Times New Roman" w:hAnsi="Times New Roman" w:cs="Times New Roman"/>
          <w:sz w:val="16"/>
          <w:szCs w:val="16"/>
          <w:lang w:val="en-GB"/>
        </w:rPr>
        <w:t xml:space="preserve"> [2014].</w:t>
      </w:r>
    </w:p>
  </w:footnote>
  <w:footnote w:id="116">
    <w:p w14:paraId="361D3CA6" w14:textId="7AA4C643"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See, </w:t>
      </w:r>
      <w:r w:rsidR="0016284F">
        <w:rPr>
          <w:rFonts w:ascii="Times New Roman" w:hAnsi="Times New Roman" w:cs="Times New Roman"/>
          <w:sz w:val="16"/>
          <w:szCs w:val="16"/>
          <w:lang w:val="en-GB"/>
        </w:rPr>
        <w:t>for example,</w:t>
      </w:r>
      <w:r w:rsidRPr="002B1559">
        <w:rPr>
          <w:rFonts w:ascii="Times New Roman" w:hAnsi="Times New Roman" w:cs="Times New Roman"/>
          <w:sz w:val="16"/>
          <w:szCs w:val="16"/>
          <w:lang w:val="en-GB"/>
        </w:rPr>
        <w:t xml:space="preserve"> Case M. 8124 </w:t>
      </w:r>
      <w:r w:rsidRPr="002B1559">
        <w:rPr>
          <w:rFonts w:ascii="Times New Roman" w:hAnsi="Times New Roman" w:cs="Times New Roman"/>
          <w:i/>
          <w:iCs/>
          <w:sz w:val="16"/>
          <w:szCs w:val="16"/>
          <w:lang w:val="en-GB"/>
        </w:rPr>
        <w:t>Microsoft/LinkedIn</w:t>
      </w:r>
      <w:r w:rsidRPr="002B1559">
        <w:rPr>
          <w:rFonts w:ascii="Times New Roman" w:hAnsi="Times New Roman" w:cs="Times New Roman"/>
          <w:sz w:val="16"/>
          <w:szCs w:val="16"/>
          <w:lang w:val="en-GB"/>
        </w:rPr>
        <w:t xml:space="preserve"> [2016], para. 201; reaffirmed in Case M. 10290 </w:t>
      </w:r>
      <w:r w:rsidRPr="002B1559">
        <w:rPr>
          <w:rFonts w:ascii="Times New Roman" w:hAnsi="Times New Roman" w:cs="Times New Roman"/>
          <w:i/>
          <w:iCs/>
          <w:sz w:val="16"/>
          <w:szCs w:val="16"/>
          <w:lang w:val="en-GB"/>
        </w:rPr>
        <w:t>Microsoft/Nuance</w:t>
      </w:r>
      <w:r w:rsidRPr="002B1559">
        <w:rPr>
          <w:rFonts w:ascii="Times New Roman" w:hAnsi="Times New Roman" w:cs="Times New Roman"/>
          <w:sz w:val="16"/>
          <w:szCs w:val="16"/>
          <w:lang w:val="en-GB"/>
        </w:rPr>
        <w:t xml:space="preserve"> [2021], para. 280. </w:t>
      </w:r>
    </w:p>
  </w:footnote>
  <w:footnote w:id="117">
    <w:p w14:paraId="1AAC773C"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M.8180 – </w:t>
      </w:r>
      <w:r w:rsidRPr="002B1559">
        <w:rPr>
          <w:rFonts w:ascii="Times New Roman" w:hAnsi="Times New Roman" w:cs="Times New Roman"/>
          <w:i/>
          <w:iCs/>
          <w:sz w:val="16"/>
          <w:szCs w:val="16"/>
          <w:lang w:val="en-GB"/>
        </w:rPr>
        <w:t>Verizon/Yahoo</w:t>
      </w:r>
      <w:r w:rsidRPr="002B1559">
        <w:rPr>
          <w:rFonts w:ascii="Times New Roman" w:hAnsi="Times New Roman" w:cs="Times New Roman"/>
          <w:sz w:val="16"/>
          <w:szCs w:val="16"/>
          <w:lang w:val="en-GB"/>
        </w:rPr>
        <w:t xml:space="preserve"> [2016].</w:t>
      </w:r>
    </w:p>
  </w:footnote>
  <w:footnote w:id="118">
    <w:p w14:paraId="656704D9"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Case M.9660 – </w:t>
      </w:r>
      <w:r w:rsidRPr="002B1559">
        <w:rPr>
          <w:rFonts w:ascii="Times New Roman" w:hAnsi="Times New Roman" w:cs="Times New Roman"/>
          <w:i/>
          <w:iCs/>
          <w:sz w:val="16"/>
          <w:szCs w:val="16"/>
          <w:lang w:val="en-GB"/>
        </w:rPr>
        <w:t>Google/FitBit</w:t>
      </w:r>
      <w:r w:rsidRPr="002B1559">
        <w:rPr>
          <w:rFonts w:ascii="Times New Roman" w:hAnsi="Times New Roman" w:cs="Times New Roman"/>
          <w:sz w:val="16"/>
          <w:szCs w:val="16"/>
          <w:lang w:val="en-GB"/>
        </w:rPr>
        <w:t xml:space="preserve"> [2020].</w:t>
      </w:r>
    </w:p>
  </w:footnote>
  <w:footnote w:id="119">
    <w:p w14:paraId="60762064"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We note that this segment also includes mobile phones, which comprise a large portion of Samsung’s sales.</w:t>
      </w:r>
    </w:p>
  </w:footnote>
  <w:footnote w:id="120">
    <w:p w14:paraId="2EC57652" w14:textId="77777777" w:rsidR="00A72B1B" w:rsidRPr="002B1559" w:rsidRDefault="00A72B1B" w:rsidP="00EE77E2">
      <w:pPr>
        <w:pStyle w:val="FootnoteText"/>
        <w:spacing w:beforeLines="40" w:before="96" w:afterLines="40" w:after="96" w:line="480" w:lineRule="auto"/>
        <w:jc w:val="both"/>
        <w:rPr>
          <w:rFonts w:ascii="Times New Roman" w:hAnsi="Times New Roman" w:cs="Times New Roman"/>
          <w:sz w:val="16"/>
          <w:szCs w:val="16"/>
          <w:lang w:val="en-GB"/>
        </w:rPr>
      </w:pPr>
      <w:r w:rsidRPr="002B1559">
        <w:rPr>
          <w:rStyle w:val="FootnoteReference"/>
          <w:rFonts w:ascii="Times New Roman" w:hAnsi="Times New Roman" w:cs="Times New Roman"/>
          <w:sz w:val="16"/>
          <w:szCs w:val="16"/>
          <w:lang w:val="en-GB"/>
        </w:rPr>
        <w:footnoteRef/>
      </w:r>
      <w:r w:rsidRPr="002B1559">
        <w:rPr>
          <w:rFonts w:ascii="Times New Roman" w:hAnsi="Times New Roman" w:cs="Times New Roman"/>
          <w:sz w:val="16"/>
          <w:szCs w:val="16"/>
          <w:lang w:val="en-GB"/>
        </w:rPr>
        <w:t xml:space="preserve"> This is because Garmin’s entire product portfolio is oriented around wearable devices.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6140"/>
    <w:multiLevelType w:val="multilevel"/>
    <w:tmpl w:val="181AE7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7D2B36"/>
    <w:multiLevelType w:val="hybridMultilevel"/>
    <w:tmpl w:val="9912E79A"/>
    <w:lvl w:ilvl="0" w:tplc="BAB69034">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4503C6"/>
    <w:multiLevelType w:val="multilevel"/>
    <w:tmpl w:val="0952F9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7D376A"/>
    <w:multiLevelType w:val="hybridMultilevel"/>
    <w:tmpl w:val="CFE4DE30"/>
    <w:lvl w:ilvl="0" w:tplc="041F000F">
      <w:start w:val="1"/>
      <w:numFmt w:val="decimal"/>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3101A4"/>
    <w:multiLevelType w:val="hybridMultilevel"/>
    <w:tmpl w:val="542A36C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546FA7"/>
    <w:multiLevelType w:val="hybridMultilevel"/>
    <w:tmpl w:val="3EFE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054E3"/>
    <w:multiLevelType w:val="hybridMultilevel"/>
    <w:tmpl w:val="A43871B6"/>
    <w:lvl w:ilvl="0" w:tplc="F224E82A">
      <w:start w:val="1"/>
      <w:numFmt w:val="decimal"/>
      <w:lvlText w:val="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D66072"/>
    <w:multiLevelType w:val="hybridMultilevel"/>
    <w:tmpl w:val="3F74BF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27663CB"/>
    <w:multiLevelType w:val="hybridMultilevel"/>
    <w:tmpl w:val="5536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358C7"/>
    <w:multiLevelType w:val="hybridMultilevel"/>
    <w:tmpl w:val="2954E24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425217"/>
    <w:multiLevelType w:val="multilevel"/>
    <w:tmpl w:val="E5F8E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923DA6"/>
    <w:multiLevelType w:val="hybridMultilevel"/>
    <w:tmpl w:val="A9E8D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27E40AB"/>
    <w:multiLevelType w:val="hybridMultilevel"/>
    <w:tmpl w:val="7C2E9462"/>
    <w:lvl w:ilvl="0" w:tplc="16D409A0">
      <w:start w:val="1"/>
      <w:numFmt w:val="upperLetter"/>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3E0C19"/>
    <w:multiLevelType w:val="hybridMultilevel"/>
    <w:tmpl w:val="F23445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74B7455"/>
    <w:multiLevelType w:val="hybridMultilevel"/>
    <w:tmpl w:val="889427E0"/>
    <w:lvl w:ilvl="0" w:tplc="107CC3D0">
      <w:start w:val="1"/>
      <w:numFmt w:val="decimal"/>
      <w:lvlText w:val="4.%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22D0336"/>
    <w:multiLevelType w:val="hybridMultilevel"/>
    <w:tmpl w:val="BBA0875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33F1300"/>
    <w:multiLevelType w:val="hybridMultilevel"/>
    <w:tmpl w:val="178229C8"/>
    <w:lvl w:ilvl="0" w:tplc="2EBC2BDC">
      <w:start w:val="1"/>
      <w:numFmt w:val="decimal"/>
      <w:lvlText w:val="[%1]"/>
      <w:lvlJc w:val="left"/>
      <w:pPr>
        <w:ind w:left="720" w:hanging="360"/>
      </w:pPr>
      <w:rPr>
        <w:rFonts w:ascii="Arial" w:hAnsi="Arial" w:hint="default"/>
        <w:color w:val="BFBFBF" w:themeColor="background1" w:themeShade="BF"/>
        <w:sz w:val="20"/>
        <w:lang w:val="en-G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39D0FAF"/>
    <w:multiLevelType w:val="hybridMultilevel"/>
    <w:tmpl w:val="944CAE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6D5517"/>
    <w:multiLevelType w:val="multilevel"/>
    <w:tmpl w:val="1FBE2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DF1BD1"/>
    <w:multiLevelType w:val="multilevel"/>
    <w:tmpl w:val="C9FAF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36739AC"/>
    <w:multiLevelType w:val="hybridMultilevel"/>
    <w:tmpl w:val="51BAAFB6"/>
    <w:lvl w:ilvl="0" w:tplc="818C64D2">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CA66264"/>
    <w:multiLevelType w:val="hybridMultilevel"/>
    <w:tmpl w:val="85A479D6"/>
    <w:lvl w:ilvl="0" w:tplc="505E90C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D906FC4"/>
    <w:multiLevelType w:val="hybridMultilevel"/>
    <w:tmpl w:val="AC9673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50094934">
    <w:abstractNumId w:val="11"/>
  </w:num>
  <w:num w:numId="2" w16cid:durableId="1419986983">
    <w:abstractNumId w:val="9"/>
    <w:lvlOverride w:ilvl="0"/>
    <w:lvlOverride w:ilvl="1">
      <w:startOverride w:val="1"/>
    </w:lvlOverride>
    <w:lvlOverride w:ilvl="2"/>
    <w:lvlOverride w:ilvl="3"/>
    <w:lvlOverride w:ilvl="4"/>
    <w:lvlOverride w:ilvl="5"/>
    <w:lvlOverride w:ilvl="6"/>
    <w:lvlOverride w:ilvl="7"/>
    <w:lvlOverride w:ilvl="8"/>
  </w:num>
  <w:num w:numId="3" w16cid:durableId="955989987">
    <w:abstractNumId w:val="9"/>
  </w:num>
  <w:num w:numId="4" w16cid:durableId="1961494754">
    <w:abstractNumId w:val="17"/>
  </w:num>
  <w:num w:numId="5" w16cid:durableId="1695883809">
    <w:abstractNumId w:val="16"/>
  </w:num>
  <w:num w:numId="6" w16cid:durableId="40442791">
    <w:abstractNumId w:val="0"/>
  </w:num>
  <w:num w:numId="7" w16cid:durableId="745346959">
    <w:abstractNumId w:val="2"/>
  </w:num>
  <w:num w:numId="8" w16cid:durableId="827861857">
    <w:abstractNumId w:val="18"/>
  </w:num>
  <w:num w:numId="9" w16cid:durableId="5138106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2897420">
    <w:abstractNumId w:val="10"/>
  </w:num>
  <w:num w:numId="11" w16cid:durableId="982931318">
    <w:abstractNumId w:val="8"/>
  </w:num>
  <w:num w:numId="12" w16cid:durableId="2065593103">
    <w:abstractNumId w:val="5"/>
  </w:num>
  <w:num w:numId="13" w16cid:durableId="649358873">
    <w:abstractNumId w:val="13"/>
  </w:num>
  <w:num w:numId="14" w16cid:durableId="96800632">
    <w:abstractNumId w:val="4"/>
  </w:num>
  <w:num w:numId="15" w16cid:durableId="760952387">
    <w:abstractNumId w:val="1"/>
  </w:num>
  <w:num w:numId="16" w16cid:durableId="1109859246">
    <w:abstractNumId w:val="20"/>
  </w:num>
  <w:num w:numId="17" w16cid:durableId="1659070572">
    <w:abstractNumId w:val="22"/>
  </w:num>
  <w:num w:numId="18" w16cid:durableId="1121723199">
    <w:abstractNumId w:val="21"/>
  </w:num>
  <w:num w:numId="19" w16cid:durableId="622342603">
    <w:abstractNumId w:val="3"/>
  </w:num>
  <w:num w:numId="20" w16cid:durableId="969242571">
    <w:abstractNumId w:val="6"/>
  </w:num>
  <w:num w:numId="21" w16cid:durableId="975792381">
    <w:abstractNumId w:val="14"/>
  </w:num>
  <w:num w:numId="22" w16cid:durableId="985738475">
    <w:abstractNumId w:val="12"/>
  </w:num>
  <w:num w:numId="23" w16cid:durableId="2046638003">
    <w:abstractNumId w:val="15"/>
  </w:num>
  <w:num w:numId="24" w16cid:durableId="20427065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CAE"/>
    <w:rsid w:val="0000034A"/>
    <w:rsid w:val="00001463"/>
    <w:rsid w:val="0000211A"/>
    <w:rsid w:val="000024E1"/>
    <w:rsid w:val="00002EA8"/>
    <w:rsid w:val="0000360B"/>
    <w:rsid w:val="00003688"/>
    <w:rsid w:val="00003926"/>
    <w:rsid w:val="00003B23"/>
    <w:rsid w:val="00006233"/>
    <w:rsid w:val="000070C7"/>
    <w:rsid w:val="00010949"/>
    <w:rsid w:val="00011A3F"/>
    <w:rsid w:val="00011A8B"/>
    <w:rsid w:val="00011E07"/>
    <w:rsid w:val="0001218B"/>
    <w:rsid w:val="00012C89"/>
    <w:rsid w:val="0001314A"/>
    <w:rsid w:val="000131E8"/>
    <w:rsid w:val="00013F39"/>
    <w:rsid w:val="000147B3"/>
    <w:rsid w:val="00014FAE"/>
    <w:rsid w:val="00015A5B"/>
    <w:rsid w:val="00015AA5"/>
    <w:rsid w:val="00015FCE"/>
    <w:rsid w:val="0001609F"/>
    <w:rsid w:val="00017AB2"/>
    <w:rsid w:val="00017E2C"/>
    <w:rsid w:val="000203E8"/>
    <w:rsid w:val="00021710"/>
    <w:rsid w:val="00021724"/>
    <w:rsid w:val="0002461B"/>
    <w:rsid w:val="000263D7"/>
    <w:rsid w:val="00027406"/>
    <w:rsid w:val="00027833"/>
    <w:rsid w:val="00027912"/>
    <w:rsid w:val="00031310"/>
    <w:rsid w:val="00031341"/>
    <w:rsid w:val="00033D93"/>
    <w:rsid w:val="00034DCC"/>
    <w:rsid w:val="00035033"/>
    <w:rsid w:val="00036E6A"/>
    <w:rsid w:val="00036F3C"/>
    <w:rsid w:val="00037D61"/>
    <w:rsid w:val="0004367B"/>
    <w:rsid w:val="00045A1C"/>
    <w:rsid w:val="00047560"/>
    <w:rsid w:val="000478C1"/>
    <w:rsid w:val="00050722"/>
    <w:rsid w:val="00053129"/>
    <w:rsid w:val="00053597"/>
    <w:rsid w:val="00055CF5"/>
    <w:rsid w:val="00056AE8"/>
    <w:rsid w:val="000603E0"/>
    <w:rsid w:val="00060499"/>
    <w:rsid w:val="00060E66"/>
    <w:rsid w:val="00061A85"/>
    <w:rsid w:val="00062BB7"/>
    <w:rsid w:val="00063194"/>
    <w:rsid w:val="0006394C"/>
    <w:rsid w:val="00063E33"/>
    <w:rsid w:val="00063E53"/>
    <w:rsid w:val="00064D47"/>
    <w:rsid w:val="00065237"/>
    <w:rsid w:val="00066859"/>
    <w:rsid w:val="00067527"/>
    <w:rsid w:val="00067D19"/>
    <w:rsid w:val="0007006E"/>
    <w:rsid w:val="000729FC"/>
    <w:rsid w:val="00072A55"/>
    <w:rsid w:val="00072C58"/>
    <w:rsid w:val="00073365"/>
    <w:rsid w:val="000735C5"/>
    <w:rsid w:val="00073939"/>
    <w:rsid w:val="00073946"/>
    <w:rsid w:val="0007494A"/>
    <w:rsid w:val="00074F49"/>
    <w:rsid w:val="000752A7"/>
    <w:rsid w:val="000753B6"/>
    <w:rsid w:val="000767E2"/>
    <w:rsid w:val="00076EEC"/>
    <w:rsid w:val="00077328"/>
    <w:rsid w:val="0007757A"/>
    <w:rsid w:val="00077D03"/>
    <w:rsid w:val="00080007"/>
    <w:rsid w:val="0008142B"/>
    <w:rsid w:val="00081470"/>
    <w:rsid w:val="00081BD2"/>
    <w:rsid w:val="000823C7"/>
    <w:rsid w:val="00082C8A"/>
    <w:rsid w:val="00083D6B"/>
    <w:rsid w:val="00086F50"/>
    <w:rsid w:val="00087597"/>
    <w:rsid w:val="00087F10"/>
    <w:rsid w:val="000904B4"/>
    <w:rsid w:val="000905B0"/>
    <w:rsid w:val="00091BFE"/>
    <w:rsid w:val="00092E9C"/>
    <w:rsid w:val="00093E11"/>
    <w:rsid w:val="00095D54"/>
    <w:rsid w:val="0009606C"/>
    <w:rsid w:val="0009791C"/>
    <w:rsid w:val="00097EA7"/>
    <w:rsid w:val="000A020D"/>
    <w:rsid w:val="000A0212"/>
    <w:rsid w:val="000A048E"/>
    <w:rsid w:val="000A104C"/>
    <w:rsid w:val="000A10D9"/>
    <w:rsid w:val="000A1CB7"/>
    <w:rsid w:val="000A1FD3"/>
    <w:rsid w:val="000A3972"/>
    <w:rsid w:val="000A5757"/>
    <w:rsid w:val="000B018F"/>
    <w:rsid w:val="000B020A"/>
    <w:rsid w:val="000B0B81"/>
    <w:rsid w:val="000B1694"/>
    <w:rsid w:val="000B1D38"/>
    <w:rsid w:val="000B32DC"/>
    <w:rsid w:val="000B3D81"/>
    <w:rsid w:val="000B58D7"/>
    <w:rsid w:val="000B5DDD"/>
    <w:rsid w:val="000B61F5"/>
    <w:rsid w:val="000B6289"/>
    <w:rsid w:val="000B6D92"/>
    <w:rsid w:val="000B7336"/>
    <w:rsid w:val="000B79EC"/>
    <w:rsid w:val="000C1087"/>
    <w:rsid w:val="000C126F"/>
    <w:rsid w:val="000C2340"/>
    <w:rsid w:val="000C2B08"/>
    <w:rsid w:val="000C2F37"/>
    <w:rsid w:val="000C3734"/>
    <w:rsid w:val="000C3CAE"/>
    <w:rsid w:val="000C4B85"/>
    <w:rsid w:val="000C6058"/>
    <w:rsid w:val="000C6DC3"/>
    <w:rsid w:val="000C7F2F"/>
    <w:rsid w:val="000D01EF"/>
    <w:rsid w:val="000D0498"/>
    <w:rsid w:val="000D0D24"/>
    <w:rsid w:val="000D0ED9"/>
    <w:rsid w:val="000D1631"/>
    <w:rsid w:val="000D2065"/>
    <w:rsid w:val="000D21B9"/>
    <w:rsid w:val="000D454B"/>
    <w:rsid w:val="000D5079"/>
    <w:rsid w:val="000D513E"/>
    <w:rsid w:val="000D5A4A"/>
    <w:rsid w:val="000D6094"/>
    <w:rsid w:val="000D6991"/>
    <w:rsid w:val="000D6F59"/>
    <w:rsid w:val="000D7800"/>
    <w:rsid w:val="000D7BB7"/>
    <w:rsid w:val="000E0119"/>
    <w:rsid w:val="000E0153"/>
    <w:rsid w:val="000E12C0"/>
    <w:rsid w:val="000E2CF3"/>
    <w:rsid w:val="000E303A"/>
    <w:rsid w:val="000E314C"/>
    <w:rsid w:val="000E44E0"/>
    <w:rsid w:val="000E5451"/>
    <w:rsid w:val="000E7586"/>
    <w:rsid w:val="000E7756"/>
    <w:rsid w:val="000F09F0"/>
    <w:rsid w:val="000F1393"/>
    <w:rsid w:val="000F36F1"/>
    <w:rsid w:val="000F4273"/>
    <w:rsid w:val="000F4BED"/>
    <w:rsid w:val="000F4F8F"/>
    <w:rsid w:val="000F7344"/>
    <w:rsid w:val="00101422"/>
    <w:rsid w:val="0010162B"/>
    <w:rsid w:val="0010218B"/>
    <w:rsid w:val="001023DF"/>
    <w:rsid w:val="0010529A"/>
    <w:rsid w:val="0010660F"/>
    <w:rsid w:val="001067D6"/>
    <w:rsid w:val="001069C2"/>
    <w:rsid w:val="00106EC7"/>
    <w:rsid w:val="001100B2"/>
    <w:rsid w:val="00110232"/>
    <w:rsid w:val="001112BC"/>
    <w:rsid w:val="00112495"/>
    <w:rsid w:val="001124AA"/>
    <w:rsid w:val="001139C9"/>
    <w:rsid w:val="001143FD"/>
    <w:rsid w:val="00115336"/>
    <w:rsid w:val="0011637A"/>
    <w:rsid w:val="00120123"/>
    <w:rsid w:val="001212D3"/>
    <w:rsid w:val="001219F2"/>
    <w:rsid w:val="00122468"/>
    <w:rsid w:val="0012265A"/>
    <w:rsid w:val="00122B3F"/>
    <w:rsid w:val="00122F40"/>
    <w:rsid w:val="00122F5C"/>
    <w:rsid w:val="00123660"/>
    <w:rsid w:val="00124922"/>
    <w:rsid w:val="0012522D"/>
    <w:rsid w:val="001257E6"/>
    <w:rsid w:val="00126394"/>
    <w:rsid w:val="00126D6E"/>
    <w:rsid w:val="00127A6E"/>
    <w:rsid w:val="001303FE"/>
    <w:rsid w:val="0013081A"/>
    <w:rsid w:val="00130D45"/>
    <w:rsid w:val="00131242"/>
    <w:rsid w:val="001314FD"/>
    <w:rsid w:val="00132246"/>
    <w:rsid w:val="00134DF5"/>
    <w:rsid w:val="00135ABA"/>
    <w:rsid w:val="00140191"/>
    <w:rsid w:val="00141541"/>
    <w:rsid w:val="00141E6D"/>
    <w:rsid w:val="0014219F"/>
    <w:rsid w:val="00142644"/>
    <w:rsid w:val="00143342"/>
    <w:rsid w:val="00143477"/>
    <w:rsid w:val="00143AB9"/>
    <w:rsid w:val="00143F3B"/>
    <w:rsid w:val="001477F4"/>
    <w:rsid w:val="00147AF2"/>
    <w:rsid w:val="001504F0"/>
    <w:rsid w:val="00151183"/>
    <w:rsid w:val="00151570"/>
    <w:rsid w:val="00151B6A"/>
    <w:rsid w:val="001524FE"/>
    <w:rsid w:val="00154FE4"/>
    <w:rsid w:val="00155334"/>
    <w:rsid w:val="0015540B"/>
    <w:rsid w:val="0015547C"/>
    <w:rsid w:val="0015737B"/>
    <w:rsid w:val="001576B7"/>
    <w:rsid w:val="00157BD1"/>
    <w:rsid w:val="00157DC9"/>
    <w:rsid w:val="00157FE1"/>
    <w:rsid w:val="001604EF"/>
    <w:rsid w:val="00160803"/>
    <w:rsid w:val="001613EE"/>
    <w:rsid w:val="00161B97"/>
    <w:rsid w:val="0016284F"/>
    <w:rsid w:val="00163ADB"/>
    <w:rsid w:val="001642BE"/>
    <w:rsid w:val="00164938"/>
    <w:rsid w:val="00164E80"/>
    <w:rsid w:val="00165343"/>
    <w:rsid w:val="0016590B"/>
    <w:rsid w:val="00165DAD"/>
    <w:rsid w:val="00167B75"/>
    <w:rsid w:val="00171746"/>
    <w:rsid w:val="00171E32"/>
    <w:rsid w:val="00173566"/>
    <w:rsid w:val="001736CC"/>
    <w:rsid w:val="00174FE3"/>
    <w:rsid w:val="001758E0"/>
    <w:rsid w:val="00176B38"/>
    <w:rsid w:val="00177BE4"/>
    <w:rsid w:val="00180B91"/>
    <w:rsid w:val="001823FD"/>
    <w:rsid w:val="00182726"/>
    <w:rsid w:val="0018281A"/>
    <w:rsid w:val="0018334E"/>
    <w:rsid w:val="00183B51"/>
    <w:rsid w:val="00183BD5"/>
    <w:rsid w:val="0018465B"/>
    <w:rsid w:val="001850C6"/>
    <w:rsid w:val="00185372"/>
    <w:rsid w:val="001856DE"/>
    <w:rsid w:val="00186B48"/>
    <w:rsid w:val="00186EEA"/>
    <w:rsid w:val="0018732B"/>
    <w:rsid w:val="001902AC"/>
    <w:rsid w:val="001908C9"/>
    <w:rsid w:val="0019172C"/>
    <w:rsid w:val="00191F30"/>
    <w:rsid w:val="001922C1"/>
    <w:rsid w:val="00192807"/>
    <w:rsid w:val="00195303"/>
    <w:rsid w:val="0019669A"/>
    <w:rsid w:val="00196755"/>
    <w:rsid w:val="00196D93"/>
    <w:rsid w:val="001979B3"/>
    <w:rsid w:val="001A0176"/>
    <w:rsid w:val="001A06AC"/>
    <w:rsid w:val="001A131F"/>
    <w:rsid w:val="001A16BB"/>
    <w:rsid w:val="001A1C3A"/>
    <w:rsid w:val="001A2DB0"/>
    <w:rsid w:val="001A2E44"/>
    <w:rsid w:val="001A351C"/>
    <w:rsid w:val="001A373D"/>
    <w:rsid w:val="001A3995"/>
    <w:rsid w:val="001A46F3"/>
    <w:rsid w:val="001A4F92"/>
    <w:rsid w:val="001A574A"/>
    <w:rsid w:val="001A5D4B"/>
    <w:rsid w:val="001A6B23"/>
    <w:rsid w:val="001A6F23"/>
    <w:rsid w:val="001A7B1D"/>
    <w:rsid w:val="001A7F21"/>
    <w:rsid w:val="001B0348"/>
    <w:rsid w:val="001B12DA"/>
    <w:rsid w:val="001B16FB"/>
    <w:rsid w:val="001B1EF2"/>
    <w:rsid w:val="001B2864"/>
    <w:rsid w:val="001B2D51"/>
    <w:rsid w:val="001B3151"/>
    <w:rsid w:val="001B4326"/>
    <w:rsid w:val="001B4871"/>
    <w:rsid w:val="001B4BAC"/>
    <w:rsid w:val="001C0FEF"/>
    <w:rsid w:val="001C10D8"/>
    <w:rsid w:val="001C3A39"/>
    <w:rsid w:val="001C46FA"/>
    <w:rsid w:val="001C47E5"/>
    <w:rsid w:val="001C4A0E"/>
    <w:rsid w:val="001C4FAA"/>
    <w:rsid w:val="001C56A2"/>
    <w:rsid w:val="001C64AD"/>
    <w:rsid w:val="001C691E"/>
    <w:rsid w:val="001C7220"/>
    <w:rsid w:val="001D0F13"/>
    <w:rsid w:val="001D1026"/>
    <w:rsid w:val="001D124D"/>
    <w:rsid w:val="001D13C5"/>
    <w:rsid w:val="001D175C"/>
    <w:rsid w:val="001D1A43"/>
    <w:rsid w:val="001D209D"/>
    <w:rsid w:val="001D2A03"/>
    <w:rsid w:val="001D2CD8"/>
    <w:rsid w:val="001D2E8A"/>
    <w:rsid w:val="001D3FBC"/>
    <w:rsid w:val="001D52E6"/>
    <w:rsid w:val="001D5453"/>
    <w:rsid w:val="001D6483"/>
    <w:rsid w:val="001D66F7"/>
    <w:rsid w:val="001D6F03"/>
    <w:rsid w:val="001D764A"/>
    <w:rsid w:val="001E0984"/>
    <w:rsid w:val="001E0A93"/>
    <w:rsid w:val="001E29F3"/>
    <w:rsid w:val="001E3EB8"/>
    <w:rsid w:val="001E48C5"/>
    <w:rsid w:val="001E5955"/>
    <w:rsid w:val="001E5FA5"/>
    <w:rsid w:val="001E6F9C"/>
    <w:rsid w:val="001E72B0"/>
    <w:rsid w:val="001E7D6B"/>
    <w:rsid w:val="001E7EAE"/>
    <w:rsid w:val="001F0513"/>
    <w:rsid w:val="001F14C7"/>
    <w:rsid w:val="001F1CEE"/>
    <w:rsid w:val="001F1EAC"/>
    <w:rsid w:val="001F2F15"/>
    <w:rsid w:val="001F5A9A"/>
    <w:rsid w:val="001F643F"/>
    <w:rsid w:val="0020039E"/>
    <w:rsid w:val="00202732"/>
    <w:rsid w:val="00202891"/>
    <w:rsid w:val="0020302F"/>
    <w:rsid w:val="00203E2E"/>
    <w:rsid w:val="00204E2D"/>
    <w:rsid w:val="0020575E"/>
    <w:rsid w:val="002069FA"/>
    <w:rsid w:val="00210086"/>
    <w:rsid w:val="002107FB"/>
    <w:rsid w:val="0021124A"/>
    <w:rsid w:val="002114E5"/>
    <w:rsid w:val="00211DCD"/>
    <w:rsid w:val="00212D99"/>
    <w:rsid w:val="00215647"/>
    <w:rsid w:val="00215F43"/>
    <w:rsid w:val="00217A1E"/>
    <w:rsid w:val="00217E2F"/>
    <w:rsid w:val="00220234"/>
    <w:rsid w:val="00220834"/>
    <w:rsid w:val="00220D89"/>
    <w:rsid w:val="00221F05"/>
    <w:rsid w:val="002228F9"/>
    <w:rsid w:val="00224070"/>
    <w:rsid w:val="00224225"/>
    <w:rsid w:val="00224A81"/>
    <w:rsid w:val="00225EB3"/>
    <w:rsid w:val="0022634D"/>
    <w:rsid w:val="00226B5C"/>
    <w:rsid w:val="002274C7"/>
    <w:rsid w:val="00227BE1"/>
    <w:rsid w:val="002306AF"/>
    <w:rsid w:val="00230CC6"/>
    <w:rsid w:val="00231E56"/>
    <w:rsid w:val="002328B5"/>
    <w:rsid w:val="00234617"/>
    <w:rsid w:val="002407C7"/>
    <w:rsid w:val="00240CD0"/>
    <w:rsid w:val="00240EA0"/>
    <w:rsid w:val="002416A9"/>
    <w:rsid w:val="00243094"/>
    <w:rsid w:val="002452D5"/>
    <w:rsid w:val="002455D3"/>
    <w:rsid w:val="00246804"/>
    <w:rsid w:val="002479AA"/>
    <w:rsid w:val="00250B00"/>
    <w:rsid w:val="00250EAA"/>
    <w:rsid w:val="00251B79"/>
    <w:rsid w:val="00254DFF"/>
    <w:rsid w:val="00256C56"/>
    <w:rsid w:val="00257E43"/>
    <w:rsid w:val="00260174"/>
    <w:rsid w:val="00260D75"/>
    <w:rsid w:val="0026191C"/>
    <w:rsid w:val="0026215D"/>
    <w:rsid w:val="002623B5"/>
    <w:rsid w:val="002624F5"/>
    <w:rsid w:val="002634C6"/>
    <w:rsid w:val="00264539"/>
    <w:rsid w:val="00265392"/>
    <w:rsid w:val="00270D08"/>
    <w:rsid w:val="0027309B"/>
    <w:rsid w:val="002734F6"/>
    <w:rsid w:val="00273C85"/>
    <w:rsid w:val="00273F33"/>
    <w:rsid w:val="0027414D"/>
    <w:rsid w:val="00274936"/>
    <w:rsid w:val="002761AE"/>
    <w:rsid w:val="002763B1"/>
    <w:rsid w:val="00276EDF"/>
    <w:rsid w:val="002803D7"/>
    <w:rsid w:val="002808CA"/>
    <w:rsid w:val="002813DD"/>
    <w:rsid w:val="0028153D"/>
    <w:rsid w:val="00281B06"/>
    <w:rsid w:val="00282485"/>
    <w:rsid w:val="00282B1D"/>
    <w:rsid w:val="002844F6"/>
    <w:rsid w:val="00284B57"/>
    <w:rsid w:val="00285D90"/>
    <w:rsid w:val="0028674D"/>
    <w:rsid w:val="002867DD"/>
    <w:rsid w:val="00287242"/>
    <w:rsid w:val="002875F5"/>
    <w:rsid w:val="002903A5"/>
    <w:rsid w:val="00290881"/>
    <w:rsid w:val="00292CFC"/>
    <w:rsid w:val="00294223"/>
    <w:rsid w:val="002945FE"/>
    <w:rsid w:val="002947AB"/>
    <w:rsid w:val="00294A6E"/>
    <w:rsid w:val="00296512"/>
    <w:rsid w:val="002967AB"/>
    <w:rsid w:val="002969C1"/>
    <w:rsid w:val="00297614"/>
    <w:rsid w:val="00297C9C"/>
    <w:rsid w:val="00297EE1"/>
    <w:rsid w:val="002A0388"/>
    <w:rsid w:val="002A0CC7"/>
    <w:rsid w:val="002A20EB"/>
    <w:rsid w:val="002A3E6C"/>
    <w:rsid w:val="002A40F6"/>
    <w:rsid w:val="002A5245"/>
    <w:rsid w:val="002A60EA"/>
    <w:rsid w:val="002B1559"/>
    <w:rsid w:val="002B20E1"/>
    <w:rsid w:val="002B2EB9"/>
    <w:rsid w:val="002B4C69"/>
    <w:rsid w:val="002B4E0F"/>
    <w:rsid w:val="002B511C"/>
    <w:rsid w:val="002B5BD7"/>
    <w:rsid w:val="002B6360"/>
    <w:rsid w:val="002B743F"/>
    <w:rsid w:val="002C0046"/>
    <w:rsid w:val="002C1BD1"/>
    <w:rsid w:val="002C2F5F"/>
    <w:rsid w:val="002C2FF0"/>
    <w:rsid w:val="002C3E7D"/>
    <w:rsid w:val="002C49BA"/>
    <w:rsid w:val="002C513C"/>
    <w:rsid w:val="002C51A3"/>
    <w:rsid w:val="002C7078"/>
    <w:rsid w:val="002C766D"/>
    <w:rsid w:val="002C7C88"/>
    <w:rsid w:val="002D203C"/>
    <w:rsid w:val="002D340A"/>
    <w:rsid w:val="002D3CAE"/>
    <w:rsid w:val="002D458C"/>
    <w:rsid w:val="002D498F"/>
    <w:rsid w:val="002E004D"/>
    <w:rsid w:val="002E04EC"/>
    <w:rsid w:val="002E0D22"/>
    <w:rsid w:val="002E0D30"/>
    <w:rsid w:val="002E1068"/>
    <w:rsid w:val="002E29D1"/>
    <w:rsid w:val="002E2DF4"/>
    <w:rsid w:val="002E3CD0"/>
    <w:rsid w:val="002E40EB"/>
    <w:rsid w:val="002E5AB6"/>
    <w:rsid w:val="002E7926"/>
    <w:rsid w:val="002F043E"/>
    <w:rsid w:val="002F0488"/>
    <w:rsid w:val="002F12E4"/>
    <w:rsid w:val="002F132D"/>
    <w:rsid w:val="002F1AD4"/>
    <w:rsid w:val="002F24FF"/>
    <w:rsid w:val="002F34FD"/>
    <w:rsid w:val="002F3B8D"/>
    <w:rsid w:val="002F3F6D"/>
    <w:rsid w:val="002F5273"/>
    <w:rsid w:val="002F538D"/>
    <w:rsid w:val="002F53D4"/>
    <w:rsid w:val="00301A82"/>
    <w:rsid w:val="003025E3"/>
    <w:rsid w:val="003037ED"/>
    <w:rsid w:val="00303D86"/>
    <w:rsid w:val="003041EF"/>
    <w:rsid w:val="00305048"/>
    <w:rsid w:val="003058EB"/>
    <w:rsid w:val="00306151"/>
    <w:rsid w:val="0030626C"/>
    <w:rsid w:val="00307818"/>
    <w:rsid w:val="00307B9D"/>
    <w:rsid w:val="0031082B"/>
    <w:rsid w:val="00311BD1"/>
    <w:rsid w:val="003123B4"/>
    <w:rsid w:val="0031278E"/>
    <w:rsid w:val="003129FF"/>
    <w:rsid w:val="00312BE2"/>
    <w:rsid w:val="003134C4"/>
    <w:rsid w:val="003136E4"/>
    <w:rsid w:val="00314489"/>
    <w:rsid w:val="00314E5B"/>
    <w:rsid w:val="00314F46"/>
    <w:rsid w:val="00315C5B"/>
    <w:rsid w:val="003167A7"/>
    <w:rsid w:val="00316A60"/>
    <w:rsid w:val="00316B40"/>
    <w:rsid w:val="00316E37"/>
    <w:rsid w:val="00317770"/>
    <w:rsid w:val="00320A1C"/>
    <w:rsid w:val="003212A2"/>
    <w:rsid w:val="003216E7"/>
    <w:rsid w:val="00321D6A"/>
    <w:rsid w:val="00322C19"/>
    <w:rsid w:val="0032302E"/>
    <w:rsid w:val="00324943"/>
    <w:rsid w:val="003254C8"/>
    <w:rsid w:val="0032603C"/>
    <w:rsid w:val="00326B34"/>
    <w:rsid w:val="00326EF6"/>
    <w:rsid w:val="003273F5"/>
    <w:rsid w:val="00331517"/>
    <w:rsid w:val="00333417"/>
    <w:rsid w:val="0033391A"/>
    <w:rsid w:val="003341A2"/>
    <w:rsid w:val="00334937"/>
    <w:rsid w:val="003359D2"/>
    <w:rsid w:val="003368F1"/>
    <w:rsid w:val="003407CB"/>
    <w:rsid w:val="00340AC3"/>
    <w:rsid w:val="00340B42"/>
    <w:rsid w:val="00342117"/>
    <w:rsid w:val="00342CAC"/>
    <w:rsid w:val="0034378D"/>
    <w:rsid w:val="00343CB4"/>
    <w:rsid w:val="00344504"/>
    <w:rsid w:val="00345CE2"/>
    <w:rsid w:val="0034736C"/>
    <w:rsid w:val="0034759F"/>
    <w:rsid w:val="00350F93"/>
    <w:rsid w:val="00353C8E"/>
    <w:rsid w:val="00354813"/>
    <w:rsid w:val="00354B06"/>
    <w:rsid w:val="003557E3"/>
    <w:rsid w:val="00355855"/>
    <w:rsid w:val="00356413"/>
    <w:rsid w:val="0035668F"/>
    <w:rsid w:val="00357E3E"/>
    <w:rsid w:val="0036150D"/>
    <w:rsid w:val="0036275D"/>
    <w:rsid w:val="003633EF"/>
    <w:rsid w:val="003644EA"/>
    <w:rsid w:val="0036472D"/>
    <w:rsid w:val="00364DEE"/>
    <w:rsid w:val="0036535F"/>
    <w:rsid w:val="00366595"/>
    <w:rsid w:val="003676FA"/>
    <w:rsid w:val="00370298"/>
    <w:rsid w:val="0037350B"/>
    <w:rsid w:val="00373588"/>
    <w:rsid w:val="00373CB9"/>
    <w:rsid w:val="00375AD9"/>
    <w:rsid w:val="00375BBC"/>
    <w:rsid w:val="00376823"/>
    <w:rsid w:val="0037761D"/>
    <w:rsid w:val="003777CF"/>
    <w:rsid w:val="00377F75"/>
    <w:rsid w:val="00377FE4"/>
    <w:rsid w:val="00380096"/>
    <w:rsid w:val="0038030C"/>
    <w:rsid w:val="00380590"/>
    <w:rsid w:val="003808D5"/>
    <w:rsid w:val="0038134B"/>
    <w:rsid w:val="00381B1F"/>
    <w:rsid w:val="0038233C"/>
    <w:rsid w:val="00382BE8"/>
    <w:rsid w:val="003836BC"/>
    <w:rsid w:val="00384358"/>
    <w:rsid w:val="00384918"/>
    <w:rsid w:val="00384C11"/>
    <w:rsid w:val="00384F6E"/>
    <w:rsid w:val="0038519D"/>
    <w:rsid w:val="003859FE"/>
    <w:rsid w:val="003862AC"/>
    <w:rsid w:val="0039006F"/>
    <w:rsid w:val="003909FB"/>
    <w:rsid w:val="00391ECA"/>
    <w:rsid w:val="00392EFF"/>
    <w:rsid w:val="00395674"/>
    <w:rsid w:val="00395C65"/>
    <w:rsid w:val="00395CB6"/>
    <w:rsid w:val="00395D43"/>
    <w:rsid w:val="0039753B"/>
    <w:rsid w:val="0039762F"/>
    <w:rsid w:val="00397EA5"/>
    <w:rsid w:val="003A0407"/>
    <w:rsid w:val="003A0B10"/>
    <w:rsid w:val="003A135B"/>
    <w:rsid w:val="003A13C6"/>
    <w:rsid w:val="003A1491"/>
    <w:rsid w:val="003A36B0"/>
    <w:rsid w:val="003A4404"/>
    <w:rsid w:val="003A4656"/>
    <w:rsid w:val="003A46B0"/>
    <w:rsid w:val="003A4CBF"/>
    <w:rsid w:val="003A5895"/>
    <w:rsid w:val="003A650D"/>
    <w:rsid w:val="003A658A"/>
    <w:rsid w:val="003A7993"/>
    <w:rsid w:val="003A79BB"/>
    <w:rsid w:val="003B126E"/>
    <w:rsid w:val="003B1BB9"/>
    <w:rsid w:val="003B1D19"/>
    <w:rsid w:val="003B2795"/>
    <w:rsid w:val="003B34C9"/>
    <w:rsid w:val="003B3510"/>
    <w:rsid w:val="003B576F"/>
    <w:rsid w:val="003B5A06"/>
    <w:rsid w:val="003B614F"/>
    <w:rsid w:val="003B6AEF"/>
    <w:rsid w:val="003C1AD5"/>
    <w:rsid w:val="003C2E6E"/>
    <w:rsid w:val="003C39DC"/>
    <w:rsid w:val="003C7C5D"/>
    <w:rsid w:val="003C7FF6"/>
    <w:rsid w:val="003D0612"/>
    <w:rsid w:val="003D0BC0"/>
    <w:rsid w:val="003D194B"/>
    <w:rsid w:val="003D1A0D"/>
    <w:rsid w:val="003D3FDA"/>
    <w:rsid w:val="003D468D"/>
    <w:rsid w:val="003D5045"/>
    <w:rsid w:val="003D69FC"/>
    <w:rsid w:val="003D6AE8"/>
    <w:rsid w:val="003D74FE"/>
    <w:rsid w:val="003D79FB"/>
    <w:rsid w:val="003D7A92"/>
    <w:rsid w:val="003D7B4F"/>
    <w:rsid w:val="003E0EA9"/>
    <w:rsid w:val="003E20C0"/>
    <w:rsid w:val="003E2137"/>
    <w:rsid w:val="003E2A43"/>
    <w:rsid w:val="003E3E1D"/>
    <w:rsid w:val="003E5024"/>
    <w:rsid w:val="003E6204"/>
    <w:rsid w:val="003E6975"/>
    <w:rsid w:val="003E6B2D"/>
    <w:rsid w:val="003E6FBB"/>
    <w:rsid w:val="003F0004"/>
    <w:rsid w:val="003F0606"/>
    <w:rsid w:val="003F0C02"/>
    <w:rsid w:val="003F1BBD"/>
    <w:rsid w:val="003F3B0B"/>
    <w:rsid w:val="003F4D3B"/>
    <w:rsid w:val="003F5001"/>
    <w:rsid w:val="003F6F9A"/>
    <w:rsid w:val="003F7544"/>
    <w:rsid w:val="003F7D11"/>
    <w:rsid w:val="004009F4"/>
    <w:rsid w:val="00400F8B"/>
    <w:rsid w:val="00403231"/>
    <w:rsid w:val="004036E2"/>
    <w:rsid w:val="00404A00"/>
    <w:rsid w:val="004050C7"/>
    <w:rsid w:val="0040560C"/>
    <w:rsid w:val="004065B5"/>
    <w:rsid w:val="00407786"/>
    <w:rsid w:val="0041097C"/>
    <w:rsid w:val="0041108A"/>
    <w:rsid w:val="004130DC"/>
    <w:rsid w:val="004134CA"/>
    <w:rsid w:val="00413A13"/>
    <w:rsid w:val="00413E30"/>
    <w:rsid w:val="004143F2"/>
    <w:rsid w:val="0041494B"/>
    <w:rsid w:val="00416757"/>
    <w:rsid w:val="00422F42"/>
    <w:rsid w:val="00423A65"/>
    <w:rsid w:val="00423B5F"/>
    <w:rsid w:val="004254DF"/>
    <w:rsid w:val="00425B1A"/>
    <w:rsid w:val="00425DBE"/>
    <w:rsid w:val="00426E4F"/>
    <w:rsid w:val="00430D62"/>
    <w:rsid w:val="004340D3"/>
    <w:rsid w:val="00435786"/>
    <w:rsid w:val="00435804"/>
    <w:rsid w:val="00436840"/>
    <w:rsid w:val="00440651"/>
    <w:rsid w:val="00441333"/>
    <w:rsid w:val="00441515"/>
    <w:rsid w:val="00443F09"/>
    <w:rsid w:val="004440A6"/>
    <w:rsid w:val="00444325"/>
    <w:rsid w:val="0044518B"/>
    <w:rsid w:val="004456F9"/>
    <w:rsid w:val="00445C14"/>
    <w:rsid w:val="004474E2"/>
    <w:rsid w:val="00447E95"/>
    <w:rsid w:val="0045036A"/>
    <w:rsid w:val="0045115E"/>
    <w:rsid w:val="004525FE"/>
    <w:rsid w:val="00453407"/>
    <w:rsid w:val="00453781"/>
    <w:rsid w:val="004547E9"/>
    <w:rsid w:val="00455847"/>
    <w:rsid w:val="00455FB1"/>
    <w:rsid w:val="004561F5"/>
    <w:rsid w:val="004568FC"/>
    <w:rsid w:val="00457160"/>
    <w:rsid w:val="00457501"/>
    <w:rsid w:val="00460618"/>
    <w:rsid w:val="00460913"/>
    <w:rsid w:val="00461C64"/>
    <w:rsid w:val="00463502"/>
    <w:rsid w:val="00463C0A"/>
    <w:rsid w:val="00465931"/>
    <w:rsid w:val="00466E17"/>
    <w:rsid w:val="00467DA8"/>
    <w:rsid w:val="00471E27"/>
    <w:rsid w:val="0047221E"/>
    <w:rsid w:val="00473572"/>
    <w:rsid w:val="004753C8"/>
    <w:rsid w:val="0047754C"/>
    <w:rsid w:val="00477CC9"/>
    <w:rsid w:val="004810A3"/>
    <w:rsid w:val="00481238"/>
    <w:rsid w:val="004815A4"/>
    <w:rsid w:val="00481FCB"/>
    <w:rsid w:val="004830DD"/>
    <w:rsid w:val="00483243"/>
    <w:rsid w:val="00483588"/>
    <w:rsid w:val="00483835"/>
    <w:rsid w:val="004855E7"/>
    <w:rsid w:val="00485C61"/>
    <w:rsid w:val="00486138"/>
    <w:rsid w:val="00486E6E"/>
    <w:rsid w:val="004871EF"/>
    <w:rsid w:val="0049102B"/>
    <w:rsid w:val="0049309B"/>
    <w:rsid w:val="00493CD0"/>
    <w:rsid w:val="00494CFE"/>
    <w:rsid w:val="0049558C"/>
    <w:rsid w:val="004974FC"/>
    <w:rsid w:val="0049792A"/>
    <w:rsid w:val="00497F57"/>
    <w:rsid w:val="004A06E0"/>
    <w:rsid w:val="004A15B5"/>
    <w:rsid w:val="004A351E"/>
    <w:rsid w:val="004A52DA"/>
    <w:rsid w:val="004B141B"/>
    <w:rsid w:val="004B1B23"/>
    <w:rsid w:val="004B2023"/>
    <w:rsid w:val="004B2A70"/>
    <w:rsid w:val="004B30C8"/>
    <w:rsid w:val="004B3F17"/>
    <w:rsid w:val="004B41B3"/>
    <w:rsid w:val="004B5B6A"/>
    <w:rsid w:val="004B7712"/>
    <w:rsid w:val="004C2412"/>
    <w:rsid w:val="004C3B66"/>
    <w:rsid w:val="004C3B7D"/>
    <w:rsid w:val="004C3DAA"/>
    <w:rsid w:val="004C5AC6"/>
    <w:rsid w:val="004C5DA1"/>
    <w:rsid w:val="004C6CA6"/>
    <w:rsid w:val="004C70F5"/>
    <w:rsid w:val="004C7DBC"/>
    <w:rsid w:val="004D08EC"/>
    <w:rsid w:val="004D15E2"/>
    <w:rsid w:val="004D2288"/>
    <w:rsid w:val="004D24AD"/>
    <w:rsid w:val="004D2662"/>
    <w:rsid w:val="004D5D7B"/>
    <w:rsid w:val="004D68A3"/>
    <w:rsid w:val="004D71CE"/>
    <w:rsid w:val="004D73BD"/>
    <w:rsid w:val="004D75BE"/>
    <w:rsid w:val="004D76A6"/>
    <w:rsid w:val="004E0229"/>
    <w:rsid w:val="004E0531"/>
    <w:rsid w:val="004E08E1"/>
    <w:rsid w:val="004E257E"/>
    <w:rsid w:val="004E3A93"/>
    <w:rsid w:val="004E3E5B"/>
    <w:rsid w:val="004E624A"/>
    <w:rsid w:val="004E6306"/>
    <w:rsid w:val="004E6F38"/>
    <w:rsid w:val="004E7593"/>
    <w:rsid w:val="004E7AC2"/>
    <w:rsid w:val="004F0D34"/>
    <w:rsid w:val="004F13DC"/>
    <w:rsid w:val="004F14E0"/>
    <w:rsid w:val="004F259F"/>
    <w:rsid w:val="004F2774"/>
    <w:rsid w:val="004F4815"/>
    <w:rsid w:val="004F6046"/>
    <w:rsid w:val="004F6FF5"/>
    <w:rsid w:val="004F77DF"/>
    <w:rsid w:val="005010FC"/>
    <w:rsid w:val="00502405"/>
    <w:rsid w:val="0050296D"/>
    <w:rsid w:val="0050349A"/>
    <w:rsid w:val="00503703"/>
    <w:rsid w:val="0050718D"/>
    <w:rsid w:val="00512271"/>
    <w:rsid w:val="0051376E"/>
    <w:rsid w:val="00513EBD"/>
    <w:rsid w:val="005150F6"/>
    <w:rsid w:val="00515823"/>
    <w:rsid w:val="005161F3"/>
    <w:rsid w:val="005165A8"/>
    <w:rsid w:val="00516641"/>
    <w:rsid w:val="00517408"/>
    <w:rsid w:val="00517B04"/>
    <w:rsid w:val="00517FE5"/>
    <w:rsid w:val="00520B78"/>
    <w:rsid w:val="0052443A"/>
    <w:rsid w:val="0052474E"/>
    <w:rsid w:val="00525C0D"/>
    <w:rsid w:val="00525CA8"/>
    <w:rsid w:val="00525DE0"/>
    <w:rsid w:val="0053050F"/>
    <w:rsid w:val="0053093F"/>
    <w:rsid w:val="00531844"/>
    <w:rsid w:val="00531B06"/>
    <w:rsid w:val="00532907"/>
    <w:rsid w:val="00533B50"/>
    <w:rsid w:val="00533C2C"/>
    <w:rsid w:val="005340E2"/>
    <w:rsid w:val="00534FFB"/>
    <w:rsid w:val="00535314"/>
    <w:rsid w:val="005353A0"/>
    <w:rsid w:val="00535937"/>
    <w:rsid w:val="0053642C"/>
    <w:rsid w:val="005366D5"/>
    <w:rsid w:val="005375FB"/>
    <w:rsid w:val="00541E07"/>
    <w:rsid w:val="005445C3"/>
    <w:rsid w:val="0054470E"/>
    <w:rsid w:val="00545180"/>
    <w:rsid w:val="00545E5D"/>
    <w:rsid w:val="0054639A"/>
    <w:rsid w:val="00550297"/>
    <w:rsid w:val="00550B01"/>
    <w:rsid w:val="005512E6"/>
    <w:rsid w:val="00553538"/>
    <w:rsid w:val="005546F1"/>
    <w:rsid w:val="0055700E"/>
    <w:rsid w:val="00557483"/>
    <w:rsid w:val="005601A9"/>
    <w:rsid w:val="005615E9"/>
    <w:rsid w:val="00563CC4"/>
    <w:rsid w:val="00563DD4"/>
    <w:rsid w:val="00563E8B"/>
    <w:rsid w:val="00564A18"/>
    <w:rsid w:val="00565875"/>
    <w:rsid w:val="00566001"/>
    <w:rsid w:val="00566755"/>
    <w:rsid w:val="005669F1"/>
    <w:rsid w:val="005676FD"/>
    <w:rsid w:val="00567D7E"/>
    <w:rsid w:val="0057051F"/>
    <w:rsid w:val="005725A8"/>
    <w:rsid w:val="00572717"/>
    <w:rsid w:val="00572EF7"/>
    <w:rsid w:val="00573E0E"/>
    <w:rsid w:val="005740A9"/>
    <w:rsid w:val="005746C9"/>
    <w:rsid w:val="0057537D"/>
    <w:rsid w:val="00575426"/>
    <w:rsid w:val="0057591C"/>
    <w:rsid w:val="00576559"/>
    <w:rsid w:val="00577102"/>
    <w:rsid w:val="005774EF"/>
    <w:rsid w:val="00580FE4"/>
    <w:rsid w:val="00582E35"/>
    <w:rsid w:val="0058451C"/>
    <w:rsid w:val="00585145"/>
    <w:rsid w:val="00587B9A"/>
    <w:rsid w:val="00590858"/>
    <w:rsid w:val="00590BB3"/>
    <w:rsid w:val="00591AB3"/>
    <w:rsid w:val="005921B7"/>
    <w:rsid w:val="005922E8"/>
    <w:rsid w:val="00592DB1"/>
    <w:rsid w:val="00593C25"/>
    <w:rsid w:val="00593C3C"/>
    <w:rsid w:val="0059484F"/>
    <w:rsid w:val="00596CCB"/>
    <w:rsid w:val="0059748A"/>
    <w:rsid w:val="0059765D"/>
    <w:rsid w:val="0059785B"/>
    <w:rsid w:val="005A0239"/>
    <w:rsid w:val="005A0F0A"/>
    <w:rsid w:val="005A2A63"/>
    <w:rsid w:val="005A3200"/>
    <w:rsid w:val="005A507B"/>
    <w:rsid w:val="005A5FC5"/>
    <w:rsid w:val="005A7105"/>
    <w:rsid w:val="005A7193"/>
    <w:rsid w:val="005B0F63"/>
    <w:rsid w:val="005B272F"/>
    <w:rsid w:val="005B32B4"/>
    <w:rsid w:val="005B32BD"/>
    <w:rsid w:val="005C01D3"/>
    <w:rsid w:val="005C0359"/>
    <w:rsid w:val="005C1C1F"/>
    <w:rsid w:val="005C375B"/>
    <w:rsid w:val="005C4818"/>
    <w:rsid w:val="005C4E54"/>
    <w:rsid w:val="005C7030"/>
    <w:rsid w:val="005C74A1"/>
    <w:rsid w:val="005C796A"/>
    <w:rsid w:val="005C7A31"/>
    <w:rsid w:val="005C7A56"/>
    <w:rsid w:val="005C7D65"/>
    <w:rsid w:val="005C7D6F"/>
    <w:rsid w:val="005D1412"/>
    <w:rsid w:val="005D1B3A"/>
    <w:rsid w:val="005D3139"/>
    <w:rsid w:val="005D3A73"/>
    <w:rsid w:val="005D459F"/>
    <w:rsid w:val="005D72DA"/>
    <w:rsid w:val="005D7AB9"/>
    <w:rsid w:val="005D7CE7"/>
    <w:rsid w:val="005E09D0"/>
    <w:rsid w:val="005E0C86"/>
    <w:rsid w:val="005E0EAC"/>
    <w:rsid w:val="005E180E"/>
    <w:rsid w:val="005E4893"/>
    <w:rsid w:val="005E5208"/>
    <w:rsid w:val="005E6BC0"/>
    <w:rsid w:val="005E6E7C"/>
    <w:rsid w:val="005E7256"/>
    <w:rsid w:val="005E7EAE"/>
    <w:rsid w:val="005F087B"/>
    <w:rsid w:val="005F141A"/>
    <w:rsid w:val="005F2957"/>
    <w:rsid w:val="005F4774"/>
    <w:rsid w:val="005F5DC8"/>
    <w:rsid w:val="005F6147"/>
    <w:rsid w:val="005F6273"/>
    <w:rsid w:val="005F67FC"/>
    <w:rsid w:val="005F6BAA"/>
    <w:rsid w:val="00600437"/>
    <w:rsid w:val="00600743"/>
    <w:rsid w:val="00601D54"/>
    <w:rsid w:val="0060405E"/>
    <w:rsid w:val="006061AC"/>
    <w:rsid w:val="00607602"/>
    <w:rsid w:val="006077EE"/>
    <w:rsid w:val="00611F34"/>
    <w:rsid w:val="006129EB"/>
    <w:rsid w:val="006146C8"/>
    <w:rsid w:val="006147A1"/>
    <w:rsid w:val="00614BD0"/>
    <w:rsid w:val="006161C0"/>
    <w:rsid w:val="006166A6"/>
    <w:rsid w:val="00616CBE"/>
    <w:rsid w:val="00617A85"/>
    <w:rsid w:val="006200B1"/>
    <w:rsid w:val="006212C1"/>
    <w:rsid w:val="00621818"/>
    <w:rsid w:val="0062200E"/>
    <w:rsid w:val="00622844"/>
    <w:rsid w:val="0062368C"/>
    <w:rsid w:val="0062414B"/>
    <w:rsid w:val="0062421A"/>
    <w:rsid w:val="00624D9B"/>
    <w:rsid w:val="00625BF2"/>
    <w:rsid w:val="00626D39"/>
    <w:rsid w:val="0062740A"/>
    <w:rsid w:val="00627663"/>
    <w:rsid w:val="00627AF4"/>
    <w:rsid w:val="00632BFD"/>
    <w:rsid w:val="00633708"/>
    <w:rsid w:val="00633F54"/>
    <w:rsid w:val="0063447E"/>
    <w:rsid w:val="006351CD"/>
    <w:rsid w:val="0063531F"/>
    <w:rsid w:val="00635C0C"/>
    <w:rsid w:val="006364FC"/>
    <w:rsid w:val="00637CAC"/>
    <w:rsid w:val="0064023E"/>
    <w:rsid w:val="006428F4"/>
    <w:rsid w:val="006445A3"/>
    <w:rsid w:val="00644E7A"/>
    <w:rsid w:val="0064502E"/>
    <w:rsid w:val="0064507A"/>
    <w:rsid w:val="00645551"/>
    <w:rsid w:val="006469D8"/>
    <w:rsid w:val="00646F10"/>
    <w:rsid w:val="006476EB"/>
    <w:rsid w:val="0065010E"/>
    <w:rsid w:val="0065265A"/>
    <w:rsid w:val="006538E4"/>
    <w:rsid w:val="00653C85"/>
    <w:rsid w:val="00653E12"/>
    <w:rsid w:val="00653FB4"/>
    <w:rsid w:val="00654EE9"/>
    <w:rsid w:val="00655811"/>
    <w:rsid w:val="00656043"/>
    <w:rsid w:val="0065716F"/>
    <w:rsid w:val="006572D4"/>
    <w:rsid w:val="0066171E"/>
    <w:rsid w:val="00663737"/>
    <w:rsid w:val="006637F8"/>
    <w:rsid w:val="00663EF1"/>
    <w:rsid w:val="00663EFD"/>
    <w:rsid w:val="00663F62"/>
    <w:rsid w:val="00664390"/>
    <w:rsid w:val="00664B90"/>
    <w:rsid w:val="00664CE1"/>
    <w:rsid w:val="00665645"/>
    <w:rsid w:val="006679F6"/>
    <w:rsid w:val="00671E1D"/>
    <w:rsid w:val="00673BCA"/>
    <w:rsid w:val="006756BD"/>
    <w:rsid w:val="00675E3C"/>
    <w:rsid w:val="0067646B"/>
    <w:rsid w:val="00676A6C"/>
    <w:rsid w:val="00677872"/>
    <w:rsid w:val="00677C6A"/>
    <w:rsid w:val="00680052"/>
    <w:rsid w:val="00683740"/>
    <w:rsid w:val="0068382B"/>
    <w:rsid w:val="00683CC5"/>
    <w:rsid w:val="006849D7"/>
    <w:rsid w:val="00684F71"/>
    <w:rsid w:val="006875D4"/>
    <w:rsid w:val="0068765B"/>
    <w:rsid w:val="00691FAE"/>
    <w:rsid w:val="00692665"/>
    <w:rsid w:val="0069418C"/>
    <w:rsid w:val="006948DB"/>
    <w:rsid w:val="006952F8"/>
    <w:rsid w:val="006958E8"/>
    <w:rsid w:val="00695C6F"/>
    <w:rsid w:val="00696B74"/>
    <w:rsid w:val="006972AB"/>
    <w:rsid w:val="006A004A"/>
    <w:rsid w:val="006A16F1"/>
    <w:rsid w:val="006A3572"/>
    <w:rsid w:val="006A6269"/>
    <w:rsid w:val="006A715F"/>
    <w:rsid w:val="006A7296"/>
    <w:rsid w:val="006A7305"/>
    <w:rsid w:val="006B05B4"/>
    <w:rsid w:val="006B1A71"/>
    <w:rsid w:val="006B1AC2"/>
    <w:rsid w:val="006B48FD"/>
    <w:rsid w:val="006B4EBD"/>
    <w:rsid w:val="006B51F9"/>
    <w:rsid w:val="006B5626"/>
    <w:rsid w:val="006B566C"/>
    <w:rsid w:val="006B58E2"/>
    <w:rsid w:val="006B746F"/>
    <w:rsid w:val="006B74C9"/>
    <w:rsid w:val="006B7818"/>
    <w:rsid w:val="006C1445"/>
    <w:rsid w:val="006C2B5E"/>
    <w:rsid w:val="006C2DA8"/>
    <w:rsid w:val="006C3796"/>
    <w:rsid w:val="006C399B"/>
    <w:rsid w:val="006C4152"/>
    <w:rsid w:val="006C4416"/>
    <w:rsid w:val="006C4BF1"/>
    <w:rsid w:val="006C4D75"/>
    <w:rsid w:val="006C7928"/>
    <w:rsid w:val="006D07AD"/>
    <w:rsid w:val="006D2B87"/>
    <w:rsid w:val="006D2FCB"/>
    <w:rsid w:val="006D32C0"/>
    <w:rsid w:val="006D52A3"/>
    <w:rsid w:val="006D60F3"/>
    <w:rsid w:val="006D643F"/>
    <w:rsid w:val="006E0F7A"/>
    <w:rsid w:val="006E2712"/>
    <w:rsid w:val="006E378E"/>
    <w:rsid w:val="006E5604"/>
    <w:rsid w:val="006E604F"/>
    <w:rsid w:val="006E65F1"/>
    <w:rsid w:val="006E6B45"/>
    <w:rsid w:val="006E7129"/>
    <w:rsid w:val="006E74F4"/>
    <w:rsid w:val="006E7D00"/>
    <w:rsid w:val="006F01A8"/>
    <w:rsid w:val="006F0E75"/>
    <w:rsid w:val="006F1147"/>
    <w:rsid w:val="006F1485"/>
    <w:rsid w:val="006F1608"/>
    <w:rsid w:val="006F19A2"/>
    <w:rsid w:val="006F1E17"/>
    <w:rsid w:val="006F1E49"/>
    <w:rsid w:val="006F2222"/>
    <w:rsid w:val="006F2D32"/>
    <w:rsid w:val="006F3A55"/>
    <w:rsid w:val="006F4615"/>
    <w:rsid w:val="006F473F"/>
    <w:rsid w:val="006F4EDB"/>
    <w:rsid w:val="006F585C"/>
    <w:rsid w:val="006F65BF"/>
    <w:rsid w:val="006F715E"/>
    <w:rsid w:val="006F71BF"/>
    <w:rsid w:val="00700390"/>
    <w:rsid w:val="00700F79"/>
    <w:rsid w:val="00701026"/>
    <w:rsid w:val="007019AA"/>
    <w:rsid w:val="00701C3E"/>
    <w:rsid w:val="00702B96"/>
    <w:rsid w:val="00703132"/>
    <w:rsid w:val="00705A1B"/>
    <w:rsid w:val="0070637B"/>
    <w:rsid w:val="00707B10"/>
    <w:rsid w:val="00710FE9"/>
    <w:rsid w:val="00711E0E"/>
    <w:rsid w:val="00713B90"/>
    <w:rsid w:val="00714829"/>
    <w:rsid w:val="00715307"/>
    <w:rsid w:val="00717A5B"/>
    <w:rsid w:val="00717E23"/>
    <w:rsid w:val="007201AB"/>
    <w:rsid w:val="00721DD6"/>
    <w:rsid w:val="00723021"/>
    <w:rsid w:val="00724E7B"/>
    <w:rsid w:val="00725CB5"/>
    <w:rsid w:val="0072636A"/>
    <w:rsid w:val="00726960"/>
    <w:rsid w:val="00727322"/>
    <w:rsid w:val="00727AB6"/>
    <w:rsid w:val="0073016E"/>
    <w:rsid w:val="00730ECE"/>
    <w:rsid w:val="00732E06"/>
    <w:rsid w:val="007335F2"/>
    <w:rsid w:val="00733D1A"/>
    <w:rsid w:val="007346C7"/>
    <w:rsid w:val="0073560F"/>
    <w:rsid w:val="00735BC1"/>
    <w:rsid w:val="00735BDC"/>
    <w:rsid w:val="00736387"/>
    <w:rsid w:val="007364CA"/>
    <w:rsid w:val="00736A5D"/>
    <w:rsid w:val="00736AB5"/>
    <w:rsid w:val="00736C0D"/>
    <w:rsid w:val="00736E01"/>
    <w:rsid w:val="007373B8"/>
    <w:rsid w:val="00741974"/>
    <w:rsid w:val="007419B1"/>
    <w:rsid w:val="00742B79"/>
    <w:rsid w:val="00744B07"/>
    <w:rsid w:val="00744E3F"/>
    <w:rsid w:val="007453A0"/>
    <w:rsid w:val="007465C9"/>
    <w:rsid w:val="007467DE"/>
    <w:rsid w:val="0075199A"/>
    <w:rsid w:val="0075303E"/>
    <w:rsid w:val="00754A8A"/>
    <w:rsid w:val="0075641C"/>
    <w:rsid w:val="0075719D"/>
    <w:rsid w:val="0076172C"/>
    <w:rsid w:val="007627CE"/>
    <w:rsid w:val="00762E4E"/>
    <w:rsid w:val="00763F36"/>
    <w:rsid w:val="00764389"/>
    <w:rsid w:val="00764594"/>
    <w:rsid w:val="007648D8"/>
    <w:rsid w:val="00764E26"/>
    <w:rsid w:val="007657E4"/>
    <w:rsid w:val="00765BA6"/>
    <w:rsid w:val="00765C1B"/>
    <w:rsid w:val="00770966"/>
    <w:rsid w:val="00770EC4"/>
    <w:rsid w:val="00771472"/>
    <w:rsid w:val="007725D9"/>
    <w:rsid w:val="00772744"/>
    <w:rsid w:val="0077599C"/>
    <w:rsid w:val="00776465"/>
    <w:rsid w:val="007769AD"/>
    <w:rsid w:val="00776B95"/>
    <w:rsid w:val="00777459"/>
    <w:rsid w:val="00777484"/>
    <w:rsid w:val="00777B99"/>
    <w:rsid w:val="00781F65"/>
    <w:rsid w:val="00782C55"/>
    <w:rsid w:val="00782C91"/>
    <w:rsid w:val="00782F42"/>
    <w:rsid w:val="0078367C"/>
    <w:rsid w:val="00784BDF"/>
    <w:rsid w:val="00787807"/>
    <w:rsid w:val="00790425"/>
    <w:rsid w:val="0079043D"/>
    <w:rsid w:val="00790CE2"/>
    <w:rsid w:val="00791741"/>
    <w:rsid w:val="00791903"/>
    <w:rsid w:val="00792293"/>
    <w:rsid w:val="00792C0D"/>
    <w:rsid w:val="00792D53"/>
    <w:rsid w:val="007933DC"/>
    <w:rsid w:val="007A0D92"/>
    <w:rsid w:val="007A0E04"/>
    <w:rsid w:val="007A17B9"/>
    <w:rsid w:val="007A1981"/>
    <w:rsid w:val="007A376F"/>
    <w:rsid w:val="007A4EDD"/>
    <w:rsid w:val="007A4F99"/>
    <w:rsid w:val="007A5717"/>
    <w:rsid w:val="007A5920"/>
    <w:rsid w:val="007A650B"/>
    <w:rsid w:val="007A727F"/>
    <w:rsid w:val="007A74F1"/>
    <w:rsid w:val="007B2765"/>
    <w:rsid w:val="007B375E"/>
    <w:rsid w:val="007B3941"/>
    <w:rsid w:val="007B49C2"/>
    <w:rsid w:val="007B6526"/>
    <w:rsid w:val="007B66D6"/>
    <w:rsid w:val="007B6B65"/>
    <w:rsid w:val="007B6D8C"/>
    <w:rsid w:val="007B7208"/>
    <w:rsid w:val="007B7420"/>
    <w:rsid w:val="007C0E84"/>
    <w:rsid w:val="007C1F3A"/>
    <w:rsid w:val="007C1F56"/>
    <w:rsid w:val="007C2186"/>
    <w:rsid w:val="007C2FB6"/>
    <w:rsid w:val="007C42DC"/>
    <w:rsid w:val="007C460A"/>
    <w:rsid w:val="007C4F7B"/>
    <w:rsid w:val="007C62E7"/>
    <w:rsid w:val="007C6A52"/>
    <w:rsid w:val="007D1C80"/>
    <w:rsid w:val="007D1F68"/>
    <w:rsid w:val="007D261F"/>
    <w:rsid w:val="007D3701"/>
    <w:rsid w:val="007D41AF"/>
    <w:rsid w:val="007D430E"/>
    <w:rsid w:val="007D54C3"/>
    <w:rsid w:val="007D6111"/>
    <w:rsid w:val="007E16AA"/>
    <w:rsid w:val="007E1D1F"/>
    <w:rsid w:val="007E306D"/>
    <w:rsid w:val="007E31D0"/>
    <w:rsid w:val="007E6215"/>
    <w:rsid w:val="007E7D3A"/>
    <w:rsid w:val="007F0659"/>
    <w:rsid w:val="007F085F"/>
    <w:rsid w:val="007F16B7"/>
    <w:rsid w:val="007F5300"/>
    <w:rsid w:val="0080019D"/>
    <w:rsid w:val="00800CD3"/>
    <w:rsid w:val="00800DD6"/>
    <w:rsid w:val="00801EC0"/>
    <w:rsid w:val="0080200C"/>
    <w:rsid w:val="00803E27"/>
    <w:rsid w:val="00803ED6"/>
    <w:rsid w:val="0080417C"/>
    <w:rsid w:val="00804940"/>
    <w:rsid w:val="008049AD"/>
    <w:rsid w:val="00805F68"/>
    <w:rsid w:val="00806BC0"/>
    <w:rsid w:val="0081060A"/>
    <w:rsid w:val="008122E5"/>
    <w:rsid w:val="008129FF"/>
    <w:rsid w:val="00813553"/>
    <w:rsid w:val="00814B61"/>
    <w:rsid w:val="0081504F"/>
    <w:rsid w:val="00816722"/>
    <w:rsid w:val="008168D0"/>
    <w:rsid w:val="00816BD6"/>
    <w:rsid w:val="00816FFF"/>
    <w:rsid w:val="00817006"/>
    <w:rsid w:val="008178D5"/>
    <w:rsid w:val="00817EAD"/>
    <w:rsid w:val="0082001F"/>
    <w:rsid w:val="00820050"/>
    <w:rsid w:val="00822880"/>
    <w:rsid w:val="00822B3F"/>
    <w:rsid w:val="00822CFA"/>
    <w:rsid w:val="00822DFD"/>
    <w:rsid w:val="00823F46"/>
    <w:rsid w:val="0082451A"/>
    <w:rsid w:val="00824892"/>
    <w:rsid w:val="008251F2"/>
    <w:rsid w:val="0082561B"/>
    <w:rsid w:val="00825BB1"/>
    <w:rsid w:val="00826470"/>
    <w:rsid w:val="00826853"/>
    <w:rsid w:val="00826BFB"/>
    <w:rsid w:val="00832381"/>
    <w:rsid w:val="00832931"/>
    <w:rsid w:val="00832B6C"/>
    <w:rsid w:val="00833AED"/>
    <w:rsid w:val="00833C38"/>
    <w:rsid w:val="00835B9F"/>
    <w:rsid w:val="00835F0F"/>
    <w:rsid w:val="00836D18"/>
    <w:rsid w:val="00837014"/>
    <w:rsid w:val="00837AE9"/>
    <w:rsid w:val="00837B90"/>
    <w:rsid w:val="008401FD"/>
    <w:rsid w:val="00841857"/>
    <w:rsid w:val="0084199F"/>
    <w:rsid w:val="00842436"/>
    <w:rsid w:val="00842582"/>
    <w:rsid w:val="00842BFA"/>
    <w:rsid w:val="0084416A"/>
    <w:rsid w:val="00845910"/>
    <w:rsid w:val="00845F13"/>
    <w:rsid w:val="00846382"/>
    <w:rsid w:val="0084649C"/>
    <w:rsid w:val="008467DB"/>
    <w:rsid w:val="008469BB"/>
    <w:rsid w:val="00846AE4"/>
    <w:rsid w:val="00846B02"/>
    <w:rsid w:val="00847CCF"/>
    <w:rsid w:val="00850C6B"/>
    <w:rsid w:val="00850E93"/>
    <w:rsid w:val="008527D7"/>
    <w:rsid w:val="00853978"/>
    <w:rsid w:val="0085461C"/>
    <w:rsid w:val="0085531A"/>
    <w:rsid w:val="0085571A"/>
    <w:rsid w:val="00855F73"/>
    <w:rsid w:val="0085735F"/>
    <w:rsid w:val="00860296"/>
    <w:rsid w:val="00860C38"/>
    <w:rsid w:val="00861ABD"/>
    <w:rsid w:val="00863681"/>
    <w:rsid w:val="00863AB0"/>
    <w:rsid w:val="00863FD2"/>
    <w:rsid w:val="0086776B"/>
    <w:rsid w:val="00867D3D"/>
    <w:rsid w:val="00870182"/>
    <w:rsid w:val="00870C27"/>
    <w:rsid w:val="008716BC"/>
    <w:rsid w:val="00872CDF"/>
    <w:rsid w:val="00874566"/>
    <w:rsid w:val="00876E12"/>
    <w:rsid w:val="008772F6"/>
    <w:rsid w:val="00877E35"/>
    <w:rsid w:val="00881620"/>
    <w:rsid w:val="00883ABB"/>
    <w:rsid w:val="0088460B"/>
    <w:rsid w:val="00885C33"/>
    <w:rsid w:val="00886392"/>
    <w:rsid w:val="00890FB1"/>
    <w:rsid w:val="00892D30"/>
    <w:rsid w:val="008938ED"/>
    <w:rsid w:val="0089408F"/>
    <w:rsid w:val="0089487D"/>
    <w:rsid w:val="008949CB"/>
    <w:rsid w:val="00894B67"/>
    <w:rsid w:val="00896C6D"/>
    <w:rsid w:val="00897890"/>
    <w:rsid w:val="00897C9D"/>
    <w:rsid w:val="00897EB8"/>
    <w:rsid w:val="008A1CDA"/>
    <w:rsid w:val="008A310C"/>
    <w:rsid w:val="008A4F6A"/>
    <w:rsid w:val="008A57B5"/>
    <w:rsid w:val="008A6BB9"/>
    <w:rsid w:val="008B0868"/>
    <w:rsid w:val="008B0F03"/>
    <w:rsid w:val="008B108F"/>
    <w:rsid w:val="008B148D"/>
    <w:rsid w:val="008B16DF"/>
    <w:rsid w:val="008B17B0"/>
    <w:rsid w:val="008B1A45"/>
    <w:rsid w:val="008B2BBD"/>
    <w:rsid w:val="008B2E1E"/>
    <w:rsid w:val="008B303F"/>
    <w:rsid w:val="008B3C30"/>
    <w:rsid w:val="008B4DCE"/>
    <w:rsid w:val="008B5D33"/>
    <w:rsid w:val="008B7502"/>
    <w:rsid w:val="008C0C13"/>
    <w:rsid w:val="008C273E"/>
    <w:rsid w:val="008C3608"/>
    <w:rsid w:val="008C387E"/>
    <w:rsid w:val="008C4E32"/>
    <w:rsid w:val="008C5329"/>
    <w:rsid w:val="008C6DAE"/>
    <w:rsid w:val="008C756B"/>
    <w:rsid w:val="008C7959"/>
    <w:rsid w:val="008C7F7D"/>
    <w:rsid w:val="008D100A"/>
    <w:rsid w:val="008D352A"/>
    <w:rsid w:val="008D36BD"/>
    <w:rsid w:val="008D4D69"/>
    <w:rsid w:val="008D56F0"/>
    <w:rsid w:val="008D5903"/>
    <w:rsid w:val="008D728A"/>
    <w:rsid w:val="008D7549"/>
    <w:rsid w:val="008E0750"/>
    <w:rsid w:val="008E106A"/>
    <w:rsid w:val="008E114F"/>
    <w:rsid w:val="008E17FB"/>
    <w:rsid w:val="008E3C8A"/>
    <w:rsid w:val="008E3FF7"/>
    <w:rsid w:val="008E4E9A"/>
    <w:rsid w:val="008E51F8"/>
    <w:rsid w:val="008E6447"/>
    <w:rsid w:val="008E666F"/>
    <w:rsid w:val="008E78BC"/>
    <w:rsid w:val="008F0636"/>
    <w:rsid w:val="008F1CCE"/>
    <w:rsid w:val="008F2CDF"/>
    <w:rsid w:val="008F52CE"/>
    <w:rsid w:val="008F5481"/>
    <w:rsid w:val="008F5ABB"/>
    <w:rsid w:val="008F62D5"/>
    <w:rsid w:val="008F69A5"/>
    <w:rsid w:val="008F69A7"/>
    <w:rsid w:val="008F6A78"/>
    <w:rsid w:val="008F71B9"/>
    <w:rsid w:val="008F7230"/>
    <w:rsid w:val="00900239"/>
    <w:rsid w:val="00900819"/>
    <w:rsid w:val="00900937"/>
    <w:rsid w:val="00900D4C"/>
    <w:rsid w:val="00901148"/>
    <w:rsid w:val="0090197A"/>
    <w:rsid w:val="00902BF0"/>
    <w:rsid w:val="00903D57"/>
    <w:rsid w:val="00905215"/>
    <w:rsid w:val="00906142"/>
    <w:rsid w:val="0090673F"/>
    <w:rsid w:val="00906864"/>
    <w:rsid w:val="00907660"/>
    <w:rsid w:val="00911BC2"/>
    <w:rsid w:val="009136DC"/>
    <w:rsid w:val="00914027"/>
    <w:rsid w:val="00914CBA"/>
    <w:rsid w:val="00915D3C"/>
    <w:rsid w:val="00920225"/>
    <w:rsid w:val="00920850"/>
    <w:rsid w:val="00920A23"/>
    <w:rsid w:val="0092200C"/>
    <w:rsid w:val="00922FFB"/>
    <w:rsid w:val="009242CD"/>
    <w:rsid w:val="0092475F"/>
    <w:rsid w:val="009252CA"/>
    <w:rsid w:val="00926C7D"/>
    <w:rsid w:val="0092715C"/>
    <w:rsid w:val="00927DD6"/>
    <w:rsid w:val="00930547"/>
    <w:rsid w:val="009308BC"/>
    <w:rsid w:val="00934432"/>
    <w:rsid w:val="00934480"/>
    <w:rsid w:val="00934C29"/>
    <w:rsid w:val="00934DFD"/>
    <w:rsid w:val="00935155"/>
    <w:rsid w:val="00936188"/>
    <w:rsid w:val="00936916"/>
    <w:rsid w:val="00940517"/>
    <w:rsid w:val="009407D3"/>
    <w:rsid w:val="00941988"/>
    <w:rsid w:val="00950DBF"/>
    <w:rsid w:val="00950F0F"/>
    <w:rsid w:val="009523C8"/>
    <w:rsid w:val="00952E0E"/>
    <w:rsid w:val="00952FCB"/>
    <w:rsid w:val="009544B5"/>
    <w:rsid w:val="00955F3A"/>
    <w:rsid w:val="00957E7D"/>
    <w:rsid w:val="0096020E"/>
    <w:rsid w:val="00960581"/>
    <w:rsid w:val="00961F9F"/>
    <w:rsid w:val="00964723"/>
    <w:rsid w:val="00965EBD"/>
    <w:rsid w:val="00966785"/>
    <w:rsid w:val="009667A8"/>
    <w:rsid w:val="00970723"/>
    <w:rsid w:val="009712C7"/>
    <w:rsid w:val="0097175F"/>
    <w:rsid w:val="0097205E"/>
    <w:rsid w:val="00974619"/>
    <w:rsid w:val="00975A79"/>
    <w:rsid w:val="009763EA"/>
    <w:rsid w:val="00977AE6"/>
    <w:rsid w:val="00977DF4"/>
    <w:rsid w:val="00980ED9"/>
    <w:rsid w:val="00984558"/>
    <w:rsid w:val="00984F15"/>
    <w:rsid w:val="00984F38"/>
    <w:rsid w:val="009869BB"/>
    <w:rsid w:val="0099299B"/>
    <w:rsid w:val="00992CA3"/>
    <w:rsid w:val="0099344B"/>
    <w:rsid w:val="00993C50"/>
    <w:rsid w:val="00994408"/>
    <w:rsid w:val="009945DA"/>
    <w:rsid w:val="00994C3F"/>
    <w:rsid w:val="00995296"/>
    <w:rsid w:val="00995665"/>
    <w:rsid w:val="00996E3E"/>
    <w:rsid w:val="009973CC"/>
    <w:rsid w:val="00997856"/>
    <w:rsid w:val="009A1D8B"/>
    <w:rsid w:val="009A1EC7"/>
    <w:rsid w:val="009A2668"/>
    <w:rsid w:val="009A27AA"/>
    <w:rsid w:val="009A376A"/>
    <w:rsid w:val="009A3923"/>
    <w:rsid w:val="009A4AB4"/>
    <w:rsid w:val="009A504D"/>
    <w:rsid w:val="009A54F5"/>
    <w:rsid w:val="009A5AA7"/>
    <w:rsid w:val="009A77B0"/>
    <w:rsid w:val="009A7978"/>
    <w:rsid w:val="009B0DE4"/>
    <w:rsid w:val="009B0DEC"/>
    <w:rsid w:val="009B20E8"/>
    <w:rsid w:val="009B22EF"/>
    <w:rsid w:val="009B254B"/>
    <w:rsid w:val="009B3048"/>
    <w:rsid w:val="009B3912"/>
    <w:rsid w:val="009B3F8F"/>
    <w:rsid w:val="009B438F"/>
    <w:rsid w:val="009B49FF"/>
    <w:rsid w:val="009B541F"/>
    <w:rsid w:val="009B66A9"/>
    <w:rsid w:val="009B69FE"/>
    <w:rsid w:val="009B6E52"/>
    <w:rsid w:val="009B7285"/>
    <w:rsid w:val="009B7677"/>
    <w:rsid w:val="009B7ECD"/>
    <w:rsid w:val="009C04A3"/>
    <w:rsid w:val="009C16F9"/>
    <w:rsid w:val="009C1B27"/>
    <w:rsid w:val="009C28A2"/>
    <w:rsid w:val="009C29D2"/>
    <w:rsid w:val="009C2E6D"/>
    <w:rsid w:val="009C57C5"/>
    <w:rsid w:val="009C589F"/>
    <w:rsid w:val="009C5B5C"/>
    <w:rsid w:val="009C7D8E"/>
    <w:rsid w:val="009D0090"/>
    <w:rsid w:val="009D095B"/>
    <w:rsid w:val="009D0C78"/>
    <w:rsid w:val="009D2836"/>
    <w:rsid w:val="009D2AF8"/>
    <w:rsid w:val="009D3908"/>
    <w:rsid w:val="009D4252"/>
    <w:rsid w:val="009D483D"/>
    <w:rsid w:val="009D56AF"/>
    <w:rsid w:val="009D5805"/>
    <w:rsid w:val="009D5C12"/>
    <w:rsid w:val="009D65EF"/>
    <w:rsid w:val="009D6BEB"/>
    <w:rsid w:val="009D7B59"/>
    <w:rsid w:val="009E02C3"/>
    <w:rsid w:val="009E0393"/>
    <w:rsid w:val="009E03D4"/>
    <w:rsid w:val="009E1A1A"/>
    <w:rsid w:val="009E20D4"/>
    <w:rsid w:val="009E22B0"/>
    <w:rsid w:val="009E2AFF"/>
    <w:rsid w:val="009E2E44"/>
    <w:rsid w:val="009E3FD1"/>
    <w:rsid w:val="009E5D4A"/>
    <w:rsid w:val="009E6F30"/>
    <w:rsid w:val="009F0262"/>
    <w:rsid w:val="009F1372"/>
    <w:rsid w:val="009F16A3"/>
    <w:rsid w:val="009F2CD3"/>
    <w:rsid w:val="009F2DBB"/>
    <w:rsid w:val="009F39AB"/>
    <w:rsid w:val="009F7686"/>
    <w:rsid w:val="00A000DB"/>
    <w:rsid w:val="00A006D2"/>
    <w:rsid w:val="00A01180"/>
    <w:rsid w:val="00A01333"/>
    <w:rsid w:val="00A0355C"/>
    <w:rsid w:val="00A04602"/>
    <w:rsid w:val="00A05E8E"/>
    <w:rsid w:val="00A06528"/>
    <w:rsid w:val="00A0668D"/>
    <w:rsid w:val="00A068B4"/>
    <w:rsid w:val="00A07103"/>
    <w:rsid w:val="00A11077"/>
    <w:rsid w:val="00A12C8F"/>
    <w:rsid w:val="00A132E5"/>
    <w:rsid w:val="00A13DA3"/>
    <w:rsid w:val="00A15800"/>
    <w:rsid w:val="00A15DF0"/>
    <w:rsid w:val="00A17D47"/>
    <w:rsid w:val="00A218E6"/>
    <w:rsid w:val="00A21AB1"/>
    <w:rsid w:val="00A2349E"/>
    <w:rsid w:val="00A237DE"/>
    <w:rsid w:val="00A241FE"/>
    <w:rsid w:val="00A266E7"/>
    <w:rsid w:val="00A273EC"/>
    <w:rsid w:val="00A30B88"/>
    <w:rsid w:val="00A31570"/>
    <w:rsid w:val="00A31F18"/>
    <w:rsid w:val="00A31F22"/>
    <w:rsid w:val="00A32F19"/>
    <w:rsid w:val="00A33135"/>
    <w:rsid w:val="00A33209"/>
    <w:rsid w:val="00A338BD"/>
    <w:rsid w:val="00A33FAF"/>
    <w:rsid w:val="00A3431A"/>
    <w:rsid w:val="00A34817"/>
    <w:rsid w:val="00A34A53"/>
    <w:rsid w:val="00A356E7"/>
    <w:rsid w:val="00A3574E"/>
    <w:rsid w:val="00A36093"/>
    <w:rsid w:val="00A367BA"/>
    <w:rsid w:val="00A400DE"/>
    <w:rsid w:val="00A40604"/>
    <w:rsid w:val="00A41042"/>
    <w:rsid w:val="00A422BF"/>
    <w:rsid w:val="00A4277A"/>
    <w:rsid w:val="00A43EDB"/>
    <w:rsid w:val="00A440F8"/>
    <w:rsid w:val="00A44842"/>
    <w:rsid w:val="00A44FAB"/>
    <w:rsid w:val="00A4648D"/>
    <w:rsid w:val="00A47C04"/>
    <w:rsid w:val="00A50905"/>
    <w:rsid w:val="00A50B48"/>
    <w:rsid w:val="00A533B2"/>
    <w:rsid w:val="00A544E0"/>
    <w:rsid w:val="00A546AB"/>
    <w:rsid w:val="00A55015"/>
    <w:rsid w:val="00A55791"/>
    <w:rsid w:val="00A55CFD"/>
    <w:rsid w:val="00A60B78"/>
    <w:rsid w:val="00A618E8"/>
    <w:rsid w:val="00A6198B"/>
    <w:rsid w:val="00A622FE"/>
    <w:rsid w:val="00A63633"/>
    <w:rsid w:val="00A642F5"/>
    <w:rsid w:val="00A64993"/>
    <w:rsid w:val="00A65090"/>
    <w:rsid w:val="00A657D9"/>
    <w:rsid w:val="00A667F2"/>
    <w:rsid w:val="00A66C78"/>
    <w:rsid w:val="00A67D66"/>
    <w:rsid w:val="00A71653"/>
    <w:rsid w:val="00A71924"/>
    <w:rsid w:val="00A72AE7"/>
    <w:rsid w:val="00A72B1B"/>
    <w:rsid w:val="00A73265"/>
    <w:rsid w:val="00A73285"/>
    <w:rsid w:val="00A73494"/>
    <w:rsid w:val="00A750AE"/>
    <w:rsid w:val="00A7567E"/>
    <w:rsid w:val="00A76BA2"/>
    <w:rsid w:val="00A771C2"/>
    <w:rsid w:val="00A7748E"/>
    <w:rsid w:val="00A77B09"/>
    <w:rsid w:val="00A77BBC"/>
    <w:rsid w:val="00A77F88"/>
    <w:rsid w:val="00A826A4"/>
    <w:rsid w:val="00A82922"/>
    <w:rsid w:val="00A831BB"/>
    <w:rsid w:val="00A837E2"/>
    <w:rsid w:val="00A845C8"/>
    <w:rsid w:val="00A84B4A"/>
    <w:rsid w:val="00A85706"/>
    <w:rsid w:val="00A85F1F"/>
    <w:rsid w:val="00A90042"/>
    <w:rsid w:val="00A905F2"/>
    <w:rsid w:val="00A91151"/>
    <w:rsid w:val="00A91255"/>
    <w:rsid w:val="00A91BB7"/>
    <w:rsid w:val="00A92CE3"/>
    <w:rsid w:val="00A930A5"/>
    <w:rsid w:val="00A93240"/>
    <w:rsid w:val="00A9453E"/>
    <w:rsid w:val="00A9581E"/>
    <w:rsid w:val="00A9633A"/>
    <w:rsid w:val="00A965EE"/>
    <w:rsid w:val="00A96EED"/>
    <w:rsid w:val="00A978EE"/>
    <w:rsid w:val="00AA1239"/>
    <w:rsid w:val="00AA232F"/>
    <w:rsid w:val="00AA36E8"/>
    <w:rsid w:val="00AA385D"/>
    <w:rsid w:val="00AA3ECD"/>
    <w:rsid w:val="00AA45E2"/>
    <w:rsid w:val="00AA5931"/>
    <w:rsid w:val="00AA6CD0"/>
    <w:rsid w:val="00AA6F4D"/>
    <w:rsid w:val="00AB1283"/>
    <w:rsid w:val="00AB1466"/>
    <w:rsid w:val="00AB149E"/>
    <w:rsid w:val="00AB22DD"/>
    <w:rsid w:val="00AB2854"/>
    <w:rsid w:val="00AB312C"/>
    <w:rsid w:val="00AB3C8F"/>
    <w:rsid w:val="00AB6386"/>
    <w:rsid w:val="00AB799E"/>
    <w:rsid w:val="00AC0D6B"/>
    <w:rsid w:val="00AC1349"/>
    <w:rsid w:val="00AC1664"/>
    <w:rsid w:val="00AC279B"/>
    <w:rsid w:val="00AC2809"/>
    <w:rsid w:val="00AC2DBD"/>
    <w:rsid w:val="00AC3AAC"/>
    <w:rsid w:val="00AC4623"/>
    <w:rsid w:val="00AC525D"/>
    <w:rsid w:val="00AC5A17"/>
    <w:rsid w:val="00AC5D93"/>
    <w:rsid w:val="00AC7920"/>
    <w:rsid w:val="00AC7968"/>
    <w:rsid w:val="00AD03E5"/>
    <w:rsid w:val="00AD0BBF"/>
    <w:rsid w:val="00AD1CD2"/>
    <w:rsid w:val="00AD2EFA"/>
    <w:rsid w:val="00AD3F34"/>
    <w:rsid w:val="00AD4D15"/>
    <w:rsid w:val="00AD521C"/>
    <w:rsid w:val="00AD6966"/>
    <w:rsid w:val="00AD6EEC"/>
    <w:rsid w:val="00AD74E3"/>
    <w:rsid w:val="00AD78FA"/>
    <w:rsid w:val="00AE027F"/>
    <w:rsid w:val="00AE07A8"/>
    <w:rsid w:val="00AE12BC"/>
    <w:rsid w:val="00AE1E2A"/>
    <w:rsid w:val="00AE1E71"/>
    <w:rsid w:val="00AE3AE8"/>
    <w:rsid w:val="00AE4608"/>
    <w:rsid w:val="00AE4A19"/>
    <w:rsid w:val="00AE4DE2"/>
    <w:rsid w:val="00AE50D4"/>
    <w:rsid w:val="00AE54D3"/>
    <w:rsid w:val="00AE5FE9"/>
    <w:rsid w:val="00AE722D"/>
    <w:rsid w:val="00AE7E20"/>
    <w:rsid w:val="00AF0269"/>
    <w:rsid w:val="00AF0F00"/>
    <w:rsid w:val="00AF16E3"/>
    <w:rsid w:val="00AF19D4"/>
    <w:rsid w:val="00AF1E49"/>
    <w:rsid w:val="00AF2420"/>
    <w:rsid w:val="00AF250E"/>
    <w:rsid w:val="00AF284C"/>
    <w:rsid w:val="00AF28B1"/>
    <w:rsid w:val="00AF341A"/>
    <w:rsid w:val="00AF3901"/>
    <w:rsid w:val="00AF3A60"/>
    <w:rsid w:val="00AF3C90"/>
    <w:rsid w:val="00AF4AAD"/>
    <w:rsid w:val="00AF5809"/>
    <w:rsid w:val="00AF5BF7"/>
    <w:rsid w:val="00AF6767"/>
    <w:rsid w:val="00AF6DED"/>
    <w:rsid w:val="00B00149"/>
    <w:rsid w:val="00B00157"/>
    <w:rsid w:val="00B01B36"/>
    <w:rsid w:val="00B01B5B"/>
    <w:rsid w:val="00B021CB"/>
    <w:rsid w:val="00B034CE"/>
    <w:rsid w:val="00B03D02"/>
    <w:rsid w:val="00B03F57"/>
    <w:rsid w:val="00B0502D"/>
    <w:rsid w:val="00B07731"/>
    <w:rsid w:val="00B077F1"/>
    <w:rsid w:val="00B12851"/>
    <w:rsid w:val="00B13BC7"/>
    <w:rsid w:val="00B13C92"/>
    <w:rsid w:val="00B13EAB"/>
    <w:rsid w:val="00B15840"/>
    <w:rsid w:val="00B164EB"/>
    <w:rsid w:val="00B165B0"/>
    <w:rsid w:val="00B16ADA"/>
    <w:rsid w:val="00B1727A"/>
    <w:rsid w:val="00B1797B"/>
    <w:rsid w:val="00B21010"/>
    <w:rsid w:val="00B216EF"/>
    <w:rsid w:val="00B23AE5"/>
    <w:rsid w:val="00B23F2E"/>
    <w:rsid w:val="00B24EFE"/>
    <w:rsid w:val="00B257D8"/>
    <w:rsid w:val="00B26FA0"/>
    <w:rsid w:val="00B26FA6"/>
    <w:rsid w:val="00B27213"/>
    <w:rsid w:val="00B27311"/>
    <w:rsid w:val="00B27BE3"/>
    <w:rsid w:val="00B27CEF"/>
    <w:rsid w:val="00B30965"/>
    <w:rsid w:val="00B3107B"/>
    <w:rsid w:val="00B3132E"/>
    <w:rsid w:val="00B33B97"/>
    <w:rsid w:val="00B36624"/>
    <w:rsid w:val="00B36B37"/>
    <w:rsid w:val="00B378F6"/>
    <w:rsid w:val="00B37F00"/>
    <w:rsid w:val="00B40A36"/>
    <w:rsid w:val="00B40E19"/>
    <w:rsid w:val="00B42148"/>
    <w:rsid w:val="00B448A8"/>
    <w:rsid w:val="00B47264"/>
    <w:rsid w:val="00B4740B"/>
    <w:rsid w:val="00B475C2"/>
    <w:rsid w:val="00B478DE"/>
    <w:rsid w:val="00B47E99"/>
    <w:rsid w:val="00B50186"/>
    <w:rsid w:val="00B50843"/>
    <w:rsid w:val="00B51536"/>
    <w:rsid w:val="00B53F59"/>
    <w:rsid w:val="00B54B31"/>
    <w:rsid w:val="00B55614"/>
    <w:rsid w:val="00B573CD"/>
    <w:rsid w:val="00B57689"/>
    <w:rsid w:val="00B6142D"/>
    <w:rsid w:val="00B619A6"/>
    <w:rsid w:val="00B62EB3"/>
    <w:rsid w:val="00B64CDB"/>
    <w:rsid w:val="00B64FB5"/>
    <w:rsid w:val="00B65077"/>
    <w:rsid w:val="00B65A25"/>
    <w:rsid w:val="00B65B05"/>
    <w:rsid w:val="00B65B96"/>
    <w:rsid w:val="00B661B9"/>
    <w:rsid w:val="00B66AD5"/>
    <w:rsid w:val="00B6786A"/>
    <w:rsid w:val="00B71235"/>
    <w:rsid w:val="00B71D5E"/>
    <w:rsid w:val="00B71F0A"/>
    <w:rsid w:val="00B72883"/>
    <w:rsid w:val="00B7317A"/>
    <w:rsid w:val="00B74AA4"/>
    <w:rsid w:val="00B75264"/>
    <w:rsid w:val="00B7628A"/>
    <w:rsid w:val="00B76E30"/>
    <w:rsid w:val="00B772B8"/>
    <w:rsid w:val="00B7734B"/>
    <w:rsid w:val="00B777C0"/>
    <w:rsid w:val="00B778B1"/>
    <w:rsid w:val="00B80445"/>
    <w:rsid w:val="00B81AEC"/>
    <w:rsid w:val="00B82ADB"/>
    <w:rsid w:val="00B82BD7"/>
    <w:rsid w:val="00B833CD"/>
    <w:rsid w:val="00B84D56"/>
    <w:rsid w:val="00B85089"/>
    <w:rsid w:val="00B858A0"/>
    <w:rsid w:val="00B865B0"/>
    <w:rsid w:val="00B869A1"/>
    <w:rsid w:val="00B87A6E"/>
    <w:rsid w:val="00B90347"/>
    <w:rsid w:val="00B94C7E"/>
    <w:rsid w:val="00B95BE9"/>
    <w:rsid w:val="00B96D19"/>
    <w:rsid w:val="00B97543"/>
    <w:rsid w:val="00B97C06"/>
    <w:rsid w:val="00B97E3B"/>
    <w:rsid w:val="00BA2F62"/>
    <w:rsid w:val="00BA31DE"/>
    <w:rsid w:val="00BA3301"/>
    <w:rsid w:val="00BA3BD8"/>
    <w:rsid w:val="00BA434A"/>
    <w:rsid w:val="00BA549D"/>
    <w:rsid w:val="00BA564A"/>
    <w:rsid w:val="00BA6C78"/>
    <w:rsid w:val="00BA6DC8"/>
    <w:rsid w:val="00BA7258"/>
    <w:rsid w:val="00BB0832"/>
    <w:rsid w:val="00BB1D81"/>
    <w:rsid w:val="00BB2121"/>
    <w:rsid w:val="00BB3090"/>
    <w:rsid w:val="00BB366E"/>
    <w:rsid w:val="00BB3A29"/>
    <w:rsid w:val="00BB3A9F"/>
    <w:rsid w:val="00BB453B"/>
    <w:rsid w:val="00BB487E"/>
    <w:rsid w:val="00BB6A22"/>
    <w:rsid w:val="00BB7527"/>
    <w:rsid w:val="00BB7CBB"/>
    <w:rsid w:val="00BC105C"/>
    <w:rsid w:val="00BC1875"/>
    <w:rsid w:val="00BC1EEE"/>
    <w:rsid w:val="00BC32C3"/>
    <w:rsid w:val="00BC4F15"/>
    <w:rsid w:val="00BC60B0"/>
    <w:rsid w:val="00BC7F89"/>
    <w:rsid w:val="00BD0CD9"/>
    <w:rsid w:val="00BD0D50"/>
    <w:rsid w:val="00BD1499"/>
    <w:rsid w:val="00BD16B3"/>
    <w:rsid w:val="00BD1CC4"/>
    <w:rsid w:val="00BD1DBA"/>
    <w:rsid w:val="00BD1FF2"/>
    <w:rsid w:val="00BD26DC"/>
    <w:rsid w:val="00BD427A"/>
    <w:rsid w:val="00BD4E1A"/>
    <w:rsid w:val="00BD5539"/>
    <w:rsid w:val="00BD5AC7"/>
    <w:rsid w:val="00BD5E02"/>
    <w:rsid w:val="00BD7A3E"/>
    <w:rsid w:val="00BD7C33"/>
    <w:rsid w:val="00BE1134"/>
    <w:rsid w:val="00BE2193"/>
    <w:rsid w:val="00BE26A8"/>
    <w:rsid w:val="00BE3AEF"/>
    <w:rsid w:val="00BE3DBC"/>
    <w:rsid w:val="00BE43CA"/>
    <w:rsid w:val="00BE4841"/>
    <w:rsid w:val="00BE58E3"/>
    <w:rsid w:val="00BE5B37"/>
    <w:rsid w:val="00BE6B0B"/>
    <w:rsid w:val="00BE7156"/>
    <w:rsid w:val="00BF037C"/>
    <w:rsid w:val="00BF0790"/>
    <w:rsid w:val="00BF162D"/>
    <w:rsid w:val="00BF1F00"/>
    <w:rsid w:val="00BF2B02"/>
    <w:rsid w:val="00BF3759"/>
    <w:rsid w:val="00BF38D1"/>
    <w:rsid w:val="00BF5A18"/>
    <w:rsid w:val="00BF5FE6"/>
    <w:rsid w:val="00BF6913"/>
    <w:rsid w:val="00BF74BD"/>
    <w:rsid w:val="00BF7600"/>
    <w:rsid w:val="00C000A6"/>
    <w:rsid w:val="00C0032F"/>
    <w:rsid w:val="00C0182B"/>
    <w:rsid w:val="00C03971"/>
    <w:rsid w:val="00C0425C"/>
    <w:rsid w:val="00C058C8"/>
    <w:rsid w:val="00C05DDC"/>
    <w:rsid w:val="00C07469"/>
    <w:rsid w:val="00C101D5"/>
    <w:rsid w:val="00C107DF"/>
    <w:rsid w:val="00C10BFD"/>
    <w:rsid w:val="00C11BE3"/>
    <w:rsid w:val="00C130D2"/>
    <w:rsid w:val="00C14426"/>
    <w:rsid w:val="00C1777C"/>
    <w:rsid w:val="00C17BD8"/>
    <w:rsid w:val="00C211AA"/>
    <w:rsid w:val="00C217D8"/>
    <w:rsid w:val="00C21C41"/>
    <w:rsid w:val="00C21F98"/>
    <w:rsid w:val="00C2261D"/>
    <w:rsid w:val="00C229F9"/>
    <w:rsid w:val="00C22CC6"/>
    <w:rsid w:val="00C2343A"/>
    <w:rsid w:val="00C23477"/>
    <w:rsid w:val="00C235E5"/>
    <w:rsid w:val="00C2399F"/>
    <w:rsid w:val="00C23F26"/>
    <w:rsid w:val="00C241D6"/>
    <w:rsid w:val="00C24FFC"/>
    <w:rsid w:val="00C2503C"/>
    <w:rsid w:val="00C25AB3"/>
    <w:rsid w:val="00C25CF3"/>
    <w:rsid w:val="00C26C9A"/>
    <w:rsid w:val="00C26CC1"/>
    <w:rsid w:val="00C27608"/>
    <w:rsid w:val="00C3103C"/>
    <w:rsid w:val="00C3216A"/>
    <w:rsid w:val="00C32439"/>
    <w:rsid w:val="00C32708"/>
    <w:rsid w:val="00C32FDF"/>
    <w:rsid w:val="00C345E4"/>
    <w:rsid w:val="00C4009D"/>
    <w:rsid w:val="00C40974"/>
    <w:rsid w:val="00C42398"/>
    <w:rsid w:val="00C42452"/>
    <w:rsid w:val="00C431DA"/>
    <w:rsid w:val="00C45667"/>
    <w:rsid w:val="00C4589A"/>
    <w:rsid w:val="00C464BF"/>
    <w:rsid w:val="00C47602"/>
    <w:rsid w:val="00C50058"/>
    <w:rsid w:val="00C50C3A"/>
    <w:rsid w:val="00C50E17"/>
    <w:rsid w:val="00C52E7E"/>
    <w:rsid w:val="00C53F1B"/>
    <w:rsid w:val="00C541F6"/>
    <w:rsid w:val="00C543F5"/>
    <w:rsid w:val="00C55529"/>
    <w:rsid w:val="00C556E4"/>
    <w:rsid w:val="00C56E02"/>
    <w:rsid w:val="00C6092F"/>
    <w:rsid w:val="00C60EF9"/>
    <w:rsid w:val="00C61B5F"/>
    <w:rsid w:val="00C63E16"/>
    <w:rsid w:val="00C64675"/>
    <w:rsid w:val="00C67847"/>
    <w:rsid w:val="00C7230A"/>
    <w:rsid w:val="00C73C23"/>
    <w:rsid w:val="00C76095"/>
    <w:rsid w:val="00C804BF"/>
    <w:rsid w:val="00C80A61"/>
    <w:rsid w:val="00C81687"/>
    <w:rsid w:val="00C81BAB"/>
    <w:rsid w:val="00C82204"/>
    <w:rsid w:val="00C82277"/>
    <w:rsid w:val="00C82909"/>
    <w:rsid w:val="00C83FDC"/>
    <w:rsid w:val="00C84127"/>
    <w:rsid w:val="00C84445"/>
    <w:rsid w:val="00C85521"/>
    <w:rsid w:val="00C87EF4"/>
    <w:rsid w:val="00C90645"/>
    <w:rsid w:val="00C919B3"/>
    <w:rsid w:val="00C92E35"/>
    <w:rsid w:val="00C93AFA"/>
    <w:rsid w:val="00C94B59"/>
    <w:rsid w:val="00C94E1E"/>
    <w:rsid w:val="00C96C01"/>
    <w:rsid w:val="00C96DEC"/>
    <w:rsid w:val="00C96E52"/>
    <w:rsid w:val="00CA02A7"/>
    <w:rsid w:val="00CA0508"/>
    <w:rsid w:val="00CA0AB6"/>
    <w:rsid w:val="00CA0B65"/>
    <w:rsid w:val="00CA3AE1"/>
    <w:rsid w:val="00CA4EC0"/>
    <w:rsid w:val="00CA5152"/>
    <w:rsid w:val="00CA5236"/>
    <w:rsid w:val="00CA72EA"/>
    <w:rsid w:val="00CB0399"/>
    <w:rsid w:val="00CB177E"/>
    <w:rsid w:val="00CB1F35"/>
    <w:rsid w:val="00CB21BF"/>
    <w:rsid w:val="00CB2265"/>
    <w:rsid w:val="00CB2D9E"/>
    <w:rsid w:val="00CB3DE1"/>
    <w:rsid w:val="00CB5C76"/>
    <w:rsid w:val="00CB624B"/>
    <w:rsid w:val="00CB66B2"/>
    <w:rsid w:val="00CC0383"/>
    <w:rsid w:val="00CC0768"/>
    <w:rsid w:val="00CC13DE"/>
    <w:rsid w:val="00CC214F"/>
    <w:rsid w:val="00CC3A39"/>
    <w:rsid w:val="00CC4693"/>
    <w:rsid w:val="00CC5B75"/>
    <w:rsid w:val="00CC6565"/>
    <w:rsid w:val="00CC7827"/>
    <w:rsid w:val="00CC79BA"/>
    <w:rsid w:val="00CC7AC7"/>
    <w:rsid w:val="00CD058B"/>
    <w:rsid w:val="00CD0C01"/>
    <w:rsid w:val="00CD2DF8"/>
    <w:rsid w:val="00CD3249"/>
    <w:rsid w:val="00CD4268"/>
    <w:rsid w:val="00CD5AB7"/>
    <w:rsid w:val="00CD75E9"/>
    <w:rsid w:val="00CD7BE8"/>
    <w:rsid w:val="00CE238B"/>
    <w:rsid w:val="00CE29CE"/>
    <w:rsid w:val="00CE3768"/>
    <w:rsid w:val="00CE3B1A"/>
    <w:rsid w:val="00CE5214"/>
    <w:rsid w:val="00CE6444"/>
    <w:rsid w:val="00CE68FD"/>
    <w:rsid w:val="00CE7883"/>
    <w:rsid w:val="00CE7BC3"/>
    <w:rsid w:val="00CE7BDF"/>
    <w:rsid w:val="00CF06BA"/>
    <w:rsid w:val="00CF0A94"/>
    <w:rsid w:val="00CF27F9"/>
    <w:rsid w:val="00CF29F0"/>
    <w:rsid w:val="00CF3C78"/>
    <w:rsid w:val="00CF3CA9"/>
    <w:rsid w:val="00CF418D"/>
    <w:rsid w:val="00CF5464"/>
    <w:rsid w:val="00CF5FA2"/>
    <w:rsid w:val="00CF6842"/>
    <w:rsid w:val="00CF70AD"/>
    <w:rsid w:val="00CF737C"/>
    <w:rsid w:val="00D01B4A"/>
    <w:rsid w:val="00D03194"/>
    <w:rsid w:val="00D03614"/>
    <w:rsid w:val="00D047DA"/>
    <w:rsid w:val="00D04EB1"/>
    <w:rsid w:val="00D04FC4"/>
    <w:rsid w:val="00D05447"/>
    <w:rsid w:val="00D06231"/>
    <w:rsid w:val="00D0626C"/>
    <w:rsid w:val="00D06629"/>
    <w:rsid w:val="00D07237"/>
    <w:rsid w:val="00D072C9"/>
    <w:rsid w:val="00D10CE4"/>
    <w:rsid w:val="00D120D9"/>
    <w:rsid w:val="00D12B34"/>
    <w:rsid w:val="00D1346A"/>
    <w:rsid w:val="00D13C4F"/>
    <w:rsid w:val="00D14488"/>
    <w:rsid w:val="00D15C1E"/>
    <w:rsid w:val="00D15E9F"/>
    <w:rsid w:val="00D17485"/>
    <w:rsid w:val="00D201B8"/>
    <w:rsid w:val="00D204C4"/>
    <w:rsid w:val="00D22C9D"/>
    <w:rsid w:val="00D233E2"/>
    <w:rsid w:val="00D2464E"/>
    <w:rsid w:val="00D266A0"/>
    <w:rsid w:val="00D2685E"/>
    <w:rsid w:val="00D31032"/>
    <w:rsid w:val="00D324C7"/>
    <w:rsid w:val="00D332A8"/>
    <w:rsid w:val="00D33F47"/>
    <w:rsid w:val="00D3428D"/>
    <w:rsid w:val="00D351B7"/>
    <w:rsid w:val="00D3575A"/>
    <w:rsid w:val="00D36980"/>
    <w:rsid w:val="00D403D8"/>
    <w:rsid w:val="00D4193B"/>
    <w:rsid w:val="00D41C65"/>
    <w:rsid w:val="00D41F89"/>
    <w:rsid w:val="00D42999"/>
    <w:rsid w:val="00D43A80"/>
    <w:rsid w:val="00D4406D"/>
    <w:rsid w:val="00D44856"/>
    <w:rsid w:val="00D45CB4"/>
    <w:rsid w:val="00D45DF5"/>
    <w:rsid w:val="00D45E42"/>
    <w:rsid w:val="00D46DF3"/>
    <w:rsid w:val="00D46E9E"/>
    <w:rsid w:val="00D4742B"/>
    <w:rsid w:val="00D50F43"/>
    <w:rsid w:val="00D52971"/>
    <w:rsid w:val="00D52C63"/>
    <w:rsid w:val="00D53DEE"/>
    <w:rsid w:val="00D53F61"/>
    <w:rsid w:val="00D5526E"/>
    <w:rsid w:val="00D55320"/>
    <w:rsid w:val="00D56065"/>
    <w:rsid w:val="00D57ACA"/>
    <w:rsid w:val="00D607EB"/>
    <w:rsid w:val="00D60D56"/>
    <w:rsid w:val="00D617E5"/>
    <w:rsid w:val="00D61DBC"/>
    <w:rsid w:val="00D668DC"/>
    <w:rsid w:val="00D6690E"/>
    <w:rsid w:val="00D669A1"/>
    <w:rsid w:val="00D66E56"/>
    <w:rsid w:val="00D66FF5"/>
    <w:rsid w:val="00D674B2"/>
    <w:rsid w:val="00D70EFC"/>
    <w:rsid w:val="00D715DD"/>
    <w:rsid w:val="00D730E9"/>
    <w:rsid w:val="00D73192"/>
    <w:rsid w:val="00D740E3"/>
    <w:rsid w:val="00D75A93"/>
    <w:rsid w:val="00D77BEF"/>
    <w:rsid w:val="00D8050B"/>
    <w:rsid w:val="00D8119E"/>
    <w:rsid w:val="00D812CD"/>
    <w:rsid w:val="00D82810"/>
    <w:rsid w:val="00D83140"/>
    <w:rsid w:val="00D84754"/>
    <w:rsid w:val="00D8518B"/>
    <w:rsid w:val="00D91012"/>
    <w:rsid w:val="00D92CC4"/>
    <w:rsid w:val="00D93C08"/>
    <w:rsid w:val="00D93D0E"/>
    <w:rsid w:val="00D95142"/>
    <w:rsid w:val="00D95AF7"/>
    <w:rsid w:val="00D9644D"/>
    <w:rsid w:val="00D9695E"/>
    <w:rsid w:val="00D97565"/>
    <w:rsid w:val="00DA0470"/>
    <w:rsid w:val="00DA0A28"/>
    <w:rsid w:val="00DA1318"/>
    <w:rsid w:val="00DA3B81"/>
    <w:rsid w:val="00DA5B6F"/>
    <w:rsid w:val="00DA7CC9"/>
    <w:rsid w:val="00DB02EC"/>
    <w:rsid w:val="00DB4673"/>
    <w:rsid w:val="00DB6246"/>
    <w:rsid w:val="00DB6445"/>
    <w:rsid w:val="00DB7F05"/>
    <w:rsid w:val="00DC0B44"/>
    <w:rsid w:val="00DC18ED"/>
    <w:rsid w:val="00DC2ABD"/>
    <w:rsid w:val="00DC2F7B"/>
    <w:rsid w:val="00DC328B"/>
    <w:rsid w:val="00DC4258"/>
    <w:rsid w:val="00DC4282"/>
    <w:rsid w:val="00DC4F30"/>
    <w:rsid w:val="00DC5048"/>
    <w:rsid w:val="00DC5F7D"/>
    <w:rsid w:val="00DC5FFC"/>
    <w:rsid w:val="00DC610B"/>
    <w:rsid w:val="00DC6577"/>
    <w:rsid w:val="00DC6A0F"/>
    <w:rsid w:val="00DD171E"/>
    <w:rsid w:val="00DD294A"/>
    <w:rsid w:val="00DD2BAA"/>
    <w:rsid w:val="00DD2D28"/>
    <w:rsid w:val="00DD3DDA"/>
    <w:rsid w:val="00DD46B8"/>
    <w:rsid w:val="00DD478E"/>
    <w:rsid w:val="00DD6B14"/>
    <w:rsid w:val="00DD6B26"/>
    <w:rsid w:val="00DD6C07"/>
    <w:rsid w:val="00DD718A"/>
    <w:rsid w:val="00DE0E0A"/>
    <w:rsid w:val="00DE107E"/>
    <w:rsid w:val="00DE162D"/>
    <w:rsid w:val="00DE1B9F"/>
    <w:rsid w:val="00DE32C5"/>
    <w:rsid w:val="00DE33D1"/>
    <w:rsid w:val="00DE4527"/>
    <w:rsid w:val="00DE4628"/>
    <w:rsid w:val="00DE5665"/>
    <w:rsid w:val="00DE5F14"/>
    <w:rsid w:val="00DF0C2B"/>
    <w:rsid w:val="00DF35CF"/>
    <w:rsid w:val="00DF35FC"/>
    <w:rsid w:val="00DF4332"/>
    <w:rsid w:val="00DF4AE9"/>
    <w:rsid w:val="00DF500B"/>
    <w:rsid w:val="00DF554B"/>
    <w:rsid w:val="00DF7BE7"/>
    <w:rsid w:val="00DF7C6B"/>
    <w:rsid w:val="00E0042D"/>
    <w:rsid w:val="00E008BE"/>
    <w:rsid w:val="00E013B3"/>
    <w:rsid w:val="00E036AC"/>
    <w:rsid w:val="00E03AA6"/>
    <w:rsid w:val="00E03C1C"/>
    <w:rsid w:val="00E04418"/>
    <w:rsid w:val="00E044BF"/>
    <w:rsid w:val="00E05059"/>
    <w:rsid w:val="00E059C8"/>
    <w:rsid w:val="00E06156"/>
    <w:rsid w:val="00E06D0E"/>
    <w:rsid w:val="00E07BFB"/>
    <w:rsid w:val="00E07D5A"/>
    <w:rsid w:val="00E1071F"/>
    <w:rsid w:val="00E10EAB"/>
    <w:rsid w:val="00E12D40"/>
    <w:rsid w:val="00E12FDA"/>
    <w:rsid w:val="00E1318A"/>
    <w:rsid w:val="00E1330C"/>
    <w:rsid w:val="00E1485B"/>
    <w:rsid w:val="00E14D67"/>
    <w:rsid w:val="00E21690"/>
    <w:rsid w:val="00E21F80"/>
    <w:rsid w:val="00E23CC2"/>
    <w:rsid w:val="00E247A3"/>
    <w:rsid w:val="00E24945"/>
    <w:rsid w:val="00E30003"/>
    <w:rsid w:val="00E30BF8"/>
    <w:rsid w:val="00E30E99"/>
    <w:rsid w:val="00E31162"/>
    <w:rsid w:val="00E31189"/>
    <w:rsid w:val="00E327D3"/>
    <w:rsid w:val="00E3376A"/>
    <w:rsid w:val="00E34641"/>
    <w:rsid w:val="00E346DF"/>
    <w:rsid w:val="00E3496C"/>
    <w:rsid w:val="00E34E62"/>
    <w:rsid w:val="00E35743"/>
    <w:rsid w:val="00E35CFC"/>
    <w:rsid w:val="00E35FD9"/>
    <w:rsid w:val="00E36C01"/>
    <w:rsid w:val="00E37AAF"/>
    <w:rsid w:val="00E403D1"/>
    <w:rsid w:val="00E411E9"/>
    <w:rsid w:val="00E417B9"/>
    <w:rsid w:val="00E423B5"/>
    <w:rsid w:val="00E42B10"/>
    <w:rsid w:val="00E42BD0"/>
    <w:rsid w:val="00E42D82"/>
    <w:rsid w:val="00E4355A"/>
    <w:rsid w:val="00E45045"/>
    <w:rsid w:val="00E45133"/>
    <w:rsid w:val="00E452A9"/>
    <w:rsid w:val="00E4573C"/>
    <w:rsid w:val="00E4626F"/>
    <w:rsid w:val="00E47571"/>
    <w:rsid w:val="00E50A4F"/>
    <w:rsid w:val="00E5111B"/>
    <w:rsid w:val="00E513CA"/>
    <w:rsid w:val="00E51BAA"/>
    <w:rsid w:val="00E5360B"/>
    <w:rsid w:val="00E548BF"/>
    <w:rsid w:val="00E54AD6"/>
    <w:rsid w:val="00E54FFB"/>
    <w:rsid w:val="00E55E3E"/>
    <w:rsid w:val="00E55F4B"/>
    <w:rsid w:val="00E5682D"/>
    <w:rsid w:val="00E56AC2"/>
    <w:rsid w:val="00E56F14"/>
    <w:rsid w:val="00E575CC"/>
    <w:rsid w:val="00E57938"/>
    <w:rsid w:val="00E60485"/>
    <w:rsid w:val="00E639C1"/>
    <w:rsid w:val="00E63F6B"/>
    <w:rsid w:val="00E64DA2"/>
    <w:rsid w:val="00E655EB"/>
    <w:rsid w:val="00E65806"/>
    <w:rsid w:val="00E65AD4"/>
    <w:rsid w:val="00E65D00"/>
    <w:rsid w:val="00E65EEE"/>
    <w:rsid w:val="00E65FE7"/>
    <w:rsid w:val="00E66B6F"/>
    <w:rsid w:val="00E67303"/>
    <w:rsid w:val="00E6745A"/>
    <w:rsid w:val="00E701FA"/>
    <w:rsid w:val="00E71965"/>
    <w:rsid w:val="00E723BF"/>
    <w:rsid w:val="00E727C5"/>
    <w:rsid w:val="00E74D33"/>
    <w:rsid w:val="00E7547B"/>
    <w:rsid w:val="00E75F8B"/>
    <w:rsid w:val="00E80D7E"/>
    <w:rsid w:val="00E81C1F"/>
    <w:rsid w:val="00E81D95"/>
    <w:rsid w:val="00E827B1"/>
    <w:rsid w:val="00E83215"/>
    <w:rsid w:val="00E8330A"/>
    <w:rsid w:val="00E844B6"/>
    <w:rsid w:val="00E85EED"/>
    <w:rsid w:val="00E85F0B"/>
    <w:rsid w:val="00E86053"/>
    <w:rsid w:val="00E86E16"/>
    <w:rsid w:val="00E90560"/>
    <w:rsid w:val="00E913F8"/>
    <w:rsid w:val="00E918DC"/>
    <w:rsid w:val="00E92E9E"/>
    <w:rsid w:val="00E9320C"/>
    <w:rsid w:val="00E93BE6"/>
    <w:rsid w:val="00E942E4"/>
    <w:rsid w:val="00E94D21"/>
    <w:rsid w:val="00E962CD"/>
    <w:rsid w:val="00EA303D"/>
    <w:rsid w:val="00EA52D4"/>
    <w:rsid w:val="00EA6FC5"/>
    <w:rsid w:val="00EA7842"/>
    <w:rsid w:val="00EB0044"/>
    <w:rsid w:val="00EB1461"/>
    <w:rsid w:val="00EB25DC"/>
    <w:rsid w:val="00EB2DCB"/>
    <w:rsid w:val="00EB3368"/>
    <w:rsid w:val="00EB3CB4"/>
    <w:rsid w:val="00EB4FCF"/>
    <w:rsid w:val="00EB535A"/>
    <w:rsid w:val="00EB59FD"/>
    <w:rsid w:val="00EB5E9C"/>
    <w:rsid w:val="00EC1080"/>
    <w:rsid w:val="00EC1705"/>
    <w:rsid w:val="00EC1C27"/>
    <w:rsid w:val="00EC2038"/>
    <w:rsid w:val="00EC2305"/>
    <w:rsid w:val="00EC241D"/>
    <w:rsid w:val="00EC2A97"/>
    <w:rsid w:val="00EC3AFD"/>
    <w:rsid w:val="00EC5BF9"/>
    <w:rsid w:val="00EC64B7"/>
    <w:rsid w:val="00ED0027"/>
    <w:rsid w:val="00ED1C4F"/>
    <w:rsid w:val="00ED2269"/>
    <w:rsid w:val="00ED2872"/>
    <w:rsid w:val="00ED4059"/>
    <w:rsid w:val="00ED59E4"/>
    <w:rsid w:val="00ED62BA"/>
    <w:rsid w:val="00ED62CE"/>
    <w:rsid w:val="00ED679B"/>
    <w:rsid w:val="00ED7B60"/>
    <w:rsid w:val="00EE18DE"/>
    <w:rsid w:val="00EE1A3A"/>
    <w:rsid w:val="00EE3BE8"/>
    <w:rsid w:val="00EE4309"/>
    <w:rsid w:val="00EE4666"/>
    <w:rsid w:val="00EE50C3"/>
    <w:rsid w:val="00EE5A65"/>
    <w:rsid w:val="00EE6273"/>
    <w:rsid w:val="00EE77E2"/>
    <w:rsid w:val="00EF01CD"/>
    <w:rsid w:val="00EF0AFC"/>
    <w:rsid w:val="00EF0E2D"/>
    <w:rsid w:val="00EF1CA1"/>
    <w:rsid w:val="00EF2AF1"/>
    <w:rsid w:val="00EF42BA"/>
    <w:rsid w:val="00EF454D"/>
    <w:rsid w:val="00EF4E3F"/>
    <w:rsid w:val="00EF6721"/>
    <w:rsid w:val="00EF6792"/>
    <w:rsid w:val="00EF6B63"/>
    <w:rsid w:val="00EF6CDA"/>
    <w:rsid w:val="00F01596"/>
    <w:rsid w:val="00F016A5"/>
    <w:rsid w:val="00F02851"/>
    <w:rsid w:val="00F02CBA"/>
    <w:rsid w:val="00F02E6E"/>
    <w:rsid w:val="00F03664"/>
    <w:rsid w:val="00F03976"/>
    <w:rsid w:val="00F04C38"/>
    <w:rsid w:val="00F04F40"/>
    <w:rsid w:val="00F05734"/>
    <w:rsid w:val="00F101BE"/>
    <w:rsid w:val="00F107B3"/>
    <w:rsid w:val="00F11154"/>
    <w:rsid w:val="00F120BA"/>
    <w:rsid w:val="00F121C6"/>
    <w:rsid w:val="00F12347"/>
    <w:rsid w:val="00F13643"/>
    <w:rsid w:val="00F13BC9"/>
    <w:rsid w:val="00F13DFF"/>
    <w:rsid w:val="00F14205"/>
    <w:rsid w:val="00F15317"/>
    <w:rsid w:val="00F1573F"/>
    <w:rsid w:val="00F20379"/>
    <w:rsid w:val="00F20443"/>
    <w:rsid w:val="00F20AC1"/>
    <w:rsid w:val="00F21073"/>
    <w:rsid w:val="00F2150E"/>
    <w:rsid w:val="00F215CD"/>
    <w:rsid w:val="00F21DE1"/>
    <w:rsid w:val="00F21EBE"/>
    <w:rsid w:val="00F226D4"/>
    <w:rsid w:val="00F239BC"/>
    <w:rsid w:val="00F23CFF"/>
    <w:rsid w:val="00F24811"/>
    <w:rsid w:val="00F25058"/>
    <w:rsid w:val="00F274B3"/>
    <w:rsid w:val="00F27DF7"/>
    <w:rsid w:val="00F3095E"/>
    <w:rsid w:val="00F32190"/>
    <w:rsid w:val="00F326B8"/>
    <w:rsid w:val="00F32EB3"/>
    <w:rsid w:val="00F330A5"/>
    <w:rsid w:val="00F333DC"/>
    <w:rsid w:val="00F36C3B"/>
    <w:rsid w:val="00F40236"/>
    <w:rsid w:val="00F42292"/>
    <w:rsid w:val="00F4296F"/>
    <w:rsid w:val="00F43613"/>
    <w:rsid w:val="00F43C99"/>
    <w:rsid w:val="00F44ED7"/>
    <w:rsid w:val="00F46599"/>
    <w:rsid w:val="00F470E9"/>
    <w:rsid w:val="00F50713"/>
    <w:rsid w:val="00F50F7F"/>
    <w:rsid w:val="00F51AD2"/>
    <w:rsid w:val="00F51B0E"/>
    <w:rsid w:val="00F53697"/>
    <w:rsid w:val="00F5433E"/>
    <w:rsid w:val="00F54374"/>
    <w:rsid w:val="00F55A2E"/>
    <w:rsid w:val="00F55A9A"/>
    <w:rsid w:val="00F5661E"/>
    <w:rsid w:val="00F56EDE"/>
    <w:rsid w:val="00F573B6"/>
    <w:rsid w:val="00F610B7"/>
    <w:rsid w:val="00F62198"/>
    <w:rsid w:val="00F63DC4"/>
    <w:rsid w:val="00F64092"/>
    <w:rsid w:val="00F64542"/>
    <w:rsid w:val="00F64957"/>
    <w:rsid w:val="00F64C0B"/>
    <w:rsid w:val="00F6647E"/>
    <w:rsid w:val="00F66522"/>
    <w:rsid w:val="00F6662D"/>
    <w:rsid w:val="00F6674E"/>
    <w:rsid w:val="00F66A72"/>
    <w:rsid w:val="00F673AF"/>
    <w:rsid w:val="00F6775B"/>
    <w:rsid w:val="00F703D5"/>
    <w:rsid w:val="00F71F0F"/>
    <w:rsid w:val="00F729F8"/>
    <w:rsid w:val="00F72A1D"/>
    <w:rsid w:val="00F732C0"/>
    <w:rsid w:val="00F7340F"/>
    <w:rsid w:val="00F73FD7"/>
    <w:rsid w:val="00F74390"/>
    <w:rsid w:val="00F7522B"/>
    <w:rsid w:val="00F75827"/>
    <w:rsid w:val="00F77A47"/>
    <w:rsid w:val="00F81104"/>
    <w:rsid w:val="00F81F3B"/>
    <w:rsid w:val="00F823E4"/>
    <w:rsid w:val="00F826F2"/>
    <w:rsid w:val="00F830E9"/>
    <w:rsid w:val="00F83750"/>
    <w:rsid w:val="00F8476C"/>
    <w:rsid w:val="00F849F9"/>
    <w:rsid w:val="00F874BA"/>
    <w:rsid w:val="00F92560"/>
    <w:rsid w:val="00F927C5"/>
    <w:rsid w:val="00F940F5"/>
    <w:rsid w:val="00F952F8"/>
    <w:rsid w:val="00F95692"/>
    <w:rsid w:val="00FA2767"/>
    <w:rsid w:val="00FA6CF4"/>
    <w:rsid w:val="00FA7384"/>
    <w:rsid w:val="00FB08E0"/>
    <w:rsid w:val="00FB092C"/>
    <w:rsid w:val="00FB1359"/>
    <w:rsid w:val="00FB1B2C"/>
    <w:rsid w:val="00FB1B35"/>
    <w:rsid w:val="00FB1B64"/>
    <w:rsid w:val="00FB2F54"/>
    <w:rsid w:val="00FB2F75"/>
    <w:rsid w:val="00FB5FF2"/>
    <w:rsid w:val="00FB761D"/>
    <w:rsid w:val="00FB7773"/>
    <w:rsid w:val="00FC0A21"/>
    <w:rsid w:val="00FC151F"/>
    <w:rsid w:val="00FC2CCA"/>
    <w:rsid w:val="00FC3B75"/>
    <w:rsid w:val="00FC41E6"/>
    <w:rsid w:val="00FC5070"/>
    <w:rsid w:val="00FC51F3"/>
    <w:rsid w:val="00FC5A4B"/>
    <w:rsid w:val="00FC7C8E"/>
    <w:rsid w:val="00FD093C"/>
    <w:rsid w:val="00FD0D31"/>
    <w:rsid w:val="00FD1F13"/>
    <w:rsid w:val="00FD39A7"/>
    <w:rsid w:val="00FD3A93"/>
    <w:rsid w:val="00FD4214"/>
    <w:rsid w:val="00FD4E9D"/>
    <w:rsid w:val="00FD7AE3"/>
    <w:rsid w:val="00FE0304"/>
    <w:rsid w:val="00FE06C0"/>
    <w:rsid w:val="00FE0AE7"/>
    <w:rsid w:val="00FE0F7E"/>
    <w:rsid w:val="00FE0FE7"/>
    <w:rsid w:val="00FE1EA7"/>
    <w:rsid w:val="00FE2085"/>
    <w:rsid w:val="00FE2ACF"/>
    <w:rsid w:val="00FE300B"/>
    <w:rsid w:val="00FE381B"/>
    <w:rsid w:val="00FE5840"/>
    <w:rsid w:val="00FE60CD"/>
    <w:rsid w:val="00FE6B3D"/>
    <w:rsid w:val="00FF367E"/>
    <w:rsid w:val="00FF4002"/>
    <w:rsid w:val="00FF4EE7"/>
    <w:rsid w:val="00FF5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A0B8A"/>
  <w15:chartTrackingRefBased/>
  <w15:docId w15:val="{6F09E75A-77D3-4DF7-B8CB-CA87FB3A0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3194"/>
    <w:pPr>
      <w:keepNext/>
      <w:keepLines/>
      <w:spacing w:before="120" w:after="120" w:line="276" w:lineRule="auto"/>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B778B1"/>
    <w:pPr>
      <w:keepNext/>
      <w:keepLines/>
      <w:spacing w:before="120" w:after="120" w:line="276" w:lineRule="auto"/>
      <w:outlineLvl w:val="1"/>
    </w:pPr>
    <w:rPr>
      <w:rFonts w:ascii="Times New Roman" w:eastAsiaTheme="majorEastAsia" w:hAnsi="Times New Roman" w:cstheme="majorBidi"/>
      <w:i/>
      <w:sz w:val="28"/>
      <w:szCs w:val="26"/>
    </w:rPr>
  </w:style>
  <w:style w:type="paragraph" w:styleId="Heading3">
    <w:name w:val="heading 3"/>
    <w:basedOn w:val="Normal"/>
    <w:next w:val="Normal"/>
    <w:link w:val="Heading3Char"/>
    <w:uiPriority w:val="9"/>
    <w:unhideWhenUsed/>
    <w:qFormat/>
    <w:rsid w:val="00906142"/>
    <w:pPr>
      <w:keepNext/>
      <w:keepLines/>
      <w:spacing w:before="120" w:after="120" w:line="276" w:lineRule="auto"/>
      <w:outlineLvl w:val="2"/>
    </w:pPr>
    <w:rPr>
      <w:rFonts w:ascii="Calibri" w:eastAsiaTheme="majorEastAsia" w:hAnsi="Calibri" w:cstheme="majorBidi"/>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406"/>
    <w:pPr>
      <w:ind w:left="720"/>
      <w:contextualSpacing/>
    </w:pPr>
  </w:style>
  <w:style w:type="paragraph" w:styleId="Header">
    <w:name w:val="header"/>
    <w:basedOn w:val="Normal"/>
    <w:link w:val="HeaderChar"/>
    <w:uiPriority w:val="99"/>
    <w:unhideWhenUsed/>
    <w:rsid w:val="00B7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264"/>
  </w:style>
  <w:style w:type="paragraph" w:styleId="Footer">
    <w:name w:val="footer"/>
    <w:basedOn w:val="Normal"/>
    <w:link w:val="FooterChar"/>
    <w:uiPriority w:val="99"/>
    <w:unhideWhenUsed/>
    <w:rsid w:val="00B7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264"/>
  </w:style>
  <w:style w:type="paragraph" w:styleId="FootnoteText">
    <w:name w:val="footnote text"/>
    <w:basedOn w:val="Normal"/>
    <w:link w:val="FootnoteTextChar"/>
    <w:uiPriority w:val="99"/>
    <w:semiHidden/>
    <w:unhideWhenUsed/>
    <w:rsid w:val="000631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3194"/>
    <w:rPr>
      <w:sz w:val="20"/>
      <w:szCs w:val="20"/>
    </w:rPr>
  </w:style>
  <w:style w:type="character" w:styleId="FootnoteReference">
    <w:name w:val="footnote reference"/>
    <w:basedOn w:val="DefaultParagraphFont"/>
    <w:uiPriority w:val="99"/>
    <w:semiHidden/>
    <w:unhideWhenUsed/>
    <w:rsid w:val="00063194"/>
    <w:rPr>
      <w:vertAlign w:val="superscript"/>
    </w:rPr>
  </w:style>
  <w:style w:type="character" w:styleId="Hyperlink">
    <w:name w:val="Hyperlink"/>
    <w:basedOn w:val="DefaultParagraphFont"/>
    <w:uiPriority w:val="99"/>
    <w:unhideWhenUsed/>
    <w:rsid w:val="00F11154"/>
    <w:rPr>
      <w:color w:val="0000FF"/>
      <w:u w:val="single"/>
    </w:rPr>
  </w:style>
  <w:style w:type="paragraph" w:customStyle="1" w:styleId="xxxxmsonormal">
    <w:name w:val="x_xxxmsonormal"/>
    <w:basedOn w:val="Normal"/>
    <w:rsid w:val="005165A8"/>
    <w:pPr>
      <w:spacing w:after="0" w:line="240" w:lineRule="auto"/>
    </w:pPr>
    <w:rPr>
      <w:rFonts w:ascii="Calibri" w:hAnsi="Calibri" w:cs="Calibri"/>
    </w:rPr>
  </w:style>
  <w:style w:type="paragraph" w:customStyle="1" w:styleId="xxxmsonormal">
    <w:name w:val="x_xxmsonormal"/>
    <w:basedOn w:val="Normal"/>
    <w:rsid w:val="005B0F63"/>
    <w:pPr>
      <w:spacing w:after="0" w:line="240" w:lineRule="auto"/>
    </w:pPr>
    <w:rPr>
      <w:rFonts w:ascii="Calibri" w:hAnsi="Calibri" w:cs="Calibri"/>
    </w:rPr>
  </w:style>
  <w:style w:type="paragraph" w:customStyle="1" w:styleId="Default">
    <w:name w:val="Default"/>
    <w:rsid w:val="00835B9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msolistparagraph">
    <w:name w:val="x_msolistparagraph"/>
    <w:basedOn w:val="Normal"/>
    <w:rsid w:val="003A13C6"/>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A31570"/>
    <w:rPr>
      <w:sz w:val="16"/>
      <w:szCs w:val="16"/>
    </w:rPr>
  </w:style>
  <w:style w:type="paragraph" w:styleId="CommentText">
    <w:name w:val="annotation text"/>
    <w:basedOn w:val="Normal"/>
    <w:link w:val="CommentTextChar"/>
    <w:uiPriority w:val="99"/>
    <w:unhideWhenUsed/>
    <w:rsid w:val="00A31570"/>
    <w:pPr>
      <w:spacing w:line="240" w:lineRule="auto"/>
    </w:pPr>
    <w:rPr>
      <w:sz w:val="20"/>
      <w:szCs w:val="20"/>
    </w:rPr>
  </w:style>
  <w:style w:type="character" w:customStyle="1" w:styleId="CommentTextChar">
    <w:name w:val="Comment Text Char"/>
    <w:basedOn w:val="DefaultParagraphFont"/>
    <w:link w:val="CommentText"/>
    <w:uiPriority w:val="99"/>
    <w:rsid w:val="00A31570"/>
    <w:rPr>
      <w:sz w:val="20"/>
      <w:szCs w:val="20"/>
    </w:rPr>
  </w:style>
  <w:style w:type="paragraph" w:styleId="CommentSubject">
    <w:name w:val="annotation subject"/>
    <w:basedOn w:val="CommentText"/>
    <w:next w:val="CommentText"/>
    <w:link w:val="CommentSubjectChar"/>
    <w:uiPriority w:val="99"/>
    <w:semiHidden/>
    <w:unhideWhenUsed/>
    <w:rsid w:val="00A31570"/>
    <w:rPr>
      <w:b/>
      <w:bCs/>
    </w:rPr>
  </w:style>
  <w:style w:type="character" w:customStyle="1" w:styleId="CommentSubjectChar">
    <w:name w:val="Comment Subject Char"/>
    <w:basedOn w:val="CommentTextChar"/>
    <w:link w:val="CommentSubject"/>
    <w:uiPriority w:val="99"/>
    <w:semiHidden/>
    <w:rsid w:val="00A31570"/>
    <w:rPr>
      <w:b/>
      <w:bCs/>
      <w:sz w:val="20"/>
      <w:szCs w:val="20"/>
    </w:rPr>
  </w:style>
  <w:style w:type="paragraph" w:styleId="Revision">
    <w:name w:val="Revision"/>
    <w:hidden/>
    <w:uiPriority w:val="99"/>
    <w:semiHidden/>
    <w:rsid w:val="000C7F2F"/>
    <w:pPr>
      <w:spacing w:after="0" w:line="240" w:lineRule="auto"/>
    </w:pPr>
  </w:style>
  <w:style w:type="paragraph" w:styleId="BalloonText">
    <w:name w:val="Balloon Text"/>
    <w:basedOn w:val="Normal"/>
    <w:link w:val="BalloonTextChar"/>
    <w:uiPriority w:val="99"/>
    <w:semiHidden/>
    <w:unhideWhenUsed/>
    <w:rsid w:val="006337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708"/>
    <w:rPr>
      <w:rFonts w:ascii="Segoe UI" w:hAnsi="Segoe UI" w:cs="Segoe UI"/>
      <w:sz w:val="18"/>
      <w:szCs w:val="18"/>
    </w:rPr>
  </w:style>
  <w:style w:type="paragraph" w:customStyle="1" w:styleId="xmsonormal">
    <w:name w:val="x_msonormal"/>
    <w:basedOn w:val="Normal"/>
    <w:rsid w:val="007F16B7"/>
    <w:pPr>
      <w:spacing w:after="0" w:line="240" w:lineRule="auto"/>
    </w:pPr>
    <w:rPr>
      <w:rFonts w:ascii="Calibri" w:hAnsi="Calibri" w:cs="Calibri"/>
    </w:rPr>
  </w:style>
  <w:style w:type="table" w:styleId="TableGrid">
    <w:name w:val="Table Grid"/>
    <w:basedOn w:val="TableNormal"/>
    <w:uiPriority w:val="39"/>
    <w:rsid w:val="00BF7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315C5B"/>
    <w:rPr>
      <w:color w:val="605E5C"/>
      <w:shd w:val="clear" w:color="auto" w:fill="E1DFDD"/>
    </w:rPr>
  </w:style>
  <w:style w:type="character" w:customStyle="1" w:styleId="cf01">
    <w:name w:val="cf01"/>
    <w:basedOn w:val="DefaultParagraphFont"/>
    <w:rsid w:val="000B1694"/>
    <w:rPr>
      <w:rFonts w:ascii="Segoe UI" w:hAnsi="Segoe UI" w:cs="Segoe UI" w:hint="default"/>
      <w:sz w:val="18"/>
      <w:szCs w:val="18"/>
    </w:rPr>
  </w:style>
  <w:style w:type="paragraph" w:styleId="Title">
    <w:name w:val="Title"/>
    <w:basedOn w:val="Normal"/>
    <w:next w:val="Normal"/>
    <w:link w:val="TitleChar"/>
    <w:uiPriority w:val="10"/>
    <w:qFormat/>
    <w:rsid w:val="00D03194"/>
    <w:pPr>
      <w:spacing w:before="240" w:after="240" w:line="312" w:lineRule="auto"/>
      <w:contextualSpacing/>
      <w:jc w:val="center"/>
    </w:pPr>
    <w:rPr>
      <w:rFonts w:asciiTheme="majorHAnsi" w:eastAsiaTheme="majorEastAsia" w:hAnsiTheme="majorHAnsi" w:cstheme="majorBidi"/>
      <w:b/>
      <w:spacing w:val="-10"/>
      <w:kern w:val="28"/>
      <w:sz w:val="48"/>
      <w:szCs w:val="56"/>
    </w:rPr>
  </w:style>
  <w:style w:type="character" w:customStyle="1" w:styleId="TitleChar">
    <w:name w:val="Title Char"/>
    <w:basedOn w:val="DefaultParagraphFont"/>
    <w:link w:val="Title"/>
    <w:uiPriority w:val="10"/>
    <w:rsid w:val="00D03194"/>
    <w:rPr>
      <w:rFonts w:asciiTheme="majorHAnsi" w:eastAsiaTheme="majorEastAsia" w:hAnsiTheme="majorHAnsi" w:cstheme="majorBidi"/>
      <w:b/>
      <w:spacing w:val="-10"/>
      <w:kern w:val="28"/>
      <w:sz w:val="48"/>
      <w:szCs w:val="56"/>
    </w:rPr>
  </w:style>
  <w:style w:type="character" w:customStyle="1" w:styleId="Heading1Char">
    <w:name w:val="Heading 1 Char"/>
    <w:basedOn w:val="DefaultParagraphFont"/>
    <w:link w:val="Heading1"/>
    <w:uiPriority w:val="9"/>
    <w:rsid w:val="00D03194"/>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B778B1"/>
    <w:rPr>
      <w:rFonts w:ascii="Times New Roman" w:eastAsiaTheme="majorEastAsia" w:hAnsi="Times New Roman" w:cstheme="majorBidi"/>
      <w:i/>
      <w:sz w:val="28"/>
      <w:szCs w:val="26"/>
    </w:rPr>
  </w:style>
  <w:style w:type="character" w:customStyle="1" w:styleId="Heading3Char">
    <w:name w:val="Heading 3 Char"/>
    <w:basedOn w:val="DefaultParagraphFont"/>
    <w:link w:val="Heading3"/>
    <w:uiPriority w:val="9"/>
    <w:rsid w:val="00906142"/>
    <w:rPr>
      <w:rFonts w:ascii="Calibri" w:eastAsiaTheme="majorEastAsia" w:hAnsi="Calibri" w:cstheme="majorBidi"/>
      <w:i/>
      <w:sz w:val="24"/>
      <w:szCs w:val="24"/>
    </w:rPr>
  </w:style>
  <w:style w:type="character" w:customStyle="1" w:styleId="UnresolvedMention1">
    <w:name w:val="Unresolved Mention1"/>
    <w:basedOn w:val="DefaultParagraphFont"/>
    <w:uiPriority w:val="99"/>
    <w:semiHidden/>
    <w:unhideWhenUsed/>
    <w:rsid w:val="0019669A"/>
    <w:rPr>
      <w:color w:val="605E5C"/>
      <w:shd w:val="clear" w:color="auto" w:fill="E1DFDD"/>
    </w:rPr>
  </w:style>
  <w:style w:type="character" w:customStyle="1" w:styleId="text-green-600">
    <w:name w:val="text-green-600"/>
    <w:basedOn w:val="DefaultParagraphFont"/>
    <w:rsid w:val="00E12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638">
      <w:bodyDiv w:val="1"/>
      <w:marLeft w:val="0"/>
      <w:marRight w:val="0"/>
      <w:marTop w:val="0"/>
      <w:marBottom w:val="0"/>
      <w:divBdr>
        <w:top w:val="none" w:sz="0" w:space="0" w:color="auto"/>
        <w:left w:val="none" w:sz="0" w:space="0" w:color="auto"/>
        <w:bottom w:val="none" w:sz="0" w:space="0" w:color="auto"/>
        <w:right w:val="none" w:sz="0" w:space="0" w:color="auto"/>
      </w:divBdr>
    </w:div>
    <w:div w:id="36392255">
      <w:bodyDiv w:val="1"/>
      <w:marLeft w:val="0"/>
      <w:marRight w:val="0"/>
      <w:marTop w:val="0"/>
      <w:marBottom w:val="0"/>
      <w:divBdr>
        <w:top w:val="none" w:sz="0" w:space="0" w:color="auto"/>
        <w:left w:val="none" w:sz="0" w:space="0" w:color="auto"/>
        <w:bottom w:val="none" w:sz="0" w:space="0" w:color="auto"/>
        <w:right w:val="none" w:sz="0" w:space="0" w:color="auto"/>
      </w:divBdr>
    </w:div>
    <w:div w:id="47462618">
      <w:bodyDiv w:val="1"/>
      <w:marLeft w:val="0"/>
      <w:marRight w:val="0"/>
      <w:marTop w:val="0"/>
      <w:marBottom w:val="0"/>
      <w:divBdr>
        <w:top w:val="none" w:sz="0" w:space="0" w:color="auto"/>
        <w:left w:val="none" w:sz="0" w:space="0" w:color="auto"/>
        <w:bottom w:val="none" w:sz="0" w:space="0" w:color="auto"/>
        <w:right w:val="none" w:sz="0" w:space="0" w:color="auto"/>
      </w:divBdr>
    </w:div>
    <w:div w:id="51078754">
      <w:bodyDiv w:val="1"/>
      <w:marLeft w:val="0"/>
      <w:marRight w:val="0"/>
      <w:marTop w:val="0"/>
      <w:marBottom w:val="0"/>
      <w:divBdr>
        <w:top w:val="none" w:sz="0" w:space="0" w:color="auto"/>
        <w:left w:val="none" w:sz="0" w:space="0" w:color="auto"/>
        <w:bottom w:val="none" w:sz="0" w:space="0" w:color="auto"/>
        <w:right w:val="none" w:sz="0" w:space="0" w:color="auto"/>
      </w:divBdr>
    </w:div>
    <w:div w:id="69274897">
      <w:bodyDiv w:val="1"/>
      <w:marLeft w:val="0"/>
      <w:marRight w:val="0"/>
      <w:marTop w:val="0"/>
      <w:marBottom w:val="0"/>
      <w:divBdr>
        <w:top w:val="none" w:sz="0" w:space="0" w:color="auto"/>
        <w:left w:val="none" w:sz="0" w:space="0" w:color="auto"/>
        <w:bottom w:val="none" w:sz="0" w:space="0" w:color="auto"/>
        <w:right w:val="none" w:sz="0" w:space="0" w:color="auto"/>
      </w:divBdr>
    </w:div>
    <w:div w:id="107706359">
      <w:bodyDiv w:val="1"/>
      <w:marLeft w:val="0"/>
      <w:marRight w:val="0"/>
      <w:marTop w:val="0"/>
      <w:marBottom w:val="0"/>
      <w:divBdr>
        <w:top w:val="none" w:sz="0" w:space="0" w:color="auto"/>
        <w:left w:val="none" w:sz="0" w:space="0" w:color="auto"/>
        <w:bottom w:val="none" w:sz="0" w:space="0" w:color="auto"/>
        <w:right w:val="none" w:sz="0" w:space="0" w:color="auto"/>
      </w:divBdr>
    </w:div>
    <w:div w:id="133566423">
      <w:bodyDiv w:val="1"/>
      <w:marLeft w:val="0"/>
      <w:marRight w:val="0"/>
      <w:marTop w:val="0"/>
      <w:marBottom w:val="0"/>
      <w:divBdr>
        <w:top w:val="none" w:sz="0" w:space="0" w:color="auto"/>
        <w:left w:val="none" w:sz="0" w:space="0" w:color="auto"/>
        <w:bottom w:val="none" w:sz="0" w:space="0" w:color="auto"/>
        <w:right w:val="none" w:sz="0" w:space="0" w:color="auto"/>
      </w:divBdr>
    </w:div>
    <w:div w:id="175316050">
      <w:bodyDiv w:val="1"/>
      <w:marLeft w:val="0"/>
      <w:marRight w:val="0"/>
      <w:marTop w:val="0"/>
      <w:marBottom w:val="0"/>
      <w:divBdr>
        <w:top w:val="none" w:sz="0" w:space="0" w:color="auto"/>
        <w:left w:val="none" w:sz="0" w:space="0" w:color="auto"/>
        <w:bottom w:val="none" w:sz="0" w:space="0" w:color="auto"/>
        <w:right w:val="none" w:sz="0" w:space="0" w:color="auto"/>
      </w:divBdr>
    </w:div>
    <w:div w:id="185557893">
      <w:bodyDiv w:val="1"/>
      <w:marLeft w:val="0"/>
      <w:marRight w:val="0"/>
      <w:marTop w:val="0"/>
      <w:marBottom w:val="0"/>
      <w:divBdr>
        <w:top w:val="none" w:sz="0" w:space="0" w:color="auto"/>
        <w:left w:val="none" w:sz="0" w:space="0" w:color="auto"/>
        <w:bottom w:val="none" w:sz="0" w:space="0" w:color="auto"/>
        <w:right w:val="none" w:sz="0" w:space="0" w:color="auto"/>
      </w:divBdr>
    </w:div>
    <w:div w:id="203686469">
      <w:bodyDiv w:val="1"/>
      <w:marLeft w:val="0"/>
      <w:marRight w:val="0"/>
      <w:marTop w:val="0"/>
      <w:marBottom w:val="0"/>
      <w:divBdr>
        <w:top w:val="none" w:sz="0" w:space="0" w:color="auto"/>
        <w:left w:val="none" w:sz="0" w:space="0" w:color="auto"/>
        <w:bottom w:val="none" w:sz="0" w:space="0" w:color="auto"/>
        <w:right w:val="none" w:sz="0" w:space="0" w:color="auto"/>
      </w:divBdr>
    </w:div>
    <w:div w:id="206143369">
      <w:bodyDiv w:val="1"/>
      <w:marLeft w:val="0"/>
      <w:marRight w:val="0"/>
      <w:marTop w:val="0"/>
      <w:marBottom w:val="0"/>
      <w:divBdr>
        <w:top w:val="none" w:sz="0" w:space="0" w:color="auto"/>
        <w:left w:val="none" w:sz="0" w:space="0" w:color="auto"/>
        <w:bottom w:val="none" w:sz="0" w:space="0" w:color="auto"/>
        <w:right w:val="none" w:sz="0" w:space="0" w:color="auto"/>
      </w:divBdr>
    </w:div>
    <w:div w:id="217785452">
      <w:bodyDiv w:val="1"/>
      <w:marLeft w:val="0"/>
      <w:marRight w:val="0"/>
      <w:marTop w:val="0"/>
      <w:marBottom w:val="0"/>
      <w:divBdr>
        <w:top w:val="none" w:sz="0" w:space="0" w:color="auto"/>
        <w:left w:val="none" w:sz="0" w:space="0" w:color="auto"/>
        <w:bottom w:val="none" w:sz="0" w:space="0" w:color="auto"/>
        <w:right w:val="none" w:sz="0" w:space="0" w:color="auto"/>
      </w:divBdr>
    </w:div>
    <w:div w:id="229536978">
      <w:bodyDiv w:val="1"/>
      <w:marLeft w:val="0"/>
      <w:marRight w:val="0"/>
      <w:marTop w:val="0"/>
      <w:marBottom w:val="0"/>
      <w:divBdr>
        <w:top w:val="none" w:sz="0" w:space="0" w:color="auto"/>
        <w:left w:val="none" w:sz="0" w:space="0" w:color="auto"/>
        <w:bottom w:val="none" w:sz="0" w:space="0" w:color="auto"/>
        <w:right w:val="none" w:sz="0" w:space="0" w:color="auto"/>
      </w:divBdr>
    </w:div>
    <w:div w:id="267927342">
      <w:bodyDiv w:val="1"/>
      <w:marLeft w:val="0"/>
      <w:marRight w:val="0"/>
      <w:marTop w:val="0"/>
      <w:marBottom w:val="0"/>
      <w:divBdr>
        <w:top w:val="none" w:sz="0" w:space="0" w:color="auto"/>
        <w:left w:val="none" w:sz="0" w:space="0" w:color="auto"/>
        <w:bottom w:val="none" w:sz="0" w:space="0" w:color="auto"/>
        <w:right w:val="none" w:sz="0" w:space="0" w:color="auto"/>
      </w:divBdr>
    </w:div>
    <w:div w:id="272325106">
      <w:bodyDiv w:val="1"/>
      <w:marLeft w:val="0"/>
      <w:marRight w:val="0"/>
      <w:marTop w:val="0"/>
      <w:marBottom w:val="0"/>
      <w:divBdr>
        <w:top w:val="none" w:sz="0" w:space="0" w:color="auto"/>
        <w:left w:val="none" w:sz="0" w:space="0" w:color="auto"/>
        <w:bottom w:val="none" w:sz="0" w:space="0" w:color="auto"/>
        <w:right w:val="none" w:sz="0" w:space="0" w:color="auto"/>
      </w:divBdr>
    </w:div>
    <w:div w:id="335957802">
      <w:bodyDiv w:val="1"/>
      <w:marLeft w:val="0"/>
      <w:marRight w:val="0"/>
      <w:marTop w:val="0"/>
      <w:marBottom w:val="0"/>
      <w:divBdr>
        <w:top w:val="none" w:sz="0" w:space="0" w:color="auto"/>
        <w:left w:val="none" w:sz="0" w:space="0" w:color="auto"/>
        <w:bottom w:val="none" w:sz="0" w:space="0" w:color="auto"/>
        <w:right w:val="none" w:sz="0" w:space="0" w:color="auto"/>
      </w:divBdr>
    </w:div>
    <w:div w:id="397900149">
      <w:bodyDiv w:val="1"/>
      <w:marLeft w:val="0"/>
      <w:marRight w:val="0"/>
      <w:marTop w:val="0"/>
      <w:marBottom w:val="0"/>
      <w:divBdr>
        <w:top w:val="none" w:sz="0" w:space="0" w:color="auto"/>
        <w:left w:val="none" w:sz="0" w:space="0" w:color="auto"/>
        <w:bottom w:val="none" w:sz="0" w:space="0" w:color="auto"/>
        <w:right w:val="none" w:sz="0" w:space="0" w:color="auto"/>
      </w:divBdr>
    </w:div>
    <w:div w:id="418260923">
      <w:bodyDiv w:val="1"/>
      <w:marLeft w:val="0"/>
      <w:marRight w:val="0"/>
      <w:marTop w:val="0"/>
      <w:marBottom w:val="0"/>
      <w:divBdr>
        <w:top w:val="none" w:sz="0" w:space="0" w:color="auto"/>
        <w:left w:val="none" w:sz="0" w:space="0" w:color="auto"/>
        <w:bottom w:val="none" w:sz="0" w:space="0" w:color="auto"/>
        <w:right w:val="none" w:sz="0" w:space="0" w:color="auto"/>
      </w:divBdr>
    </w:div>
    <w:div w:id="433209277">
      <w:bodyDiv w:val="1"/>
      <w:marLeft w:val="0"/>
      <w:marRight w:val="0"/>
      <w:marTop w:val="0"/>
      <w:marBottom w:val="0"/>
      <w:divBdr>
        <w:top w:val="none" w:sz="0" w:space="0" w:color="auto"/>
        <w:left w:val="none" w:sz="0" w:space="0" w:color="auto"/>
        <w:bottom w:val="none" w:sz="0" w:space="0" w:color="auto"/>
        <w:right w:val="none" w:sz="0" w:space="0" w:color="auto"/>
      </w:divBdr>
    </w:div>
    <w:div w:id="435255721">
      <w:bodyDiv w:val="1"/>
      <w:marLeft w:val="0"/>
      <w:marRight w:val="0"/>
      <w:marTop w:val="0"/>
      <w:marBottom w:val="0"/>
      <w:divBdr>
        <w:top w:val="none" w:sz="0" w:space="0" w:color="auto"/>
        <w:left w:val="none" w:sz="0" w:space="0" w:color="auto"/>
        <w:bottom w:val="none" w:sz="0" w:space="0" w:color="auto"/>
        <w:right w:val="none" w:sz="0" w:space="0" w:color="auto"/>
      </w:divBdr>
    </w:div>
    <w:div w:id="436297580">
      <w:bodyDiv w:val="1"/>
      <w:marLeft w:val="0"/>
      <w:marRight w:val="0"/>
      <w:marTop w:val="0"/>
      <w:marBottom w:val="0"/>
      <w:divBdr>
        <w:top w:val="none" w:sz="0" w:space="0" w:color="auto"/>
        <w:left w:val="none" w:sz="0" w:space="0" w:color="auto"/>
        <w:bottom w:val="none" w:sz="0" w:space="0" w:color="auto"/>
        <w:right w:val="none" w:sz="0" w:space="0" w:color="auto"/>
      </w:divBdr>
    </w:div>
    <w:div w:id="441997107">
      <w:bodyDiv w:val="1"/>
      <w:marLeft w:val="0"/>
      <w:marRight w:val="0"/>
      <w:marTop w:val="0"/>
      <w:marBottom w:val="0"/>
      <w:divBdr>
        <w:top w:val="none" w:sz="0" w:space="0" w:color="auto"/>
        <w:left w:val="none" w:sz="0" w:space="0" w:color="auto"/>
        <w:bottom w:val="none" w:sz="0" w:space="0" w:color="auto"/>
        <w:right w:val="none" w:sz="0" w:space="0" w:color="auto"/>
      </w:divBdr>
    </w:div>
    <w:div w:id="453407745">
      <w:bodyDiv w:val="1"/>
      <w:marLeft w:val="0"/>
      <w:marRight w:val="0"/>
      <w:marTop w:val="0"/>
      <w:marBottom w:val="0"/>
      <w:divBdr>
        <w:top w:val="none" w:sz="0" w:space="0" w:color="auto"/>
        <w:left w:val="none" w:sz="0" w:space="0" w:color="auto"/>
        <w:bottom w:val="none" w:sz="0" w:space="0" w:color="auto"/>
        <w:right w:val="none" w:sz="0" w:space="0" w:color="auto"/>
      </w:divBdr>
    </w:div>
    <w:div w:id="458575185">
      <w:bodyDiv w:val="1"/>
      <w:marLeft w:val="0"/>
      <w:marRight w:val="0"/>
      <w:marTop w:val="0"/>
      <w:marBottom w:val="0"/>
      <w:divBdr>
        <w:top w:val="none" w:sz="0" w:space="0" w:color="auto"/>
        <w:left w:val="none" w:sz="0" w:space="0" w:color="auto"/>
        <w:bottom w:val="none" w:sz="0" w:space="0" w:color="auto"/>
        <w:right w:val="none" w:sz="0" w:space="0" w:color="auto"/>
      </w:divBdr>
    </w:div>
    <w:div w:id="469903175">
      <w:bodyDiv w:val="1"/>
      <w:marLeft w:val="0"/>
      <w:marRight w:val="0"/>
      <w:marTop w:val="0"/>
      <w:marBottom w:val="0"/>
      <w:divBdr>
        <w:top w:val="none" w:sz="0" w:space="0" w:color="auto"/>
        <w:left w:val="none" w:sz="0" w:space="0" w:color="auto"/>
        <w:bottom w:val="none" w:sz="0" w:space="0" w:color="auto"/>
        <w:right w:val="none" w:sz="0" w:space="0" w:color="auto"/>
      </w:divBdr>
    </w:div>
    <w:div w:id="519469800">
      <w:bodyDiv w:val="1"/>
      <w:marLeft w:val="0"/>
      <w:marRight w:val="0"/>
      <w:marTop w:val="0"/>
      <w:marBottom w:val="0"/>
      <w:divBdr>
        <w:top w:val="none" w:sz="0" w:space="0" w:color="auto"/>
        <w:left w:val="none" w:sz="0" w:space="0" w:color="auto"/>
        <w:bottom w:val="none" w:sz="0" w:space="0" w:color="auto"/>
        <w:right w:val="none" w:sz="0" w:space="0" w:color="auto"/>
      </w:divBdr>
    </w:div>
    <w:div w:id="524829088">
      <w:bodyDiv w:val="1"/>
      <w:marLeft w:val="0"/>
      <w:marRight w:val="0"/>
      <w:marTop w:val="0"/>
      <w:marBottom w:val="0"/>
      <w:divBdr>
        <w:top w:val="none" w:sz="0" w:space="0" w:color="auto"/>
        <w:left w:val="none" w:sz="0" w:space="0" w:color="auto"/>
        <w:bottom w:val="none" w:sz="0" w:space="0" w:color="auto"/>
        <w:right w:val="none" w:sz="0" w:space="0" w:color="auto"/>
      </w:divBdr>
    </w:div>
    <w:div w:id="541289881">
      <w:bodyDiv w:val="1"/>
      <w:marLeft w:val="0"/>
      <w:marRight w:val="0"/>
      <w:marTop w:val="0"/>
      <w:marBottom w:val="0"/>
      <w:divBdr>
        <w:top w:val="none" w:sz="0" w:space="0" w:color="auto"/>
        <w:left w:val="none" w:sz="0" w:space="0" w:color="auto"/>
        <w:bottom w:val="none" w:sz="0" w:space="0" w:color="auto"/>
        <w:right w:val="none" w:sz="0" w:space="0" w:color="auto"/>
      </w:divBdr>
    </w:div>
    <w:div w:id="592053248">
      <w:bodyDiv w:val="1"/>
      <w:marLeft w:val="0"/>
      <w:marRight w:val="0"/>
      <w:marTop w:val="0"/>
      <w:marBottom w:val="0"/>
      <w:divBdr>
        <w:top w:val="none" w:sz="0" w:space="0" w:color="auto"/>
        <w:left w:val="none" w:sz="0" w:space="0" w:color="auto"/>
        <w:bottom w:val="none" w:sz="0" w:space="0" w:color="auto"/>
        <w:right w:val="none" w:sz="0" w:space="0" w:color="auto"/>
      </w:divBdr>
    </w:div>
    <w:div w:id="602424930">
      <w:bodyDiv w:val="1"/>
      <w:marLeft w:val="0"/>
      <w:marRight w:val="0"/>
      <w:marTop w:val="0"/>
      <w:marBottom w:val="0"/>
      <w:divBdr>
        <w:top w:val="none" w:sz="0" w:space="0" w:color="auto"/>
        <w:left w:val="none" w:sz="0" w:space="0" w:color="auto"/>
        <w:bottom w:val="none" w:sz="0" w:space="0" w:color="auto"/>
        <w:right w:val="none" w:sz="0" w:space="0" w:color="auto"/>
      </w:divBdr>
    </w:div>
    <w:div w:id="605115249">
      <w:bodyDiv w:val="1"/>
      <w:marLeft w:val="0"/>
      <w:marRight w:val="0"/>
      <w:marTop w:val="0"/>
      <w:marBottom w:val="0"/>
      <w:divBdr>
        <w:top w:val="none" w:sz="0" w:space="0" w:color="auto"/>
        <w:left w:val="none" w:sz="0" w:space="0" w:color="auto"/>
        <w:bottom w:val="none" w:sz="0" w:space="0" w:color="auto"/>
        <w:right w:val="none" w:sz="0" w:space="0" w:color="auto"/>
      </w:divBdr>
    </w:div>
    <w:div w:id="660426692">
      <w:bodyDiv w:val="1"/>
      <w:marLeft w:val="0"/>
      <w:marRight w:val="0"/>
      <w:marTop w:val="0"/>
      <w:marBottom w:val="0"/>
      <w:divBdr>
        <w:top w:val="none" w:sz="0" w:space="0" w:color="auto"/>
        <w:left w:val="none" w:sz="0" w:space="0" w:color="auto"/>
        <w:bottom w:val="none" w:sz="0" w:space="0" w:color="auto"/>
        <w:right w:val="none" w:sz="0" w:space="0" w:color="auto"/>
      </w:divBdr>
    </w:div>
    <w:div w:id="673532557">
      <w:bodyDiv w:val="1"/>
      <w:marLeft w:val="0"/>
      <w:marRight w:val="0"/>
      <w:marTop w:val="0"/>
      <w:marBottom w:val="0"/>
      <w:divBdr>
        <w:top w:val="none" w:sz="0" w:space="0" w:color="auto"/>
        <w:left w:val="none" w:sz="0" w:space="0" w:color="auto"/>
        <w:bottom w:val="none" w:sz="0" w:space="0" w:color="auto"/>
        <w:right w:val="none" w:sz="0" w:space="0" w:color="auto"/>
      </w:divBdr>
    </w:div>
    <w:div w:id="678696499">
      <w:bodyDiv w:val="1"/>
      <w:marLeft w:val="0"/>
      <w:marRight w:val="0"/>
      <w:marTop w:val="0"/>
      <w:marBottom w:val="0"/>
      <w:divBdr>
        <w:top w:val="none" w:sz="0" w:space="0" w:color="auto"/>
        <w:left w:val="none" w:sz="0" w:space="0" w:color="auto"/>
        <w:bottom w:val="none" w:sz="0" w:space="0" w:color="auto"/>
        <w:right w:val="none" w:sz="0" w:space="0" w:color="auto"/>
      </w:divBdr>
    </w:div>
    <w:div w:id="801196237">
      <w:bodyDiv w:val="1"/>
      <w:marLeft w:val="0"/>
      <w:marRight w:val="0"/>
      <w:marTop w:val="0"/>
      <w:marBottom w:val="0"/>
      <w:divBdr>
        <w:top w:val="none" w:sz="0" w:space="0" w:color="auto"/>
        <w:left w:val="none" w:sz="0" w:space="0" w:color="auto"/>
        <w:bottom w:val="none" w:sz="0" w:space="0" w:color="auto"/>
        <w:right w:val="none" w:sz="0" w:space="0" w:color="auto"/>
      </w:divBdr>
    </w:div>
    <w:div w:id="847526245">
      <w:bodyDiv w:val="1"/>
      <w:marLeft w:val="0"/>
      <w:marRight w:val="0"/>
      <w:marTop w:val="0"/>
      <w:marBottom w:val="0"/>
      <w:divBdr>
        <w:top w:val="none" w:sz="0" w:space="0" w:color="auto"/>
        <w:left w:val="none" w:sz="0" w:space="0" w:color="auto"/>
        <w:bottom w:val="none" w:sz="0" w:space="0" w:color="auto"/>
        <w:right w:val="none" w:sz="0" w:space="0" w:color="auto"/>
      </w:divBdr>
    </w:div>
    <w:div w:id="861015624">
      <w:bodyDiv w:val="1"/>
      <w:marLeft w:val="0"/>
      <w:marRight w:val="0"/>
      <w:marTop w:val="0"/>
      <w:marBottom w:val="0"/>
      <w:divBdr>
        <w:top w:val="none" w:sz="0" w:space="0" w:color="auto"/>
        <w:left w:val="none" w:sz="0" w:space="0" w:color="auto"/>
        <w:bottom w:val="none" w:sz="0" w:space="0" w:color="auto"/>
        <w:right w:val="none" w:sz="0" w:space="0" w:color="auto"/>
      </w:divBdr>
    </w:div>
    <w:div w:id="896163727">
      <w:bodyDiv w:val="1"/>
      <w:marLeft w:val="0"/>
      <w:marRight w:val="0"/>
      <w:marTop w:val="0"/>
      <w:marBottom w:val="0"/>
      <w:divBdr>
        <w:top w:val="none" w:sz="0" w:space="0" w:color="auto"/>
        <w:left w:val="none" w:sz="0" w:space="0" w:color="auto"/>
        <w:bottom w:val="none" w:sz="0" w:space="0" w:color="auto"/>
        <w:right w:val="none" w:sz="0" w:space="0" w:color="auto"/>
      </w:divBdr>
    </w:div>
    <w:div w:id="1021320481">
      <w:bodyDiv w:val="1"/>
      <w:marLeft w:val="0"/>
      <w:marRight w:val="0"/>
      <w:marTop w:val="0"/>
      <w:marBottom w:val="0"/>
      <w:divBdr>
        <w:top w:val="none" w:sz="0" w:space="0" w:color="auto"/>
        <w:left w:val="none" w:sz="0" w:space="0" w:color="auto"/>
        <w:bottom w:val="none" w:sz="0" w:space="0" w:color="auto"/>
        <w:right w:val="none" w:sz="0" w:space="0" w:color="auto"/>
      </w:divBdr>
    </w:div>
    <w:div w:id="1021710658">
      <w:bodyDiv w:val="1"/>
      <w:marLeft w:val="0"/>
      <w:marRight w:val="0"/>
      <w:marTop w:val="0"/>
      <w:marBottom w:val="0"/>
      <w:divBdr>
        <w:top w:val="none" w:sz="0" w:space="0" w:color="auto"/>
        <w:left w:val="none" w:sz="0" w:space="0" w:color="auto"/>
        <w:bottom w:val="none" w:sz="0" w:space="0" w:color="auto"/>
        <w:right w:val="none" w:sz="0" w:space="0" w:color="auto"/>
      </w:divBdr>
    </w:div>
    <w:div w:id="1057975629">
      <w:bodyDiv w:val="1"/>
      <w:marLeft w:val="0"/>
      <w:marRight w:val="0"/>
      <w:marTop w:val="0"/>
      <w:marBottom w:val="0"/>
      <w:divBdr>
        <w:top w:val="none" w:sz="0" w:space="0" w:color="auto"/>
        <w:left w:val="none" w:sz="0" w:space="0" w:color="auto"/>
        <w:bottom w:val="none" w:sz="0" w:space="0" w:color="auto"/>
        <w:right w:val="none" w:sz="0" w:space="0" w:color="auto"/>
      </w:divBdr>
    </w:div>
    <w:div w:id="1217817629">
      <w:bodyDiv w:val="1"/>
      <w:marLeft w:val="0"/>
      <w:marRight w:val="0"/>
      <w:marTop w:val="0"/>
      <w:marBottom w:val="0"/>
      <w:divBdr>
        <w:top w:val="none" w:sz="0" w:space="0" w:color="auto"/>
        <w:left w:val="none" w:sz="0" w:space="0" w:color="auto"/>
        <w:bottom w:val="none" w:sz="0" w:space="0" w:color="auto"/>
        <w:right w:val="none" w:sz="0" w:space="0" w:color="auto"/>
      </w:divBdr>
    </w:div>
    <w:div w:id="1298148503">
      <w:bodyDiv w:val="1"/>
      <w:marLeft w:val="0"/>
      <w:marRight w:val="0"/>
      <w:marTop w:val="0"/>
      <w:marBottom w:val="0"/>
      <w:divBdr>
        <w:top w:val="none" w:sz="0" w:space="0" w:color="auto"/>
        <w:left w:val="none" w:sz="0" w:space="0" w:color="auto"/>
        <w:bottom w:val="none" w:sz="0" w:space="0" w:color="auto"/>
        <w:right w:val="none" w:sz="0" w:space="0" w:color="auto"/>
      </w:divBdr>
    </w:div>
    <w:div w:id="1361667967">
      <w:bodyDiv w:val="1"/>
      <w:marLeft w:val="0"/>
      <w:marRight w:val="0"/>
      <w:marTop w:val="0"/>
      <w:marBottom w:val="0"/>
      <w:divBdr>
        <w:top w:val="none" w:sz="0" w:space="0" w:color="auto"/>
        <w:left w:val="none" w:sz="0" w:space="0" w:color="auto"/>
        <w:bottom w:val="none" w:sz="0" w:space="0" w:color="auto"/>
        <w:right w:val="none" w:sz="0" w:space="0" w:color="auto"/>
      </w:divBdr>
    </w:div>
    <w:div w:id="1393386294">
      <w:bodyDiv w:val="1"/>
      <w:marLeft w:val="0"/>
      <w:marRight w:val="0"/>
      <w:marTop w:val="0"/>
      <w:marBottom w:val="0"/>
      <w:divBdr>
        <w:top w:val="none" w:sz="0" w:space="0" w:color="auto"/>
        <w:left w:val="none" w:sz="0" w:space="0" w:color="auto"/>
        <w:bottom w:val="none" w:sz="0" w:space="0" w:color="auto"/>
        <w:right w:val="none" w:sz="0" w:space="0" w:color="auto"/>
      </w:divBdr>
    </w:div>
    <w:div w:id="1446997432">
      <w:bodyDiv w:val="1"/>
      <w:marLeft w:val="0"/>
      <w:marRight w:val="0"/>
      <w:marTop w:val="0"/>
      <w:marBottom w:val="0"/>
      <w:divBdr>
        <w:top w:val="none" w:sz="0" w:space="0" w:color="auto"/>
        <w:left w:val="none" w:sz="0" w:space="0" w:color="auto"/>
        <w:bottom w:val="none" w:sz="0" w:space="0" w:color="auto"/>
        <w:right w:val="none" w:sz="0" w:space="0" w:color="auto"/>
      </w:divBdr>
    </w:div>
    <w:div w:id="1471560816">
      <w:bodyDiv w:val="1"/>
      <w:marLeft w:val="0"/>
      <w:marRight w:val="0"/>
      <w:marTop w:val="0"/>
      <w:marBottom w:val="0"/>
      <w:divBdr>
        <w:top w:val="none" w:sz="0" w:space="0" w:color="auto"/>
        <w:left w:val="none" w:sz="0" w:space="0" w:color="auto"/>
        <w:bottom w:val="none" w:sz="0" w:space="0" w:color="auto"/>
        <w:right w:val="none" w:sz="0" w:space="0" w:color="auto"/>
      </w:divBdr>
    </w:div>
    <w:div w:id="1506628063">
      <w:bodyDiv w:val="1"/>
      <w:marLeft w:val="0"/>
      <w:marRight w:val="0"/>
      <w:marTop w:val="0"/>
      <w:marBottom w:val="0"/>
      <w:divBdr>
        <w:top w:val="none" w:sz="0" w:space="0" w:color="auto"/>
        <w:left w:val="none" w:sz="0" w:space="0" w:color="auto"/>
        <w:bottom w:val="none" w:sz="0" w:space="0" w:color="auto"/>
        <w:right w:val="none" w:sz="0" w:space="0" w:color="auto"/>
      </w:divBdr>
    </w:div>
    <w:div w:id="1522015123">
      <w:bodyDiv w:val="1"/>
      <w:marLeft w:val="0"/>
      <w:marRight w:val="0"/>
      <w:marTop w:val="0"/>
      <w:marBottom w:val="0"/>
      <w:divBdr>
        <w:top w:val="none" w:sz="0" w:space="0" w:color="auto"/>
        <w:left w:val="none" w:sz="0" w:space="0" w:color="auto"/>
        <w:bottom w:val="none" w:sz="0" w:space="0" w:color="auto"/>
        <w:right w:val="none" w:sz="0" w:space="0" w:color="auto"/>
      </w:divBdr>
    </w:div>
    <w:div w:id="1592858362">
      <w:bodyDiv w:val="1"/>
      <w:marLeft w:val="0"/>
      <w:marRight w:val="0"/>
      <w:marTop w:val="0"/>
      <w:marBottom w:val="0"/>
      <w:divBdr>
        <w:top w:val="none" w:sz="0" w:space="0" w:color="auto"/>
        <w:left w:val="none" w:sz="0" w:space="0" w:color="auto"/>
        <w:bottom w:val="none" w:sz="0" w:space="0" w:color="auto"/>
        <w:right w:val="none" w:sz="0" w:space="0" w:color="auto"/>
      </w:divBdr>
    </w:div>
    <w:div w:id="1611813897">
      <w:bodyDiv w:val="1"/>
      <w:marLeft w:val="0"/>
      <w:marRight w:val="0"/>
      <w:marTop w:val="0"/>
      <w:marBottom w:val="0"/>
      <w:divBdr>
        <w:top w:val="none" w:sz="0" w:space="0" w:color="auto"/>
        <w:left w:val="none" w:sz="0" w:space="0" w:color="auto"/>
        <w:bottom w:val="none" w:sz="0" w:space="0" w:color="auto"/>
        <w:right w:val="none" w:sz="0" w:space="0" w:color="auto"/>
      </w:divBdr>
    </w:div>
    <w:div w:id="1645116217">
      <w:bodyDiv w:val="1"/>
      <w:marLeft w:val="0"/>
      <w:marRight w:val="0"/>
      <w:marTop w:val="0"/>
      <w:marBottom w:val="0"/>
      <w:divBdr>
        <w:top w:val="none" w:sz="0" w:space="0" w:color="auto"/>
        <w:left w:val="none" w:sz="0" w:space="0" w:color="auto"/>
        <w:bottom w:val="none" w:sz="0" w:space="0" w:color="auto"/>
        <w:right w:val="none" w:sz="0" w:space="0" w:color="auto"/>
      </w:divBdr>
    </w:div>
    <w:div w:id="1674141757">
      <w:bodyDiv w:val="1"/>
      <w:marLeft w:val="0"/>
      <w:marRight w:val="0"/>
      <w:marTop w:val="0"/>
      <w:marBottom w:val="0"/>
      <w:divBdr>
        <w:top w:val="none" w:sz="0" w:space="0" w:color="auto"/>
        <w:left w:val="none" w:sz="0" w:space="0" w:color="auto"/>
        <w:bottom w:val="none" w:sz="0" w:space="0" w:color="auto"/>
        <w:right w:val="none" w:sz="0" w:space="0" w:color="auto"/>
      </w:divBdr>
    </w:div>
    <w:div w:id="1747800206">
      <w:bodyDiv w:val="1"/>
      <w:marLeft w:val="0"/>
      <w:marRight w:val="0"/>
      <w:marTop w:val="0"/>
      <w:marBottom w:val="0"/>
      <w:divBdr>
        <w:top w:val="none" w:sz="0" w:space="0" w:color="auto"/>
        <w:left w:val="none" w:sz="0" w:space="0" w:color="auto"/>
        <w:bottom w:val="none" w:sz="0" w:space="0" w:color="auto"/>
        <w:right w:val="none" w:sz="0" w:space="0" w:color="auto"/>
      </w:divBdr>
    </w:div>
    <w:div w:id="1813868126">
      <w:bodyDiv w:val="1"/>
      <w:marLeft w:val="0"/>
      <w:marRight w:val="0"/>
      <w:marTop w:val="0"/>
      <w:marBottom w:val="0"/>
      <w:divBdr>
        <w:top w:val="none" w:sz="0" w:space="0" w:color="auto"/>
        <w:left w:val="none" w:sz="0" w:space="0" w:color="auto"/>
        <w:bottom w:val="none" w:sz="0" w:space="0" w:color="auto"/>
        <w:right w:val="none" w:sz="0" w:space="0" w:color="auto"/>
      </w:divBdr>
    </w:div>
    <w:div w:id="1820027942">
      <w:bodyDiv w:val="1"/>
      <w:marLeft w:val="0"/>
      <w:marRight w:val="0"/>
      <w:marTop w:val="0"/>
      <w:marBottom w:val="0"/>
      <w:divBdr>
        <w:top w:val="none" w:sz="0" w:space="0" w:color="auto"/>
        <w:left w:val="none" w:sz="0" w:space="0" w:color="auto"/>
        <w:bottom w:val="none" w:sz="0" w:space="0" w:color="auto"/>
        <w:right w:val="none" w:sz="0" w:space="0" w:color="auto"/>
      </w:divBdr>
    </w:div>
    <w:div w:id="1859083314">
      <w:bodyDiv w:val="1"/>
      <w:marLeft w:val="0"/>
      <w:marRight w:val="0"/>
      <w:marTop w:val="0"/>
      <w:marBottom w:val="0"/>
      <w:divBdr>
        <w:top w:val="none" w:sz="0" w:space="0" w:color="auto"/>
        <w:left w:val="none" w:sz="0" w:space="0" w:color="auto"/>
        <w:bottom w:val="none" w:sz="0" w:space="0" w:color="auto"/>
        <w:right w:val="none" w:sz="0" w:space="0" w:color="auto"/>
      </w:divBdr>
    </w:div>
    <w:div w:id="1862546529">
      <w:bodyDiv w:val="1"/>
      <w:marLeft w:val="0"/>
      <w:marRight w:val="0"/>
      <w:marTop w:val="0"/>
      <w:marBottom w:val="0"/>
      <w:divBdr>
        <w:top w:val="none" w:sz="0" w:space="0" w:color="auto"/>
        <w:left w:val="none" w:sz="0" w:space="0" w:color="auto"/>
        <w:bottom w:val="none" w:sz="0" w:space="0" w:color="auto"/>
        <w:right w:val="none" w:sz="0" w:space="0" w:color="auto"/>
      </w:divBdr>
    </w:div>
    <w:div w:id="1938055011">
      <w:bodyDiv w:val="1"/>
      <w:marLeft w:val="0"/>
      <w:marRight w:val="0"/>
      <w:marTop w:val="0"/>
      <w:marBottom w:val="0"/>
      <w:divBdr>
        <w:top w:val="none" w:sz="0" w:space="0" w:color="auto"/>
        <w:left w:val="none" w:sz="0" w:space="0" w:color="auto"/>
        <w:bottom w:val="none" w:sz="0" w:space="0" w:color="auto"/>
        <w:right w:val="none" w:sz="0" w:space="0" w:color="auto"/>
      </w:divBdr>
    </w:div>
    <w:div w:id="1953708025">
      <w:bodyDiv w:val="1"/>
      <w:marLeft w:val="0"/>
      <w:marRight w:val="0"/>
      <w:marTop w:val="0"/>
      <w:marBottom w:val="0"/>
      <w:divBdr>
        <w:top w:val="none" w:sz="0" w:space="0" w:color="auto"/>
        <w:left w:val="none" w:sz="0" w:space="0" w:color="auto"/>
        <w:bottom w:val="none" w:sz="0" w:space="0" w:color="auto"/>
        <w:right w:val="none" w:sz="0" w:space="0" w:color="auto"/>
      </w:divBdr>
    </w:div>
    <w:div w:id="1970432354">
      <w:bodyDiv w:val="1"/>
      <w:marLeft w:val="0"/>
      <w:marRight w:val="0"/>
      <w:marTop w:val="0"/>
      <w:marBottom w:val="0"/>
      <w:divBdr>
        <w:top w:val="none" w:sz="0" w:space="0" w:color="auto"/>
        <w:left w:val="none" w:sz="0" w:space="0" w:color="auto"/>
        <w:bottom w:val="none" w:sz="0" w:space="0" w:color="auto"/>
        <w:right w:val="none" w:sz="0" w:space="0" w:color="auto"/>
      </w:divBdr>
    </w:div>
    <w:div w:id="1977837623">
      <w:bodyDiv w:val="1"/>
      <w:marLeft w:val="0"/>
      <w:marRight w:val="0"/>
      <w:marTop w:val="0"/>
      <w:marBottom w:val="0"/>
      <w:divBdr>
        <w:top w:val="none" w:sz="0" w:space="0" w:color="auto"/>
        <w:left w:val="none" w:sz="0" w:space="0" w:color="auto"/>
        <w:bottom w:val="none" w:sz="0" w:space="0" w:color="auto"/>
        <w:right w:val="none" w:sz="0" w:space="0" w:color="auto"/>
      </w:divBdr>
    </w:div>
    <w:div w:id="1999574712">
      <w:bodyDiv w:val="1"/>
      <w:marLeft w:val="0"/>
      <w:marRight w:val="0"/>
      <w:marTop w:val="0"/>
      <w:marBottom w:val="0"/>
      <w:divBdr>
        <w:top w:val="none" w:sz="0" w:space="0" w:color="auto"/>
        <w:left w:val="none" w:sz="0" w:space="0" w:color="auto"/>
        <w:bottom w:val="none" w:sz="0" w:space="0" w:color="auto"/>
        <w:right w:val="none" w:sz="0" w:space="0" w:color="auto"/>
      </w:divBdr>
    </w:div>
    <w:div w:id="2011059045">
      <w:bodyDiv w:val="1"/>
      <w:marLeft w:val="0"/>
      <w:marRight w:val="0"/>
      <w:marTop w:val="0"/>
      <w:marBottom w:val="0"/>
      <w:divBdr>
        <w:top w:val="none" w:sz="0" w:space="0" w:color="auto"/>
        <w:left w:val="none" w:sz="0" w:space="0" w:color="auto"/>
        <w:bottom w:val="none" w:sz="0" w:space="0" w:color="auto"/>
        <w:right w:val="none" w:sz="0" w:space="0" w:color="auto"/>
      </w:divBdr>
    </w:div>
    <w:div w:id="2017460479">
      <w:bodyDiv w:val="1"/>
      <w:marLeft w:val="0"/>
      <w:marRight w:val="0"/>
      <w:marTop w:val="0"/>
      <w:marBottom w:val="0"/>
      <w:divBdr>
        <w:top w:val="none" w:sz="0" w:space="0" w:color="auto"/>
        <w:left w:val="none" w:sz="0" w:space="0" w:color="auto"/>
        <w:bottom w:val="none" w:sz="0" w:space="0" w:color="auto"/>
        <w:right w:val="none" w:sz="0" w:space="0" w:color="auto"/>
      </w:divBdr>
    </w:div>
    <w:div w:id="2045323516">
      <w:bodyDiv w:val="1"/>
      <w:marLeft w:val="0"/>
      <w:marRight w:val="0"/>
      <w:marTop w:val="0"/>
      <w:marBottom w:val="0"/>
      <w:divBdr>
        <w:top w:val="none" w:sz="0" w:space="0" w:color="auto"/>
        <w:left w:val="none" w:sz="0" w:space="0" w:color="auto"/>
        <w:bottom w:val="none" w:sz="0" w:space="0" w:color="auto"/>
        <w:right w:val="none" w:sz="0" w:space="0" w:color="auto"/>
      </w:divBdr>
    </w:div>
    <w:div w:id="2049914085">
      <w:bodyDiv w:val="1"/>
      <w:marLeft w:val="0"/>
      <w:marRight w:val="0"/>
      <w:marTop w:val="0"/>
      <w:marBottom w:val="0"/>
      <w:divBdr>
        <w:top w:val="none" w:sz="0" w:space="0" w:color="auto"/>
        <w:left w:val="none" w:sz="0" w:space="0" w:color="auto"/>
        <w:bottom w:val="none" w:sz="0" w:space="0" w:color="auto"/>
        <w:right w:val="none" w:sz="0" w:space="0" w:color="auto"/>
      </w:divBdr>
    </w:div>
    <w:div w:id="2058821091">
      <w:bodyDiv w:val="1"/>
      <w:marLeft w:val="0"/>
      <w:marRight w:val="0"/>
      <w:marTop w:val="0"/>
      <w:marBottom w:val="0"/>
      <w:divBdr>
        <w:top w:val="none" w:sz="0" w:space="0" w:color="auto"/>
        <w:left w:val="none" w:sz="0" w:space="0" w:color="auto"/>
        <w:bottom w:val="none" w:sz="0" w:space="0" w:color="auto"/>
        <w:right w:val="none" w:sz="0" w:space="0" w:color="auto"/>
      </w:divBdr>
    </w:div>
    <w:div w:id="208629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customXml" Target="../customXml/item3.xml"/><Relationship Id="rId21" Type="http://schemas.openxmlformats.org/officeDocument/2006/relationships/chart" Target="charts/chart1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ca.europa.eu/Lists/ECADocuments/SR20_24/SR_Competition_policy_EN.pdf" TargetMode="External"/><Relationship Id="rId13" Type="http://schemas.openxmlformats.org/officeDocument/2006/relationships/hyperlink" Target="https://www.competitionpolicyinternational.com/beyond-killer-acquisitions-are-there-more-common-potential-competition-issues-in-tech-deals-and-how-can-these-be-assessed/" TargetMode="External"/><Relationship Id="rId18" Type="http://schemas.openxmlformats.org/officeDocument/2006/relationships/hyperlink" Target="https://www.deezer-investors.com/wp-content/uploads/2022/06/Merger-prospectus-31.05.22.pdf" TargetMode="External"/><Relationship Id="rId3" Type="http://schemas.openxmlformats.org/officeDocument/2006/relationships/hyperlink" Target="https://www.ftc.gov/news-events/news/press-releases/2022/07/ftc-seeks-block-virtual-reality-giant-metas-acquisition-popular-app-creator-within" TargetMode="External"/><Relationship Id="rId21" Type="http://schemas.openxmlformats.org/officeDocument/2006/relationships/hyperlink" Target="https://www.thinkwithgoogle.com/data-collections/mobile-search-statistics/" TargetMode="External"/><Relationship Id="rId7" Type="http://schemas.openxmlformats.org/officeDocument/2006/relationships/hyperlink" Target="https://www.dropbox.com/s/pxwr4wt9hh5rate/Antitrust_and_Innovation___Paper_V2.pdf?dl=0" TargetMode="External"/><Relationship Id="rId12" Type="http://schemas.openxmlformats.org/officeDocument/2006/relationships/hyperlink" Target="https://www.competitionpolicyinternational.com/how-tech-rolls-potential-competition-and-reverse-killer-acquisitions/" TargetMode="External"/><Relationship Id="rId17" Type="http://schemas.openxmlformats.org/officeDocument/2006/relationships/hyperlink" Target="https://www.deezer-investors.com/wp-content/uploads/2022/06/Merger-prospectus-31.05.22.pdf" TargetMode="External"/><Relationship Id="rId2" Type="http://schemas.openxmlformats.org/officeDocument/2006/relationships/hyperlink" Target="https://www.gov.uk/government/news/cma-orders-meta-to-sell-giphy" TargetMode="External"/><Relationship Id="rId16" Type="http://schemas.openxmlformats.org/officeDocument/2006/relationships/hyperlink" Target="https://papers.ssrn.com/sol3/papers.cfm?abstract_id=3788536" TargetMode="External"/><Relationship Id="rId20" Type="http://schemas.openxmlformats.org/officeDocument/2006/relationships/hyperlink" Target="https://www.mediapost.com/publications/article/310971/new-york-times-tightens-metered-paywall.html%20accessed%2023%20December%202022" TargetMode="External"/><Relationship Id="rId1" Type="http://schemas.openxmlformats.org/officeDocument/2006/relationships/hyperlink" Target="https://new.cepr.org/voxeu/blogs-and-reviews/how-tech-rolls-potential-competition-and-reverse-killer-acquisitions" TargetMode="External"/><Relationship Id="rId6" Type="http://schemas.openxmlformats.org/officeDocument/2006/relationships/hyperlink" Target="https://www.promarket.org/2023/08/01/randy-picker-understanding-firm-entry-and-the-internal-growth-presumption-in-the-draft-merger-guidelines/" TargetMode="External"/><Relationship Id="rId11" Type="http://schemas.openxmlformats.org/officeDocument/2006/relationships/hyperlink" Target="https://luiseeisfeld.github.io/assets/docs/JMP_Eisfeld_TSE.pdf" TargetMode="External"/><Relationship Id="rId24" Type="http://schemas.openxmlformats.org/officeDocument/2006/relationships/hyperlink" Target="https://technode.global/2022/01/18/indias-imagine-marketing-acquires-singapores-kaha-to-boost-wearable-products/" TargetMode="External"/><Relationship Id="rId5" Type="http://schemas.openxmlformats.org/officeDocument/2006/relationships/hyperlink" Target="https://ec.europa.eu/commission/presscorner/detail/en/ip_22_6578" TargetMode="External"/><Relationship Id="rId15" Type="http://schemas.openxmlformats.org/officeDocument/2006/relationships/hyperlink" Target="https://www.uschamber.com/assets/documents/NERA-Mergers-and-Innovation-Feb-2023.pdf" TargetMode="External"/><Relationship Id="rId23" Type="http://schemas.openxmlformats.org/officeDocument/2006/relationships/hyperlink" Target="https://techcrunch.com/2021/09/01/apollo-completes-its-5b-acquisition-of-verizon-media-now-known-as-yahoo/" TargetMode="External"/><Relationship Id="rId10" Type="http://schemas.openxmlformats.org/officeDocument/2006/relationships/hyperlink" Target="https://one.oecd.org/document/DAF/COMP(2020)5/en/pdf" TargetMode="External"/><Relationship Id="rId19" Type="http://schemas.openxmlformats.org/officeDocument/2006/relationships/hyperlink" Target="https://www.theguardian.com/technology/2021/dec/31/sanction-hit-huawei-says-revenues-down-29-this-year" TargetMode="External"/><Relationship Id="rId4" Type="http://schemas.openxmlformats.org/officeDocument/2006/relationships/hyperlink" Target="https://www.ftc.gov/news-events/news/press-releases/2022/12/ftc-seeks-block-microsoft-corps-acquisition-activision-blizzard-inc" TargetMode="External"/><Relationship Id="rId9" Type="http://schemas.openxmlformats.org/officeDocument/2006/relationships/hyperlink" Target="https://www.sipotra.it/wp-content/uploads/2020/02/Stigler-Committee-on-Digital-Platforms-Final-Report.pdf" TargetMode="External"/><Relationship Id="rId14" Type="http://schemas.openxmlformats.org/officeDocument/2006/relationships/hyperlink" Target="https://www.competitionpolicyinternational.com/killer-acquisitions-big-tech-and-section-2-a-solution-in-search-of-a-problem/" TargetMode="External"/><Relationship Id="rId22" Type="http://schemas.openxmlformats.org/officeDocument/2006/relationships/hyperlink" Target="https://www.techrepublic.com/article/zoom-zips-ahead-of-google-meet-microsoft-teams-and-skype-in-one-rankin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entonsglobaleur-my.sharepoint.com/personal/sunekbas_baseak_com/Documents/Desktop/EUI/Academic%20Work/Petit%20-%20Killer%20acquisitions/EUI%20-%20Working%20Paper%20-%20Market%20Shares%20&amp;%20Perceptions%20(2022113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entonsglobaleur-my.sharepoint.com/personal/sunekbas_baseak_com/Documents/Desktop/EUI/Academic%20Work/Killer%20acquisitions/EUI%20-%20Working%20Paper%20-%20Market%20Shares%20&amp;%20Perceptions%20(2022113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entonsglobaleur-my.sharepoint.com/personal/sunekbas_baseak_com/Documents/Desktop/EUI/Academic%20Work/Killer%20acquisitions/EUI%20-%20Working%20Paper%20-%20Market%20Shares%20&amp;%20Perceptions%20(2022113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entonsglobaleur-my.sharepoint.com/personal/sunekbas_baseak_com/Documents/Desktop/EUI/Academic%20Work/Petit%20-%20Killer%20acquisitions/EUI%20-%20Working%20Paper%20-%20Market%20Shares%20&amp;%20Perceptions%20(2022113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a:t>
            </a:r>
            <a:r>
              <a:rPr lang="tr-TR" b="1" baseline="0"/>
              <a:t> Sales (SAP/Sybase)</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8"/>
              <c:pt idx="0">
                <c:v>2009</c:v>
              </c:pt>
              <c:pt idx="1">
                <c:v>2010</c:v>
              </c:pt>
              <c:pt idx="2">
                <c:v>2011</c:v>
              </c:pt>
              <c:pt idx="3">
                <c:v>2012</c:v>
              </c:pt>
              <c:pt idx="4">
                <c:v>2013</c:v>
              </c:pt>
              <c:pt idx="5">
                <c:v>2014</c:v>
              </c:pt>
              <c:pt idx="6">
                <c:v>2015</c:v>
              </c:pt>
              <c:pt idx="7">
                <c:v>2016</c:v>
              </c:pt>
            </c:numLit>
          </c:cat>
          <c:val>
            <c:numRef>
              <c:f>SAP_Sybase!$L$39:$L$46</c:f>
              <c:numCache>
                <c:formatCode>General</c:formatCode>
                <c:ptCount val="8"/>
                <c:pt idx="0">
                  <c:v>50721</c:v>
                </c:pt>
                <c:pt idx="1">
                  <c:v>53714</c:v>
                </c:pt>
                <c:pt idx="2">
                  <c:v>59874</c:v>
                </c:pt>
                <c:pt idx="3">
                  <c:v>63216</c:v>
                </c:pt>
                <c:pt idx="4">
                  <c:v>66050</c:v>
                </c:pt>
                <c:pt idx="5">
                  <c:v>69990</c:v>
                </c:pt>
                <c:pt idx="6">
                  <c:v>68263</c:v>
                </c:pt>
                <c:pt idx="7">
                  <c:v>67879</c:v>
                </c:pt>
              </c:numCache>
            </c:numRef>
          </c:val>
          <c:extLst>
            <c:ext xmlns:c16="http://schemas.microsoft.com/office/drawing/2014/chart" uri="{C3380CC4-5D6E-409C-BE32-E72D297353CC}">
              <c16:uniqueId val="{00000000-F88A-47F9-8119-4D8232A31B35}"/>
            </c:ext>
          </c:extLst>
        </c:ser>
        <c:dLbls>
          <c:showLegendKey val="0"/>
          <c:showVal val="0"/>
          <c:showCatName val="0"/>
          <c:showSerName val="0"/>
          <c:showPercent val="0"/>
          <c:showBubbleSize val="0"/>
        </c:dLbls>
        <c:gapWidth val="219"/>
        <c:overlap val="-27"/>
        <c:axId val="1084754159"/>
        <c:axId val="1084755407"/>
      </c:barChart>
      <c:catAx>
        <c:axId val="10847541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84755407"/>
        <c:crosses val="autoZero"/>
        <c:auto val="1"/>
        <c:lblAlgn val="ctr"/>
        <c:lblOffset val="100"/>
        <c:noMultiLvlLbl val="0"/>
      </c:catAx>
      <c:valAx>
        <c:axId val="108475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84754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 of Competitors (Activision/King)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EA</c:v>
          </c:tx>
          <c:spPr>
            <a:solidFill>
              <a:schemeClr val="accent1"/>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Activision_King!$O$40:$O$47</c:f>
              <c:numCache>
                <c:formatCode>0%</c:formatCode>
                <c:ptCount val="8"/>
                <c:pt idx="0">
                  <c:v>0.28240777312583931</c:v>
                </c:pt>
                <c:pt idx="1">
                  <c:v>0.38386328855636798</c:v>
                </c:pt>
                <c:pt idx="2">
                  <c:v>0.38169662238430146</c:v>
                </c:pt>
                <c:pt idx="3">
                  <c:v>0.38342830009496676</c:v>
                </c:pt>
                <c:pt idx="4">
                  <c:v>0.27762803234501349</c:v>
                </c:pt>
                <c:pt idx="5">
                  <c:v>0.236796785304248</c:v>
                </c:pt>
                <c:pt idx="6">
                  <c:v>0.24597956463793869</c:v>
                </c:pt>
                <c:pt idx="7">
                  <c:v>0.19708003641201596</c:v>
                </c:pt>
              </c:numCache>
            </c:numRef>
          </c:val>
          <c:extLst>
            <c:ext xmlns:c16="http://schemas.microsoft.com/office/drawing/2014/chart" uri="{C3380CC4-5D6E-409C-BE32-E72D297353CC}">
              <c16:uniqueId val="{00000000-757F-41CE-B522-EA954879D151}"/>
            </c:ext>
          </c:extLst>
        </c:ser>
        <c:ser>
          <c:idx val="1"/>
          <c:order val="1"/>
          <c:tx>
            <c:v>Ubisoft</c:v>
          </c:tx>
          <c:spPr>
            <a:solidFill>
              <a:schemeClr val="accent2"/>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Activision_King!$P$40:$P$47</c:f>
              <c:numCache>
                <c:formatCode>0%</c:formatCode>
                <c:ptCount val="8"/>
                <c:pt idx="0">
                  <c:v>0.10561655738999921</c:v>
                </c:pt>
                <c:pt idx="1">
                  <c:v>0.13807175650399592</c:v>
                </c:pt>
                <c:pt idx="2">
                  <c:v>0.13397586176955806</c:v>
                </c:pt>
                <c:pt idx="3">
                  <c:v>0.1305792972459639</c:v>
                </c:pt>
                <c:pt idx="4">
                  <c:v>0.11029649595687331</c:v>
                </c:pt>
                <c:pt idx="5">
                  <c:v>0.10868733256792958</c:v>
                </c:pt>
                <c:pt idx="6">
                  <c:v>8.0497556641492676E-2</c:v>
                </c:pt>
                <c:pt idx="7">
                  <c:v>9.2115398081366845E-2</c:v>
                </c:pt>
              </c:numCache>
            </c:numRef>
          </c:val>
          <c:extLst>
            <c:ext xmlns:c16="http://schemas.microsoft.com/office/drawing/2014/chart" uri="{C3380CC4-5D6E-409C-BE32-E72D297353CC}">
              <c16:uniqueId val="{00000001-757F-41CE-B522-EA954879D151}"/>
            </c:ext>
          </c:extLst>
        </c:ser>
        <c:ser>
          <c:idx val="2"/>
          <c:order val="2"/>
          <c:tx>
            <c:v>Nintendo</c:v>
          </c:tx>
          <c:spPr>
            <a:solidFill>
              <a:schemeClr val="accent3"/>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Activision_King!$Q$40:$Q$47</c:f>
              <c:numCache>
                <c:formatCode>0%</c:formatCode>
                <c:ptCount val="8"/>
                <c:pt idx="0">
                  <c:v>0.42633699344339993</c:v>
                </c:pt>
                <c:pt idx="1">
                  <c:v>0.38607379697330385</c:v>
                </c:pt>
                <c:pt idx="2">
                  <c:v>0.36155248762698622</c:v>
                </c:pt>
                <c:pt idx="3">
                  <c:v>0.34512503956948404</c:v>
                </c:pt>
                <c:pt idx="4">
                  <c:v>0.51541778975741237</c:v>
                </c:pt>
                <c:pt idx="5">
                  <c:v>0.52688480673555305</c:v>
                </c:pt>
                <c:pt idx="6">
                  <c:v>0.53629498000888498</c:v>
                </c:pt>
                <c:pt idx="7">
                  <c:v>0.5927105944961838</c:v>
                </c:pt>
              </c:numCache>
            </c:numRef>
          </c:val>
          <c:extLst>
            <c:ext xmlns:c16="http://schemas.microsoft.com/office/drawing/2014/chart" uri="{C3380CC4-5D6E-409C-BE32-E72D297353CC}">
              <c16:uniqueId val="{00000002-757F-41CE-B522-EA954879D151}"/>
            </c:ext>
          </c:extLst>
        </c:ser>
        <c:ser>
          <c:idx val="3"/>
          <c:order val="3"/>
          <c:tx>
            <c:v>Take-Two</c:v>
          </c:tx>
          <c:spPr>
            <a:solidFill>
              <a:schemeClr val="accent4"/>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Activision_King!$R$40:$R$47</c:f>
              <c:numCache>
                <c:formatCode>0%</c:formatCode>
                <c:ptCount val="8"/>
                <c:pt idx="0">
                  <c:v>0.18563867604076151</c:v>
                </c:pt>
                <c:pt idx="1">
                  <c:v>9.1991157966332254E-2</c:v>
                </c:pt>
                <c:pt idx="2">
                  <c:v>0.1227750282191543</c:v>
                </c:pt>
                <c:pt idx="3">
                  <c:v>0.14086736308958531</c:v>
                </c:pt>
                <c:pt idx="4">
                  <c:v>9.6657681940700804E-2</c:v>
                </c:pt>
                <c:pt idx="5">
                  <c:v>0.12763107539226942</c:v>
                </c:pt>
                <c:pt idx="6">
                  <c:v>0.1372278987116837</c:v>
                </c:pt>
                <c:pt idx="7">
                  <c:v>0.11809397101043344</c:v>
                </c:pt>
              </c:numCache>
            </c:numRef>
          </c:val>
          <c:extLst>
            <c:ext xmlns:c16="http://schemas.microsoft.com/office/drawing/2014/chart" uri="{C3380CC4-5D6E-409C-BE32-E72D297353CC}">
              <c16:uniqueId val="{00000003-757F-41CE-B522-EA954879D151}"/>
            </c:ext>
          </c:extLst>
        </c:ser>
        <c:dLbls>
          <c:showLegendKey val="0"/>
          <c:showVal val="0"/>
          <c:showCatName val="0"/>
          <c:showSerName val="0"/>
          <c:showPercent val="0"/>
          <c:showBubbleSize val="0"/>
        </c:dLbls>
        <c:gapWidth val="219"/>
        <c:overlap val="-27"/>
        <c:axId val="833891359"/>
        <c:axId val="833888863"/>
      </c:barChart>
      <c:catAx>
        <c:axId val="83389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3888863"/>
        <c:crosses val="autoZero"/>
        <c:auto val="1"/>
        <c:lblAlgn val="ctr"/>
        <c:lblOffset val="100"/>
        <c:noMultiLvlLbl val="0"/>
      </c:catAx>
      <c:valAx>
        <c:axId val="833888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389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(MS/LinkedIn)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Microsoft_LinkedIn!$K$44:$K$51</c:f>
              <c:numCache>
                <c:formatCode>General</c:formatCode>
                <c:ptCount val="8"/>
                <c:pt idx="0">
                  <c:v>37820</c:v>
                </c:pt>
                <c:pt idx="1">
                  <c:v>37564</c:v>
                </c:pt>
                <c:pt idx="2">
                  <c:v>39624</c:v>
                </c:pt>
                <c:pt idx="3">
                  <c:v>43896</c:v>
                </c:pt>
                <c:pt idx="4">
                  <c:v>49294</c:v>
                </c:pt>
                <c:pt idx="5">
                  <c:v>51869</c:v>
                </c:pt>
                <c:pt idx="6">
                  <c:v>57003</c:v>
                </c:pt>
                <c:pt idx="7">
                  <c:v>64518</c:v>
                </c:pt>
              </c:numCache>
            </c:numRef>
          </c:val>
          <c:extLst>
            <c:ext xmlns:c16="http://schemas.microsoft.com/office/drawing/2014/chart" uri="{C3380CC4-5D6E-409C-BE32-E72D297353CC}">
              <c16:uniqueId val="{00000000-71FF-4D70-A647-25665FB17C45}"/>
            </c:ext>
          </c:extLst>
        </c:ser>
        <c:dLbls>
          <c:showLegendKey val="0"/>
          <c:showVal val="0"/>
          <c:showCatName val="0"/>
          <c:showSerName val="0"/>
          <c:showPercent val="0"/>
          <c:showBubbleSize val="0"/>
        </c:dLbls>
        <c:gapWidth val="219"/>
        <c:overlap val="-27"/>
        <c:axId val="1012631136"/>
        <c:axId val="1012630304"/>
      </c:barChart>
      <c:catAx>
        <c:axId val="101263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630304"/>
        <c:crosses val="autoZero"/>
        <c:auto val="1"/>
        <c:lblAlgn val="ctr"/>
        <c:lblOffset val="100"/>
        <c:noMultiLvlLbl val="0"/>
      </c:catAx>
      <c:valAx>
        <c:axId val="101263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63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a:t>
            </a:r>
            <a:r>
              <a:rPr lang="tr-TR" b="1" baseline="0"/>
              <a:t> of Competitors (MS/LinkedIn)</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Salesforce</c:v>
          </c:tx>
          <c:spPr>
            <a:solidFill>
              <a:schemeClr val="accent1"/>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Microsoft_LinkedIn!$L$44:$L$51</c:f>
              <c:numCache>
                <c:formatCode>0%</c:formatCode>
                <c:ptCount val="8"/>
                <c:pt idx="0">
                  <c:v>0.10764145954521417</c:v>
                </c:pt>
                <c:pt idx="1">
                  <c:v>0.14303588542221277</c:v>
                </c:pt>
                <c:pt idx="2">
                  <c:v>0.16825661215424995</c:v>
                </c:pt>
                <c:pt idx="3">
                  <c:v>0.19015400036449789</c:v>
                </c:pt>
                <c:pt idx="4">
                  <c:v>0.21381912605996672</c:v>
                </c:pt>
                <c:pt idx="5">
                  <c:v>0.25606817174034585</c:v>
                </c:pt>
                <c:pt idx="6">
                  <c:v>0.2999491254846236</c:v>
                </c:pt>
                <c:pt idx="7">
                  <c:v>0.32939644750302244</c:v>
                </c:pt>
              </c:numCache>
            </c:numRef>
          </c:val>
          <c:extLst>
            <c:ext xmlns:c16="http://schemas.microsoft.com/office/drawing/2014/chart" uri="{C3380CC4-5D6E-409C-BE32-E72D297353CC}">
              <c16:uniqueId val="{00000000-12EA-4680-9EA9-B3A0876F7FE0}"/>
            </c:ext>
          </c:extLst>
        </c:ser>
        <c:ser>
          <c:idx val="1"/>
          <c:order val="1"/>
          <c:tx>
            <c:v>Oracle</c:v>
          </c:tx>
          <c:spPr>
            <a:solidFill>
              <a:schemeClr val="accent2"/>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Microsoft_LinkedIn!$M$44:$M$51</c:f>
              <c:numCache>
                <c:formatCode>0%</c:formatCode>
                <c:ptCount val="8"/>
                <c:pt idx="0">
                  <c:v>0.27874140666314118</c:v>
                </c:pt>
                <c:pt idx="1">
                  <c:v>0.26687786178255779</c:v>
                </c:pt>
                <c:pt idx="2">
                  <c:v>0.23970321017565113</c:v>
                </c:pt>
                <c:pt idx="3">
                  <c:v>0.23004373974849646</c:v>
                </c:pt>
                <c:pt idx="4">
                  <c:v>0.22544325881446017</c:v>
                </c:pt>
                <c:pt idx="5">
                  <c:v>0.20382116485762208</c:v>
                </c:pt>
                <c:pt idx="6">
                  <c:v>0.19330561549392136</c:v>
                </c:pt>
                <c:pt idx="7">
                  <c:v>0.18154623515918039</c:v>
                </c:pt>
              </c:numCache>
            </c:numRef>
          </c:val>
          <c:extLst>
            <c:ext xmlns:c16="http://schemas.microsoft.com/office/drawing/2014/chart" uri="{C3380CC4-5D6E-409C-BE32-E72D297353CC}">
              <c16:uniqueId val="{00000001-12EA-4680-9EA9-B3A0876F7FE0}"/>
            </c:ext>
          </c:extLst>
        </c:ser>
        <c:ser>
          <c:idx val="2"/>
          <c:order val="2"/>
          <c:tx>
            <c:v>SAP</c:v>
          </c:tx>
          <c:spPr>
            <a:solidFill>
              <a:schemeClr val="accent3"/>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Microsoft_LinkedIn!$N$44:$N$51</c:f>
              <c:numCache>
                <c:formatCode>0%</c:formatCode>
                <c:ptCount val="8"/>
                <c:pt idx="0">
                  <c:v>0.59251718667371756</c:v>
                </c:pt>
                <c:pt idx="1">
                  <c:v>0.56514215738473006</c:v>
                </c:pt>
                <c:pt idx="2">
                  <c:v>0.56226024631536442</c:v>
                </c:pt>
                <c:pt idx="3">
                  <c:v>0.54442318206670315</c:v>
                </c:pt>
                <c:pt idx="4">
                  <c:v>0.5211993346046172</c:v>
                </c:pt>
                <c:pt idx="5">
                  <c:v>0.49615377200254485</c:v>
                </c:pt>
                <c:pt idx="6">
                  <c:v>0.46008104836587549</c:v>
                </c:pt>
                <c:pt idx="7">
                  <c:v>0.43668433615425151</c:v>
                </c:pt>
              </c:numCache>
            </c:numRef>
          </c:val>
          <c:extLst>
            <c:ext xmlns:c16="http://schemas.microsoft.com/office/drawing/2014/chart" uri="{C3380CC4-5D6E-409C-BE32-E72D297353CC}">
              <c16:uniqueId val="{00000002-12EA-4680-9EA9-B3A0876F7FE0}"/>
            </c:ext>
          </c:extLst>
        </c:ser>
        <c:ser>
          <c:idx val="3"/>
          <c:order val="3"/>
          <c:tx>
            <c:v>Adobe</c:v>
          </c:tx>
          <c:spPr>
            <a:solidFill>
              <a:schemeClr val="accent4"/>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Microsoft_LinkedIn!$O$44:$O$51</c:f>
              <c:numCache>
                <c:formatCode>0%</c:formatCode>
                <c:ptCount val="8"/>
                <c:pt idx="0">
                  <c:v>2.1099947117927023E-2</c:v>
                </c:pt>
                <c:pt idx="1">
                  <c:v>2.4944095410499415E-2</c:v>
                </c:pt>
                <c:pt idx="2">
                  <c:v>2.9779931354734505E-2</c:v>
                </c:pt>
                <c:pt idx="3">
                  <c:v>3.5379077820302536E-2</c:v>
                </c:pt>
                <c:pt idx="4">
                  <c:v>3.9538280520955899E-2</c:v>
                </c:pt>
                <c:pt idx="5">
                  <c:v>4.395689139948717E-2</c:v>
                </c:pt>
                <c:pt idx="6">
                  <c:v>4.6664210655579533E-2</c:v>
                </c:pt>
                <c:pt idx="7">
                  <c:v>5.2372981183545678E-2</c:v>
                </c:pt>
              </c:numCache>
            </c:numRef>
          </c:val>
          <c:extLst>
            <c:ext xmlns:c16="http://schemas.microsoft.com/office/drawing/2014/chart" uri="{C3380CC4-5D6E-409C-BE32-E72D297353CC}">
              <c16:uniqueId val="{00000003-12EA-4680-9EA9-B3A0876F7FE0}"/>
            </c:ext>
          </c:extLst>
        </c:ser>
        <c:dLbls>
          <c:showLegendKey val="0"/>
          <c:showVal val="0"/>
          <c:showCatName val="0"/>
          <c:showSerName val="0"/>
          <c:showPercent val="0"/>
          <c:showBubbleSize val="0"/>
        </c:dLbls>
        <c:gapWidth val="219"/>
        <c:overlap val="-27"/>
        <c:axId val="1053816368"/>
        <c:axId val="1053818032"/>
      </c:barChart>
      <c:catAx>
        <c:axId val="10538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818032"/>
        <c:crosses val="autoZero"/>
        <c:auto val="1"/>
        <c:lblAlgn val="ctr"/>
        <c:lblOffset val="100"/>
        <c:noMultiLvlLbl val="0"/>
      </c:catAx>
      <c:valAx>
        <c:axId val="105381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81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(Verizon/Yahoo)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5"/>
              <c:pt idx="0">
                <c:v>2015</c:v>
              </c:pt>
              <c:pt idx="1">
                <c:v>2016</c:v>
              </c:pt>
              <c:pt idx="2">
                <c:v>2017</c:v>
              </c:pt>
              <c:pt idx="3">
                <c:v>2018</c:v>
              </c:pt>
              <c:pt idx="4">
                <c:v>2019</c:v>
              </c:pt>
            </c:numLit>
          </c:cat>
          <c:val>
            <c:numRef>
              <c:f>Verizon_Yahoo!$O$42:$O$46</c:f>
              <c:numCache>
                <c:formatCode>General</c:formatCode>
                <c:ptCount val="5"/>
                <c:pt idx="0">
                  <c:v>15764.3</c:v>
                </c:pt>
                <c:pt idx="1">
                  <c:v>15687.3</c:v>
                </c:pt>
                <c:pt idx="2">
                  <c:v>16368.2</c:v>
                </c:pt>
                <c:pt idx="3">
                  <c:v>8669.7999999999993</c:v>
                </c:pt>
                <c:pt idx="4">
                  <c:v>10474.200000000001</c:v>
                </c:pt>
              </c:numCache>
            </c:numRef>
          </c:val>
          <c:extLst>
            <c:ext xmlns:c16="http://schemas.microsoft.com/office/drawing/2014/chart" uri="{C3380CC4-5D6E-409C-BE32-E72D297353CC}">
              <c16:uniqueId val="{00000000-C080-440F-A9E8-FA8B373269BB}"/>
            </c:ext>
          </c:extLst>
        </c:ser>
        <c:dLbls>
          <c:showLegendKey val="0"/>
          <c:showVal val="0"/>
          <c:showCatName val="0"/>
          <c:showSerName val="0"/>
          <c:showPercent val="0"/>
          <c:showBubbleSize val="0"/>
        </c:dLbls>
        <c:gapWidth val="219"/>
        <c:overlap val="-27"/>
        <c:axId val="1491700352"/>
        <c:axId val="1491707840"/>
      </c:barChart>
      <c:catAx>
        <c:axId val="149170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91707840"/>
        <c:crosses val="autoZero"/>
        <c:auto val="1"/>
        <c:lblAlgn val="ctr"/>
        <c:lblOffset val="100"/>
        <c:noMultiLvlLbl val="0"/>
      </c:catAx>
      <c:valAx>
        <c:axId val="149170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9170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baseline="0"/>
              <a:t>Shares of Competitors (Verizon/Yahoo)</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Axel Springer AG</c:v>
          </c:tx>
          <c:spPr>
            <a:solidFill>
              <a:schemeClr val="accent1"/>
            </a:solidFill>
            <a:ln>
              <a:noFill/>
            </a:ln>
            <a:effectLst/>
          </c:spPr>
          <c:invertIfNegative val="0"/>
          <c:cat>
            <c:numLit>
              <c:formatCode>General</c:formatCode>
              <c:ptCount val="5"/>
              <c:pt idx="0">
                <c:v>2015</c:v>
              </c:pt>
              <c:pt idx="1">
                <c:v>2016</c:v>
              </c:pt>
              <c:pt idx="2">
                <c:v>2017</c:v>
              </c:pt>
              <c:pt idx="3">
                <c:v>2018</c:v>
              </c:pt>
              <c:pt idx="4">
                <c:v>2019</c:v>
              </c:pt>
            </c:numLit>
          </c:cat>
          <c:val>
            <c:numRef>
              <c:f>Verizon_Yahoo!$P$42:$P$46</c:f>
              <c:numCache>
                <c:formatCode>0%</c:formatCode>
                <c:ptCount val="5"/>
                <c:pt idx="0">
                  <c:v>0.23193544908432345</c:v>
                </c:pt>
                <c:pt idx="1">
                  <c:v>0.23211770030534257</c:v>
                </c:pt>
                <c:pt idx="2">
                  <c:v>0.24603804938844831</c:v>
                </c:pt>
                <c:pt idx="3">
                  <c:v>0.24531131052619443</c:v>
                </c:pt>
                <c:pt idx="4">
                  <c:v>0.33274140268469188</c:v>
                </c:pt>
              </c:numCache>
            </c:numRef>
          </c:val>
          <c:extLst>
            <c:ext xmlns:c16="http://schemas.microsoft.com/office/drawing/2014/chart" uri="{C3380CC4-5D6E-409C-BE32-E72D297353CC}">
              <c16:uniqueId val="{00000000-39F3-47C0-9E9C-674FA27838DF}"/>
            </c:ext>
          </c:extLst>
        </c:ser>
        <c:ser>
          <c:idx val="1"/>
          <c:order val="1"/>
          <c:tx>
            <c:v>NYT</c:v>
          </c:tx>
          <c:spPr>
            <a:solidFill>
              <a:schemeClr val="accent2"/>
            </a:solidFill>
            <a:ln>
              <a:noFill/>
            </a:ln>
            <a:effectLst/>
          </c:spPr>
          <c:invertIfNegative val="0"/>
          <c:cat>
            <c:numLit>
              <c:formatCode>General</c:formatCode>
              <c:ptCount val="5"/>
              <c:pt idx="0">
                <c:v>2015</c:v>
              </c:pt>
              <c:pt idx="1">
                <c:v>2016</c:v>
              </c:pt>
              <c:pt idx="2">
                <c:v>2017</c:v>
              </c:pt>
              <c:pt idx="3">
                <c:v>2018</c:v>
              </c:pt>
              <c:pt idx="4">
                <c:v>2019</c:v>
              </c:pt>
            </c:numLit>
          </c:cat>
          <c:val>
            <c:numRef>
              <c:f>Verizon_Yahoo!$Q$42:$Q$46</c:f>
              <c:numCache>
                <c:formatCode>0%</c:formatCode>
                <c:ptCount val="5"/>
                <c:pt idx="0">
                  <c:v>0.71408181777814428</c:v>
                </c:pt>
                <c:pt idx="1">
                  <c:v>0.71178596699240793</c:v>
                </c:pt>
                <c:pt idx="2">
                  <c:v>0.69237912537725588</c:v>
                </c:pt>
                <c:pt idx="3">
                  <c:v>0.6345013725806824</c:v>
                </c:pt>
                <c:pt idx="4">
                  <c:v>0.56386167917358843</c:v>
                </c:pt>
              </c:numCache>
            </c:numRef>
          </c:val>
          <c:extLst>
            <c:ext xmlns:c16="http://schemas.microsoft.com/office/drawing/2014/chart" uri="{C3380CC4-5D6E-409C-BE32-E72D297353CC}">
              <c16:uniqueId val="{00000001-39F3-47C0-9E9C-674FA27838DF}"/>
            </c:ext>
          </c:extLst>
        </c:ser>
        <c:ser>
          <c:idx val="2"/>
          <c:order val="2"/>
          <c:tx>
            <c:v>Thomson Reuters</c:v>
          </c:tx>
          <c:spPr>
            <a:solidFill>
              <a:schemeClr val="accent3"/>
            </a:solidFill>
            <a:ln>
              <a:noFill/>
            </a:ln>
            <a:effectLst/>
          </c:spPr>
          <c:invertIfNegative val="0"/>
          <c:cat>
            <c:numLit>
              <c:formatCode>General</c:formatCode>
              <c:ptCount val="5"/>
              <c:pt idx="0">
                <c:v>2015</c:v>
              </c:pt>
              <c:pt idx="1">
                <c:v>2016</c:v>
              </c:pt>
              <c:pt idx="2">
                <c:v>2017</c:v>
              </c:pt>
              <c:pt idx="3">
                <c:v>2018</c:v>
              </c:pt>
              <c:pt idx="4">
                <c:v>2019</c:v>
              </c:pt>
            </c:numLit>
          </c:cat>
          <c:val>
            <c:numRef>
              <c:f>Verizon_Yahoo!$R$42:$R$46</c:f>
              <c:numCache>
                <c:formatCode>0%</c:formatCode>
                <c:ptCount val="5"/>
                <c:pt idx="0">
                  <c:v>5.3982733137532275E-2</c:v>
                </c:pt>
                <c:pt idx="1">
                  <c:v>5.6096332702249591E-2</c:v>
                </c:pt>
                <c:pt idx="2">
                  <c:v>6.1582825234295764E-2</c:v>
                </c:pt>
                <c:pt idx="3">
                  <c:v>0.12018731689312327</c:v>
                </c:pt>
                <c:pt idx="4">
                  <c:v>0.10339691814171964</c:v>
                </c:pt>
              </c:numCache>
            </c:numRef>
          </c:val>
          <c:extLst>
            <c:ext xmlns:c16="http://schemas.microsoft.com/office/drawing/2014/chart" uri="{C3380CC4-5D6E-409C-BE32-E72D297353CC}">
              <c16:uniqueId val="{00000002-39F3-47C0-9E9C-674FA27838DF}"/>
            </c:ext>
          </c:extLst>
        </c:ser>
        <c:dLbls>
          <c:showLegendKey val="0"/>
          <c:showVal val="0"/>
          <c:showCatName val="0"/>
          <c:showSerName val="0"/>
          <c:showPercent val="0"/>
          <c:showBubbleSize val="0"/>
        </c:dLbls>
        <c:gapWidth val="219"/>
        <c:overlap val="-27"/>
        <c:axId val="1024119408"/>
        <c:axId val="1024120656"/>
      </c:barChart>
      <c:catAx>
        <c:axId val="102411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120656"/>
        <c:crosses val="autoZero"/>
        <c:auto val="1"/>
        <c:lblAlgn val="ctr"/>
        <c:lblOffset val="100"/>
        <c:noMultiLvlLbl val="0"/>
      </c:catAx>
      <c:valAx>
        <c:axId val="102412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11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(Google/FitBit)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5"/>
              <c:pt idx="0">
                <c:v>2017</c:v>
              </c:pt>
              <c:pt idx="1">
                <c:v>2018</c:v>
              </c:pt>
              <c:pt idx="2">
                <c:v>2019</c:v>
              </c:pt>
              <c:pt idx="3">
                <c:v>2020</c:v>
              </c:pt>
              <c:pt idx="4">
                <c:v>2021</c:v>
              </c:pt>
            </c:numLit>
          </c:cat>
          <c:val>
            <c:numRef>
              <c:f>Google_FitBit!$M$44:$M$48</c:f>
              <c:numCache>
                <c:formatCode>General</c:formatCode>
                <c:ptCount val="5"/>
                <c:pt idx="0">
                  <c:v>146614</c:v>
                </c:pt>
                <c:pt idx="1">
                  <c:v>168943</c:v>
                </c:pt>
                <c:pt idx="2">
                  <c:v>194192</c:v>
                </c:pt>
                <c:pt idx="3">
                  <c:v>196131</c:v>
                </c:pt>
                <c:pt idx="4">
                  <c:v>186203</c:v>
                </c:pt>
              </c:numCache>
            </c:numRef>
          </c:val>
          <c:extLst>
            <c:ext xmlns:c16="http://schemas.microsoft.com/office/drawing/2014/chart" uri="{C3380CC4-5D6E-409C-BE32-E72D297353CC}">
              <c16:uniqueId val="{00000000-4A2F-4ECB-8030-5FB1549DD8A9}"/>
            </c:ext>
          </c:extLst>
        </c:ser>
        <c:dLbls>
          <c:showLegendKey val="0"/>
          <c:showVal val="0"/>
          <c:showCatName val="0"/>
          <c:showSerName val="0"/>
          <c:showPercent val="0"/>
          <c:showBubbleSize val="0"/>
        </c:dLbls>
        <c:gapWidth val="219"/>
        <c:overlap val="-27"/>
        <c:axId val="1023760656"/>
        <c:axId val="1023761488"/>
      </c:barChart>
      <c:catAx>
        <c:axId val="10237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3761488"/>
        <c:crosses val="autoZero"/>
        <c:auto val="1"/>
        <c:lblAlgn val="ctr"/>
        <c:lblOffset val="100"/>
        <c:noMultiLvlLbl val="0"/>
      </c:catAx>
      <c:valAx>
        <c:axId val="102376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376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baseline="0"/>
              <a:t>Shares of Competitors (Google/FitBit)</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Apple</c:v>
          </c:tx>
          <c:spPr>
            <a:solidFill>
              <a:schemeClr val="accent1"/>
            </a:solidFill>
            <a:ln>
              <a:noFill/>
            </a:ln>
            <a:effectLst/>
          </c:spPr>
          <c:invertIfNegative val="0"/>
          <c:cat>
            <c:numLit>
              <c:formatCode>General</c:formatCode>
              <c:ptCount val="5"/>
              <c:pt idx="0">
                <c:v>2017</c:v>
              </c:pt>
              <c:pt idx="1">
                <c:v>2018</c:v>
              </c:pt>
              <c:pt idx="2">
                <c:v>2019</c:v>
              </c:pt>
              <c:pt idx="3">
                <c:v>2020</c:v>
              </c:pt>
              <c:pt idx="4">
                <c:v>2021</c:v>
              </c:pt>
            </c:numLit>
          </c:cat>
          <c:val>
            <c:numRef>
              <c:f>Google_FitBit!$N$44:$N$48</c:f>
              <c:numCache>
                <c:formatCode>0%</c:formatCode>
                <c:ptCount val="5"/>
                <c:pt idx="0">
                  <c:v>8.7733777129059984E-2</c:v>
                </c:pt>
                <c:pt idx="1">
                  <c:v>0.10288085330555276</c:v>
                </c:pt>
                <c:pt idx="2">
                  <c:v>0.12607110488588613</c:v>
                </c:pt>
                <c:pt idx="3">
                  <c:v>0.15612014418934284</c:v>
                </c:pt>
                <c:pt idx="4">
                  <c:v>0.20604931177263525</c:v>
                </c:pt>
              </c:numCache>
            </c:numRef>
          </c:val>
          <c:extLst>
            <c:ext xmlns:c16="http://schemas.microsoft.com/office/drawing/2014/chart" uri="{C3380CC4-5D6E-409C-BE32-E72D297353CC}">
              <c16:uniqueId val="{00000000-9181-4040-AD3F-BA0B47E654FC}"/>
            </c:ext>
          </c:extLst>
        </c:ser>
        <c:ser>
          <c:idx val="1"/>
          <c:order val="1"/>
          <c:tx>
            <c:v>Xiaomi</c:v>
          </c:tx>
          <c:spPr>
            <a:solidFill>
              <a:schemeClr val="accent2"/>
            </a:solidFill>
            <a:ln>
              <a:noFill/>
            </a:ln>
            <a:effectLst/>
          </c:spPr>
          <c:invertIfNegative val="0"/>
          <c:cat>
            <c:numLit>
              <c:formatCode>General</c:formatCode>
              <c:ptCount val="5"/>
              <c:pt idx="0">
                <c:v>2017</c:v>
              </c:pt>
              <c:pt idx="1">
                <c:v>2018</c:v>
              </c:pt>
              <c:pt idx="2">
                <c:v>2019</c:v>
              </c:pt>
              <c:pt idx="3">
                <c:v>2020</c:v>
              </c:pt>
              <c:pt idx="4">
                <c:v>2021</c:v>
              </c:pt>
            </c:numLit>
          </c:cat>
          <c:val>
            <c:numRef>
              <c:f>Google_FitBit!$O$44:$O$48</c:f>
              <c:numCache>
                <c:formatCode>0%</c:formatCode>
                <c:ptCount val="5"/>
                <c:pt idx="0">
                  <c:v>2.3660769094356611E-2</c:v>
                </c:pt>
                <c:pt idx="1">
                  <c:v>3.9113783938961665E-2</c:v>
                </c:pt>
                <c:pt idx="2">
                  <c:v>4.6268641344648594E-2</c:v>
                </c:pt>
                <c:pt idx="3">
                  <c:v>4.9808546328729268E-2</c:v>
                </c:pt>
                <c:pt idx="4">
                  <c:v>7.0723887370235716E-2</c:v>
                </c:pt>
              </c:numCache>
            </c:numRef>
          </c:val>
          <c:extLst>
            <c:ext xmlns:c16="http://schemas.microsoft.com/office/drawing/2014/chart" uri="{C3380CC4-5D6E-409C-BE32-E72D297353CC}">
              <c16:uniqueId val="{00000001-9181-4040-AD3F-BA0B47E654FC}"/>
            </c:ext>
          </c:extLst>
        </c:ser>
        <c:ser>
          <c:idx val="2"/>
          <c:order val="2"/>
          <c:tx>
            <c:v>Samsung</c:v>
          </c:tx>
          <c:spPr>
            <a:solidFill>
              <a:schemeClr val="accent3"/>
            </a:solidFill>
            <a:ln>
              <a:noFill/>
            </a:ln>
            <a:effectLst/>
          </c:spPr>
          <c:invertIfNegative val="0"/>
          <c:cat>
            <c:numLit>
              <c:formatCode>General</c:formatCode>
              <c:ptCount val="5"/>
              <c:pt idx="0">
                <c:v>2017</c:v>
              </c:pt>
              <c:pt idx="1">
                <c:v>2018</c:v>
              </c:pt>
              <c:pt idx="2">
                <c:v>2019</c:v>
              </c:pt>
              <c:pt idx="3">
                <c:v>2020</c:v>
              </c:pt>
              <c:pt idx="4">
                <c:v>2021</c:v>
              </c:pt>
            </c:numLit>
          </c:cat>
          <c:val>
            <c:numRef>
              <c:f>Google_FitBit!$P$44:$P$48</c:f>
              <c:numCache>
                <c:formatCode>0%</c:formatCode>
                <c:ptCount val="5"/>
                <c:pt idx="0">
                  <c:v>0.64367659295838053</c:v>
                </c:pt>
                <c:pt idx="1">
                  <c:v>0.5414784868269179</c:v>
                </c:pt>
                <c:pt idx="2">
                  <c:v>0.47402055697454065</c:v>
                </c:pt>
                <c:pt idx="3">
                  <c:v>0.43051837802285209</c:v>
                </c:pt>
                <c:pt idx="4">
                  <c:v>0.51239775943459553</c:v>
                </c:pt>
              </c:numCache>
            </c:numRef>
          </c:val>
          <c:extLst>
            <c:ext xmlns:c16="http://schemas.microsoft.com/office/drawing/2014/chart" uri="{C3380CC4-5D6E-409C-BE32-E72D297353CC}">
              <c16:uniqueId val="{00000002-9181-4040-AD3F-BA0B47E654FC}"/>
            </c:ext>
          </c:extLst>
        </c:ser>
        <c:ser>
          <c:idx val="3"/>
          <c:order val="3"/>
          <c:tx>
            <c:v>Garmin</c:v>
          </c:tx>
          <c:spPr>
            <a:solidFill>
              <a:schemeClr val="accent4"/>
            </a:solidFill>
            <a:ln>
              <a:noFill/>
            </a:ln>
            <a:effectLst/>
          </c:spPr>
          <c:invertIfNegative val="0"/>
          <c:cat>
            <c:numLit>
              <c:formatCode>General</c:formatCode>
              <c:ptCount val="5"/>
              <c:pt idx="0">
                <c:v>2017</c:v>
              </c:pt>
              <c:pt idx="1">
                <c:v>2018</c:v>
              </c:pt>
              <c:pt idx="2">
                <c:v>2019</c:v>
              </c:pt>
              <c:pt idx="3">
                <c:v>2020</c:v>
              </c:pt>
              <c:pt idx="4">
                <c:v>2021</c:v>
              </c:pt>
            </c:numLit>
          </c:cat>
          <c:val>
            <c:numRef>
              <c:f>Google_FitBit!$Q$44:$Q$48</c:f>
              <c:numCache>
                <c:formatCode>0%</c:formatCode>
                <c:ptCount val="5"/>
                <c:pt idx="0">
                  <c:v>5.1973208561256088E-3</c:v>
                </c:pt>
                <c:pt idx="1">
                  <c:v>5.0786359896533148E-3</c:v>
                </c:pt>
                <c:pt idx="2">
                  <c:v>5.3915712284749112E-3</c:v>
                </c:pt>
                <c:pt idx="3">
                  <c:v>6.7148997353809444E-3</c:v>
                </c:pt>
                <c:pt idx="4">
                  <c:v>8.2329500598808825E-3</c:v>
                </c:pt>
              </c:numCache>
            </c:numRef>
          </c:val>
          <c:extLst>
            <c:ext xmlns:c16="http://schemas.microsoft.com/office/drawing/2014/chart" uri="{C3380CC4-5D6E-409C-BE32-E72D297353CC}">
              <c16:uniqueId val="{00000003-9181-4040-AD3F-BA0B47E654FC}"/>
            </c:ext>
          </c:extLst>
        </c:ser>
        <c:ser>
          <c:idx val="4"/>
          <c:order val="4"/>
          <c:tx>
            <c:v>Huawei</c:v>
          </c:tx>
          <c:spPr>
            <a:solidFill>
              <a:schemeClr val="accent5"/>
            </a:solidFill>
            <a:ln>
              <a:noFill/>
            </a:ln>
            <a:effectLst/>
          </c:spPr>
          <c:invertIfNegative val="0"/>
          <c:cat>
            <c:numLit>
              <c:formatCode>General</c:formatCode>
              <c:ptCount val="5"/>
              <c:pt idx="0">
                <c:v>2017</c:v>
              </c:pt>
              <c:pt idx="1">
                <c:v>2018</c:v>
              </c:pt>
              <c:pt idx="2">
                <c:v>2019</c:v>
              </c:pt>
              <c:pt idx="3">
                <c:v>2020</c:v>
              </c:pt>
              <c:pt idx="4">
                <c:v>2021</c:v>
              </c:pt>
            </c:numLit>
          </c:cat>
          <c:val>
            <c:numRef>
              <c:f>Google_FitBit!$R$44:$R$48</c:f>
              <c:numCache>
                <c:formatCode>0%</c:formatCode>
                <c:ptCount val="5"/>
                <c:pt idx="0">
                  <c:v>0.2397315399620773</c:v>
                </c:pt>
                <c:pt idx="1">
                  <c:v>0.3114482399389143</c:v>
                </c:pt>
                <c:pt idx="2">
                  <c:v>0.34824812556644968</c:v>
                </c:pt>
                <c:pt idx="3">
                  <c:v>0.35683803172369488</c:v>
                </c:pt>
                <c:pt idx="4">
                  <c:v>0.20259609136265258</c:v>
                </c:pt>
              </c:numCache>
            </c:numRef>
          </c:val>
          <c:extLst>
            <c:ext xmlns:c16="http://schemas.microsoft.com/office/drawing/2014/chart" uri="{C3380CC4-5D6E-409C-BE32-E72D297353CC}">
              <c16:uniqueId val="{00000004-9181-4040-AD3F-BA0B47E654FC}"/>
            </c:ext>
          </c:extLst>
        </c:ser>
        <c:dLbls>
          <c:showLegendKey val="0"/>
          <c:showVal val="0"/>
          <c:showCatName val="0"/>
          <c:showSerName val="0"/>
          <c:showPercent val="0"/>
          <c:showBubbleSize val="0"/>
        </c:dLbls>
        <c:gapWidth val="219"/>
        <c:overlap val="-27"/>
        <c:axId val="156077152"/>
        <c:axId val="156075488"/>
      </c:barChart>
      <c:catAx>
        <c:axId val="1560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6075488"/>
        <c:crosses val="autoZero"/>
        <c:auto val="1"/>
        <c:lblAlgn val="ctr"/>
        <c:lblOffset val="100"/>
        <c:noMultiLvlLbl val="0"/>
      </c:catAx>
      <c:valAx>
        <c:axId val="15607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60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(MS/Zenimax)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Microsoft_ZeniMax!$M$37:$M$44</c:f>
              <c:numCache>
                <c:formatCode>General</c:formatCode>
                <c:ptCount val="8"/>
                <c:pt idx="0">
                  <c:v>17067</c:v>
                </c:pt>
                <c:pt idx="1">
                  <c:v>16226</c:v>
                </c:pt>
                <c:pt idx="2">
                  <c:v>18125</c:v>
                </c:pt>
                <c:pt idx="3">
                  <c:v>19653</c:v>
                </c:pt>
                <c:pt idx="4">
                  <c:v>26050</c:v>
                </c:pt>
                <c:pt idx="5">
                  <c:v>27393</c:v>
                </c:pt>
                <c:pt idx="6">
                  <c:v>30596</c:v>
                </c:pt>
                <c:pt idx="7">
                  <c:v>37365</c:v>
                </c:pt>
              </c:numCache>
            </c:numRef>
          </c:val>
          <c:extLst>
            <c:ext xmlns:c16="http://schemas.microsoft.com/office/drawing/2014/chart" uri="{C3380CC4-5D6E-409C-BE32-E72D297353CC}">
              <c16:uniqueId val="{00000000-DA1B-46B9-922E-29E70B330191}"/>
            </c:ext>
          </c:extLst>
        </c:ser>
        <c:dLbls>
          <c:showLegendKey val="0"/>
          <c:showVal val="0"/>
          <c:showCatName val="0"/>
          <c:showSerName val="0"/>
          <c:showPercent val="0"/>
          <c:showBubbleSize val="0"/>
        </c:dLbls>
        <c:gapWidth val="219"/>
        <c:overlap val="-27"/>
        <c:axId val="1594281536"/>
        <c:axId val="1594274464"/>
      </c:barChart>
      <c:catAx>
        <c:axId val="15942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94274464"/>
        <c:crosses val="autoZero"/>
        <c:auto val="1"/>
        <c:lblAlgn val="ctr"/>
        <c:lblOffset val="100"/>
        <c:noMultiLvlLbl val="0"/>
      </c:catAx>
      <c:valAx>
        <c:axId val="159427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9428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a:t>
            </a:r>
            <a:r>
              <a:rPr lang="tr-TR" b="1" baseline="0"/>
              <a:t> of Competitors (MS/Zenimax)</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EA</c:v>
          </c:tx>
          <c:spPr>
            <a:solidFill>
              <a:schemeClr val="accent1"/>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Microsoft_ZeniMax!$N$37:$N$44</c:f>
              <c:numCache>
                <c:formatCode>0%</c:formatCode>
                <c:ptCount val="8"/>
                <c:pt idx="0">
                  <c:v>0.20946856506708852</c:v>
                </c:pt>
                <c:pt idx="1">
                  <c:v>0.27825711820534943</c:v>
                </c:pt>
                <c:pt idx="2">
                  <c:v>0.24253793103448276</c:v>
                </c:pt>
                <c:pt idx="3">
                  <c:v>0.24652724774843535</c:v>
                </c:pt>
                <c:pt idx="4">
                  <c:v>0.19769673704414586</c:v>
                </c:pt>
                <c:pt idx="5">
                  <c:v>0.18070309933194612</c:v>
                </c:pt>
                <c:pt idx="6">
                  <c:v>0.18097136880637993</c:v>
                </c:pt>
                <c:pt idx="7">
                  <c:v>0.15064900307774656</c:v>
                </c:pt>
              </c:numCache>
            </c:numRef>
          </c:val>
          <c:extLst>
            <c:ext xmlns:c16="http://schemas.microsoft.com/office/drawing/2014/chart" uri="{C3380CC4-5D6E-409C-BE32-E72D297353CC}">
              <c16:uniqueId val="{00000000-8B54-43A0-8F82-CC0703ED30F5}"/>
            </c:ext>
          </c:extLst>
        </c:ser>
        <c:ser>
          <c:idx val="1"/>
          <c:order val="1"/>
          <c:tx>
            <c:v>Nintendo</c:v>
          </c:tx>
          <c:spPr>
            <a:solidFill>
              <a:schemeClr val="accent2"/>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Microsoft_ZeniMax!$O$37:$O$44</c:f>
              <c:numCache>
                <c:formatCode>0%</c:formatCode>
                <c:ptCount val="8"/>
                <c:pt idx="0">
                  <c:v>0.31622429249428724</c:v>
                </c:pt>
                <c:pt idx="1">
                  <c:v>0.27985948477751754</c:v>
                </c:pt>
                <c:pt idx="2">
                  <c:v>0.22973793103448276</c:v>
                </c:pt>
                <c:pt idx="3">
                  <c:v>0.22189996438202819</c:v>
                </c:pt>
                <c:pt idx="4">
                  <c:v>0.36702495201535507</c:v>
                </c:pt>
                <c:pt idx="5">
                  <c:v>0.40207352243273831</c:v>
                </c:pt>
                <c:pt idx="6">
                  <c:v>0.39456138057262385</c:v>
                </c:pt>
                <c:pt idx="7">
                  <c:v>0.45307105580088319</c:v>
                </c:pt>
              </c:numCache>
            </c:numRef>
          </c:val>
          <c:extLst>
            <c:ext xmlns:c16="http://schemas.microsoft.com/office/drawing/2014/chart" uri="{C3380CC4-5D6E-409C-BE32-E72D297353CC}">
              <c16:uniqueId val="{00000001-8B54-43A0-8F82-CC0703ED30F5}"/>
            </c:ext>
          </c:extLst>
        </c:ser>
        <c:ser>
          <c:idx val="2"/>
          <c:order val="2"/>
          <c:tx>
            <c:v>Activision</c:v>
          </c:tx>
          <c:spPr>
            <a:solidFill>
              <a:schemeClr val="accent3"/>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Microsoft_ZeniMax!$P$37:$P$44</c:f>
              <c:numCache>
                <c:formatCode>0%</c:formatCode>
                <c:ptCount val="8"/>
                <c:pt idx="0">
                  <c:v>0.25827620554286052</c:v>
                </c:pt>
                <c:pt idx="1">
                  <c:v>0.27511401454455814</c:v>
                </c:pt>
                <c:pt idx="2">
                  <c:v>0.3645793103448276</c:v>
                </c:pt>
                <c:pt idx="3">
                  <c:v>0.35704472599603115</c:v>
                </c:pt>
                <c:pt idx="4">
                  <c:v>0.28790786948176583</c:v>
                </c:pt>
                <c:pt idx="5">
                  <c:v>0.23688533566969663</c:v>
                </c:pt>
                <c:pt idx="6">
                  <c:v>0.26428291279905869</c:v>
                </c:pt>
                <c:pt idx="7">
                  <c:v>0.23559480797537802</c:v>
                </c:pt>
              </c:numCache>
            </c:numRef>
          </c:val>
          <c:extLst>
            <c:ext xmlns:c16="http://schemas.microsoft.com/office/drawing/2014/chart" uri="{C3380CC4-5D6E-409C-BE32-E72D297353CC}">
              <c16:uniqueId val="{00000002-8B54-43A0-8F82-CC0703ED30F5}"/>
            </c:ext>
          </c:extLst>
        </c:ser>
        <c:ser>
          <c:idx val="3"/>
          <c:order val="3"/>
          <c:tx>
            <c:v>Take-Two</c:v>
          </c:tx>
          <c:spPr>
            <a:solidFill>
              <a:schemeClr val="accent4"/>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Microsoft_ZeniMax!$Q$37:$Q$44</c:f>
              <c:numCache>
                <c:formatCode>0%</c:formatCode>
                <c:ptCount val="8"/>
                <c:pt idx="0">
                  <c:v>0.13769262319095329</c:v>
                </c:pt>
                <c:pt idx="1">
                  <c:v>6.668310119561198E-2</c:v>
                </c:pt>
                <c:pt idx="2">
                  <c:v>7.8013793103448276E-2</c:v>
                </c:pt>
                <c:pt idx="3">
                  <c:v>9.0571414033480888E-2</c:v>
                </c:pt>
                <c:pt idx="4">
                  <c:v>6.8829174664107484E-2</c:v>
                </c:pt>
                <c:pt idx="5">
                  <c:v>9.7397145256087322E-2</c:v>
                </c:pt>
                <c:pt idx="6">
                  <c:v>0.10096090992286573</c:v>
                </c:pt>
                <c:pt idx="7">
                  <c:v>9.0271644587180511E-2</c:v>
                </c:pt>
              </c:numCache>
            </c:numRef>
          </c:val>
          <c:extLst>
            <c:ext xmlns:c16="http://schemas.microsoft.com/office/drawing/2014/chart" uri="{C3380CC4-5D6E-409C-BE32-E72D297353CC}">
              <c16:uniqueId val="{00000003-8B54-43A0-8F82-CC0703ED30F5}"/>
            </c:ext>
          </c:extLst>
        </c:ser>
        <c:ser>
          <c:idx val="4"/>
          <c:order val="4"/>
          <c:tx>
            <c:v>Ubisoft</c:v>
          </c:tx>
          <c:spPr>
            <a:solidFill>
              <a:schemeClr val="accent5"/>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Microsoft_ZeniMax!$R$37:$R$44</c:f>
              <c:numCache>
                <c:formatCode>0%</c:formatCode>
                <c:ptCount val="8"/>
                <c:pt idx="0">
                  <c:v>7.8338313704810453E-2</c:v>
                </c:pt>
                <c:pt idx="1">
                  <c:v>0.1000862812769629</c:v>
                </c:pt>
                <c:pt idx="2">
                  <c:v>8.5131034482758619E-2</c:v>
                </c:pt>
                <c:pt idx="3">
                  <c:v>8.395664784002442E-2</c:v>
                </c:pt>
                <c:pt idx="4">
                  <c:v>7.8541266794625725E-2</c:v>
                </c:pt>
                <c:pt idx="5">
                  <c:v>8.2940897309531636E-2</c:v>
                </c:pt>
                <c:pt idx="6">
                  <c:v>5.9223427899071777E-2</c:v>
                </c:pt>
                <c:pt idx="7">
                  <c:v>7.0413488558811715E-2</c:v>
                </c:pt>
              </c:numCache>
            </c:numRef>
          </c:val>
          <c:extLst>
            <c:ext xmlns:c16="http://schemas.microsoft.com/office/drawing/2014/chart" uri="{C3380CC4-5D6E-409C-BE32-E72D297353CC}">
              <c16:uniqueId val="{00000004-8B54-43A0-8F82-CC0703ED30F5}"/>
            </c:ext>
          </c:extLst>
        </c:ser>
        <c:dLbls>
          <c:showLegendKey val="0"/>
          <c:showVal val="0"/>
          <c:showCatName val="0"/>
          <c:showSerName val="0"/>
          <c:showPercent val="0"/>
          <c:showBubbleSize val="0"/>
        </c:dLbls>
        <c:gapWidth val="219"/>
        <c:overlap val="-27"/>
        <c:axId val="1625796416"/>
        <c:axId val="1625803904"/>
      </c:barChart>
      <c:catAx>
        <c:axId val="162579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803904"/>
        <c:crosses val="autoZero"/>
        <c:auto val="1"/>
        <c:lblAlgn val="ctr"/>
        <c:lblOffset val="100"/>
        <c:noMultiLvlLbl val="0"/>
      </c:catAx>
      <c:valAx>
        <c:axId val="16258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7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a:t>
            </a:r>
            <a:r>
              <a:rPr lang="tr-TR" b="1" baseline="0"/>
              <a:t> of Competitors (SAP/Sybase)</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Microsoft</c:v>
          </c:tx>
          <c:spPr>
            <a:solidFill>
              <a:schemeClr val="accent1"/>
            </a:solidFill>
            <a:ln>
              <a:noFill/>
            </a:ln>
            <a:effectLst/>
          </c:spPr>
          <c:invertIfNegative val="0"/>
          <c:cat>
            <c:numLit>
              <c:formatCode>General</c:formatCode>
              <c:ptCount val="8"/>
              <c:pt idx="0">
                <c:v>2009</c:v>
              </c:pt>
              <c:pt idx="1">
                <c:v>2010</c:v>
              </c:pt>
              <c:pt idx="2">
                <c:v>2011</c:v>
              </c:pt>
              <c:pt idx="3">
                <c:v>2012</c:v>
              </c:pt>
              <c:pt idx="4">
                <c:v>2013</c:v>
              </c:pt>
              <c:pt idx="5">
                <c:v>2014</c:v>
              </c:pt>
              <c:pt idx="6">
                <c:v>2015</c:v>
              </c:pt>
              <c:pt idx="7">
                <c:v>2016</c:v>
              </c:pt>
            </c:numLit>
          </c:cat>
          <c:val>
            <c:numRef>
              <c:f>SAP_Sybase!$M$39:$M$46</c:f>
              <c:numCache>
                <c:formatCode>0%</c:formatCode>
                <c:ptCount val="8"/>
                <c:pt idx="0">
                  <c:v>0.27978549318822576</c:v>
                </c:pt>
                <c:pt idx="1">
                  <c:v>0.27676211043675764</c:v>
                </c:pt>
                <c:pt idx="2">
                  <c:v>0.27656411798109365</c:v>
                </c:pt>
                <c:pt idx="3">
                  <c:v>0.29318526955201213</c:v>
                </c:pt>
                <c:pt idx="4">
                  <c:v>0.30705526116578352</c:v>
                </c:pt>
                <c:pt idx="5">
                  <c:v>0.31054436348049719</c:v>
                </c:pt>
                <c:pt idx="6">
                  <c:v>0.34740635483351157</c:v>
                </c:pt>
                <c:pt idx="7">
                  <c:v>0.36892116854991969</c:v>
                </c:pt>
              </c:numCache>
            </c:numRef>
          </c:val>
          <c:extLst>
            <c:ext xmlns:c16="http://schemas.microsoft.com/office/drawing/2014/chart" uri="{C3380CC4-5D6E-409C-BE32-E72D297353CC}">
              <c16:uniqueId val="{00000000-82B6-44F4-BAFA-AE6AAE45018D}"/>
            </c:ext>
          </c:extLst>
        </c:ser>
        <c:ser>
          <c:idx val="1"/>
          <c:order val="1"/>
          <c:tx>
            <c:v>Oracle</c:v>
          </c:tx>
          <c:spPr>
            <a:solidFill>
              <a:schemeClr val="accent2"/>
            </a:solidFill>
            <a:ln>
              <a:noFill/>
            </a:ln>
            <a:effectLst/>
          </c:spPr>
          <c:invertIfNegative val="0"/>
          <c:cat>
            <c:numLit>
              <c:formatCode>General</c:formatCode>
              <c:ptCount val="8"/>
              <c:pt idx="0">
                <c:v>2009</c:v>
              </c:pt>
              <c:pt idx="1">
                <c:v>2010</c:v>
              </c:pt>
              <c:pt idx="2">
                <c:v>2011</c:v>
              </c:pt>
              <c:pt idx="3">
                <c:v>2012</c:v>
              </c:pt>
              <c:pt idx="4">
                <c:v>2013</c:v>
              </c:pt>
              <c:pt idx="5">
                <c:v>2014</c:v>
              </c:pt>
              <c:pt idx="6">
                <c:v>2015</c:v>
              </c:pt>
              <c:pt idx="7">
                <c:v>2016</c:v>
              </c:pt>
            </c:numLit>
          </c:cat>
          <c:val>
            <c:numRef>
              <c:f>SAP_Sybase!$N$39:$N$46</c:f>
              <c:numCache>
                <c:formatCode>0%</c:formatCode>
                <c:ptCount val="8"/>
                <c:pt idx="0">
                  <c:v>0.37217326156818675</c:v>
                </c:pt>
                <c:pt idx="1">
                  <c:v>0.38397810626652268</c:v>
                </c:pt>
                <c:pt idx="2">
                  <c:v>0.40135952166215721</c:v>
                </c:pt>
                <c:pt idx="3">
                  <c:v>0.41312325993419385</c:v>
                </c:pt>
                <c:pt idx="4">
                  <c:v>0.41442846328538985</c:v>
                </c:pt>
                <c:pt idx="5">
                  <c:v>0.41067295327903985</c:v>
                </c:pt>
                <c:pt idx="6">
                  <c:v>0.40112506042805035</c:v>
                </c:pt>
                <c:pt idx="7">
                  <c:v>0.38505281456709733</c:v>
                </c:pt>
              </c:numCache>
            </c:numRef>
          </c:val>
          <c:extLst>
            <c:ext xmlns:c16="http://schemas.microsoft.com/office/drawing/2014/chart" uri="{C3380CC4-5D6E-409C-BE32-E72D297353CC}">
              <c16:uniqueId val="{00000001-82B6-44F4-BAFA-AE6AAE45018D}"/>
            </c:ext>
          </c:extLst>
        </c:ser>
        <c:ser>
          <c:idx val="2"/>
          <c:order val="2"/>
          <c:tx>
            <c:v>IBM</c:v>
          </c:tx>
          <c:spPr>
            <a:solidFill>
              <a:schemeClr val="accent3"/>
            </a:solidFill>
            <a:ln>
              <a:noFill/>
            </a:ln>
            <a:effectLst/>
          </c:spPr>
          <c:invertIfNegative val="0"/>
          <c:cat>
            <c:numLit>
              <c:formatCode>General</c:formatCode>
              <c:ptCount val="8"/>
              <c:pt idx="0">
                <c:v>2009</c:v>
              </c:pt>
              <c:pt idx="1">
                <c:v>2010</c:v>
              </c:pt>
              <c:pt idx="2">
                <c:v>2011</c:v>
              </c:pt>
              <c:pt idx="3">
                <c:v>2012</c:v>
              </c:pt>
              <c:pt idx="4">
                <c:v>2013</c:v>
              </c:pt>
              <c:pt idx="5">
                <c:v>2014</c:v>
              </c:pt>
              <c:pt idx="6">
                <c:v>2015</c:v>
              </c:pt>
              <c:pt idx="7">
                <c:v>2016</c:v>
              </c:pt>
            </c:numLit>
          </c:cat>
          <c:val>
            <c:numRef>
              <c:f>SAP_Sybase!$O$39:$O$46</c:f>
              <c:numCache>
                <c:formatCode>0%</c:formatCode>
                <c:ptCount val="8"/>
                <c:pt idx="0">
                  <c:v>0.34804124524358748</c:v>
                </c:pt>
                <c:pt idx="1">
                  <c:v>0.33925978329671969</c:v>
                </c:pt>
                <c:pt idx="2">
                  <c:v>0.32207636035674919</c:v>
                </c:pt>
                <c:pt idx="3">
                  <c:v>0.29369147051379396</c:v>
                </c:pt>
                <c:pt idx="4">
                  <c:v>0.27851627554882663</c:v>
                </c:pt>
                <c:pt idx="5">
                  <c:v>0.2787826832404629</c:v>
                </c:pt>
                <c:pt idx="6">
                  <c:v>0.25146858473843808</c:v>
                </c:pt>
                <c:pt idx="7">
                  <c:v>0.24602601688298295</c:v>
                </c:pt>
              </c:numCache>
            </c:numRef>
          </c:val>
          <c:extLst>
            <c:ext xmlns:c16="http://schemas.microsoft.com/office/drawing/2014/chart" uri="{C3380CC4-5D6E-409C-BE32-E72D297353CC}">
              <c16:uniqueId val="{00000002-82B6-44F4-BAFA-AE6AAE45018D}"/>
            </c:ext>
          </c:extLst>
        </c:ser>
        <c:dLbls>
          <c:showLegendKey val="0"/>
          <c:showVal val="0"/>
          <c:showCatName val="0"/>
          <c:showSerName val="0"/>
          <c:showPercent val="0"/>
          <c:showBubbleSize val="0"/>
        </c:dLbls>
        <c:gapWidth val="219"/>
        <c:overlap val="-27"/>
        <c:axId val="570009663"/>
        <c:axId val="570010079"/>
      </c:barChart>
      <c:catAx>
        <c:axId val="57000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0010079"/>
        <c:crosses val="autoZero"/>
        <c:auto val="1"/>
        <c:lblAlgn val="ctr"/>
        <c:lblOffset val="100"/>
        <c:noMultiLvlLbl val="0"/>
      </c:catAx>
      <c:valAx>
        <c:axId val="570010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000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(MS/Skype)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5"/>
              <c:pt idx="0">
                <c:v>2010</c:v>
              </c:pt>
              <c:pt idx="1">
                <c:v>2011</c:v>
              </c:pt>
              <c:pt idx="2">
                <c:v>2012</c:v>
              </c:pt>
              <c:pt idx="3">
                <c:v>2013</c:v>
              </c:pt>
              <c:pt idx="4">
                <c:v>2014</c:v>
              </c:pt>
            </c:numLit>
          </c:cat>
          <c:val>
            <c:numRef>
              <c:f>MS_Skype!$M$30:$M$34</c:f>
              <c:numCache>
                <c:formatCode>General</c:formatCode>
                <c:ptCount val="5"/>
                <c:pt idx="0">
                  <c:v>38061</c:v>
                </c:pt>
                <c:pt idx="1">
                  <c:v>45091</c:v>
                </c:pt>
                <c:pt idx="2">
                  <c:v>53216</c:v>
                </c:pt>
                <c:pt idx="3">
                  <c:v>62506</c:v>
                </c:pt>
                <c:pt idx="4">
                  <c:v>72819</c:v>
                </c:pt>
              </c:numCache>
            </c:numRef>
          </c:val>
          <c:extLst>
            <c:ext xmlns:c16="http://schemas.microsoft.com/office/drawing/2014/chart" uri="{C3380CC4-5D6E-409C-BE32-E72D297353CC}">
              <c16:uniqueId val="{00000000-7A74-4D1F-B1DC-A4C72D83147C}"/>
            </c:ext>
          </c:extLst>
        </c:ser>
        <c:dLbls>
          <c:showLegendKey val="0"/>
          <c:showVal val="0"/>
          <c:showCatName val="0"/>
          <c:showSerName val="0"/>
          <c:showPercent val="0"/>
          <c:showBubbleSize val="0"/>
        </c:dLbls>
        <c:gapWidth val="219"/>
        <c:overlap val="-27"/>
        <c:axId val="562221903"/>
        <c:axId val="562223567"/>
      </c:barChart>
      <c:catAx>
        <c:axId val="56222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2223567"/>
        <c:crosses val="autoZero"/>
        <c:auto val="1"/>
        <c:lblAlgn val="ctr"/>
        <c:lblOffset val="100"/>
        <c:noMultiLvlLbl val="0"/>
      </c:catAx>
      <c:valAx>
        <c:axId val="562223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2221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 of Competitors (MS/Skype)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Google</c:v>
          </c:tx>
          <c:spPr>
            <a:solidFill>
              <a:schemeClr val="accent1"/>
            </a:solidFill>
            <a:ln>
              <a:noFill/>
            </a:ln>
            <a:effectLst/>
          </c:spPr>
          <c:invertIfNegative val="0"/>
          <c:cat>
            <c:numLit>
              <c:formatCode>General</c:formatCode>
              <c:ptCount val="5"/>
              <c:pt idx="0">
                <c:v>2010</c:v>
              </c:pt>
              <c:pt idx="1">
                <c:v>2011</c:v>
              </c:pt>
              <c:pt idx="2">
                <c:v>2012</c:v>
              </c:pt>
              <c:pt idx="3">
                <c:v>2013</c:v>
              </c:pt>
              <c:pt idx="4">
                <c:v>2014</c:v>
              </c:pt>
            </c:numLit>
          </c:cat>
          <c:val>
            <c:numRef>
              <c:f>MS_Skype!$N$30:$N$34</c:f>
              <c:numCache>
                <c:formatCode>0%</c:formatCode>
                <c:ptCount val="5"/>
                <c:pt idx="0">
                  <c:v>0.77036861879614305</c:v>
                </c:pt>
                <c:pt idx="1">
                  <c:v>0.84063338581978664</c:v>
                </c:pt>
                <c:pt idx="2">
                  <c:v>0.86513454600120265</c:v>
                </c:pt>
                <c:pt idx="3">
                  <c:v>0.88802674943205451</c:v>
                </c:pt>
                <c:pt idx="4">
                  <c:v>0.90188000384515032</c:v>
                </c:pt>
              </c:numCache>
            </c:numRef>
          </c:val>
          <c:extLst>
            <c:ext xmlns:c16="http://schemas.microsoft.com/office/drawing/2014/chart" uri="{C3380CC4-5D6E-409C-BE32-E72D297353CC}">
              <c16:uniqueId val="{00000000-9AF7-4276-85A1-50888CE6951E}"/>
            </c:ext>
          </c:extLst>
        </c:ser>
        <c:ser>
          <c:idx val="1"/>
          <c:order val="1"/>
          <c:tx>
            <c:v>Yahoo</c:v>
          </c:tx>
          <c:spPr>
            <a:solidFill>
              <a:schemeClr val="accent2"/>
            </a:solidFill>
            <a:ln>
              <a:noFill/>
            </a:ln>
            <a:effectLst/>
          </c:spPr>
          <c:invertIfNegative val="0"/>
          <c:cat>
            <c:numLit>
              <c:formatCode>General</c:formatCode>
              <c:ptCount val="5"/>
              <c:pt idx="0">
                <c:v>2010</c:v>
              </c:pt>
              <c:pt idx="1">
                <c:v>2011</c:v>
              </c:pt>
              <c:pt idx="2">
                <c:v>2012</c:v>
              </c:pt>
              <c:pt idx="3">
                <c:v>2013</c:v>
              </c:pt>
              <c:pt idx="4">
                <c:v>2014</c:v>
              </c:pt>
            </c:numLit>
          </c:cat>
          <c:val>
            <c:numRef>
              <c:f>MS_Skype!$O$30:$O$34</c:f>
              <c:numCache>
                <c:formatCode>0%</c:formatCode>
                <c:ptCount val="5"/>
                <c:pt idx="0">
                  <c:v>0.16615433120517065</c:v>
                </c:pt>
                <c:pt idx="1">
                  <c:v>0.11053203521767094</c:v>
                </c:pt>
                <c:pt idx="2">
                  <c:v>9.3693625977149725E-2</c:v>
                </c:pt>
                <c:pt idx="3">
                  <c:v>7.4872812210027839E-2</c:v>
                </c:pt>
                <c:pt idx="4">
                  <c:v>6.3417514659635535E-2</c:v>
                </c:pt>
              </c:numCache>
            </c:numRef>
          </c:val>
          <c:extLst>
            <c:ext xmlns:c16="http://schemas.microsoft.com/office/drawing/2014/chart" uri="{C3380CC4-5D6E-409C-BE32-E72D297353CC}">
              <c16:uniqueId val="{00000001-9AF7-4276-85A1-50888CE6951E}"/>
            </c:ext>
          </c:extLst>
        </c:ser>
        <c:ser>
          <c:idx val="2"/>
          <c:order val="2"/>
          <c:tx>
            <c:v>AOL</c:v>
          </c:tx>
          <c:spPr>
            <a:solidFill>
              <a:schemeClr val="accent3"/>
            </a:solidFill>
            <a:ln>
              <a:noFill/>
            </a:ln>
            <a:effectLst/>
          </c:spPr>
          <c:invertIfNegative val="0"/>
          <c:cat>
            <c:numLit>
              <c:formatCode>General</c:formatCode>
              <c:ptCount val="5"/>
              <c:pt idx="0">
                <c:v>2010</c:v>
              </c:pt>
              <c:pt idx="1">
                <c:v>2011</c:v>
              </c:pt>
              <c:pt idx="2">
                <c:v>2012</c:v>
              </c:pt>
              <c:pt idx="3">
                <c:v>2013</c:v>
              </c:pt>
              <c:pt idx="4">
                <c:v>2014</c:v>
              </c:pt>
            </c:numLit>
          </c:cat>
          <c:val>
            <c:numRef>
              <c:f>MS_Skype!$P$30:$P$34</c:f>
              <c:numCache>
                <c:formatCode>0%</c:formatCode>
                <c:ptCount val="5"/>
                <c:pt idx="0">
                  <c:v>6.3477049998686322E-2</c:v>
                </c:pt>
                <c:pt idx="1">
                  <c:v>4.8834578962542417E-2</c:v>
                </c:pt>
                <c:pt idx="2">
                  <c:v>4.1171828021647622E-2</c:v>
                </c:pt>
                <c:pt idx="3">
                  <c:v>3.7100438357917639E-2</c:v>
                </c:pt>
                <c:pt idx="4">
                  <c:v>3.4702481495214162E-2</c:v>
                </c:pt>
              </c:numCache>
            </c:numRef>
          </c:val>
          <c:extLst>
            <c:ext xmlns:c16="http://schemas.microsoft.com/office/drawing/2014/chart" uri="{C3380CC4-5D6E-409C-BE32-E72D297353CC}">
              <c16:uniqueId val="{00000002-9AF7-4276-85A1-50888CE6951E}"/>
            </c:ext>
          </c:extLst>
        </c:ser>
        <c:dLbls>
          <c:showLegendKey val="0"/>
          <c:showVal val="0"/>
          <c:showCatName val="0"/>
          <c:showSerName val="0"/>
          <c:showPercent val="0"/>
          <c:showBubbleSize val="0"/>
        </c:dLbls>
        <c:gapWidth val="219"/>
        <c:overlap val="-27"/>
        <c:axId val="772966095"/>
        <c:axId val="772980239"/>
      </c:barChart>
      <c:catAx>
        <c:axId val="77296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2980239"/>
        <c:crosses val="autoZero"/>
        <c:auto val="1"/>
        <c:lblAlgn val="ctr"/>
        <c:lblOffset val="100"/>
        <c:noMultiLvlLbl val="0"/>
      </c:catAx>
      <c:valAx>
        <c:axId val="772980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296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(Apple/Beats)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9"/>
              <c:pt idx="0">
                <c:v>2013</c:v>
              </c:pt>
              <c:pt idx="1">
                <c:v>2014</c:v>
              </c:pt>
              <c:pt idx="2">
                <c:v>2015</c:v>
              </c:pt>
              <c:pt idx="3">
                <c:v>2016</c:v>
              </c:pt>
              <c:pt idx="4">
                <c:v>2017</c:v>
              </c:pt>
              <c:pt idx="5">
                <c:v>2018</c:v>
              </c:pt>
              <c:pt idx="6">
                <c:v>2019</c:v>
              </c:pt>
              <c:pt idx="7">
                <c:v>2020</c:v>
              </c:pt>
              <c:pt idx="8">
                <c:v>2021</c:v>
              </c:pt>
            </c:numLit>
          </c:cat>
          <c:val>
            <c:numRef>
              <c:f>Apple_Beats!$J$32:$J$40</c:f>
              <c:numCache>
                <c:formatCode>General</c:formatCode>
                <c:ptCount val="9"/>
                <c:pt idx="0">
                  <c:v>5766</c:v>
                </c:pt>
                <c:pt idx="1">
                  <c:v>4713</c:v>
                </c:pt>
                <c:pt idx="2">
                  <c:v>4483</c:v>
                </c:pt>
                <c:pt idx="3">
                  <c:v>5931</c:v>
                </c:pt>
                <c:pt idx="4">
                  <c:v>5503</c:v>
                </c:pt>
                <c:pt idx="5">
                  <c:v>6056</c:v>
                </c:pt>
                <c:pt idx="6">
                  <c:v>6055</c:v>
                </c:pt>
                <c:pt idx="7">
                  <c:v>5732</c:v>
                </c:pt>
                <c:pt idx="8">
                  <c:v>5049</c:v>
                </c:pt>
              </c:numCache>
            </c:numRef>
          </c:val>
          <c:extLst>
            <c:ext xmlns:c16="http://schemas.microsoft.com/office/drawing/2014/chart" uri="{C3380CC4-5D6E-409C-BE32-E72D297353CC}">
              <c16:uniqueId val="{00000000-27A7-4A77-823C-1D052117F772}"/>
            </c:ext>
          </c:extLst>
        </c:ser>
        <c:dLbls>
          <c:showLegendKey val="0"/>
          <c:showVal val="0"/>
          <c:showCatName val="0"/>
          <c:showSerName val="0"/>
          <c:showPercent val="0"/>
          <c:showBubbleSize val="0"/>
        </c:dLbls>
        <c:gapWidth val="219"/>
        <c:overlap val="-27"/>
        <c:axId val="512450751"/>
        <c:axId val="512463647"/>
      </c:barChart>
      <c:catAx>
        <c:axId val="51245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12463647"/>
        <c:crosses val="autoZero"/>
        <c:auto val="1"/>
        <c:lblAlgn val="ctr"/>
        <c:lblOffset val="100"/>
        <c:noMultiLvlLbl val="0"/>
      </c:catAx>
      <c:valAx>
        <c:axId val="512463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12450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a:t>
            </a:r>
            <a:r>
              <a:rPr lang="tr-TR" b="1" baseline="0"/>
              <a:t> of Competitors (Apple/Beats)</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Sony</c:v>
          </c:tx>
          <c:spPr>
            <a:solidFill>
              <a:schemeClr val="accent1"/>
            </a:solidFill>
            <a:ln>
              <a:noFill/>
            </a:ln>
            <a:effectLst/>
          </c:spPr>
          <c:invertIfNegative val="0"/>
          <c:cat>
            <c:numLit>
              <c:formatCode>General</c:formatCode>
              <c:ptCount val="9"/>
              <c:pt idx="0">
                <c:v>2013</c:v>
              </c:pt>
              <c:pt idx="1">
                <c:v>2014</c:v>
              </c:pt>
              <c:pt idx="2">
                <c:v>2015</c:v>
              </c:pt>
              <c:pt idx="3">
                <c:v>2016</c:v>
              </c:pt>
              <c:pt idx="4">
                <c:v>2017</c:v>
              </c:pt>
              <c:pt idx="5">
                <c:v>2018</c:v>
              </c:pt>
              <c:pt idx="6">
                <c:v>2019</c:v>
              </c:pt>
              <c:pt idx="7">
                <c:v>2020</c:v>
              </c:pt>
              <c:pt idx="8">
                <c:v>2021</c:v>
              </c:pt>
            </c:numLit>
          </c:cat>
          <c:val>
            <c:numRef>
              <c:f>Apple_Beats!$K$32:$K$40</c:f>
              <c:numCache>
                <c:formatCode>0%</c:formatCode>
                <c:ptCount val="9"/>
                <c:pt idx="0">
                  <c:v>0.48213666319805759</c:v>
                </c:pt>
                <c:pt idx="1">
                  <c:v>0.5003182686187142</c:v>
                </c:pt>
                <c:pt idx="2">
                  <c:v>0.46196743252286415</c:v>
                </c:pt>
                <c:pt idx="3">
                  <c:v>0.55016017534985673</c:v>
                </c:pt>
                <c:pt idx="4">
                  <c:v>0.50517899327639471</c:v>
                </c:pt>
                <c:pt idx="5">
                  <c:v>0.53401585204755619</c:v>
                </c:pt>
                <c:pt idx="6">
                  <c:v>0.54929810074318741</c:v>
                </c:pt>
                <c:pt idx="7">
                  <c:v>0.56542219120725745</c:v>
                </c:pt>
                <c:pt idx="8">
                  <c:v>0.56605268369974249</c:v>
                </c:pt>
              </c:numCache>
            </c:numRef>
          </c:val>
          <c:extLst>
            <c:ext xmlns:c16="http://schemas.microsoft.com/office/drawing/2014/chart" uri="{C3380CC4-5D6E-409C-BE32-E72D297353CC}">
              <c16:uniqueId val="{00000000-53CD-48C1-964A-1BA09938F5CA}"/>
            </c:ext>
          </c:extLst>
        </c:ser>
        <c:ser>
          <c:idx val="1"/>
          <c:order val="1"/>
          <c:tx>
            <c:v>JVC</c:v>
          </c:tx>
          <c:spPr>
            <a:solidFill>
              <a:schemeClr val="accent2"/>
            </a:solidFill>
            <a:ln>
              <a:noFill/>
            </a:ln>
            <a:effectLst/>
          </c:spPr>
          <c:invertIfNegative val="0"/>
          <c:cat>
            <c:numLit>
              <c:formatCode>General</c:formatCode>
              <c:ptCount val="9"/>
              <c:pt idx="0">
                <c:v>2013</c:v>
              </c:pt>
              <c:pt idx="1">
                <c:v>2014</c:v>
              </c:pt>
              <c:pt idx="2">
                <c:v>2015</c:v>
              </c:pt>
              <c:pt idx="3">
                <c:v>2016</c:v>
              </c:pt>
              <c:pt idx="4">
                <c:v>2017</c:v>
              </c:pt>
              <c:pt idx="5">
                <c:v>2018</c:v>
              </c:pt>
              <c:pt idx="6">
                <c:v>2019</c:v>
              </c:pt>
              <c:pt idx="7">
                <c:v>2020</c:v>
              </c:pt>
              <c:pt idx="8">
                <c:v>2021</c:v>
              </c:pt>
            </c:numLit>
          </c:cat>
          <c:val>
            <c:numRef>
              <c:f>Apple_Beats!$L$32:$L$40</c:f>
              <c:numCache>
                <c:formatCode>0%</c:formatCode>
                <c:ptCount val="9"/>
                <c:pt idx="0">
                  <c:v>0.51786333680194241</c:v>
                </c:pt>
                <c:pt idx="1">
                  <c:v>0.4996817313812858</c:v>
                </c:pt>
                <c:pt idx="2">
                  <c:v>0.53803256747713579</c:v>
                </c:pt>
                <c:pt idx="3">
                  <c:v>0.44983982465014333</c:v>
                </c:pt>
                <c:pt idx="4">
                  <c:v>0.49482100672360529</c:v>
                </c:pt>
                <c:pt idx="5">
                  <c:v>0.46598414795244386</c:v>
                </c:pt>
                <c:pt idx="6">
                  <c:v>0.45070189925681253</c:v>
                </c:pt>
                <c:pt idx="7">
                  <c:v>0.43457780879274249</c:v>
                </c:pt>
                <c:pt idx="8">
                  <c:v>0.43394731630025746</c:v>
                </c:pt>
              </c:numCache>
            </c:numRef>
          </c:val>
          <c:extLst>
            <c:ext xmlns:c16="http://schemas.microsoft.com/office/drawing/2014/chart" uri="{C3380CC4-5D6E-409C-BE32-E72D297353CC}">
              <c16:uniqueId val="{00000001-53CD-48C1-964A-1BA09938F5CA}"/>
            </c:ext>
          </c:extLst>
        </c:ser>
        <c:dLbls>
          <c:showLegendKey val="0"/>
          <c:showVal val="0"/>
          <c:showCatName val="0"/>
          <c:showSerName val="0"/>
          <c:showPercent val="0"/>
          <c:showBubbleSize val="0"/>
        </c:dLbls>
        <c:gapWidth val="219"/>
        <c:overlap val="-27"/>
        <c:axId val="2117360431"/>
        <c:axId val="2117360847"/>
      </c:barChart>
      <c:catAx>
        <c:axId val="211736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17360847"/>
        <c:crosses val="autoZero"/>
        <c:auto val="1"/>
        <c:lblAlgn val="ctr"/>
        <c:lblOffset val="100"/>
        <c:noMultiLvlLbl val="0"/>
      </c:catAx>
      <c:valAx>
        <c:axId val="2117360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17360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a:t>
            </a:r>
            <a:r>
              <a:rPr lang="tr-TR" b="1" baseline="0"/>
              <a:t> Sales (Oracle/Micros)</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7"/>
              <c:pt idx="0">
                <c:v>2013</c:v>
              </c:pt>
              <c:pt idx="1">
                <c:v>2014</c:v>
              </c:pt>
              <c:pt idx="2">
                <c:v>2015</c:v>
              </c:pt>
              <c:pt idx="3">
                <c:v>2016</c:v>
              </c:pt>
              <c:pt idx="4">
                <c:v>2017</c:v>
              </c:pt>
              <c:pt idx="5">
                <c:v>2018</c:v>
              </c:pt>
              <c:pt idx="6">
                <c:v>2019</c:v>
              </c:pt>
            </c:numLit>
          </c:cat>
          <c:val>
            <c:numRef>
              <c:f>Oracle_Micros!$O$48:$O$54</c:f>
              <c:numCache>
                <c:formatCode>General</c:formatCode>
                <c:ptCount val="7"/>
                <c:pt idx="0">
                  <c:v>23638</c:v>
                </c:pt>
                <c:pt idx="1">
                  <c:v>24913</c:v>
                </c:pt>
                <c:pt idx="2">
                  <c:v>25958</c:v>
                </c:pt>
                <c:pt idx="3">
                  <c:v>26559</c:v>
                </c:pt>
                <c:pt idx="4">
                  <c:v>27473</c:v>
                </c:pt>
                <c:pt idx="5">
                  <c:v>27578</c:v>
                </c:pt>
                <c:pt idx="6">
                  <c:v>27957</c:v>
                </c:pt>
              </c:numCache>
            </c:numRef>
          </c:val>
          <c:extLst>
            <c:ext xmlns:c16="http://schemas.microsoft.com/office/drawing/2014/chart" uri="{C3380CC4-5D6E-409C-BE32-E72D297353CC}">
              <c16:uniqueId val="{00000000-368E-464B-BF87-561109AF4285}"/>
            </c:ext>
          </c:extLst>
        </c:ser>
        <c:dLbls>
          <c:showLegendKey val="0"/>
          <c:showVal val="0"/>
          <c:showCatName val="0"/>
          <c:showSerName val="0"/>
          <c:showPercent val="0"/>
          <c:showBubbleSize val="0"/>
        </c:dLbls>
        <c:gapWidth val="219"/>
        <c:overlap val="-27"/>
        <c:axId val="772837551"/>
        <c:axId val="772835055"/>
      </c:barChart>
      <c:catAx>
        <c:axId val="77283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2835055"/>
        <c:crosses val="autoZero"/>
        <c:auto val="1"/>
        <c:lblAlgn val="ctr"/>
        <c:lblOffset val="100"/>
        <c:noMultiLvlLbl val="0"/>
      </c:catAx>
      <c:valAx>
        <c:axId val="772835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2837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Shares of Competitors (Oracle/Micros)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IBM</c:v>
          </c:tx>
          <c:spPr>
            <a:solidFill>
              <a:schemeClr val="accent1"/>
            </a:solidFill>
            <a:ln>
              <a:noFill/>
            </a:ln>
            <a:effectLst/>
          </c:spPr>
          <c:invertIfNegative val="0"/>
          <c:cat>
            <c:numLit>
              <c:formatCode>General</c:formatCode>
              <c:ptCount val="7"/>
              <c:pt idx="0">
                <c:v>2013</c:v>
              </c:pt>
              <c:pt idx="1">
                <c:v>2014</c:v>
              </c:pt>
              <c:pt idx="2">
                <c:v>2015</c:v>
              </c:pt>
              <c:pt idx="3">
                <c:v>2016</c:v>
              </c:pt>
              <c:pt idx="4">
                <c:v>2017</c:v>
              </c:pt>
              <c:pt idx="5">
                <c:v>2018</c:v>
              </c:pt>
              <c:pt idx="6">
                <c:v>2019</c:v>
              </c:pt>
            </c:numLit>
          </c:cat>
          <c:val>
            <c:numRef>
              <c:f>Oracle_Micros!$P$48:$P$54</c:f>
              <c:numCache>
                <c:formatCode>0%</c:formatCode>
                <c:ptCount val="7"/>
                <c:pt idx="0">
                  <c:v>0.77823842964717826</c:v>
                </c:pt>
                <c:pt idx="1">
                  <c:v>0.78320555533255731</c:v>
                </c:pt>
                <c:pt idx="2">
                  <c:v>0.66129902149626318</c:v>
                </c:pt>
                <c:pt idx="3">
                  <c:v>0.6287887345156068</c:v>
                </c:pt>
                <c:pt idx="4">
                  <c:v>0.59505696502020167</c:v>
                </c:pt>
                <c:pt idx="5">
                  <c:v>0.60174776996156354</c:v>
                </c:pt>
                <c:pt idx="6">
                  <c:v>0.59498515577494004</c:v>
                </c:pt>
              </c:numCache>
            </c:numRef>
          </c:val>
          <c:extLst>
            <c:ext xmlns:c16="http://schemas.microsoft.com/office/drawing/2014/chart" uri="{C3380CC4-5D6E-409C-BE32-E72D297353CC}">
              <c16:uniqueId val="{00000000-837F-4C27-9ECC-90DF0AE96AF7}"/>
            </c:ext>
          </c:extLst>
        </c:ser>
        <c:ser>
          <c:idx val="1"/>
          <c:order val="1"/>
          <c:tx>
            <c:v>NCR</c:v>
          </c:tx>
          <c:spPr>
            <a:solidFill>
              <a:schemeClr val="accent2"/>
            </a:solidFill>
            <a:ln>
              <a:noFill/>
            </a:ln>
            <a:effectLst/>
          </c:spPr>
          <c:invertIfNegative val="0"/>
          <c:cat>
            <c:numLit>
              <c:formatCode>General</c:formatCode>
              <c:ptCount val="7"/>
              <c:pt idx="0">
                <c:v>2013</c:v>
              </c:pt>
              <c:pt idx="1">
                <c:v>2014</c:v>
              </c:pt>
              <c:pt idx="2">
                <c:v>2015</c:v>
              </c:pt>
              <c:pt idx="3">
                <c:v>2016</c:v>
              </c:pt>
              <c:pt idx="4">
                <c:v>2017</c:v>
              </c:pt>
              <c:pt idx="5">
                <c:v>2018</c:v>
              </c:pt>
              <c:pt idx="6">
                <c:v>2019</c:v>
              </c:pt>
            </c:numLit>
          </c:cat>
          <c:val>
            <c:numRef>
              <c:f>Oracle_Micros!$Q$48:$Q$54</c:f>
              <c:numCache>
                <c:formatCode>0%</c:formatCode>
                <c:ptCount val="7"/>
                <c:pt idx="0">
                  <c:v>0.11253067095354936</c:v>
                </c:pt>
                <c:pt idx="1">
                  <c:v>0.10705254284911492</c:v>
                </c:pt>
                <c:pt idx="2">
                  <c:v>0.24551198089221049</c:v>
                </c:pt>
                <c:pt idx="3">
                  <c:v>0.24635716706201288</c:v>
                </c:pt>
                <c:pt idx="4">
                  <c:v>0.23717832053288684</c:v>
                </c:pt>
                <c:pt idx="5">
                  <c:v>0.23225034447748205</c:v>
                </c:pt>
                <c:pt idx="6">
                  <c:v>0.24734413563687091</c:v>
                </c:pt>
              </c:numCache>
            </c:numRef>
          </c:val>
          <c:extLst>
            <c:ext xmlns:c16="http://schemas.microsoft.com/office/drawing/2014/chart" uri="{C3380CC4-5D6E-409C-BE32-E72D297353CC}">
              <c16:uniqueId val="{00000001-837F-4C27-9ECC-90DF0AE96AF7}"/>
            </c:ext>
          </c:extLst>
        </c:ser>
        <c:ser>
          <c:idx val="2"/>
          <c:order val="2"/>
          <c:tx>
            <c:v>Diebold Nixdorf</c:v>
          </c:tx>
          <c:spPr>
            <a:solidFill>
              <a:schemeClr val="accent3"/>
            </a:solidFill>
            <a:ln>
              <a:noFill/>
            </a:ln>
            <a:effectLst/>
          </c:spPr>
          <c:invertIfNegative val="0"/>
          <c:cat>
            <c:numLit>
              <c:formatCode>General</c:formatCode>
              <c:ptCount val="7"/>
              <c:pt idx="0">
                <c:v>2013</c:v>
              </c:pt>
              <c:pt idx="1">
                <c:v>2014</c:v>
              </c:pt>
              <c:pt idx="2">
                <c:v>2015</c:v>
              </c:pt>
              <c:pt idx="3">
                <c:v>2016</c:v>
              </c:pt>
              <c:pt idx="4">
                <c:v>2017</c:v>
              </c:pt>
              <c:pt idx="5">
                <c:v>2018</c:v>
              </c:pt>
              <c:pt idx="6">
                <c:v>2019</c:v>
              </c:pt>
            </c:numLit>
          </c:cat>
          <c:val>
            <c:numRef>
              <c:f>Oracle_Micros!$R$48:$R$54</c:f>
              <c:numCache>
                <c:formatCode>0%</c:formatCode>
                <c:ptCount val="7"/>
                <c:pt idx="0">
                  <c:v>0.10923089939927236</c:v>
                </c:pt>
                <c:pt idx="1">
                  <c:v>0.10974190181832778</c:v>
                </c:pt>
                <c:pt idx="2">
                  <c:v>9.3188997611526311E-2</c:v>
                </c:pt>
                <c:pt idx="3">
                  <c:v>0.12485409842238036</c:v>
                </c:pt>
                <c:pt idx="4">
                  <c:v>0.16776471444691152</c:v>
                </c:pt>
                <c:pt idx="5">
                  <c:v>0.16600188556095438</c:v>
                </c:pt>
                <c:pt idx="6">
                  <c:v>0.15767070858818902</c:v>
                </c:pt>
              </c:numCache>
            </c:numRef>
          </c:val>
          <c:extLst>
            <c:ext xmlns:c16="http://schemas.microsoft.com/office/drawing/2014/chart" uri="{C3380CC4-5D6E-409C-BE32-E72D297353CC}">
              <c16:uniqueId val="{00000002-837F-4C27-9ECC-90DF0AE96AF7}"/>
            </c:ext>
          </c:extLst>
        </c:ser>
        <c:dLbls>
          <c:showLegendKey val="0"/>
          <c:showVal val="0"/>
          <c:showCatName val="0"/>
          <c:showSerName val="0"/>
          <c:showPercent val="0"/>
          <c:showBubbleSize val="0"/>
        </c:dLbls>
        <c:gapWidth val="219"/>
        <c:overlap val="-27"/>
        <c:axId val="682163167"/>
        <c:axId val="682159423"/>
      </c:barChart>
      <c:catAx>
        <c:axId val="68216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2159423"/>
        <c:crosses val="autoZero"/>
        <c:auto val="1"/>
        <c:lblAlgn val="ctr"/>
        <c:lblOffset val="100"/>
        <c:noMultiLvlLbl val="0"/>
      </c:catAx>
      <c:valAx>
        <c:axId val="682159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2163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Total Sales (Activision/King)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8"/>
              <c:pt idx="0">
                <c:v>2014</c:v>
              </c:pt>
              <c:pt idx="1">
                <c:v>2015</c:v>
              </c:pt>
              <c:pt idx="2">
                <c:v>2016</c:v>
              </c:pt>
              <c:pt idx="3">
                <c:v>2017</c:v>
              </c:pt>
              <c:pt idx="4">
                <c:v>2018</c:v>
              </c:pt>
              <c:pt idx="5">
                <c:v>2019</c:v>
              </c:pt>
              <c:pt idx="6">
                <c:v>2020</c:v>
              </c:pt>
              <c:pt idx="7">
                <c:v>2021</c:v>
              </c:pt>
            </c:numLit>
          </c:cat>
          <c:val>
            <c:numRef>
              <c:f>Activision_King!$N$40:$N$47</c:f>
              <c:numCache>
                <c:formatCode>General</c:formatCode>
                <c:ptCount val="8"/>
                <c:pt idx="0">
                  <c:v>12659</c:v>
                </c:pt>
                <c:pt idx="1">
                  <c:v>11762</c:v>
                </c:pt>
                <c:pt idx="2">
                  <c:v>11517</c:v>
                </c:pt>
                <c:pt idx="3">
                  <c:v>12636</c:v>
                </c:pt>
                <c:pt idx="4">
                  <c:v>18550</c:v>
                </c:pt>
                <c:pt idx="5">
                  <c:v>20904</c:v>
                </c:pt>
                <c:pt idx="6">
                  <c:v>22510</c:v>
                </c:pt>
                <c:pt idx="7">
                  <c:v>28562</c:v>
                </c:pt>
              </c:numCache>
            </c:numRef>
          </c:val>
          <c:extLst>
            <c:ext xmlns:c16="http://schemas.microsoft.com/office/drawing/2014/chart" uri="{C3380CC4-5D6E-409C-BE32-E72D297353CC}">
              <c16:uniqueId val="{00000000-3132-4C38-8F99-A4A8509C6F6D}"/>
            </c:ext>
          </c:extLst>
        </c:ser>
        <c:dLbls>
          <c:showLegendKey val="0"/>
          <c:showVal val="0"/>
          <c:showCatName val="0"/>
          <c:showSerName val="0"/>
          <c:showPercent val="0"/>
          <c:showBubbleSize val="0"/>
        </c:dLbls>
        <c:gapWidth val="219"/>
        <c:overlap val="-27"/>
        <c:axId val="676965919"/>
        <c:axId val="676958015"/>
      </c:barChart>
      <c:catAx>
        <c:axId val="67696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6958015"/>
        <c:crosses val="autoZero"/>
        <c:auto val="1"/>
        <c:lblAlgn val="ctr"/>
        <c:lblOffset val="100"/>
        <c:noMultiLvlLbl val="0"/>
      </c:catAx>
      <c:valAx>
        <c:axId val="676958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6965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afa085-9163-4602-a1aa-7baf51e3c59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9DCD4604F6E6489339BC7BF93108B0" ma:contentTypeVersion="15" ma:contentTypeDescription="Create a new document." ma:contentTypeScope="" ma:versionID="6e7f027b6c1ff2c61699bd112c9923e2">
  <xsd:schema xmlns:xsd="http://www.w3.org/2001/XMLSchema" xmlns:xs="http://www.w3.org/2001/XMLSchema" xmlns:p="http://schemas.microsoft.com/office/2006/metadata/properties" xmlns:ns3="02afa085-9163-4602-a1aa-7baf51e3c599" xmlns:ns4="b84d70da-e335-417f-bdd3-6a72f9677093" targetNamespace="http://schemas.microsoft.com/office/2006/metadata/properties" ma:root="true" ma:fieldsID="73412cc8a6a2c89e49ad9e3e7ec3b326" ns3:_="" ns4:_="">
    <xsd:import namespace="02afa085-9163-4602-a1aa-7baf51e3c599"/>
    <xsd:import namespace="b84d70da-e335-417f-bdd3-6a72f96770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fa085-9163-4602-a1aa-7baf51e3c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d70da-e335-417f-bdd3-6a72f96770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8BECB-F65E-4A82-AC1F-98A1CF3B729D}">
  <ds:schemaRef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purl.org/dc/dcmitype/"/>
    <ds:schemaRef ds:uri="b84d70da-e335-417f-bdd3-6a72f9677093"/>
    <ds:schemaRef ds:uri="02afa085-9163-4602-a1aa-7baf51e3c599"/>
    <ds:schemaRef ds:uri="http://schemas.microsoft.com/office/2006/metadata/properties"/>
  </ds:schemaRefs>
</ds:datastoreItem>
</file>

<file path=customXml/itemProps2.xml><?xml version="1.0" encoding="utf-8"?>
<ds:datastoreItem xmlns:ds="http://schemas.openxmlformats.org/officeDocument/2006/customXml" ds:itemID="{D862EA27-5521-46D0-9D49-0A60350F730E}">
  <ds:schemaRefs>
    <ds:schemaRef ds:uri="http://schemas.openxmlformats.org/officeDocument/2006/bibliography"/>
  </ds:schemaRefs>
</ds:datastoreItem>
</file>

<file path=customXml/itemProps3.xml><?xml version="1.0" encoding="utf-8"?>
<ds:datastoreItem xmlns:ds="http://schemas.openxmlformats.org/officeDocument/2006/customXml" ds:itemID="{738F66FF-3CC1-4171-9623-D9EA25375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fa085-9163-4602-a1aa-7baf51e3c599"/>
    <ds:schemaRef ds:uri="b84d70da-e335-417f-bdd3-6a72f9677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8CAC0C-8025-406D-8E60-A1F838C916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56</Pages>
  <Words>10325</Words>
  <Characters>58858</Characters>
  <Application>Microsoft Office Word</Application>
  <DocSecurity>0</DocSecurity>
  <Lines>490</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Petit, Nicolas</dc:creator>
  <cp:keywords/>
  <dc:description/>
  <cp:lastModifiedBy>Unekbas, Selcukhan</cp:lastModifiedBy>
  <cp:revision>108</cp:revision>
  <cp:lastPrinted>2023-03-09T17:02:00Z</cp:lastPrinted>
  <dcterms:created xsi:type="dcterms:W3CDTF">2023-09-05T10:49:00Z</dcterms:created>
  <dcterms:modified xsi:type="dcterms:W3CDTF">2023-09-06T09:16:00Z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824263dcb1127926d41a775d6f91ae9f4f0fcba43082b376eb33dbcb94464e4e</vt:lpwstr>
  </property>
  <property fmtid="{D5CDD505-2E9C-101B-9397-08002B2CF9AE}" pid="3" name="ContentTypeId">
    <vt:lpwstr>0x0101008C9DCD4604F6E6489339BC7BF93108B0</vt:lpwstr>
  </property>
</Properties>
</file>