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75CB5" w14:textId="77777777" w:rsidR="003206A9" w:rsidRDefault="00A26AD2" w:rsidP="008E7BB1">
      <w:pPr>
        <w:jc w:val="center"/>
        <w:rPr>
          <w:b/>
        </w:rPr>
      </w:pPr>
      <w:r>
        <w:rPr>
          <w:b/>
        </w:rPr>
        <w:t>Fiduciary Disclosure</w:t>
      </w:r>
      <w:r w:rsidR="0050348A">
        <w:rPr>
          <w:b/>
        </w:rPr>
        <w:t xml:space="preserve"> and Informed Consent: </w:t>
      </w:r>
    </w:p>
    <w:p w14:paraId="1C1002F5" w14:textId="3A6DAE6B" w:rsidR="008E7BB1" w:rsidRPr="00B07D9E" w:rsidRDefault="0050348A" w:rsidP="008E7BB1">
      <w:pPr>
        <w:jc w:val="center"/>
        <w:rPr>
          <w:b/>
        </w:rPr>
      </w:pPr>
      <w:r>
        <w:rPr>
          <w:b/>
        </w:rPr>
        <w:t xml:space="preserve">A Behavioural </w:t>
      </w:r>
      <w:r w:rsidR="003206A9">
        <w:rPr>
          <w:b/>
        </w:rPr>
        <w:t>Law and Economics Approach</w:t>
      </w:r>
    </w:p>
    <w:p w14:paraId="32479A01" w14:textId="20888D2F" w:rsidR="00C970C3" w:rsidRPr="000F39F1" w:rsidRDefault="009E5EC0" w:rsidP="00C970C3">
      <w:pPr>
        <w:jc w:val="center"/>
      </w:pPr>
      <w:r>
        <w:t xml:space="preserve">Dr </w:t>
      </w:r>
      <w:r w:rsidR="008E7BB1">
        <w:t>Remus Valsan</w:t>
      </w:r>
    </w:p>
    <w:p w14:paraId="2D4E28E7" w14:textId="335D6DBB" w:rsidR="008E7BB1" w:rsidRDefault="008E7BB1" w:rsidP="008E7BB1">
      <w:pPr>
        <w:jc w:val="center"/>
        <w:rPr>
          <w:color w:val="000000" w:themeColor="text1"/>
        </w:rPr>
      </w:pPr>
    </w:p>
    <w:p w14:paraId="224760B9" w14:textId="77777777" w:rsidR="002F0A18" w:rsidRPr="000F39F1" w:rsidRDefault="002F0A18" w:rsidP="008E7BB1">
      <w:pPr>
        <w:jc w:val="center"/>
        <w:rPr>
          <w:color w:val="000000" w:themeColor="text1"/>
        </w:rPr>
      </w:pPr>
    </w:p>
    <w:p w14:paraId="2A83ECBA" w14:textId="77777777" w:rsidR="008E7BB1" w:rsidRPr="00B07D9E" w:rsidRDefault="008E7BB1" w:rsidP="008E7BB1">
      <w:pPr>
        <w:rPr>
          <w:b/>
        </w:rPr>
      </w:pPr>
      <w:r w:rsidRPr="00B07D9E">
        <w:rPr>
          <w:b/>
        </w:rPr>
        <w:t>Abstract</w:t>
      </w:r>
    </w:p>
    <w:p w14:paraId="221D6800" w14:textId="4B3E62B3" w:rsidR="008E7BB1" w:rsidRDefault="008E7BB1" w:rsidP="008E7BB1">
      <w:pPr>
        <w:spacing w:line="276" w:lineRule="auto"/>
        <w:rPr>
          <w:color w:val="000000" w:themeColor="text1"/>
        </w:rPr>
      </w:pPr>
    </w:p>
    <w:p w14:paraId="204F9DFD" w14:textId="5D9EC7C8" w:rsidR="00C41206" w:rsidRDefault="00C41206" w:rsidP="008E7BB1">
      <w:pPr>
        <w:spacing w:line="276" w:lineRule="auto"/>
        <w:rPr>
          <w:color w:val="000000" w:themeColor="text1"/>
        </w:rPr>
      </w:pPr>
      <w:r>
        <w:rPr>
          <w:color w:val="000000" w:themeColor="text1"/>
        </w:rPr>
        <w:t xml:space="preserve">This paper contributes to the existing law and economics literature of fiduciary duties in two ways. First, it brings clarity to the existing theoretical framework, by mapping out the current contractarian, anti-contractarian and behavioural strands of research. Second, the paper uses the behavioural law and economics framework to revisit </w:t>
      </w:r>
      <w:r w:rsidRPr="00C41206">
        <w:rPr>
          <w:color w:val="000000" w:themeColor="text1"/>
        </w:rPr>
        <w:t xml:space="preserve">the issue of risk allocation in a fiduciary </w:t>
      </w:r>
      <w:r w:rsidR="00AC23B4">
        <w:rPr>
          <w:color w:val="000000" w:themeColor="text1"/>
        </w:rPr>
        <w:t>relationship</w:t>
      </w:r>
      <w:r w:rsidRPr="00C41206">
        <w:rPr>
          <w:color w:val="000000" w:themeColor="text1"/>
        </w:rPr>
        <w:t xml:space="preserve"> </w:t>
      </w:r>
      <w:r w:rsidR="00C970C3">
        <w:rPr>
          <w:color w:val="000000" w:themeColor="text1"/>
        </w:rPr>
        <w:t>following</w:t>
      </w:r>
      <w:r>
        <w:rPr>
          <w:color w:val="000000" w:themeColor="text1"/>
        </w:rPr>
        <w:t xml:space="preserve"> disclosure of a conflict of interest. It emphasises the shortcomings of disclosure and informed consent </w:t>
      </w:r>
      <w:r w:rsidR="00C970C3">
        <w:rPr>
          <w:color w:val="000000" w:themeColor="text1"/>
        </w:rPr>
        <w:t>in</w:t>
      </w:r>
      <w:r>
        <w:rPr>
          <w:color w:val="000000" w:themeColor="text1"/>
        </w:rPr>
        <w:t xml:space="preserve"> mitiga</w:t>
      </w:r>
      <w:r w:rsidR="00C970C3">
        <w:rPr>
          <w:color w:val="000000" w:themeColor="text1"/>
        </w:rPr>
        <w:t>ting</w:t>
      </w:r>
      <w:r>
        <w:rPr>
          <w:color w:val="000000" w:themeColor="text1"/>
        </w:rPr>
        <w:t xml:space="preserve"> the additional risk of unreliable exercise of discretion, and makes the case </w:t>
      </w:r>
      <w:r w:rsidR="00D26690">
        <w:rPr>
          <w:color w:val="000000" w:themeColor="text1"/>
        </w:rPr>
        <w:t>for an enhanced duty of care post disclosure.</w:t>
      </w:r>
    </w:p>
    <w:p w14:paraId="49781085" w14:textId="240169EC" w:rsidR="006D306C" w:rsidRDefault="008E7BB1" w:rsidP="00C41206">
      <w:pPr>
        <w:spacing w:line="276" w:lineRule="auto"/>
        <w:ind w:firstLine="360"/>
        <w:rPr>
          <w:color w:val="000000" w:themeColor="text1"/>
        </w:rPr>
      </w:pPr>
      <w:r w:rsidRPr="00007CE2">
        <w:rPr>
          <w:color w:val="000000" w:themeColor="text1"/>
        </w:rPr>
        <w:t xml:space="preserve">Fiduciary </w:t>
      </w:r>
      <w:r w:rsidR="00AC23B4">
        <w:rPr>
          <w:color w:val="000000" w:themeColor="text1"/>
        </w:rPr>
        <w:t>relationship</w:t>
      </w:r>
      <w:r w:rsidRPr="00007CE2">
        <w:rPr>
          <w:color w:val="000000" w:themeColor="text1"/>
        </w:rPr>
        <w:t>s arise when one party (the fiduciary</w:t>
      </w:r>
      <w:r>
        <w:rPr>
          <w:color w:val="000000" w:themeColor="text1"/>
        </w:rPr>
        <w:t>, or the agent</w:t>
      </w:r>
      <w:r w:rsidRPr="00007CE2">
        <w:rPr>
          <w:color w:val="000000" w:themeColor="text1"/>
        </w:rPr>
        <w:t>) acquires discretion or decision-making authority over the interests of another party (the beneficiary</w:t>
      </w:r>
      <w:r>
        <w:rPr>
          <w:color w:val="000000" w:themeColor="text1"/>
        </w:rPr>
        <w:t>, or the principal</w:t>
      </w:r>
      <w:r w:rsidRPr="00007CE2">
        <w:rPr>
          <w:color w:val="000000" w:themeColor="text1"/>
        </w:rPr>
        <w:t xml:space="preserve">). </w:t>
      </w:r>
      <w:r w:rsidR="00453DF6" w:rsidRPr="00007CE2">
        <w:rPr>
          <w:color w:val="000000" w:themeColor="text1"/>
        </w:rPr>
        <w:t xml:space="preserve">Due to this power imbalance, the law imposes on fiduciaries strict duties </w:t>
      </w:r>
      <w:r w:rsidR="00731634">
        <w:rPr>
          <w:color w:val="000000" w:themeColor="text1"/>
        </w:rPr>
        <w:t xml:space="preserve">of loyalty, </w:t>
      </w:r>
      <w:r w:rsidR="00453DF6" w:rsidRPr="00007CE2">
        <w:rPr>
          <w:color w:val="000000" w:themeColor="text1"/>
        </w:rPr>
        <w:t>directing them to promote solely the beneficiaries’ best interests and proscribing conflicts of interest and unauthorised profits.</w:t>
      </w:r>
      <w:r w:rsidR="00453DF6">
        <w:rPr>
          <w:color w:val="000000" w:themeColor="text1"/>
        </w:rPr>
        <w:t xml:space="preserve"> </w:t>
      </w:r>
      <w:r>
        <w:rPr>
          <w:color w:val="000000" w:themeColor="text1"/>
        </w:rPr>
        <w:t xml:space="preserve">Fiduciary duties are embedded in many legal and economic </w:t>
      </w:r>
      <w:r w:rsidR="00AC23B4">
        <w:rPr>
          <w:color w:val="000000" w:themeColor="text1"/>
        </w:rPr>
        <w:t>relationship</w:t>
      </w:r>
      <w:r>
        <w:rPr>
          <w:color w:val="000000" w:themeColor="text1"/>
        </w:rPr>
        <w:t>s, from agency contracts to trusts</w:t>
      </w:r>
      <w:r w:rsidR="00CE5D48">
        <w:rPr>
          <w:color w:val="000000" w:themeColor="text1"/>
        </w:rPr>
        <w:t xml:space="preserve"> and corporations</w:t>
      </w:r>
      <w:r>
        <w:rPr>
          <w:color w:val="000000" w:themeColor="text1"/>
        </w:rPr>
        <w:t xml:space="preserve">, to provision of specialist services (such as legal, financial, </w:t>
      </w:r>
      <w:r w:rsidR="000F4831">
        <w:rPr>
          <w:color w:val="000000" w:themeColor="text1"/>
        </w:rPr>
        <w:t>audit</w:t>
      </w:r>
      <w:r>
        <w:rPr>
          <w:color w:val="000000" w:themeColor="text1"/>
        </w:rPr>
        <w:t xml:space="preserve"> or medical services). </w:t>
      </w:r>
    </w:p>
    <w:p w14:paraId="25FA413C" w14:textId="4BC15258" w:rsidR="00453DF6" w:rsidRDefault="00187674" w:rsidP="001077D0">
      <w:pPr>
        <w:spacing w:line="276" w:lineRule="auto"/>
        <w:ind w:firstLine="360"/>
        <w:rPr>
          <w:color w:val="000000" w:themeColor="text1"/>
        </w:rPr>
      </w:pPr>
      <w:r>
        <w:rPr>
          <w:color w:val="000000" w:themeColor="text1"/>
        </w:rPr>
        <w:t xml:space="preserve">Despite the omnipresence and increased economic utility of the fiduciary </w:t>
      </w:r>
      <w:r w:rsidR="00AC23B4">
        <w:rPr>
          <w:color w:val="000000" w:themeColor="text1"/>
        </w:rPr>
        <w:t>relationship</w:t>
      </w:r>
      <w:r>
        <w:rPr>
          <w:color w:val="000000" w:themeColor="text1"/>
        </w:rPr>
        <w:t>, its conceptual framework remains unsettled.</w:t>
      </w:r>
      <w:r w:rsidR="001923A9">
        <w:rPr>
          <w:color w:val="000000" w:themeColor="text1"/>
        </w:rPr>
        <w:t xml:space="preserve"> Traditionally, law and economics has used agency theory (the principal-agent problem) as the main </w:t>
      </w:r>
      <w:r w:rsidR="006D306C">
        <w:rPr>
          <w:color w:val="000000" w:themeColor="text1"/>
        </w:rPr>
        <w:t>paradigm</w:t>
      </w:r>
      <w:r w:rsidR="001923A9">
        <w:rPr>
          <w:color w:val="000000" w:themeColor="text1"/>
        </w:rPr>
        <w:t xml:space="preserve"> for conceptualising fiduciary </w:t>
      </w:r>
      <w:r w:rsidR="00AC23B4">
        <w:rPr>
          <w:color w:val="000000" w:themeColor="text1"/>
        </w:rPr>
        <w:t>relationship</w:t>
      </w:r>
      <w:r w:rsidR="001923A9">
        <w:rPr>
          <w:color w:val="000000" w:themeColor="text1"/>
        </w:rPr>
        <w:t xml:space="preserve">s. The theoretical debates have engaged with this framework either positively (the contractarian theories, which view fiduciary duties as mere bargained-for contractual terms) or </w:t>
      </w:r>
      <w:r w:rsidR="002422AE">
        <w:rPr>
          <w:color w:val="000000" w:themeColor="text1"/>
        </w:rPr>
        <w:t xml:space="preserve">sceptically (the anti-contractarians, who argue that fiduciary duties reflect higher societal values and thus have a mandatory </w:t>
      </w:r>
      <w:r w:rsidR="006D306C">
        <w:rPr>
          <w:color w:val="000000" w:themeColor="text1"/>
        </w:rPr>
        <w:t xml:space="preserve">non-contractual </w:t>
      </w:r>
      <w:r w:rsidR="002422AE">
        <w:rPr>
          <w:color w:val="000000" w:themeColor="text1"/>
        </w:rPr>
        <w:t xml:space="preserve">core). </w:t>
      </w:r>
      <w:r w:rsidR="008431AA">
        <w:rPr>
          <w:color w:val="000000" w:themeColor="text1"/>
        </w:rPr>
        <w:t>D</w:t>
      </w:r>
      <w:r w:rsidR="005D7C47" w:rsidRPr="008431AA">
        <w:rPr>
          <w:color w:val="000000" w:themeColor="text1"/>
        </w:rPr>
        <w:t>esp</w:t>
      </w:r>
      <w:r w:rsidRPr="008431AA">
        <w:rPr>
          <w:color w:val="000000" w:themeColor="text1"/>
        </w:rPr>
        <w:t>ite the</w:t>
      </w:r>
      <w:r w:rsidR="008431AA">
        <w:rPr>
          <w:color w:val="000000" w:themeColor="text1"/>
        </w:rPr>
        <w:t>ir</w:t>
      </w:r>
      <w:r w:rsidRPr="008431AA">
        <w:rPr>
          <w:color w:val="000000" w:themeColor="text1"/>
        </w:rPr>
        <w:t xml:space="preserve"> divergences, the </w:t>
      </w:r>
      <w:r w:rsidR="008431AA">
        <w:rPr>
          <w:color w:val="000000" w:themeColor="text1"/>
        </w:rPr>
        <w:t>two sets of</w:t>
      </w:r>
      <w:r w:rsidRPr="008431AA">
        <w:rPr>
          <w:color w:val="000000" w:themeColor="text1"/>
        </w:rPr>
        <w:t xml:space="preserve"> theories agree on </w:t>
      </w:r>
      <w:r w:rsidR="006D306C">
        <w:rPr>
          <w:color w:val="000000" w:themeColor="text1"/>
        </w:rPr>
        <w:t>two</w:t>
      </w:r>
      <w:r w:rsidR="008431AA">
        <w:rPr>
          <w:color w:val="000000" w:themeColor="text1"/>
        </w:rPr>
        <w:t xml:space="preserve"> </w:t>
      </w:r>
      <w:r w:rsidRPr="008431AA">
        <w:rPr>
          <w:color w:val="000000" w:themeColor="text1"/>
        </w:rPr>
        <w:t xml:space="preserve">key features of fiduciary </w:t>
      </w:r>
      <w:r w:rsidR="00AC23B4">
        <w:rPr>
          <w:color w:val="000000" w:themeColor="text1"/>
        </w:rPr>
        <w:t>relationship</w:t>
      </w:r>
      <w:r w:rsidRPr="008431AA">
        <w:rPr>
          <w:color w:val="000000" w:themeColor="text1"/>
        </w:rPr>
        <w:t>s: (</w:t>
      </w:r>
      <w:proofErr w:type="spellStart"/>
      <w:r w:rsidRPr="008431AA">
        <w:rPr>
          <w:color w:val="000000" w:themeColor="text1"/>
        </w:rPr>
        <w:t>i</w:t>
      </w:r>
      <w:proofErr w:type="spellEnd"/>
      <w:r w:rsidRPr="008431AA">
        <w:rPr>
          <w:color w:val="000000" w:themeColor="text1"/>
        </w:rPr>
        <w:t>) the core p</w:t>
      </w:r>
      <w:r w:rsidR="001077D0">
        <w:rPr>
          <w:color w:val="000000" w:themeColor="text1"/>
        </w:rPr>
        <w:t>roblems are incentives misalignment and high monitoring costs</w:t>
      </w:r>
      <w:r w:rsidRPr="008431AA">
        <w:rPr>
          <w:color w:val="000000" w:themeColor="text1"/>
        </w:rPr>
        <w:t xml:space="preserve">; (ii) the main </w:t>
      </w:r>
      <w:r w:rsidR="008E2B8B">
        <w:rPr>
          <w:color w:val="000000" w:themeColor="text1"/>
        </w:rPr>
        <w:t>goal</w:t>
      </w:r>
      <w:r w:rsidRPr="008431AA">
        <w:rPr>
          <w:color w:val="000000" w:themeColor="text1"/>
        </w:rPr>
        <w:t xml:space="preserve"> of fiduciary duties is deterrence</w:t>
      </w:r>
      <w:r w:rsidR="00731634">
        <w:rPr>
          <w:color w:val="000000" w:themeColor="text1"/>
        </w:rPr>
        <w:t xml:space="preserve"> of opportunism</w:t>
      </w:r>
      <w:r w:rsidRPr="008431AA">
        <w:rPr>
          <w:color w:val="000000" w:themeColor="text1"/>
        </w:rPr>
        <w:t xml:space="preserve">. </w:t>
      </w:r>
    </w:p>
    <w:p w14:paraId="4A64A990" w14:textId="16F01C83" w:rsidR="00943BEF" w:rsidRDefault="008431AA" w:rsidP="00943BEF">
      <w:pPr>
        <w:spacing w:line="276" w:lineRule="auto"/>
        <w:ind w:firstLine="360"/>
        <w:rPr>
          <w:color w:val="000000" w:themeColor="text1"/>
        </w:rPr>
      </w:pPr>
      <w:r>
        <w:rPr>
          <w:color w:val="000000" w:themeColor="text1"/>
        </w:rPr>
        <w:t xml:space="preserve">More recently, the agency framework has been challenged by a rapidly growing body of research on decision-making, coming from behavioural law and economics, behavioural ethics and other cognate fields. The emerging theory of fiduciary </w:t>
      </w:r>
      <w:r w:rsidR="00AC23B4">
        <w:rPr>
          <w:color w:val="000000" w:themeColor="text1"/>
        </w:rPr>
        <w:t>relationship</w:t>
      </w:r>
      <w:r>
        <w:rPr>
          <w:color w:val="000000" w:themeColor="text1"/>
        </w:rPr>
        <w:t>s relaxes the assumptions of rationality and utility maximisation embedded in the traditi</w:t>
      </w:r>
      <w:r w:rsidR="008E2B8B">
        <w:rPr>
          <w:color w:val="000000" w:themeColor="text1"/>
        </w:rPr>
        <w:t>onal agency theory. It</w:t>
      </w:r>
      <w:r w:rsidR="00943BEF">
        <w:rPr>
          <w:color w:val="000000" w:themeColor="text1"/>
        </w:rPr>
        <w:t xml:space="preserve"> focuses </w:t>
      </w:r>
      <w:r w:rsidR="008E2B8B">
        <w:rPr>
          <w:color w:val="000000" w:themeColor="text1"/>
        </w:rPr>
        <w:t xml:space="preserve">instead </w:t>
      </w:r>
      <w:r w:rsidR="00943BEF">
        <w:rPr>
          <w:color w:val="000000" w:themeColor="text1"/>
        </w:rPr>
        <w:t xml:space="preserve">on the subtle processes, beyond conscious level, that render </w:t>
      </w:r>
      <w:r w:rsidR="004E1B1D">
        <w:rPr>
          <w:color w:val="000000" w:themeColor="text1"/>
        </w:rPr>
        <w:t>fiduciaries’</w:t>
      </w:r>
      <w:r w:rsidR="00943BEF">
        <w:rPr>
          <w:color w:val="000000" w:themeColor="text1"/>
        </w:rPr>
        <w:t xml:space="preserve"> </w:t>
      </w:r>
      <w:r w:rsidR="00A92A2D">
        <w:rPr>
          <w:color w:val="000000" w:themeColor="text1"/>
        </w:rPr>
        <w:t xml:space="preserve">good faith exercise of </w:t>
      </w:r>
      <w:r w:rsidR="00943BEF">
        <w:rPr>
          <w:color w:val="000000" w:themeColor="text1"/>
        </w:rPr>
        <w:t xml:space="preserve">judgment riskier or </w:t>
      </w:r>
      <w:r w:rsidR="004E1B1D">
        <w:rPr>
          <w:color w:val="000000" w:themeColor="text1"/>
        </w:rPr>
        <w:t>less r</w:t>
      </w:r>
      <w:r w:rsidR="00943BEF">
        <w:rPr>
          <w:color w:val="000000" w:themeColor="text1"/>
        </w:rPr>
        <w:t>eliable</w:t>
      </w:r>
      <w:r w:rsidR="00A92A2D">
        <w:rPr>
          <w:color w:val="000000" w:themeColor="text1"/>
        </w:rPr>
        <w:t>,</w:t>
      </w:r>
      <w:r w:rsidR="00943BEF">
        <w:rPr>
          <w:color w:val="000000" w:themeColor="text1"/>
        </w:rPr>
        <w:t xml:space="preserve"> </w:t>
      </w:r>
      <w:r w:rsidR="004E1B1D">
        <w:rPr>
          <w:color w:val="000000" w:themeColor="text1"/>
        </w:rPr>
        <w:t>when they have a personal</w:t>
      </w:r>
      <w:r>
        <w:rPr>
          <w:color w:val="000000" w:themeColor="text1"/>
        </w:rPr>
        <w:t xml:space="preserve"> </w:t>
      </w:r>
      <w:r w:rsidR="00943BEF">
        <w:rPr>
          <w:color w:val="000000" w:themeColor="text1"/>
        </w:rPr>
        <w:t>interest in the outcome of the</w:t>
      </w:r>
      <w:r w:rsidR="004E1B1D">
        <w:rPr>
          <w:color w:val="000000" w:themeColor="text1"/>
        </w:rPr>
        <w:t>ir</w:t>
      </w:r>
      <w:r>
        <w:rPr>
          <w:color w:val="000000" w:themeColor="text1"/>
        </w:rPr>
        <w:t xml:space="preserve"> decision. </w:t>
      </w:r>
      <w:r w:rsidR="00943BEF">
        <w:rPr>
          <w:color w:val="000000" w:themeColor="text1"/>
        </w:rPr>
        <w:t xml:space="preserve">The behavioural theory of fiduciary </w:t>
      </w:r>
      <w:r w:rsidR="00AC23B4">
        <w:rPr>
          <w:color w:val="000000" w:themeColor="text1"/>
        </w:rPr>
        <w:t>relationship</w:t>
      </w:r>
      <w:r w:rsidR="00943BEF">
        <w:rPr>
          <w:color w:val="000000" w:themeColor="text1"/>
        </w:rPr>
        <w:t>s replaces the ‘conflicting interests’ and ‘deterrence’ paradigms</w:t>
      </w:r>
      <w:r w:rsidR="00034B33">
        <w:rPr>
          <w:color w:val="000000" w:themeColor="text1"/>
        </w:rPr>
        <w:t xml:space="preserve"> of </w:t>
      </w:r>
      <w:r w:rsidR="004F0019">
        <w:rPr>
          <w:color w:val="000000" w:themeColor="text1"/>
        </w:rPr>
        <w:t xml:space="preserve">the </w:t>
      </w:r>
      <w:r w:rsidR="00034B33">
        <w:rPr>
          <w:color w:val="000000" w:themeColor="text1"/>
        </w:rPr>
        <w:t>agency theory with</w:t>
      </w:r>
      <w:r w:rsidR="00943BEF">
        <w:rPr>
          <w:color w:val="000000" w:themeColor="text1"/>
        </w:rPr>
        <w:t xml:space="preserve"> ‘conflict between self-interest and judgment’ and ‘correction’. </w:t>
      </w:r>
      <w:r w:rsidR="00865BF2">
        <w:rPr>
          <w:color w:val="000000" w:themeColor="text1"/>
        </w:rPr>
        <w:t xml:space="preserve">In other words, instead of focusing on deterring fiduciary’s temptation to act self-interestedly, </w:t>
      </w:r>
      <w:r w:rsidR="007B1C2F">
        <w:rPr>
          <w:color w:val="000000" w:themeColor="text1"/>
        </w:rPr>
        <w:t>the behavioural theory sees the main role of fiduciary duties as preventing or correcting unwanted influences that self-interest poses on fiduciary’s good faith exercise of decision-making authority.</w:t>
      </w:r>
      <w:r w:rsidR="00034B33">
        <w:rPr>
          <w:color w:val="000000" w:themeColor="text1"/>
        </w:rPr>
        <w:t xml:space="preserve"> Misfeasance, nonfeasance or opportunism are acknowledged as important concerns in fiduciary </w:t>
      </w:r>
      <w:r w:rsidR="00AC23B4">
        <w:rPr>
          <w:color w:val="000000" w:themeColor="text1"/>
        </w:rPr>
        <w:t>relationship</w:t>
      </w:r>
      <w:r w:rsidR="00034B33">
        <w:rPr>
          <w:color w:val="000000" w:themeColor="text1"/>
        </w:rPr>
        <w:t xml:space="preserve">s that are governed by a multitude of other institutions or mechanisms (including </w:t>
      </w:r>
      <w:r w:rsidR="00486082">
        <w:rPr>
          <w:color w:val="000000" w:themeColor="text1"/>
        </w:rPr>
        <w:t xml:space="preserve">other </w:t>
      </w:r>
      <w:r w:rsidR="00034B33">
        <w:rPr>
          <w:color w:val="000000" w:themeColor="text1"/>
        </w:rPr>
        <w:t xml:space="preserve">legal doctrines </w:t>
      </w:r>
      <w:r w:rsidR="00034B33">
        <w:rPr>
          <w:color w:val="000000" w:themeColor="text1"/>
        </w:rPr>
        <w:lastRenderedPageBreak/>
        <w:t xml:space="preserve">such as contract interpretation, good faith, unconscionability, negligence, embezzlement or theft). </w:t>
      </w:r>
      <w:r w:rsidR="007B1C2F">
        <w:rPr>
          <w:color w:val="000000" w:themeColor="text1"/>
        </w:rPr>
        <w:t xml:space="preserve">  </w:t>
      </w:r>
    </w:p>
    <w:p w14:paraId="6000C2F1" w14:textId="77777777" w:rsidR="00B97ADD" w:rsidRDefault="009E5F6E" w:rsidP="00B97ADD">
      <w:pPr>
        <w:spacing w:line="276" w:lineRule="auto"/>
        <w:rPr>
          <w:color w:val="000000" w:themeColor="text1"/>
        </w:rPr>
      </w:pPr>
      <w:r>
        <w:rPr>
          <w:color w:val="000000" w:themeColor="text1"/>
        </w:rPr>
        <w:tab/>
      </w:r>
      <w:r w:rsidR="00052DD1">
        <w:rPr>
          <w:color w:val="000000" w:themeColor="text1"/>
        </w:rPr>
        <w:t xml:space="preserve">The normative implications of the behavioural theory of fiduciary duties are </w:t>
      </w:r>
      <w:r w:rsidR="00190E8B">
        <w:rPr>
          <w:color w:val="000000" w:themeColor="text1"/>
        </w:rPr>
        <w:t xml:space="preserve">yet to be fully grasped. The paper aims to fill this gap by analysing the consequences of disclosure and informed consent, from a behavioural law and economics perspective. The contractarian agency framework views fiduciary’s disclosure of self-interest and the beneficiary’s consent as an important ex post mechanism that allows the parties to fill in contractual gaps and align their interests. Drawing on recent behavioural studies on disclosure and consent, the paper highlights multiple shortcomings of this mechanism, on both on fiduciary’s and the beneficiary’s sides. </w:t>
      </w:r>
    </w:p>
    <w:p w14:paraId="52F6E5A9" w14:textId="61D4A33C" w:rsidR="00A5499D" w:rsidRDefault="00A5499D" w:rsidP="00A5499D">
      <w:pPr>
        <w:spacing w:line="276" w:lineRule="auto"/>
        <w:ind w:firstLine="720"/>
        <w:rPr>
          <w:color w:val="000000" w:themeColor="text1"/>
        </w:rPr>
      </w:pPr>
      <w:r>
        <w:rPr>
          <w:color w:val="000000" w:themeColor="text1"/>
        </w:rPr>
        <w:t>On the fiduciary’s side, o</w:t>
      </w:r>
      <w:r w:rsidRPr="00A5499D">
        <w:rPr>
          <w:color w:val="000000" w:themeColor="text1"/>
        </w:rPr>
        <w:t xml:space="preserve">ne potential negative effect </w:t>
      </w:r>
      <w:r>
        <w:rPr>
          <w:color w:val="000000" w:themeColor="text1"/>
        </w:rPr>
        <w:t xml:space="preserve">of disclosure </w:t>
      </w:r>
      <w:r w:rsidRPr="00A5499D">
        <w:rPr>
          <w:color w:val="000000" w:themeColor="text1"/>
        </w:rPr>
        <w:t>is a false perception of eliminating the danger in</w:t>
      </w:r>
      <w:r>
        <w:rPr>
          <w:color w:val="000000" w:themeColor="text1"/>
        </w:rPr>
        <w:t xml:space="preserve">herent in a conflict situation - </w:t>
      </w:r>
      <w:r w:rsidRPr="00A5499D">
        <w:rPr>
          <w:color w:val="000000" w:themeColor="text1"/>
        </w:rPr>
        <w:t xml:space="preserve">a good faith fiduciary may believe that there is no longer anything reprehensible or to be vigilant about with regard to the conflict situation. However, given the insidious vitiating effect of self-interest on the exercise of discretion, and one’s tendency to over-estimate their ability to resist this distorting influence, the </w:t>
      </w:r>
      <w:r>
        <w:rPr>
          <w:color w:val="000000" w:themeColor="text1"/>
        </w:rPr>
        <w:t>fiduciary’</w:t>
      </w:r>
      <w:r w:rsidRPr="00A5499D">
        <w:rPr>
          <w:color w:val="000000" w:themeColor="text1"/>
        </w:rPr>
        <w:t xml:space="preserve">s judgment will continue to be less reliable </w:t>
      </w:r>
      <w:r>
        <w:rPr>
          <w:color w:val="000000" w:themeColor="text1"/>
        </w:rPr>
        <w:t xml:space="preserve">post disclosure </w:t>
      </w:r>
      <w:r w:rsidRPr="00A5499D">
        <w:rPr>
          <w:color w:val="000000" w:themeColor="text1"/>
        </w:rPr>
        <w:t>than it would have been outside a conflict situation.</w:t>
      </w:r>
      <w:r>
        <w:rPr>
          <w:color w:val="000000" w:themeColor="text1"/>
        </w:rPr>
        <w:t xml:space="preserve"> </w:t>
      </w:r>
      <w:r w:rsidRPr="00A5499D">
        <w:rPr>
          <w:color w:val="000000" w:themeColor="text1"/>
        </w:rPr>
        <w:t xml:space="preserve">Another potential negative effect is the risk of strategic exaggeration </w:t>
      </w:r>
      <w:r>
        <w:rPr>
          <w:color w:val="000000" w:themeColor="text1"/>
        </w:rPr>
        <w:t>(</w:t>
      </w:r>
      <w:r w:rsidRPr="00A5499D">
        <w:rPr>
          <w:color w:val="000000" w:themeColor="text1"/>
        </w:rPr>
        <w:t xml:space="preserve">or </w:t>
      </w:r>
      <w:r>
        <w:rPr>
          <w:color w:val="000000" w:themeColor="text1"/>
        </w:rPr>
        <w:t xml:space="preserve">the opposite, </w:t>
      </w:r>
      <w:r w:rsidRPr="00A5499D">
        <w:rPr>
          <w:color w:val="000000" w:themeColor="text1"/>
        </w:rPr>
        <w:t>strategic restraint</w:t>
      </w:r>
      <w:r>
        <w:rPr>
          <w:color w:val="000000" w:themeColor="text1"/>
        </w:rPr>
        <w:t>)</w:t>
      </w:r>
      <w:r w:rsidRPr="00A5499D">
        <w:rPr>
          <w:color w:val="000000" w:themeColor="text1"/>
        </w:rPr>
        <w:t xml:space="preserve">. When disclosure is made, a purely self-interested </w:t>
      </w:r>
      <w:r>
        <w:rPr>
          <w:color w:val="000000" w:themeColor="text1"/>
        </w:rPr>
        <w:t>fiduciary</w:t>
      </w:r>
      <w:r w:rsidRPr="00A5499D">
        <w:rPr>
          <w:color w:val="000000" w:themeColor="text1"/>
        </w:rPr>
        <w:t xml:space="preserve"> might deliberately increase the weight </w:t>
      </w:r>
      <w:r w:rsidR="002F545F">
        <w:rPr>
          <w:color w:val="000000" w:themeColor="text1"/>
        </w:rPr>
        <w:t>s</w:t>
      </w:r>
      <w:r w:rsidRPr="00A5499D">
        <w:rPr>
          <w:color w:val="000000" w:themeColor="text1"/>
        </w:rPr>
        <w:t xml:space="preserve">he places on self-interest, in order to offset the anticipated discounting by the beneficiary. Moral licensing is </w:t>
      </w:r>
      <w:r>
        <w:rPr>
          <w:color w:val="000000" w:themeColor="text1"/>
        </w:rPr>
        <w:t xml:space="preserve">yet </w:t>
      </w:r>
      <w:r w:rsidRPr="00A5499D">
        <w:rPr>
          <w:color w:val="000000" w:themeColor="text1"/>
        </w:rPr>
        <w:t xml:space="preserve">another risk following disclosure. </w:t>
      </w:r>
      <w:r>
        <w:rPr>
          <w:color w:val="000000" w:themeColor="text1"/>
        </w:rPr>
        <w:t>T</w:t>
      </w:r>
      <w:r w:rsidRPr="00A5499D">
        <w:rPr>
          <w:color w:val="000000" w:themeColor="text1"/>
        </w:rPr>
        <w:t xml:space="preserve">o the degree that disclosure is perceived to level the playing field between </w:t>
      </w:r>
      <w:r>
        <w:rPr>
          <w:color w:val="000000" w:themeColor="text1"/>
        </w:rPr>
        <w:t>fiduciary</w:t>
      </w:r>
      <w:r w:rsidRPr="00A5499D">
        <w:rPr>
          <w:color w:val="000000" w:themeColor="text1"/>
        </w:rPr>
        <w:t xml:space="preserve"> and beneficiary, the </w:t>
      </w:r>
      <w:r>
        <w:rPr>
          <w:color w:val="000000" w:themeColor="text1"/>
        </w:rPr>
        <w:t>former</w:t>
      </w:r>
      <w:r w:rsidRPr="00A5499D">
        <w:rPr>
          <w:color w:val="000000" w:themeColor="text1"/>
        </w:rPr>
        <w:t xml:space="preserve"> may feel ‘morally licensed’ to take</w:t>
      </w:r>
      <w:r w:rsidR="002F545F">
        <w:rPr>
          <w:color w:val="000000" w:themeColor="text1"/>
        </w:rPr>
        <w:t xml:space="preserve"> into account her</w:t>
      </w:r>
      <w:bookmarkStart w:id="0" w:name="_GoBack"/>
      <w:bookmarkEnd w:id="0"/>
      <w:r>
        <w:rPr>
          <w:color w:val="000000" w:themeColor="text1"/>
        </w:rPr>
        <w:t xml:space="preserve"> self-interest</w:t>
      </w:r>
      <w:r w:rsidRPr="00A5499D">
        <w:rPr>
          <w:color w:val="000000" w:themeColor="text1"/>
        </w:rPr>
        <w:t xml:space="preserve">.  </w:t>
      </w:r>
    </w:p>
    <w:p w14:paraId="56BD9A0B" w14:textId="014BD607" w:rsidR="001D6E04" w:rsidRDefault="001D6E04" w:rsidP="00B97ADD">
      <w:pPr>
        <w:spacing w:line="276" w:lineRule="auto"/>
        <w:rPr>
          <w:color w:val="000000" w:themeColor="text1"/>
        </w:rPr>
      </w:pPr>
      <w:r>
        <w:rPr>
          <w:color w:val="000000" w:themeColor="text1"/>
        </w:rPr>
        <w:tab/>
        <w:t xml:space="preserve">On the beneficiary’s side, behavioural research shows that </w:t>
      </w:r>
      <w:r w:rsidRPr="001D6E04">
        <w:rPr>
          <w:color w:val="000000" w:themeColor="text1"/>
        </w:rPr>
        <w:t xml:space="preserve">beneficiaries do not know how to respond to conflict of interest disclosures, or discount conflicted advice and decisions </w:t>
      </w:r>
      <w:r>
        <w:rPr>
          <w:color w:val="000000" w:themeColor="text1"/>
        </w:rPr>
        <w:t>insufficiently or erratically. One reason why beneficiaries may not adjust their position adequately stems from the difficulty of</w:t>
      </w:r>
      <w:r w:rsidRPr="001D6E04">
        <w:rPr>
          <w:color w:val="000000" w:themeColor="text1"/>
        </w:rPr>
        <w:t xml:space="preserve"> </w:t>
      </w:r>
      <w:r>
        <w:rPr>
          <w:color w:val="000000" w:themeColor="text1"/>
        </w:rPr>
        <w:t xml:space="preserve">assessing </w:t>
      </w:r>
      <w:r w:rsidRPr="001D6E04">
        <w:rPr>
          <w:color w:val="000000" w:themeColor="text1"/>
        </w:rPr>
        <w:t xml:space="preserve">the </w:t>
      </w:r>
      <w:r>
        <w:rPr>
          <w:color w:val="000000" w:themeColor="text1"/>
        </w:rPr>
        <w:t xml:space="preserve">actual </w:t>
      </w:r>
      <w:r w:rsidRPr="001D6E04">
        <w:rPr>
          <w:color w:val="000000" w:themeColor="text1"/>
        </w:rPr>
        <w:t xml:space="preserve">impact </w:t>
      </w:r>
      <w:r>
        <w:rPr>
          <w:color w:val="000000" w:themeColor="text1"/>
        </w:rPr>
        <w:t>that the</w:t>
      </w:r>
      <w:r w:rsidRPr="001D6E04">
        <w:rPr>
          <w:color w:val="000000" w:themeColor="text1"/>
        </w:rPr>
        <w:t xml:space="preserve"> </w:t>
      </w:r>
      <w:r>
        <w:rPr>
          <w:color w:val="000000" w:themeColor="text1"/>
        </w:rPr>
        <w:t xml:space="preserve">conflict of interest has </w:t>
      </w:r>
      <w:r w:rsidRPr="001D6E04">
        <w:rPr>
          <w:color w:val="000000" w:themeColor="text1"/>
        </w:rPr>
        <w:t>on the various stages of exercise of discretion</w:t>
      </w:r>
      <w:r>
        <w:rPr>
          <w:color w:val="000000" w:themeColor="text1"/>
        </w:rPr>
        <w:t xml:space="preserve"> by the fiduciary. </w:t>
      </w:r>
      <w:r w:rsidRPr="001D6E04">
        <w:rPr>
          <w:color w:val="000000" w:themeColor="text1"/>
        </w:rPr>
        <w:t>Moreover, research on judgment suggests that beneficiaries are likely to anchor on the decision or advice they receive, and then adjust or discount insufficiently, even though they know the advice may be biased</w:t>
      </w:r>
      <w:r>
        <w:rPr>
          <w:color w:val="000000" w:themeColor="text1"/>
        </w:rPr>
        <w:t xml:space="preserve">. </w:t>
      </w:r>
      <w:r w:rsidRPr="001D6E04">
        <w:rPr>
          <w:color w:val="000000" w:themeColor="text1"/>
        </w:rPr>
        <w:t xml:space="preserve">Another possible </w:t>
      </w:r>
      <w:r>
        <w:rPr>
          <w:color w:val="000000" w:themeColor="text1"/>
        </w:rPr>
        <w:t>reason for inefficient adjustment</w:t>
      </w:r>
      <w:r w:rsidRPr="001D6E04">
        <w:rPr>
          <w:color w:val="000000" w:themeColor="text1"/>
        </w:rPr>
        <w:t xml:space="preserve"> is, paradoxically, an increase of the beneficiary’s trust in the </w:t>
      </w:r>
      <w:r>
        <w:rPr>
          <w:color w:val="000000" w:themeColor="text1"/>
        </w:rPr>
        <w:t>fiduciary</w:t>
      </w:r>
      <w:r w:rsidRPr="001D6E04">
        <w:rPr>
          <w:color w:val="000000" w:themeColor="text1"/>
        </w:rPr>
        <w:t>.  Insofar as disclosure is perceived as a sign of honesty, it could serve as an assurance of trustworthiness rather than serve as warning. Because people generally believe that the danger posed by a conflict of interest is corruption, disclosure may be seen as a sign of trustworthiness.</w:t>
      </w:r>
      <w:r>
        <w:rPr>
          <w:color w:val="000000" w:themeColor="text1"/>
        </w:rPr>
        <w:t xml:space="preserve"> This is linked with the phenomenon of </w:t>
      </w:r>
      <w:r w:rsidRPr="001D6E04">
        <w:rPr>
          <w:color w:val="000000" w:themeColor="text1"/>
        </w:rPr>
        <w:t xml:space="preserve">insinuation anxiety. A disclosure of conflict of interest may increase the pressure on the beneficiary to accept the potentially biased decision or advice, for fear of having their rejection misinterpreted as a sign that they suspect that the </w:t>
      </w:r>
      <w:r w:rsidR="00B17C48">
        <w:rPr>
          <w:color w:val="000000" w:themeColor="text1"/>
        </w:rPr>
        <w:t>fiduciary</w:t>
      </w:r>
      <w:r w:rsidRPr="001D6E04">
        <w:rPr>
          <w:color w:val="000000" w:themeColor="text1"/>
        </w:rPr>
        <w:t xml:space="preserve"> is corrupt.</w:t>
      </w:r>
    </w:p>
    <w:p w14:paraId="3F6F50BC" w14:textId="26F1E33C" w:rsidR="00453DF6" w:rsidRDefault="00B97ADD" w:rsidP="00C970C3">
      <w:pPr>
        <w:spacing w:line="276" w:lineRule="auto"/>
        <w:ind w:firstLine="720"/>
        <w:rPr>
          <w:rFonts w:cs="Times New Roman"/>
          <w:color w:val="000000" w:themeColor="text1"/>
          <w:szCs w:val="24"/>
        </w:rPr>
      </w:pPr>
      <w:r>
        <w:rPr>
          <w:color w:val="000000" w:themeColor="text1"/>
        </w:rPr>
        <w:t>These studies indicate that</w:t>
      </w:r>
      <w:r w:rsidR="00190E8B">
        <w:rPr>
          <w:color w:val="000000" w:themeColor="text1"/>
        </w:rPr>
        <w:t xml:space="preserve"> disclosure and informed consent do not ‘cure’ a conflict of interest</w:t>
      </w:r>
      <w:r>
        <w:rPr>
          <w:color w:val="000000" w:themeColor="text1"/>
        </w:rPr>
        <w:t>,</w:t>
      </w:r>
      <w:r w:rsidR="00190E8B">
        <w:rPr>
          <w:color w:val="000000" w:themeColor="text1"/>
        </w:rPr>
        <w:t xml:space="preserve"> due to a residual risk on fiduciary’s judgment that persists after the conflict has been disclosed </w:t>
      </w:r>
      <w:r w:rsidR="003378D5">
        <w:rPr>
          <w:color w:val="000000" w:themeColor="text1"/>
        </w:rPr>
        <w:t>and approved</w:t>
      </w:r>
      <w:r w:rsidR="00B17C48">
        <w:rPr>
          <w:color w:val="000000" w:themeColor="text1"/>
        </w:rPr>
        <w:t>, mirrored by inefficient adjustment on the beneficiary’s side</w:t>
      </w:r>
      <w:r w:rsidR="003378D5">
        <w:rPr>
          <w:color w:val="000000" w:themeColor="text1"/>
        </w:rPr>
        <w:t xml:space="preserve">. </w:t>
      </w:r>
      <w:r w:rsidR="00B17C48">
        <w:rPr>
          <w:color w:val="000000" w:themeColor="text1"/>
        </w:rPr>
        <w:t>Consequently</w:t>
      </w:r>
      <w:r w:rsidR="003378D5">
        <w:rPr>
          <w:color w:val="000000" w:themeColor="text1"/>
        </w:rPr>
        <w:t>, the paper</w:t>
      </w:r>
      <w:r w:rsidR="00190E8B">
        <w:rPr>
          <w:color w:val="000000" w:themeColor="text1"/>
        </w:rPr>
        <w:t xml:space="preserve"> makes</w:t>
      </w:r>
      <w:r w:rsidR="003378D5">
        <w:rPr>
          <w:color w:val="000000" w:themeColor="text1"/>
        </w:rPr>
        <w:t xml:space="preserve"> the case that</w:t>
      </w:r>
      <w:r>
        <w:rPr>
          <w:color w:val="000000" w:themeColor="text1"/>
        </w:rPr>
        <w:t>,</w:t>
      </w:r>
      <w:r w:rsidR="003378D5">
        <w:rPr>
          <w:color w:val="000000" w:themeColor="text1"/>
        </w:rPr>
        <w:t xml:space="preserve"> following disclosure of self-interest and informed consent, the fiduciary should automatically be bou</w:t>
      </w:r>
      <w:r w:rsidR="003B475D">
        <w:rPr>
          <w:color w:val="000000" w:themeColor="text1"/>
        </w:rPr>
        <w:t xml:space="preserve">nd by an enhanced duty of care, which raises the </w:t>
      </w:r>
      <w:r>
        <w:rPr>
          <w:color w:val="000000" w:themeColor="text1"/>
        </w:rPr>
        <w:t xml:space="preserve">liability </w:t>
      </w:r>
      <w:r w:rsidR="003B475D">
        <w:rPr>
          <w:color w:val="000000" w:themeColor="text1"/>
        </w:rPr>
        <w:t>standard from rea</w:t>
      </w:r>
      <w:r>
        <w:rPr>
          <w:color w:val="000000" w:themeColor="text1"/>
        </w:rPr>
        <w:t xml:space="preserve">sonableness to entire fairness. </w:t>
      </w:r>
      <w:r>
        <w:rPr>
          <w:rFonts w:cs="Times New Roman"/>
          <w:color w:val="000000" w:themeColor="text1"/>
          <w:szCs w:val="24"/>
        </w:rPr>
        <w:t>The</w:t>
      </w:r>
      <w:r w:rsidR="008E7BB1">
        <w:rPr>
          <w:rFonts w:cs="Times New Roman"/>
          <w:color w:val="000000" w:themeColor="text1"/>
          <w:szCs w:val="24"/>
        </w:rPr>
        <w:t xml:space="preserve"> enhanced fiduciary duty of care </w:t>
      </w:r>
      <w:r>
        <w:rPr>
          <w:rFonts w:cs="Times New Roman"/>
          <w:color w:val="000000" w:themeColor="text1"/>
          <w:szCs w:val="24"/>
        </w:rPr>
        <w:t xml:space="preserve">is necessary in order to </w:t>
      </w:r>
      <w:r w:rsidR="008E7BB1">
        <w:rPr>
          <w:rFonts w:cs="Times New Roman"/>
          <w:color w:val="000000" w:themeColor="text1"/>
          <w:szCs w:val="24"/>
        </w:rPr>
        <w:t xml:space="preserve">mitigate </w:t>
      </w:r>
      <w:r w:rsidR="008E7BB1" w:rsidRPr="000F39F1">
        <w:rPr>
          <w:rFonts w:cs="Times New Roman"/>
          <w:color w:val="000000" w:themeColor="text1"/>
          <w:szCs w:val="24"/>
        </w:rPr>
        <w:t xml:space="preserve">the </w:t>
      </w:r>
      <w:r w:rsidR="008E7BB1">
        <w:rPr>
          <w:rFonts w:cs="Times New Roman"/>
          <w:color w:val="000000" w:themeColor="text1"/>
          <w:szCs w:val="24"/>
        </w:rPr>
        <w:t xml:space="preserve">risk of </w:t>
      </w:r>
      <w:r w:rsidR="008E7BB1" w:rsidRPr="000F39F1">
        <w:rPr>
          <w:rFonts w:cs="Times New Roman"/>
          <w:color w:val="000000" w:themeColor="text1"/>
          <w:szCs w:val="24"/>
        </w:rPr>
        <w:t xml:space="preserve">diminished objectivity caused by </w:t>
      </w:r>
      <w:r w:rsidR="008E7BB1">
        <w:rPr>
          <w:rFonts w:cs="Times New Roman"/>
          <w:color w:val="000000" w:themeColor="text1"/>
          <w:szCs w:val="24"/>
        </w:rPr>
        <w:t xml:space="preserve">the potential of the disclosed interest to continue to affect the fiduciary’s decision-making process. </w:t>
      </w:r>
    </w:p>
    <w:sectPr w:rsidR="00453DF6" w:rsidSect="00486082">
      <w:footerReference w:type="default" r:id="rId8"/>
      <w:pgSz w:w="11906" w:h="16838"/>
      <w:pgMar w:top="993" w:right="1274" w:bottom="1134"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DBE14" w14:textId="77777777" w:rsidR="00422FE5" w:rsidRDefault="00422FE5">
      <w:r>
        <w:separator/>
      </w:r>
    </w:p>
  </w:endnote>
  <w:endnote w:type="continuationSeparator" w:id="0">
    <w:p w14:paraId="32844DF3" w14:textId="77777777" w:rsidR="00422FE5" w:rsidRDefault="004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0568"/>
      <w:showingPlcHdr/>
    </w:sdtPr>
    <w:sdtEndPr/>
    <w:sdtContent>
      <w:p w14:paraId="13F10EC8" w14:textId="4525E73A" w:rsidR="00422FE5" w:rsidRDefault="00B07D9E">
        <w:pPr>
          <w:pStyle w:val="Footer"/>
          <w:jc w:val="center"/>
        </w:pPr>
        <w:r>
          <w:t xml:space="preserve">     </w:t>
        </w:r>
      </w:p>
    </w:sdtContent>
  </w:sdt>
  <w:p w14:paraId="21D0D95D" w14:textId="77777777" w:rsidR="00422FE5" w:rsidRDefault="00422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F7BEE" w14:textId="77777777" w:rsidR="00422FE5" w:rsidRDefault="00422FE5">
      <w:r>
        <w:separator/>
      </w:r>
    </w:p>
  </w:footnote>
  <w:footnote w:type="continuationSeparator" w:id="0">
    <w:p w14:paraId="0CB24DAE" w14:textId="77777777" w:rsidR="00422FE5" w:rsidRDefault="0042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A55673"/>
    <w:multiLevelType w:val="singleLevel"/>
    <w:tmpl w:val="EAA5567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70C762B"/>
    <w:multiLevelType w:val="multilevel"/>
    <w:tmpl w:val="3DB83D4E"/>
    <w:lvl w:ilvl="0">
      <w:start w:val="2"/>
      <w:numFmt w:val="decimal"/>
      <w:lvlText w:val="%1"/>
      <w:lvlJc w:val="left"/>
      <w:pPr>
        <w:ind w:left="480" w:hanging="480"/>
      </w:pPr>
      <w:rPr>
        <w:rFonts w:hint="default"/>
      </w:rPr>
    </w:lvl>
    <w:lvl w:ilvl="1">
      <w:start w:val="2"/>
      <w:numFmt w:val="decimal"/>
      <w:lvlText w:val="%1.%2"/>
      <w:lvlJc w:val="left"/>
      <w:pPr>
        <w:ind w:left="1080" w:hanging="48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D6FDD7B"/>
    <w:multiLevelType w:val="singleLevel"/>
    <w:tmpl w:val="0D6FDD7B"/>
    <w:lvl w:ilvl="0">
      <w:start w:val="1"/>
      <w:numFmt w:val="bullet"/>
      <w:lvlText w:val=""/>
      <w:lvlJc w:val="left"/>
      <w:pPr>
        <w:tabs>
          <w:tab w:val="left" w:pos="840"/>
        </w:tabs>
        <w:ind w:left="840" w:hanging="420"/>
      </w:pPr>
      <w:rPr>
        <w:rFonts w:ascii="Wingdings" w:hAnsi="Wingdings" w:hint="default"/>
      </w:rPr>
    </w:lvl>
  </w:abstractNum>
  <w:abstractNum w:abstractNumId="3" w15:restartNumberingAfterBreak="0">
    <w:nsid w:val="10860B76"/>
    <w:multiLevelType w:val="hybridMultilevel"/>
    <w:tmpl w:val="FF7604F4"/>
    <w:lvl w:ilvl="0" w:tplc="E68E93D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F69BF"/>
    <w:multiLevelType w:val="hybridMultilevel"/>
    <w:tmpl w:val="3AB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A6BFD"/>
    <w:multiLevelType w:val="multilevel"/>
    <w:tmpl w:val="0D725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DB7491"/>
    <w:multiLevelType w:val="hybridMultilevel"/>
    <w:tmpl w:val="952AF854"/>
    <w:lvl w:ilvl="0" w:tplc="03DA324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F59B4"/>
    <w:multiLevelType w:val="multilevel"/>
    <w:tmpl w:val="375296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013712"/>
    <w:multiLevelType w:val="hybridMultilevel"/>
    <w:tmpl w:val="505407F4"/>
    <w:lvl w:ilvl="0" w:tplc="08F87DEC">
      <w:numFmt w:val="bullet"/>
      <w:lvlText w:val="-"/>
      <w:lvlJc w:val="left"/>
      <w:pPr>
        <w:ind w:left="720" w:hanging="360"/>
      </w:pPr>
      <w:rPr>
        <w:rFonts w:ascii="Times New Roman" w:eastAsiaTheme="minorEastAsia"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255BB"/>
    <w:multiLevelType w:val="hybridMultilevel"/>
    <w:tmpl w:val="79449F84"/>
    <w:lvl w:ilvl="0" w:tplc="3B50F1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55619"/>
    <w:multiLevelType w:val="multilevel"/>
    <w:tmpl w:val="44E55619"/>
    <w:lvl w:ilvl="0">
      <w:start w:val="45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7B3F7E"/>
    <w:multiLevelType w:val="multilevel"/>
    <w:tmpl w:val="2D8E1BB2"/>
    <w:lvl w:ilvl="0">
      <w:start w:val="2"/>
      <w:numFmt w:val="decimal"/>
      <w:lvlText w:val="%1"/>
      <w:lvlJc w:val="left"/>
      <w:pPr>
        <w:ind w:left="360" w:hanging="360"/>
      </w:pPr>
      <w:rPr>
        <w:rFonts w:eastAsiaTheme="minorEastAsia" w:hint="default"/>
        <w:color w:val="000000" w:themeColor="text1"/>
      </w:rPr>
    </w:lvl>
    <w:lvl w:ilvl="1">
      <w:start w:val="1"/>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12" w15:restartNumberingAfterBreak="0">
    <w:nsid w:val="45CC5B18"/>
    <w:multiLevelType w:val="hybridMultilevel"/>
    <w:tmpl w:val="E0B4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E624C"/>
    <w:multiLevelType w:val="hybridMultilevel"/>
    <w:tmpl w:val="67F8FADA"/>
    <w:lvl w:ilvl="0" w:tplc="7780F292">
      <w:start w:val="1"/>
      <w:numFmt w:val="bullet"/>
      <w:pStyle w:val="Heading5"/>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5199132F"/>
    <w:multiLevelType w:val="hybridMultilevel"/>
    <w:tmpl w:val="511617B2"/>
    <w:lvl w:ilvl="0" w:tplc="35BE22B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9"/>
  </w:num>
  <w:num w:numId="5">
    <w:abstractNumId w:val="13"/>
  </w:num>
  <w:num w:numId="6">
    <w:abstractNumId w:val="3"/>
  </w:num>
  <w:num w:numId="7">
    <w:abstractNumId w:val="14"/>
  </w:num>
  <w:num w:numId="8">
    <w:abstractNumId w:val="11"/>
  </w:num>
  <w:num w:numId="9">
    <w:abstractNumId w:val="7"/>
  </w:num>
  <w:num w:numId="10">
    <w:abstractNumId w:val="5"/>
  </w:num>
  <w:num w:numId="11">
    <w:abstractNumId w:val="1"/>
  </w:num>
  <w:num w:numId="12">
    <w:abstractNumId w:val="4"/>
  </w:num>
  <w:num w:numId="13">
    <w:abstractNumId w:val="1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5C"/>
    <w:rsid w:val="00001487"/>
    <w:rsid w:val="00001626"/>
    <w:rsid w:val="000049D4"/>
    <w:rsid w:val="000051BC"/>
    <w:rsid w:val="00007CE2"/>
    <w:rsid w:val="00012CB0"/>
    <w:rsid w:val="00020C28"/>
    <w:rsid w:val="00021BE8"/>
    <w:rsid w:val="000245A6"/>
    <w:rsid w:val="000261F4"/>
    <w:rsid w:val="000315C7"/>
    <w:rsid w:val="00034B33"/>
    <w:rsid w:val="0003566C"/>
    <w:rsid w:val="0004392C"/>
    <w:rsid w:val="00043B82"/>
    <w:rsid w:val="000511A5"/>
    <w:rsid w:val="00052DD1"/>
    <w:rsid w:val="000538F2"/>
    <w:rsid w:val="00057253"/>
    <w:rsid w:val="000579EF"/>
    <w:rsid w:val="00060987"/>
    <w:rsid w:val="000622F2"/>
    <w:rsid w:val="00063422"/>
    <w:rsid w:val="00064A52"/>
    <w:rsid w:val="000665C5"/>
    <w:rsid w:val="000677C5"/>
    <w:rsid w:val="00076042"/>
    <w:rsid w:val="0007625B"/>
    <w:rsid w:val="000841AD"/>
    <w:rsid w:val="00084E6E"/>
    <w:rsid w:val="0009384A"/>
    <w:rsid w:val="00096D94"/>
    <w:rsid w:val="000A054E"/>
    <w:rsid w:val="000A506C"/>
    <w:rsid w:val="000A7051"/>
    <w:rsid w:val="000B1FF6"/>
    <w:rsid w:val="000B6366"/>
    <w:rsid w:val="000C4ADD"/>
    <w:rsid w:val="000C75BE"/>
    <w:rsid w:val="000D046E"/>
    <w:rsid w:val="000D0ADF"/>
    <w:rsid w:val="000E0940"/>
    <w:rsid w:val="000E5541"/>
    <w:rsid w:val="000E645D"/>
    <w:rsid w:val="000E7A58"/>
    <w:rsid w:val="000F39F1"/>
    <w:rsid w:val="000F4831"/>
    <w:rsid w:val="000F5651"/>
    <w:rsid w:val="00105656"/>
    <w:rsid w:val="001077D0"/>
    <w:rsid w:val="0011264A"/>
    <w:rsid w:val="00113590"/>
    <w:rsid w:val="0011536F"/>
    <w:rsid w:val="001211EC"/>
    <w:rsid w:val="0012301F"/>
    <w:rsid w:val="00125956"/>
    <w:rsid w:val="00125F3A"/>
    <w:rsid w:val="00130BCC"/>
    <w:rsid w:val="0013370C"/>
    <w:rsid w:val="00134322"/>
    <w:rsid w:val="00134492"/>
    <w:rsid w:val="00134FD0"/>
    <w:rsid w:val="00140258"/>
    <w:rsid w:val="001450DB"/>
    <w:rsid w:val="00146723"/>
    <w:rsid w:val="00146C53"/>
    <w:rsid w:val="00151EFE"/>
    <w:rsid w:val="00156A4C"/>
    <w:rsid w:val="00156A83"/>
    <w:rsid w:val="0015756E"/>
    <w:rsid w:val="00161134"/>
    <w:rsid w:val="00161309"/>
    <w:rsid w:val="0016209D"/>
    <w:rsid w:val="001650D3"/>
    <w:rsid w:val="001658E5"/>
    <w:rsid w:val="001713E6"/>
    <w:rsid w:val="0017551C"/>
    <w:rsid w:val="00175AC0"/>
    <w:rsid w:val="00181D9E"/>
    <w:rsid w:val="00184114"/>
    <w:rsid w:val="00187674"/>
    <w:rsid w:val="00190E8B"/>
    <w:rsid w:val="0019113D"/>
    <w:rsid w:val="001923A9"/>
    <w:rsid w:val="001934C8"/>
    <w:rsid w:val="001A1620"/>
    <w:rsid w:val="001A28DF"/>
    <w:rsid w:val="001B2AE4"/>
    <w:rsid w:val="001B560B"/>
    <w:rsid w:val="001B7E96"/>
    <w:rsid w:val="001C03FA"/>
    <w:rsid w:val="001C7418"/>
    <w:rsid w:val="001C7DBC"/>
    <w:rsid w:val="001D01D1"/>
    <w:rsid w:val="001D6E04"/>
    <w:rsid w:val="001D71A6"/>
    <w:rsid w:val="001E3287"/>
    <w:rsid w:val="001E398F"/>
    <w:rsid w:val="001E5801"/>
    <w:rsid w:val="001E5CB1"/>
    <w:rsid w:val="001F25EB"/>
    <w:rsid w:val="001F5654"/>
    <w:rsid w:val="00205C52"/>
    <w:rsid w:val="00211871"/>
    <w:rsid w:val="00212E90"/>
    <w:rsid w:val="00217E64"/>
    <w:rsid w:val="00222A3B"/>
    <w:rsid w:val="00224DC0"/>
    <w:rsid w:val="0022568D"/>
    <w:rsid w:val="00226D31"/>
    <w:rsid w:val="002320A0"/>
    <w:rsid w:val="00235B9D"/>
    <w:rsid w:val="00235DE8"/>
    <w:rsid w:val="002422AE"/>
    <w:rsid w:val="00245854"/>
    <w:rsid w:val="00245B25"/>
    <w:rsid w:val="00252B49"/>
    <w:rsid w:val="0025701B"/>
    <w:rsid w:val="00260170"/>
    <w:rsid w:val="002664E3"/>
    <w:rsid w:val="00266809"/>
    <w:rsid w:val="002720FB"/>
    <w:rsid w:val="00273822"/>
    <w:rsid w:val="0028001B"/>
    <w:rsid w:val="00282C52"/>
    <w:rsid w:val="00287EAE"/>
    <w:rsid w:val="00287F61"/>
    <w:rsid w:val="002912D4"/>
    <w:rsid w:val="00294A75"/>
    <w:rsid w:val="0029542E"/>
    <w:rsid w:val="00297887"/>
    <w:rsid w:val="002A135D"/>
    <w:rsid w:val="002A461F"/>
    <w:rsid w:val="002B14B4"/>
    <w:rsid w:val="002B2D6E"/>
    <w:rsid w:val="002C3783"/>
    <w:rsid w:val="002C3D34"/>
    <w:rsid w:val="002C5C7A"/>
    <w:rsid w:val="002D2964"/>
    <w:rsid w:val="002D3263"/>
    <w:rsid w:val="002D3724"/>
    <w:rsid w:val="002D67CB"/>
    <w:rsid w:val="002D6C3D"/>
    <w:rsid w:val="002E0223"/>
    <w:rsid w:val="002E1A24"/>
    <w:rsid w:val="002E2BE9"/>
    <w:rsid w:val="002E6F68"/>
    <w:rsid w:val="002E7053"/>
    <w:rsid w:val="002E7298"/>
    <w:rsid w:val="002E7932"/>
    <w:rsid w:val="002F0A18"/>
    <w:rsid w:val="002F1E12"/>
    <w:rsid w:val="002F42A6"/>
    <w:rsid w:val="002F545F"/>
    <w:rsid w:val="002F78DF"/>
    <w:rsid w:val="00306B45"/>
    <w:rsid w:val="003073BD"/>
    <w:rsid w:val="00310B89"/>
    <w:rsid w:val="00314564"/>
    <w:rsid w:val="0031672F"/>
    <w:rsid w:val="00316B3F"/>
    <w:rsid w:val="003206A9"/>
    <w:rsid w:val="00321996"/>
    <w:rsid w:val="00322551"/>
    <w:rsid w:val="0032429E"/>
    <w:rsid w:val="00331BE3"/>
    <w:rsid w:val="00335B6A"/>
    <w:rsid w:val="003378D5"/>
    <w:rsid w:val="00342817"/>
    <w:rsid w:val="00344936"/>
    <w:rsid w:val="00347D75"/>
    <w:rsid w:val="003549E2"/>
    <w:rsid w:val="003564E1"/>
    <w:rsid w:val="00360A16"/>
    <w:rsid w:val="00361840"/>
    <w:rsid w:val="0036416B"/>
    <w:rsid w:val="003662B3"/>
    <w:rsid w:val="003671D9"/>
    <w:rsid w:val="003710A8"/>
    <w:rsid w:val="00371D48"/>
    <w:rsid w:val="00376105"/>
    <w:rsid w:val="003827BC"/>
    <w:rsid w:val="00382CD6"/>
    <w:rsid w:val="00383543"/>
    <w:rsid w:val="00385AAC"/>
    <w:rsid w:val="00392647"/>
    <w:rsid w:val="00396294"/>
    <w:rsid w:val="0039749B"/>
    <w:rsid w:val="003B31A4"/>
    <w:rsid w:val="003B475D"/>
    <w:rsid w:val="003B5953"/>
    <w:rsid w:val="003B625C"/>
    <w:rsid w:val="003B7683"/>
    <w:rsid w:val="003C0277"/>
    <w:rsid w:val="003C0B88"/>
    <w:rsid w:val="003C2D57"/>
    <w:rsid w:val="003C4626"/>
    <w:rsid w:val="003C7AF3"/>
    <w:rsid w:val="003D0DFD"/>
    <w:rsid w:val="003D3F2C"/>
    <w:rsid w:val="003E1B0E"/>
    <w:rsid w:val="003E5080"/>
    <w:rsid w:val="003F1A0D"/>
    <w:rsid w:val="003F23FC"/>
    <w:rsid w:val="003F4510"/>
    <w:rsid w:val="003F46B9"/>
    <w:rsid w:val="003F5CF6"/>
    <w:rsid w:val="003F6138"/>
    <w:rsid w:val="003F64DB"/>
    <w:rsid w:val="004004BE"/>
    <w:rsid w:val="00405AD6"/>
    <w:rsid w:val="00405F8E"/>
    <w:rsid w:val="00406A11"/>
    <w:rsid w:val="00411661"/>
    <w:rsid w:val="0042018D"/>
    <w:rsid w:val="004219AE"/>
    <w:rsid w:val="00422FE5"/>
    <w:rsid w:val="00425B51"/>
    <w:rsid w:val="004301CF"/>
    <w:rsid w:val="00431188"/>
    <w:rsid w:val="004355BF"/>
    <w:rsid w:val="00436778"/>
    <w:rsid w:val="004424F7"/>
    <w:rsid w:val="00445D32"/>
    <w:rsid w:val="004500A3"/>
    <w:rsid w:val="00451536"/>
    <w:rsid w:val="0045179B"/>
    <w:rsid w:val="00453DF6"/>
    <w:rsid w:val="0046321D"/>
    <w:rsid w:val="00463599"/>
    <w:rsid w:val="00472305"/>
    <w:rsid w:val="00472F03"/>
    <w:rsid w:val="00473B98"/>
    <w:rsid w:val="00476776"/>
    <w:rsid w:val="00480B96"/>
    <w:rsid w:val="00486082"/>
    <w:rsid w:val="0049082F"/>
    <w:rsid w:val="004914FE"/>
    <w:rsid w:val="004916A4"/>
    <w:rsid w:val="00493086"/>
    <w:rsid w:val="00493326"/>
    <w:rsid w:val="00495288"/>
    <w:rsid w:val="004A217F"/>
    <w:rsid w:val="004A3862"/>
    <w:rsid w:val="004A6628"/>
    <w:rsid w:val="004B6075"/>
    <w:rsid w:val="004B6D40"/>
    <w:rsid w:val="004C2067"/>
    <w:rsid w:val="004C2AFF"/>
    <w:rsid w:val="004C3009"/>
    <w:rsid w:val="004C6C67"/>
    <w:rsid w:val="004C733E"/>
    <w:rsid w:val="004C766B"/>
    <w:rsid w:val="004D260F"/>
    <w:rsid w:val="004D3140"/>
    <w:rsid w:val="004D3518"/>
    <w:rsid w:val="004D5B14"/>
    <w:rsid w:val="004D76CB"/>
    <w:rsid w:val="004E1B1D"/>
    <w:rsid w:val="004E222C"/>
    <w:rsid w:val="004E4031"/>
    <w:rsid w:val="004E6238"/>
    <w:rsid w:val="004E6630"/>
    <w:rsid w:val="004E76DD"/>
    <w:rsid w:val="004F0019"/>
    <w:rsid w:val="004F41CF"/>
    <w:rsid w:val="005000E7"/>
    <w:rsid w:val="0050348A"/>
    <w:rsid w:val="005048B6"/>
    <w:rsid w:val="0050504D"/>
    <w:rsid w:val="00505BDC"/>
    <w:rsid w:val="005079A3"/>
    <w:rsid w:val="00525D5E"/>
    <w:rsid w:val="00526FDF"/>
    <w:rsid w:val="00532D62"/>
    <w:rsid w:val="0053455F"/>
    <w:rsid w:val="0053594D"/>
    <w:rsid w:val="00541FFC"/>
    <w:rsid w:val="00542CAB"/>
    <w:rsid w:val="00544049"/>
    <w:rsid w:val="005450A9"/>
    <w:rsid w:val="005529DB"/>
    <w:rsid w:val="00552F9D"/>
    <w:rsid w:val="005535C8"/>
    <w:rsid w:val="00553BEB"/>
    <w:rsid w:val="00562958"/>
    <w:rsid w:val="00563E59"/>
    <w:rsid w:val="005641DD"/>
    <w:rsid w:val="00565F6A"/>
    <w:rsid w:val="00571FA7"/>
    <w:rsid w:val="00581DFA"/>
    <w:rsid w:val="00582D30"/>
    <w:rsid w:val="00583238"/>
    <w:rsid w:val="00586F8B"/>
    <w:rsid w:val="00587623"/>
    <w:rsid w:val="00587F25"/>
    <w:rsid w:val="00593754"/>
    <w:rsid w:val="00594820"/>
    <w:rsid w:val="00595DF8"/>
    <w:rsid w:val="005A624B"/>
    <w:rsid w:val="005B1E47"/>
    <w:rsid w:val="005B2754"/>
    <w:rsid w:val="005B5018"/>
    <w:rsid w:val="005C252F"/>
    <w:rsid w:val="005C3443"/>
    <w:rsid w:val="005C413F"/>
    <w:rsid w:val="005C78B5"/>
    <w:rsid w:val="005D7C47"/>
    <w:rsid w:val="005E03A0"/>
    <w:rsid w:val="005E2435"/>
    <w:rsid w:val="005F2B89"/>
    <w:rsid w:val="005F4C90"/>
    <w:rsid w:val="00604248"/>
    <w:rsid w:val="0060735B"/>
    <w:rsid w:val="00612564"/>
    <w:rsid w:val="00613F36"/>
    <w:rsid w:val="00615C61"/>
    <w:rsid w:val="006203EE"/>
    <w:rsid w:val="00620431"/>
    <w:rsid w:val="006215CE"/>
    <w:rsid w:val="00625A46"/>
    <w:rsid w:val="00625E2E"/>
    <w:rsid w:val="006332AE"/>
    <w:rsid w:val="006337F4"/>
    <w:rsid w:val="00635FE8"/>
    <w:rsid w:val="00640B56"/>
    <w:rsid w:val="00650D04"/>
    <w:rsid w:val="0065149F"/>
    <w:rsid w:val="00651D1C"/>
    <w:rsid w:val="00654D68"/>
    <w:rsid w:val="006552CC"/>
    <w:rsid w:val="00657265"/>
    <w:rsid w:val="00661542"/>
    <w:rsid w:val="0066334A"/>
    <w:rsid w:val="00664C41"/>
    <w:rsid w:val="00675987"/>
    <w:rsid w:val="00677FD6"/>
    <w:rsid w:val="00683F19"/>
    <w:rsid w:val="006857DD"/>
    <w:rsid w:val="00685BC4"/>
    <w:rsid w:val="006874D7"/>
    <w:rsid w:val="006909E4"/>
    <w:rsid w:val="00694503"/>
    <w:rsid w:val="00697700"/>
    <w:rsid w:val="006A227B"/>
    <w:rsid w:val="006A2D8C"/>
    <w:rsid w:val="006A2E0A"/>
    <w:rsid w:val="006A78F3"/>
    <w:rsid w:val="006B757D"/>
    <w:rsid w:val="006C1D19"/>
    <w:rsid w:val="006D18EB"/>
    <w:rsid w:val="006D1F72"/>
    <w:rsid w:val="006D306C"/>
    <w:rsid w:val="006D44B3"/>
    <w:rsid w:val="006E0211"/>
    <w:rsid w:val="006E11F6"/>
    <w:rsid w:val="006E38BF"/>
    <w:rsid w:val="006E784D"/>
    <w:rsid w:val="006E7ACD"/>
    <w:rsid w:val="006F399E"/>
    <w:rsid w:val="006F5341"/>
    <w:rsid w:val="0070452C"/>
    <w:rsid w:val="00705E40"/>
    <w:rsid w:val="00711C9E"/>
    <w:rsid w:val="0071466D"/>
    <w:rsid w:val="00716CCD"/>
    <w:rsid w:val="00717AFE"/>
    <w:rsid w:val="00717EBF"/>
    <w:rsid w:val="00721DEB"/>
    <w:rsid w:val="00722316"/>
    <w:rsid w:val="0072634C"/>
    <w:rsid w:val="00731634"/>
    <w:rsid w:val="00732CE9"/>
    <w:rsid w:val="007346FB"/>
    <w:rsid w:val="00742041"/>
    <w:rsid w:val="00744ECD"/>
    <w:rsid w:val="00745226"/>
    <w:rsid w:val="00750663"/>
    <w:rsid w:val="00750A95"/>
    <w:rsid w:val="00754751"/>
    <w:rsid w:val="00757631"/>
    <w:rsid w:val="00760BA1"/>
    <w:rsid w:val="00763747"/>
    <w:rsid w:val="0076401D"/>
    <w:rsid w:val="0077068A"/>
    <w:rsid w:val="00770EA7"/>
    <w:rsid w:val="00773AC9"/>
    <w:rsid w:val="00774236"/>
    <w:rsid w:val="0077527E"/>
    <w:rsid w:val="00782A37"/>
    <w:rsid w:val="00783C8A"/>
    <w:rsid w:val="00786002"/>
    <w:rsid w:val="00792102"/>
    <w:rsid w:val="007948D2"/>
    <w:rsid w:val="007A646A"/>
    <w:rsid w:val="007B03FE"/>
    <w:rsid w:val="007B13B1"/>
    <w:rsid w:val="007B1C2F"/>
    <w:rsid w:val="007C0C97"/>
    <w:rsid w:val="007C0DF3"/>
    <w:rsid w:val="007C20E4"/>
    <w:rsid w:val="007C594C"/>
    <w:rsid w:val="007D3422"/>
    <w:rsid w:val="007D6084"/>
    <w:rsid w:val="007E062A"/>
    <w:rsid w:val="007E453A"/>
    <w:rsid w:val="007F03F6"/>
    <w:rsid w:val="007F51A1"/>
    <w:rsid w:val="0080159F"/>
    <w:rsid w:val="008020A5"/>
    <w:rsid w:val="00803E4B"/>
    <w:rsid w:val="00803EC0"/>
    <w:rsid w:val="00807838"/>
    <w:rsid w:val="0081306C"/>
    <w:rsid w:val="008165B0"/>
    <w:rsid w:val="0081665F"/>
    <w:rsid w:val="00820A80"/>
    <w:rsid w:val="00824ABD"/>
    <w:rsid w:val="008319C5"/>
    <w:rsid w:val="008344BF"/>
    <w:rsid w:val="00835211"/>
    <w:rsid w:val="008401F0"/>
    <w:rsid w:val="00840CCB"/>
    <w:rsid w:val="00842CE7"/>
    <w:rsid w:val="008431AA"/>
    <w:rsid w:val="00844FDF"/>
    <w:rsid w:val="0085033B"/>
    <w:rsid w:val="00855B80"/>
    <w:rsid w:val="00855E76"/>
    <w:rsid w:val="0086064F"/>
    <w:rsid w:val="00865B06"/>
    <w:rsid w:val="00865BF2"/>
    <w:rsid w:val="00867E47"/>
    <w:rsid w:val="00871D2B"/>
    <w:rsid w:val="00874539"/>
    <w:rsid w:val="00875590"/>
    <w:rsid w:val="008761E1"/>
    <w:rsid w:val="00885848"/>
    <w:rsid w:val="00887493"/>
    <w:rsid w:val="008967F8"/>
    <w:rsid w:val="008970C1"/>
    <w:rsid w:val="008A1FF9"/>
    <w:rsid w:val="008A2483"/>
    <w:rsid w:val="008B18E8"/>
    <w:rsid w:val="008B50DE"/>
    <w:rsid w:val="008C0CCA"/>
    <w:rsid w:val="008C169F"/>
    <w:rsid w:val="008C4AE6"/>
    <w:rsid w:val="008C74A4"/>
    <w:rsid w:val="008D39FB"/>
    <w:rsid w:val="008D3FEA"/>
    <w:rsid w:val="008D6884"/>
    <w:rsid w:val="008E1BF2"/>
    <w:rsid w:val="008E2B8B"/>
    <w:rsid w:val="008E33A7"/>
    <w:rsid w:val="008E4F46"/>
    <w:rsid w:val="008E4F8C"/>
    <w:rsid w:val="008E54FC"/>
    <w:rsid w:val="008E58C3"/>
    <w:rsid w:val="008E77D3"/>
    <w:rsid w:val="008E7BB1"/>
    <w:rsid w:val="008F06C0"/>
    <w:rsid w:val="008F23C8"/>
    <w:rsid w:val="008F63C7"/>
    <w:rsid w:val="00900B36"/>
    <w:rsid w:val="00901252"/>
    <w:rsid w:val="00903898"/>
    <w:rsid w:val="009048B7"/>
    <w:rsid w:val="009076F7"/>
    <w:rsid w:val="00911C9F"/>
    <w:rsid w:val="00912DC8"/>
    <w:rsid w:val="009148F2"/>
    <w:rsid w:val="009227A7"/>
    <w:rsid w:val="00922AB6"/>
    <w:rsid w:val="009275C8"/>
    <w:rsid w:val="00933314"/>
    <w:rsid w:val="009408DE"/>
    <w:rsid w:val="00940B1F"/>
    <w:rsid w:val="00941192"/>
    <w:rsid w:val="00942B7D"/>
    <w:rsid w:val="00943BEF"/>
    <w:rsid w:val="00944E3E"/>
    <w:rsid w:val="009457C6"/>
    <w:rsid w:val="00954A8E"/>
    <w:rsid w:val="009567FC"/>
    <w:rsid w:val="009575F8"/>
    <w:rsid w:val="009611FC"/>
    <w:rsid w:val="0096178C"/>
    <w:rsid w:val="0096413B"/>
    <w:rsid w:val="00970481"/>
    <w:rsid w:val="00973D2F"/>
    <w:rsid w:val="00984620"/>
    <w:rsid w:val="00984C07"/>
    <w:rsid w:val="00985D9E"/>
    <w:rsid w:val="00986E25"/>
    <w:rsid w:val="00987088"/>
    <w:rsid w:val="009879A7"/>
    <w:rsid w:val="00990C2B"/>
    <w:rsid w:val="009A02EB"/>
    <w:rsid w:val="009A0712"/>
    <w:rsid w:val="009A4EDC"/>
    <w:rsid w:val="009A556C"/>
    <w:rsid w:val="009A7C46"/>
    <w:rsid w:val="009B5E74"/>
    <w:rsid w:val="009B656E"/>
    <w:rsid w:val="009B7C0F"/>
    <w:rsid w:val="009C2F32"/>
    <w:rsid w:val="009C4167"/>
    <w:rsid w:val="009C6DF7"/>
    <w:rsid w:val="009D131A"/>
    <w:rsid w:val="009D4095"/>
    <w:rsid w:val="009D5D2A"/>
    <w:rsid w:val="009E3E38"/>
    <w:rsid w:val="009E5EC0"/>
    <w:rsid w:val="009E5F68"/>
    <w:rsid w:val="009E5F6E"/>
    <w:rsid w:val="009E7138"/>
    <w:rsid w:val="009F108B"/>
    <w:rsid w:val="009F6C84"/>
    <w:rsid w:val="00A02B73"/>
    <w:rsid w:val="00A042B7"/>
    <w:rsid w:val="00A0671A"/>
    <w:rsid w:val="00A067CB"/>
    <w:rsid w:val="00A10DE3"/>
    <w:rsid w:val="00A1338C"/>
    <w:rsid w:val="00A14A11"/>
    <w:rsid w:val="00A1518E"/>
    <w:rsid w:val="00A15407"/>
    <w:rsid w:val="00A175A5"/>
    <w:rsid w:val="00A20C47"/>
    <w:rsid w:val="00A21E3A"/>
    <w:rsid w:val="00A24C0F"/>
    <w:rsid w:val="00A26AD2"/>
    <w:rsid w:val="00A26C8B"/>
    <w:rsid w:val="00A35D51"/>
    <w:rsid w:val="00A37E53"/>
    <w:rsid w:val="00A41C9F"/>
    <w:rsid w:val="00A420B2"/>
    <w:rsid w:val="00A427A0"/>
    <w:rsid w:val="00A4526F"/>
    <w:rsid w:val="00A45F8B"/>
    <w:rsid w:val="00A46675"/>
    <w:rsid w:val="00A5335F"/>
    <w:rsid w:val="00A540F5"/>
    <w:rsid w:val="00A5499D"/>
    <w:rsid w:val="00A56DFC"/>
    <w:rsid w:val="00A575AB"/>
    <w:rsid w:val="00A61703"/>
    <w:rsid w:val="00A648BE"/>
    <w:rsid w:val="00A65798"/>
    <w:rsid w:val="00A657A7"/>
    <w:rsid w:val="00A67D1D"/>
    <w:rsid w:val="00A742CF"/>
    <w:rsid w:val="00A75D87"/>
    <w:rsid w:val="00A847BA"/>
    <w:rsid w:val="00A87F5D"/>
    <w:rsid w:val="00A92A2D"/>
    <w:rsid w:val="00A93C2A"/>
    <w:rsid w:val="00AA0118"/>
    <w:rsid w:val="00AA513A"/>
    <w:rsid w:val="00AB20DD"/>
    <w:rsid w:val="00AB478D"/>
    <w:rsid w:val="00AB4DFA"/>
    <w:rsid w:val="00AB58B0"/>
    <w:rsid w:val="00AC0D4B"/>
    <w:rsid w:val="00AC23B4"/>
    <w:rsid w:val="00AC7F91"/>
    <w:rsid w:val="00AD5B7B"/>
    <w:rsid w:val="00AE09D9"/>
    <w:rsid w:val="00AE322F"/>
    <w:rsid w:val="00AE624C"/>
    <w:rsid w:val="00AF1E28"/>
    <w:rsid w:val="00AF2BED"/>
    <w:rsid w:val="00B07D9E"/>
    <w:rsid w:val="00B17C48"/>
    <w:rsid w:val="00B2019D"/>
    <w:rsid w:val="00B22F8D"/>
    <w:rsid w:val="00B23E97"/>
    <w:rsid w:val="00B24F21"/>
    <w:rsid w:val="00B25131"/>
    <w:rsid w:val="00B30C51"/>
    <w:rsid w:val="00B33AC8"/>
    <w:rsid w:val="00B34C2E"/>
    <w:rsid w:val="00B40322"/>
    <w:rsid w:val="00B4198C"/>
    <w:rsid w:val="00B44E73"/>
    <w:rsid w:val="00B47A82"/>
    <w:rsid w:val="00B529F5"/>
    <w:rsid w:val="00B54458"/>
    <w:rsid w:val="00B70E15"/>
    <w:rsid w:val="00B710E4"/>
    <w:rsid w:val="00B7115B"/>
    <w:rsid w:val="00B72ABE"/>
    <w:rsid w:val="00B7631E"/>
    <w:rsid w:val="00B8130C"/>
    <w:rsid w:val="00B82519"/>
    <w:rsid w:val="00B83AC5"/>
    <w:rsid w:val="00B870C0"/>
    <w:rsid w:val="00B87DE7"/>
    <w:rsid w:val="00B93F1C"/>
    <w:rsid w:val="00B97ADD"/>
    <w:rsid w:val="00BA1B28"/>
    <w:rsid w:val="00BA2F5B"/>
    <w:rsid w:val="00BA793F"/>
    <w:rsid w:val="00BA79F4"/>
    <w:rsid w:val="00BB20A9"/>
    <w:rsid w:val="00BB2640"/>
    <w:rsid w:val="00BB2A7D"/>
    <w:rsid w:val="00BB40C4"/>
    <w:rsid w:val="00BC2B26"/>
    <w:rsid w:val="00BC5053"/>
    <w:rsid w:val="00BC605C"/>
    <w:rsid w:val="00BD007C"/>
    <w:rsid w:val="00BD1F5B"/>
    <w:rsid w:val="00BD3184"/>
    <w:rsid w:val="00BD67E8"/>
    <w:rsid w:val="00BD6B2A"/>
    <w:rsid w:val="00BE179F"/>
    <w:rsid w:val="00BE62A3"/>
    <w:rsid w:val="00BF79A3"/>
    <w:rsid w:val="00C004D0"/>
    <w:rsid w:val="00C0361D"/>
    <w:rsid w:val="00C05462"/>
    <w:rsid w:val="00C11499"/>
    <w:rsid w:val="00C11989"/>
    <w:rsid w:val="00C22313"/>
    <w:rsid w:val="00C35EFB"/>
    <w:rsid w:val="00C41206"/>
    <w:rsid w:val="00C4619E"/>
    <w:rsid w:val="00C500FC"/>
    <w:rsid w:val="00C51C4E"/>
    <w:rsid w:val="00C526E3"/>
    <w:rsid w:val="00C53426"/>
    <w:rsid w:val="00C53B89"/>
    <w:rsid w:val="00C5534F"/>
    <w:rsid w:val="00C642AB"/>
    <w:rsid w:val="00C66BCB"/>
    <w:rsid w:val="00C7063F"/>
    <w:rsid w:val="00C70E37"/>
    <w:rsid w:val="00C73FFB"/>
    <w:rsid w:val="00C74A3C"/>
    <w:rsid w:val="00C77AC2"/>
    <w:rsid w:val="00C82066"/>
    <w:rsid w:val="00C83ED4"/>
    <w:rsid w:val="00C923B2"/>
    <w:rsid w:val="00C96D5F"/>
    <w:rsid w:val="00C970C3"/>
    <w:rsid w:val="00CA2674"/>
    <w:rsid w:val="00CA34B5"/>
    <w:rsid w:val="00CA4BFD"/>
    <w:rsid w:val="00CB07A0"/>
    <w:rsid w:val="00CB0974"/>
    <w:rsid w:val="00CB0CB9"/>
    <w:rsid w:val="00CB2B2C"/>
    <w:rsid w:val="00CB3F9E"/>
    <w:rsid w:val="00CB46E8"/>
    <w:rsid w:val="00CC0922"/>
    <w:rsid w:val="00CC39A5"/>
    <w:rsid w:val="00CC54A5"/>
    <w:rsid w:val="00CC5990"/>
    <w:rsid w:val="00CC669D"/>
    <w:rsid w:val="00CC75B1"/>
    <w:rsid w:val="00CD578B"/>
    <w:rsid w:val="00CE04C7"/>
    <w:rsid w:val="00CE14C1"/>
    <w:rsid w:val="00CE2754"/>
    <w:rsid w:val="00CE2E74"/>
    <w:rsid w:val="00CE47DC"/>
    <w:rsid w:val="00CE5D48"/>
    <w:rsid w:val="00CE6582"/>
    <w:rsid w:val="00CE72D8"/>
    <w:rsid w:val="00CE7CFC"/>
    <w:rsid w:val="00CF46A1"/>
    <w:rsid w:val="00CF6B84"/>
    <w:rsid w:val="00CF7466"/>
    <w:rsid w:val="00D037FC"/>
    <w:rsid w:val="00D05066"/>
    <w:rsid w:val="00D05FEE"/>
    <w:rsid w:val="00D2540D"/>
    <w:rsid w:val="00D26690"/>
    <w:rsid w:val="00D35DAC"/>
    <w:rsid w:val="00D3786B"/>
    <w:rsid w:val="00D44475"/>
    <w:rsid w:val="00D45114"/>
    <w:rsid w:val="00D54C71"/>
    <w:rsid w:val="00D554BB"/>
    <w:rsid w:val="00D7543A"/>
    <w:rsid w:val="00D770AE"/>
    <w:rsid w:val="00D80A0F"/>
    <w:rsid w:val="00D81626"/>
    <w:rsid w:val="00D82F38"/>
    <w:rsid w:val="00D8561B"/>
    <w:rsid w:val="00D85C01"/>
    <w:rsid w:val="00D86B9E"/>
    <w:rsid w:val="00D87E42"/>
    <w:rsid w:val="00D9166A"/>
    <w:rsid w:val="00D91F62"/>
    <w:rsid w:val="00D930C4"/>
    <w:rsid w:val="00D93763"/>
    <w:rsid w:val="00DA5F8E"/>
    <w:rsid w:val="00DB101B"/>
    <w:rsid w:val="00DC15DE"/>
    <w:rsid w:val="00DC1BD9"/>
    <w:rsid w:val="00DC3387"/>
    <w:rsid w:val="00DC34FC"/>
    <w:rsid w:val="00DC580F"/>
    <w:rsid w:val="00DC5CCE"/>
    <w:rsid w:val="00DD13D6"/>
    <w:rsid w:val="00DD55EA"/>
    <w:rsid w:val="00DE27B6"/>
    <w:rsid w:val="00DE4E53"/>
    <w:rsid w:val="00DE5DB7"/>
    <w:rsid w:val="00DF0C24"/>
    <w:rsid w:val="00E0394E"/>
    <w:rsid w:val="00E05515"/>
    <w:rsid w:val="00E06804"/>
    <w:rsid w:val="00E06958"/>
    <w:rsid w:val="00E11FBB"/>
    <w:rsid w:val="00E140D6"/>
    <w:rsid w:val="00E216C9"/>
    <w:rsid w:val="00E240A6"/>
    <w:rsid w:val="00E30EBA"/>
    <w:rsid w:val="00E323DD"/>
    <w:rsid w:val="00E34C6F"/>
    <w:rsid w:val="00E41C27"/>
    <w:rsid w:val="00E42831"/>
    <w:rsid w:val="00E45B1F"/>
    <w:rsid w:val="00E45CC7"/>
    <w:rsid w:val="00E54483"/>
    <w:rsid w:val="00E57BD4"/>
    <w:rsid w:val="00E6134E"/>
    <w:rsid w:val="00E638E6"/>
    <w:rsid w:val="00E656B6"/>
    <w:rsid w:val="00E822C6"/>
    <w:rsid w:val="00E94516"/>
    <w:rsid w:val="00E94BBD"/>
    <w:rsid w:val="00E96E86"/>
    <w:rsid w:val="00EA5AC7"/>
    <w:rsid w:val="00EA7FE9"/>
    <w:rsid w:val="00EB0BB1"/>
    <w:rsid w:val="00EC68BB"/>
    <w:rsid w:val="00EC7D70"/>
    <w:rsid w:val="00ED4EBD"/>
    <w:rsid w:val="00ED7600"/>
    <w:rsid w:val="00EE025C"/>
    <w:rsid w:val="00EE175F"/>
    <w:rsid w:val="00EE2DC0"/>
    <w:rsid w:val="00EE55CA"/>
    <w:rsid w:val="00EF6801"/>
    <w:rsid w:val="00EF7FD3"/>
    <w:rsid w:val="00F031B8"/>
    <w:rsid w:val="00F10725"/>
    <w:rsid w:val="00F10CE3"/>
    <w:rsid w:val="00F1313E"/>
    <w:rsid w:val="00F146F2"/>
    <w:rsid w:val="00F15089"/>
    <w:rsid w:val="00F16E30"/>
    <w:rsid w:val="00F20C92"/>
    <w:rsid w:val="00F2245D"/>
    <w:rsid w:val="00F3030C"/>
    <w:rsid w:val="00F350FB"/>
    <w:rsid w:val="00F377DF"/>
    <w:rsid w:val="00F46C4D"/>
    <w:rsid w:val="00F52422"/>
    <w:rsid w:val="00F57AA1"/>
    <w:rsid w:val="00F61660"/>
    <w:rsid w:val="00F61A0C"/>
    <w:rsid w:val="00F64E43"/>
    <w:rsid w:val="00F654F5"/>
    <w:rsid w:val="00F67734"/>
    <w:rsid w:val="00F73843"/>
    <w:rsid w:val="00F74F80"/>
    <w:rsid w:val="00F813D1"/>
    <w:rsid w:val="00F822F6"/>
    <w:rsid w:val="00F916AE"/>
    <w:rsid w:val="00F937DC"/>
    <w:rsid w:val="00F945CF"/>
    <w:rsid w:val="00F945FD"/>
    <w:rsid w:val="00F96F7B"/>
    <w:rsid w:val="00F97A3C"/>
    <w:rsid w:val="00FA15EB"/>
    <w:rsid w:val="00FA1F48"/>
    <w:rsid w:val="00FA4C76"/>
    <w:rsid w:val="00FA6D46"/>
    <w:rsid w:val="00FB0A7D"/>
    <w:rsid w:val="00FC07F8"/>
    <w:rsid w:val="00FC1739"/>
    <w:rsid w:val="00FC5E18"/>
    <w:rsid w:val="00FC6B49"/>
    <w:rsid w:val="00FD06E5"/>
    <w:rsid w:val="00FD39AD"/>
    <w:rsid w:val="00FE1114"/>
    <w:rsid w:val="00FE60B6"/>
    <w:rsid w:val="00FE61B4"/>
    <w:rsid w:val="00FF380D"/>
    <w:rsid w:val="00FF3F95"/>
    <w:rsid w:val="02FC3ECA"/>
    <w:rsid w:val="09CB3D1E"/>
    <w:rsid w:val="0F276604"/>
    <w:rsid w:val="13C37C58"/>
    <w:rsid w:val="19F44B70"/>
    <w:rsid w:val="1B732FD4"/>
    <w:rsid w:val="1E934CC5"/>
    <w:rsid w:val="1F5A1D2C"/>
    <w:rsid w:val="25A90D7B"/>
    <w:rsid w:val="2F9970E8"/>
    <w:rsid w:val="2FF107E8"/>
    <w:rsid w:val="31437BB9"/>
    <w:rsid w:val="38AF46FC"/>
    <w:rsid w:val="3B0E3CC4"/>
    <w:rsid w:val="3CC0443C"/>
    <w:rsid w:val="3FCE0037"/>
    <w:rsid w:val="48CB3B18"/>
    <w:rsid w:val="4B737B85"/>
    <w:rsid w:val="4D805366"/>
    <w:rsid w:val="505A1C5C"/>
    <w:rsid w:val="512575C8"/>
    <w:rsid w:val="521407D8"/>
    <w:rsid w:val="53B766D4"/>
    <w:rsid w:val="569636F7"/>
    <w:rsid w:val="57A2127D"/>
    <w:rsid w:val="57F6765A"/>
    <w:rsid w:val="5BD21EF0"/>
    <w:rsid w:val="6170265C"/>
    <w:rsid w:val="6482043B"/>
    <w:rsid w:val="66153D58"/>
    <w:rsid w:val="66166709"/>
    <w:rsid w:val="676816E2"/>
    <w:rsid w:val="69484EAA"/>
    <w:rsid w:val="6A19439C"/>
    <w:rsid w:val="70027410"/>
    <w:rsid w:val="708212B9"/>
    <w:rsid w:val="727817AF"/>
    <w:rsid w:val="77F96A0F"/>
    <w:rsid w:val="78C74B46"/>
    <w:rsid w:val="79046BEB"/>
    <w:rsid w:val="7FF41D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031C3"/>
  <w15:docId w15:val="{25DD4C43-7EA1-4F49-AD32-7FAD74A8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2"/>
      <w:lang w:eastAsia="zh-CN"/>
    </w:rPr>
  </w:style>
  <w:style w:type="paragraph" w:styleId="Heading1">
    <w:name w:val="heading 1"/>
    <w:basedOn w:val="Normal"/>
    <w:next w:val="Normal"/>
    <w:link w:val="Heading1Char"/>
    <w:uiPriority w:val="9"/>
    <w:qFormat/>
    <w:pPr>
      <w:keepNext/>
      <w:keepLines/>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cstheme="majorBidi"/>
      <w:color w:val="1F4E79" w:themeColor="accent1" w:themeShade="80"/>
      <w:szCs w:val="24"/>
      <w:lang w:eastAsia="en-GB"/>
    </w:rPr>
  </w:style>
  <w:style w:type="paragraph" w:styleId="Heading4">
    <w:name w:val="heading 4"/>
    <w:basedOn w:val="Normal"/>
    <w:next w:val="Normal"/>
    <w:link w:val="Heading4Char"/>
    <w:uiPriority w:val="9"/>
    <w:unhideWhenUsed/>
    <w:qFormat/>
    <w:rsid w:val="009E7138"/>
    <w:pPr>
      <w:keepNext/>
      <w:keepLines/>
      <w:spacing w:before="40"/>
      <w:outlineLvl w:val="3"/>
    </w:pPr>
    <w:rPr>
      <w:rFonts w:eastAsiaTheme="majorEastAsia" w:cs="Times New Roman"/>
      <w:iCs/>
      <w:color w:val="2E74B5" w:themeColor="accent1" w:themeShade="BF"/>
      <w:lang w:val="en-US"/>
    </w:rPr>
  </w:style>
  <w:style w:type="paragraph" w:styleId="Heading5">
    <w:name w:val="heading 5"/>
    <w:basedOn w:val="ListParagraph"/>
    <w:next w:val="Normal"/>
    <w:link w:val="Heading5Char"/>
    <w:uiPriority w:val="9"/>
    <w:unhideWhenUsed/>
    <w:qFormat/>
    <w:rsid w:val="0045179B"/>
    <w:pPr>
      <w:numPr>
        <w:numId w:val="5"/>
      </w:numPr>
      <w:tabs>
        <w:tab w:val="left" w:pos="840"/>
      </w:tabs>
      <w:spacing w:line="276" w:lineRule="auto"/>
      <w:outlineLvl w:val="4"/>
    </w:pPr>
    <w:rPr>
      <w:rFonts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rFonts w:eastAsiaTheme="minorEastAsia" w:cstheme="minorBidi"/>
      <w:b/>
      <w:bCs/>
      <w:lang w:eastAsia="zh-CN"/>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rPr>
      <w:rFonts w:cs="Times New Roman"/>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2E74B5" w:themeColor="accent1" w:themeShade="BF"/>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color w:val="2E74B5" w:themeColor="accent1" w:themeShade="BF"/>
      <w:sz w:val="24"/>
      <w:szCs w:val="26"/>
    </w:rPr>
  </w:style>
  <w:style w:type="character" w:customStyle="1" w:styleId="FootnoteTextChar">
    <w:name w:val="Footnote Text Char"/>
    <w:basedOn w:val="DefaultParagraphFont"/>
    <w:link w:val="FootnoteText"/>
    <w:rPr>
      <w:rFonts w:ascii="Times New Roman" w:hAnsi="Times New Roman"/>
      <w:sz w:val="20"/>
      <w:szCs w:val="20"/>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apple-style-span">
    <w:name w:val="apple-style-span"/>
    <w:basedOn w:val="DefaultParagraphFont"/>
  </w:style>
  <w:style w:type="character" w:customStyle="1" w:styleId="FootnoteTextChar1">
    <w:name w:val="Footnote Text Char1"/>
    <w:rPr>
      <w:rFonts w:ascii="Times" w:eastAsia="Times New Roman" w:hAnsi="Times" w:cs="Times New Roman"/>
      <w:sz w:val="20"/>
      <w:szCs w:val="20"/>
      <w:lang w:eastAsia="fr-FR"/>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1F4E79" w:themeColor="accent1" w:themeShade="80"/>
      <w:sz w:val="24"/>
      <w:szCs w:val="24"/>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rsid w:val="009E7138"/>
    <w:rPr>
      <w:rFonts w:ascii="Times New Roman" w:eastAsiaTheme="majorEastAsia" w:hAnsi="Times New Roman" w:cs="Times New Roman"/>
      <w:iCs/>
      <w:color w:val="2E74B5" w:themeColor="accent1" w:themeShade="BF"/>
      <w:sz w:val="24"/>
      <w:szCs w:val="22"/>
      <w:lang w:val="en-US" w:eastAsia="zh-CN"/>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style>
  <w:style w:type="character" w:customStyle="1" w:styleId="verdana">
    <w:name w:val="verdana"/>
    <w:basedOn w:val="DefaultParagraphFont"/>
  </w:style>
  <w:style w:type="character" w:customStyle="1" w:styleId="sccrespondentforrunningheadchar">
    <w:name w:val="sccrespondentforrunningheadchar"/>
    <w:basedOn w:val="DefaultParagraphFont"/>
  </w:style>
  <w:style w:type="character" w:customStyle="1" w:styleId="Heading5Char">
    <w:name w:val="Heading 5 Char"/>
    <w:basedOn w:val="DefaultParagraphFont"/>
    <w:link w:val="Heading5"/>
    <w:uiPriority w:val="9"/>
    <w:rsid w:val="0045179B"/>
    <w:rPr>
      <w:rFonts w:ascii="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28C9-1D49-4AEB-B66F-1F42AB89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1087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VALSAN Remus</dc:creator>
  <cp:lastModifiedBy>Remus Valsan</cp:lastModifiedBy>
  <cp:revision>33</cp:revision>
  <cp:lastPrinted>2022-06-03T18:20:00Z</cp:lastPrinted>
  <dcterms:created xsi:type="dcterms:W3CDTF">2022-10-13T10:33:00Z</dcterms:created>
  <dcterms:modified xsi:type="dcterms:W3CDTF">2022-10-13T13:12:00Z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B4959F6E12FD4FBC88FFD70A12C4D4E1</vt:lpwstr>
  </property>
</Properties>
</file>